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10CEF" w14:textId="726EDFA8" w:rsidR="00984FB8" w:rsidRPr="00C90260" w:rsidRDefault="00984FB8" w:rsidP="00C90260">
      <w:r>
        <w:rPr>
          <w:noProof/>
          <w:lang w:eastAsia="en-AU"/>
        </w:rPr>
        <w:drawing>
          <wp:inline distT="0" distB="0" distL="0" distR="0" wp14:anchorId="360793E7" wp14:editId="4A4EC910">
            <wp:extent cx="2383155" cy="727075"/>
            <wp:effectExtent l="0" t="0" r="0" b="0"/>
            <wp:docPr id="2" name="Graphic 2"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2">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2383155" cy="727075"/>
                    </a:xfrm>
                    <a:prstGeom prst="rect">
                      <a:avLst/>
                    </a:prstGeom>
                  </pic:spPr>
                </pic:pic>
              </a:graphicData>
            </a:graphic>
          </wp:inline>
        </w:drawing>
      </w:r>
      <w:r>
        <w:rPr>
          <w:noProof/>
          <w:lang w:eastAsia="en-AU"/>
        </w:rPr>
        <w:drawing>
          <wp:anchor distT="0" distB="0" distL="114300" distR="114300" simplePos="0" relativeHeight="251658240" behindDoc="1" locked="0" layoutInCell="1" allowOverlap="1" wp14:anchorId="63885BF4" wp14:editId="644B1650">
            <wp:simplePos x="0" y="0"/>
            <wp:positionH relativeFrom="column">
              <wp:posOffset>-791972</wp:posOffset>
            </wp:positionH>
            <wp:positionV relativeFrom="page">
              <wp:posOffset>-36576</wp:posOffset>
            </wp:positionV>
            <wp:extent cx="7673234" cy="2450592"/>
            <wp:effectExtent l="0" t="0" r="0" b="0"/>
            <wp:wrapNone/>
            <wp:docPr id="4" name="Picture 4" descr="Background pattern, 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 rectangle&#10;&#10;Description automatically generated with medium confidence"/>
                    <pic:cNvPicPr/>
                  </pic:nvPicPr>
                  <pic:blipFill>
                    <a:blip r:embed="rId14"/>
                    <a:stretch>
                      <a:fillRect/>
                    </a:stretch>
                  </pic:blipFill>
                  <pic:spPr>
                    <a:xfrm>
                      <a:off x="0" y="0"/>
                      <a:ext cx="7717927" cy="2464866"/>
                    </a:xfrm>
                    <a:prstGeom prst="rect">
                      <a:avLst/>
                    </a:prstGeom>
                  </pic:spPr>
                </pic:pic>
              </a:graphicData>
            </a:graphic>
            <wp14:sizeRelH relativeFrom="page">
              <wp14:pctWidth>0</wp14:pctWidth>
            </wp14:sizeRelH>
            <wp14:sizeRelV relativeFrom="page">
              <wp14:pctHeight>0</wp14:pctHeight>
            </wp14:sizeRelV>
          </wp:anchor>
        </w:drawing>
      </w:r>
    </w:p>
    <w:p w14:paraId="5923199E" w14:textId="543B9E77" w:rsidR="00980562" w:rsidRPr="00A54C6D" w:rsidRDefault="00436AE0" w:rsidP="00980562">
      <w:pPr>
        <w:pStyle w:val="Title"/>
        <w:spacing w:line="240" w:lineRule="auto"/>
        <w:ind w:left="1276"/>
        <w:rPr>
          <w:noProof/>
          <w:color w:val="404246"/>
          <w:lang w:eastAsia="en-AU"/>
        </w:rPr>
      </w:pPr>
      <w:bookmarkStart w:id="0" w:name="_Hlk138326806"/>
      <w:r>
        <w:rPr>
          <w:noProof/>
          <w:color w:val="404246"/>
          <w:lang w:eastAsia="en-AU"/>
        </w:rPr>
        <w:t xml:space="preserve">Minimum standards and </w:t>
      </w:r>
      <w:r w:rsidR="00F64386">
        <w:rPr>
          <w:noProof/>
          <w:color w:val="404246"/>
          <w:lang w:eastAsia="en-AU"/>
        </w:rPr>
        <w:t>increased</w:t>
      </w:r>
      <w:r w:rsidR="00FB1163">
        <w:rPr>
          <w:noProof/>
          <w:color w:val="404246"/>
          <w:lang w:eastAsia="en-AU"/>
        </w:rPr>
        <w:t xml:space="preserve"> access to dispute re</w:t>
      </w:r>
      <w:bookmarkStart w:id="1" w:name="_GoBack"/>
      <w:bookmarkEnd w:id="1"/>
      <w:r w:rsidR="00FB1163">
        <w:rPr>
          <w:noProof/>
          <w:color w:val="404246"/>
          <w:lang w:eastAsia="en-AU"/>
        </w:rPr>
        <w:t>solution</w:t>
      </w:r>
      <w:r w:rsidR="00242608">
        <w:rPr>
          <w:noProof/>
          <w:color w:val="404246"/>
          <w:lang w:eastAsia="en-AU"/>
        </w:rPr>
        <w:t xml:space="preserve"> for </w:t>
      </w:r>
      <w:r w:rsidR="6913118B" w:rsidRPr="6535AC27">
        <w:rPr>
          <w:noProof/>
          <w:color w:val="404246"/>
          <w:lang w:eastAsia="en-AU"/>
        </w:rPr>
        <w:t>independent contractors</w:t>
      </w:r>
      <w:r w:rsidR="00980562">
        <w:rPr>
          <w:noProof/>
          <w:color w:val="404246"/>
          <w:lang w:eastAsia="en-AU"/>
        </w:rPr>
        <w:t xml:space="preserve"> (</w:t>
      </w:r>
      <w:r w:rsidR="00980562" w:rsidRPr="00A54C6D">
        <w:rPr>
          <w:noProof/>
          <w:color w:val="404246"/>
          <w:lang w:eastAsia="en-AU"/>
        </w:rPr>
        <w:t>OBPR22-02873)</w:t>
      </w:r>
    </w:p>
    <w:p w14:paraId="1E148B0F" w14:textId="15FB5D0A" w:rsidR="00C61B15" w:rsidRDefault="00980562" w:rsidP="00C61B15">
      <w:pPr>
        <w:pStyle w:val="Subtitle"/>
        <w:spacing w:before="240"/>
        <w:ind w:left="1276"/>
        <w:rPr>
          <w:noProof/>
          <w:lang w:eastAsia="en-AU"/>
        </w:rPr>
      </w:pPr>
      <w:r>
        <w:rPr>
          <w:noProof/>
          <w:lang w:eastAsia="en-AU"/>
        </w:rPr>
        <w:t xml:space="preserve">Annexure A - </w:t>
      </w:r>
      <w:r w:rsidR="00760CC2">
        <w:rPr>
          <w:noProof/>
          <w:lang w:eastAsia="en-AU"/>
        </w:rPr>
        <w:t>Supplementary Analysis</w:t>
      </w:r>
      <w:r w:rsidR="0020134A">
        <w:rPr>
          <w:noProof/>
          <w:lang w:eastAsia="en-AU"/>
        </w:rPr>
        <w:t xml:space="preserve"> to Impact Analysis Equivalent proc</w:t>
      </w:r>
      <w:r w:rsidR="00CD29BA">
        <w:rPr>
          <w:noProof/>
          <w:lang w:eastAsia="en-AU"/>
        </w:rPr>
        <w:t>ess</w:t>
      </w:r>
    </w:p>
    <w:bookmarkEnd w:id="0"/>
    <w:p w14:paraId="69B69202" w14:textId="0E925B71" w:rsidR="00C61B15" w:rsidRPr="00C61B15" w:rsidRDefault="00DC0A74" w:rsidP="00C61B15">
      <w:pPr>
        <w:pStyle w:val="Subtitle"/>
        <w:spacing w:before="240"/>
        <w:ind w:left="1276"/>
        <w:rPr>
          <w:noProof/>
          <w:lang w:eastAsia="en-AU"/>
        </w:rPr>
      </w:pPr>
      <w:r>
        <w:rPr>
          <w:lang w:eastAsia="en-AU"/>
        </w:rPr>
        <w:t>2</w:t>
      </w:r>
      <w:r w:rsidR="008652A4">
        <w:rPr>
          <w:lang w:eastAsia="en-AU"/>
        </w:rPr>
        <w:t>3</w:t>
      </w:r>
      <w:r w:rsidR="00E96612">
        <w:rPr>
          <w:lang w:eastAsia="en-AU"/>
        </w:rPr>
        <w:t xml:space="preserve"> August</w:t>
      </w:r>
      <w:r w:rsidR="00C61B15" w:rsidRPr="00202274">
        <w:rPr>
          <w:lang w:eastAsia="en-AU"/>
        </w:rPr>
        <w:t xml:space="preserve"> 2023</w:t>
      </w:r>
    </w:p>
    <w:p w14:paraId="15277A78" w14:textId="77777777" w:rsidR="00930CDA" w:rsidRPr="0095636C" w:rsidRDefault="00930CDA" w:rsidP="00C61B15">
      <w:r>
        <w:rPr>
          <w:noProof/>
          <w:lang w:eastAsia="en-AU"/>
        </w:rPr>
        <w:br w:type="page"/>
      </w:r>
    </w:p>
    <w:p w14:paraId="26921407" w14:textId="772A7EA8" w:rsidR="002B1CE5" w:rsidRDefault="002B1CE5" w:rsidP="00EA264C">
      <w:pPr>
        <w:pStyle w:val="Title"/>
        <w:tabs>
          <w:tab w:val="left" w:pos="3405"/>
        </w:tabs>
      </w:pPr>
      <w:r>
        <w:lastRenderedPageBreak/>
        <w:t>Title</w:t>
      </w:r>
      <w:r w:rsidR="00EA264C">
        <w:tab/>
      </w:r>
    </w:p>
    <w:p w14:paraId="4D17207E" w14:textId="718A6799" w:rsidR="007855CC" w:rsidRPr="003C539C" w:rsidRDefault="007855CC" w:rsidP="00EA67FC">
      <w:pPr>
        <w:tabs>
          <w:tab w:val="left" w:pos="5856"/>
        </w:tabs>
        <w:spacing w:before="8400"/>
        <w:contextualSpacing/>
      </w:pPr>
      <w:bookmarkStart w:id="2" w:name="_Toc30065222"/>
    </w:p>
    <w:p w14:paraId="3412B567" w14:textId="0CCDE668" w:rsidR="0057137A" w:rsidRDefault="007855CC" w:rsidP="007855CC">
      <w:r w:rsidRPr="003C539C">
        <w:rPr>
          <w:highlight w:val="yellow"/>
        </w:rPr>
        <w:br/>
      </w:r>
    </w:p>
    <w:p w14:paraId="182EF873" w14:textId="77777777" w:rsidR="0057137A" w:rsidRPr="003C539C" w:rsidRDefault="0057137A" w:rsidP="007855CC"/>
    <w:p w14:paraId="241E9441" w14:textId="77777777" w:rsidR="007855CC" w:rsidRPr="003C539C" w:rsidRDefault="007855CC" w:rsidP="007855CC">
      <w:pPr>
        <w:pStyle w:val="numberedpara"/>
        <w:numPr>
          <w:ilvl w:val="0"/>
          <w:numId w:val="0"/>
        </w:numPr>
      </w:pPr>
      <w:r w:rsidRPr="003C539C">
        <w:rPr>
          <w:noProof/>
        </w:rPr>
        <w:drawing>
          <wp:inline distT="0" distB="0" distL="0" distR="0" wp14:anchorId="22FD046B" wp14:editId="5F9F4DA4">
            <wp:extent cx="847725" cy="285750"/>
            <wp:effectExtent l="0" t="0" r="9525" b="0"/>
            <wp:docPr id="5" name="Picture 5"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5" r:link="rId16"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442A44C0" w14:textId="77777777" w:rsidR="007855CC" w:rsidRPr="003C539C" w:rsidRDefault="007855CC" w:rsidP="007855CC">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7" w:history="1">
        <w:r w:rsidRPr="003C539C">
          <w:rPr>
            <w:rStyle w:val="Hyperlink"/>
            <w:color w:val="002D3F" w:themeColor="text2"/>
          </w:rPr>
          <w:t>Creative Commons Attribution 3.0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8" w:history="1">
        <w:r w:rsidRPr="003C539C">
          <w:rPr>
            <w:rStyle w:val="Hyperlink"/>
            <w:color w:val="002D3F" w:themeColor="text2"/>
          </w:rPr>
          <w:t>CC BY 3.0 AU licence</w:t>
        </w:r>
      </w:hyperlink>
      <w:r>
        <w:t>.</w:t>
      </w:r>
    </w:p>
    <w:p w14:paraId="1ACFAA15" w14:textId="0D23C806" w:rsidR="00EA67FC" w:rsidRDefault="007855CC" w:rsidP="00791100">
      <w:r w:rsidRPr="003C539C">
        <w:t xml:space="preserve">The document must be attributed as </w:t>
      </w:r>
      <w:r w:rsidR="00791100">
        <w:t xml:space="preserve">Minimum standards and increased access to dispute resolution for independent contractors – Supplementary Analysis to Impact Analysis Equivalent process. </w:t>
      </w:r>
      <w:r w:rsidR="00EA67FC">
        <w:br w:type="page"/>
      </w:r>
    </w:p>
    <w:p w14:paraId="2BBCB76E" w14:textId="77777777" w:rsidR="007855CC" w:rsidRDefault="007855CC" w:rsidP="007855CC">
      <w:pPr>
        <w:sectPr w:rsidR="007855CC" w:rsidSect="00EA67FC">
          <w:footerReference w:type="default" r:id="rId19"/>
          <w:type w:val="continuous"/>
          <w:pgSz w:w="11906" w:h="16838"/>
          <w:pgMar w:top="1418" w:right="1440" w:bottom="1560" w:left="1276" w:header="708" w:footer="708" w:gutter="0"/>
          <w:cols w:space="708"/>
          <w:titlePg/>
          <w:docGrid w:linePitch="360"/>
        </w:sectPr>
      </w:pPr>
    </w:p>
    <w:p w14:paraId="1C9523A8" w14:textId="7782EF05" w:rsidR="001F0AE4" w:rsidRPr="003C539C" w:rsidRDefault="001F0AE4" w:rsidP="001F0AE4">
      <w:pPr>
        <w:pStyle w:val="TOCHeading"/>
      </w:pPr>
      <w:r>
        <w:t>Contents</w:t>
      </w:r>
    </w:p>
    <w:p w14:paraId="56445170" w14:textId="16E78B29" w:rsidR="00A54C6D" w:rsidRDefault="0095636C">
      <w:pPr>
        <w:pStyle w:val="TOC1"/>
        <w:rPr>
          <w:rFonts w:eastAsiaTheme="minorEastAsia"/>
          <w:b w:val="0"/>
          <w:kern w:val="2"/>
          <w:lang w:eastAsia="en-AU"/>
          <w14:ligatures w14:val="standardContextual"/>
        </w:rPr>
      </w:pPr>
      <w:r w:rsidRPr="009043F2">
        <w:rPr>
          <w:rFonts w:ascii="Calibri" w:eastAsiaTheme="majorEastAsia" w:hAnsi="Calibri" w:cstheme="majorBidi"/>
          <w:bCs/>
          <w:color w:val="343741"/>
          <w:sz w:val="32"/>
          <w:szCs w:val="32"/>
        </w:rPr>
        <w:fldChar w:fldCharType="begin"/>
      </w:r>
      <w:r w:rsidRPr="009043F2">
        <w:rPr>
          <w:rFonts w:ascii="Calibri" w:eastAsiaTheme="majorEastAsia" w:hAnsi="Calibri" w:cstheme="majorBidi"/>
          <w:bCs/>
          <w:color w:val="343741"/>
          <w:sz w:val="32"/>
          <w:szCs w:val="32"/>
        </w:rPr>
        <w:instrText xml:space="preserve"> TOC \o "1-3" \h \z \u </w:instrText>
      </w:r>
      <w:r w:rsidRPr="009043F2">
        <w:rPr>
          <w:rFonts w:ascii="Calibri" w:eastAsiaTheme="majorEastAsia" w:hAnsi="Calibri" w:cstheme="majorBidi"/>
          <w:bCs/>
          <w:color w:val="343741"/>
          <w:sz w:val="32"/>
          <w:szCs w:val="32"/>
        </w:rPr>
        <w:fldChar w:fldCharType="separate"/>
      </w:r>
      <w:hyperlink w:anchor="_Toc139295518" w:history="1">
        <w:r w:rsidR="00A54C6D" w:rsidRPr="00C940DB">
          <w:rPr>
            <w:rStyle w:val="Hyperlink"/>
          </w:rPr>
          <w:t>1.</w:t>
        </w:r>
        <w:r w:rsidR="00A54C6D">
          <w:rPr>
            <w:rFonts w:eastAsiaTheme="minorEastAsia"/>
            <w:b w:val="0"/>
            <w:kern w:val="2"/>
            <w:lang w:eastAsia="en-AU"/>
            <w14:ligatures w14:val="standardContextual"/>
          </w:rPr>
          <w:tab/>
        </w:r>
        <w:r w:rsidR="00A54C6D" w:rsidRPr="00C940DB">
          <w:rPr>
            <w:rStyle w:val="Hyperlink"/>
          </w:rPr>
          <w:t>Introduction and key terms</w:t>
        </w:r>
        <w:r w:rsidR="00A54C6D">
          <w:rPr>
            <w:webHidden/>
          </w:rPr>
          <w:tab/>
        </w:r>
        <w:r w:rsidR="00A54C6D">
          <w:rPr>
            <w:webHidden/>
          </w:rPr>
          <w:fldChar w:fldCharType="begin"/>
        </w:r>
        <w:r w:rsidR="00A54C6D">
          <w:rPr>
            <w:webHidden/>
          </w:rPr>
          <w:instrText xml:space="preserve"> PAGEREF _Toc139295518 \h </w:instrText>
        </w:r>
        <w:r w:rsidR="00A54C6D">
          <w:rPr>
            <w:webHidden/>
          </w:rPr>
        </w:r>
        <w:r w:rsidR="00A54C6D">
          <w:rPr>
            <w:webHidden/>
          </w:rPr>
          <w:fldChar w:fldCharType="separate"/>
        </w:r>
        <w:r w:rsidR="0007078D">
          <w:rPr>
            <w:webHidden/>
          </w:rPr>
          <w:t>6</w:t>
        </w:r>
        <w:r w:rsidR="00A54C6D">
          <w:rPr>
            <w:webHidden/>
          </w:rPr>
          <w:fldChar w:fldCharType="end"/>
        </w:r>
      </w:hyperlink>
    </w:p>
    <w:p w14:paraId="15F529E7" w14:textId="199F21C5" w:rsidR="00A54C6D" w:rsidRDefault="00973846">
      <w:pPr>
        <w:pStyle w:val="TOC2"/>
        <w:rPr>
          <w:rFonts w:eastAsiaTheme="minorEastAsia"/>
          <w:noProof/>
          <w:kern w:val="2"/>
          <w:lang w:eastAsia="en-AU"/>
          <w14:ligatures w14:val="standardContextual"/>
        </w:rPr>
      </w:pPr>
      <w:hyperlink w:anchor="_Toc139295519" w:history="1">
        <w:r w:rsidR="00A54C6D" w:rsidRPr="00C940DB">
          <w:rPr>
            <w:rStyle w:val="Hyperlink"/>
            <w:noProof/>
            <w:lang w:eastAsia="en-AU"/>
          </w:rPr>
          <w:t>Terms used throughout this document</w:t>
        </w:r>
        <w:r w:rsidR="00A54C6D">
          <w:rPr>
            <w:noProof/>
            <w:webHidden/>
          </w:rPr>
          <w:tab/>
        </w:r>
        <w:r w:rsidR="00A54C6D">
          <w:rPr>
            <w:noProof/>
            <w:webHidden/>
          </w:rPr>
          <w:fldChar w:fldCharType="begin"/>
        </w:r>
        <w:r w:rsidR="00A54C6D">
          <w:rPr>
            <w:noProof/>
            <w:webHidden/>
          </w:rPr>
          <w:instrText xml:space="preserve"> PAGEREF _Toc139295519 \h </w:instrText>
        </w:r>
        <w:r w:rsidR="00A54C6D">
          <w:rPr>
            <w:noProof/>
            <w:webHidden/>
          </w:rPr>
        </w:r>
        <w:r w:rsidR="00A54C6D">
          <w:rPr>
            <w:noProof/>
            <w:webHidden/>
          </w:rPr>
          <w:fldChar w:fldCharType="separate"/>
        </w:r>
        <w:r w:rsidR="0007078D">
          <w:rPr>
            <w:noProof/>
            <w:webHidden/>
          </w:rPr>
          <w:t>8</w:t>
        </w:r>
        <w:r w:rsidR="00A54C6D">
          <w:rPr>
            <w:noProof/>
            <w:webHidden/>
          </w:rPr>
          <w:fldChar w:fldCharType="end"/>
        </w:r>
      </w:hyperlink>
    </w:p>
    <w:p w14:paraId="79555230" w14:textId="77C7030B" w:rsidR="00A54C6D" w:rsidRDefault="00973846">
      <w:pPr>
        <w:pStyle w:val="TOC1"/>
        <w:rPr>
          <w:rFonts w:eastAsiaTheme="minorEastAsia"/>
          <w:b w:val="0"/>
          <w:kern w:val="2"/>
          <w:lang w:eastAsia="en-AU"/>
          <w14:ligatures w14:val="standardContextual"/>
        </w:rPr>
      </w:pPr>
      <w:hyperlink w:anchor="_Toc139295520" w:history="1">
        <w:r w:rsidR="00A54C6D" w:rsidRPr="00C940DB">
          <w:rPr>
            <w:rStyle w:val="Hyperlink"/>
          </w:rPr>
          <w:t>2.</w:t>
        </w:r>
        <w:r w:rsidR="00A54C6D">
          <w:rPr>
            <w:rFonts w:eastAsiaTheme="minorEastAsia"/>
            <w:b w:val="0"/>
            <w:kern w:val="2"/>
            <w:lang w:eastAsia="en-AU"/>
            <w14:ligatures w14:val="standardContextual"/>
          </w:rPr>
          <w:tab/>
        </w:r>
        <w:r w:rsidR="00A54C6D" w:rsidRPr="00C940DB">
          <w:rPr>
            <w:rStyle w:val="Hyperlink"/>
          </w:rPr>
          <w:t>Reviews certified as Impact Analysis Equivalent processes</w:t>
        </w:r>
        <w:r w:rsidR="00A54C6D">
          <w:rPr>
            <w:webHidden/>
          </w:rPr>
          <w:tab/>
        </w:r>
        <w:r w:rsidR="00A54C6D">
          <w:rPr>
            <w:webHidden/>
          </w:rPr>
          <w:fldChar w:fldCharType="begin"/>
        </w:r>
        <w:r w:rsidR="00A54C6D">
          <w:rPr>
            <w:webHidden/>
          </w:rPr>
          <w:instrText xml:space="preserve"> PAGEREF _Toc139295520 \h </w:instrText>
        </w:r>
        <w:r w:rsidR="00A54C6D">
          <w:rPr>
            <w:webHidden/>
          </w:rPr>
        </w:r>
        <w:r w:rsidR="00A54C6D">
          <w:rPr>
            <w:webHidden/>
          </w:rPr>
          <w:fldChar w:fldCharType="separate"/>
        </w:r>
        <w:r w:rsidR="0007078D">
          <w:rPr>
            <w:webHidden/>
          </w:rPr>
          <w:t>10</w:t>
        </w:r>
        <w:r w:rsidR="00A54C6D">
          <w:rPr>
            <w:webHidden/>
          </w:rPr>
          <w:fldChar w:fldCharType="end"/>
        </w:r>
      </w:hyperlink>
    </w:p>
    <w:p w14:paraId="593F0262" w14:textId="4EBFFF16" w:rsidR="00A54C6D" w:rsidRDefault="00973846">
      <w:pPr>
        <w:pStyle w:val="TOC2"/>
        <w:rPr>
          <w:rFonts w:eastAsiaTheme="minorEastAsia"/>
          <w:noProof/>
          <w:kern w:val="2"/>
          <w:lang w:eastAsia="en-AU"/>
          <w14:ligatures w14:val="standardContextual"/>
        </w:rPr>
      </w:pPr>
      <w:hyperlink w:anchor="_Toc139295521" w:history="1">
        <w:r w:rsidR="00A54C6D" w:rsidRPr="00C940DB">
          <w:rPr>
            <w:rStyle w:val="Hyperlink"/>
            <w:noProof/>
          </w:rPr>
          <w:t>Victorian Government Inquiry</w:t>
        </w:r>
        <w:r w:rsidR="00A54C6D">
          <w:rPr>
            <w:noProof/>
            <w:webHidden/>
          </w:rPr>
          <w:tab/>
        </w:r>
        <w:r w:rsidR="00A54C6D">
          <w:rPr>
            <w:noProof/>
            <w:webHidden/>
          </w:rPr>
          <w:fldChar w:fldCharType="begin"/>
        </w:r>
        <w:r w:rsidR="00A54C6D">
          <w:rPr>
            <w:noProof/>
            <w:webHidden/>
          </w:rPr>
          <w:instrText xml:space="preserve"> PAGEREF _Toc139295521 \h </w:instrText>
        </w:r>
        <w:r w:rsidR="00A54C6D">
          <w:rPr>
            <w:noProof/>
            <w:webHidden/>
          </w:rPr>
        </w:r>
        <w:r w:rsidR="00A54C6D">
          <w:rPr>
            <w:noProof/>
            <w:webHidden/>
          </w:rPr>
          <w:fldChar w:fldCharType="separate"/>
        </w:r>
        <w:r w:rsidR="0007078D">
          <w:rPr>
            <w:noProof/>
            <w:webHidden/>
          </w:rPr>
          <w:t>10</w:t>
        </w:r>
        <w:r w:rsidR="00A54C6D">
          <w:rPr>
            <w:noProof/>
            <w:webHidden/>
          </w:rPr>
          <w:fldChar w:fldCharType="end"/>
        </w:r>
      </w:hyperlink>
    </w:p>
    <w:p w14:paraId="614B48AF" w14:textId="2DF71D9C" w:rsidR="00A54C6D" w:rsidRDefault="00973846">
      <w:pPr>
        <w:pStyle w:val="TOC2"/>
        <w:rPr>
          <w:rFonts w:eastAsiaTheme="minorEastAsia"/>
          <w:noProof/>
          <w:kern w:val="2"/>
          <w:lang w:eastAsia="en-AU"/>
          <w14:ligatures w14:val="standardContextual"/>
        </w:rPr>
      </w:pPr>
      <w:hyperlink w:anchor="_Toc139295522" w:history="1">
        <w:r w:rsidR="00A54C6D" w:rsidRPr="00C940DB">
          <w:rPr>
            <w:rStyle w:val="Hyperlink"/>
            <w:noProof/>
          </w:rPr>
          <w:t>Productivity Commission Inquiry</w:t>
        </w:r>
        <w:r w:rsidR="00A54C6D">
          <w:rPr>
            <w:noProof/>
            <w:webHidden/>
          </w:rPr>
          <w:tab/>
        </w:r>
        <w:r w:rsidR="00A54C6D">
          <w:rPr>
            <w:noProof/>
            <w:webHidden/>
          </w:rPr>
          <w:fldChar w:fldCharType="begin"/>
        </w:r>
        <w:r w:rsidR="00A54C6D">
          <w:rPr>
            <w:noProof/>
            <w:webHidden/>
          </w:rPr>
          <w:instrText xml:space="preserve"> PAGEREF _Toc139295522 \h </w:instrText>
        </w:r>
        <w:r w:rsidR="00A54C6D">
          <w:rPr>
            <w:noProof/>
            <w:webHidden/>
          </w:rPr>
        </w:r>
        <w:r w:rsidR="00A54C6D">
          <w:rPr>
            <w:noProof/>
            <w:webHidden/>
          </w:rPr>
          <w:fldChar w:fldCharType="separate"/>
        </w:r>
        <w:r w:rsidR="0007078D">
          <w:rPr>
            <w:noProof/>
            <w:webHidden/>
          </w:rPr>
          <w:t>11</w:t>
        </w:r>
        <w:r w:rsidR="00A54C6D">
          <w:rPr>
            <w:noProof/>
            <w:webHidden/>
          </w:rPr>
          <w:fldChar w:fldCharType="end"/>
        </w:r>
      </w:hyperlink>
    </w:p>
    <w:p w14:paraId="20304EAC" w14:textId="7DDF1D9A" w:rsidR="00A54C6D" w:rsidRDefault="00973846">
      <w:pPr>
        <w:pStyle w:val="TOC2"/>
        <w:rPr>
          <w:rFonts w:eastAsiaTheme="minorEastAsia"/>
          <w:noProof/>
          <w:kern w:val="2"/>
          <w:lang w:eastAsia="en-AU"/>
          <w14:ligatures w14:val="standardContextual"/>
        </w:rPr>
      </w:pPr>
      <w:hyperlink w:anchor="_Toc139295523" w:history="1">
        <w:r w:rsidR="00A54C6D" w:rsidRPr="00C940DB">
          <w:rPr>
            <w:rStyle w:val="Hyperlink"/>
            <w:noProof/>
          </w:rPr>
          <w:t>Job Security Inquiry</w:t>
        </w:r>
        <w:r w:rsidR="00A54C6D">
          <w:rPr>
            <w:noProof/>
            <w:webHidden/>
          </w:rPr>
          <w:tab/>
        </w:r>
        <w:r w:rsidR="00A54C6D">
          <w:rPr>
            <w:noProof/>
            <w:webHidden/>
          </w:rPr>
          <w:fldChar w:fldCharType="begin"/>
        </w:r>
        <w:r w:rsidR="00A54C6D">
          <w:rPr>
            <w:noProof/>
            <w:webHidden/>
          </w:rPr>
          <w:instrText xml:space="preserve"> PAGEREF _Toc139295523 \h </w:instrText>
        </w:r>
        <w:r w:rsidR="00A54C6D">
          <w:rPr>
            <w:noProof/>
            <w:webHidden/>
          </w:rPr>
        </w:r>
        <w:r w:rsidR="00A54C6D">
          <w:rPr>
            <w:noProof/>
            <w:webHidden/>
          </w:rPr>
          <w:fldChar w:fldCharType="separate"/>
        </w:r>
        <w:r w:rsidR="0007078D">
          <w:rPr>
            <w:noProof/>
            <w:webHidden/>
          </w:rPr>
          <w:t>11</w:t>
        </w:r>
        <w:r w:rsidR="00A54C6D">
          <w:rPr>
            <w:noProof/>
            <w:webHidden/>
          </w:rPr>
          <w:fldChar w:fldCharType="end"/>
        </w:r>
      </w:hyperlink>
    </w:p>
    <w:p w14:paraId="7846E1F1" w14:textId="7FA5E49A" w:rsidR="00A54C6D" w:rsidRDefault="00973846">
      <w:pPr>
        <w:pStyle w:val="TOC2"/>
        <w:rPr>
          <w:rFonts w:eastAsiaTheme="minorEastAsia"/>
          <w:noProof/>
          <w:kern w:val="2"/>
          <w:lang w:eastAsia="en-AU"/>
          <w14:ligatures w14:val="standardContextual"/>
        </w:rPr>
      </w:pPr>
      <w:hyperlink w:anchor="_Toc139295524" w:history="1">
        <w:r w:rsidR="00A54C6D" w:rsidRPr="00C940DB">
          <w:rPr>
            <w:rStyle w:val="Hyperlink"/>
            <w:noProof/>
          </w:rPr>
          <w:t>Road Transport Inquiry</w:t>
        </w:r>
        <w:r w:rsidR="00A54C6D">
          <w:rPr>
            <w:noProof/>
            <w:webHidden/>
          </w:rPr>
          <w:tab/>
        </w:r>
        <w:r w:rsidR="00A54C6D">
          <w:rPr>
            <w:noProof/>
            <w:webHidden/>
          </w:rPr>
          <w:fldChar w:fldCharType="begin"/>
        </w:r>
        <w:r w:rsidR="00A54C6D">
          <w:rPr>
            <w:noProof/>
            <w:webHidden/>
          </w:rPr>
          <w:instrText xml:space="preserve"> PAGEREF _Toc139295524 \h </w:instrText>
        </w:r>
        <w:r w:rsidR="00A54C6D">
          <w:rPr>
            <w:noProof/>
            <w:webHidden/>
          </w:rPr>
        </w:r>
        <w:r w:rsidR="00A54C6D">
          <w:rPr>
            <w:noProof/>
            <w:webHidden/>
          </w:rPr>
          <w:fldChar w:fldCharType="separate"/>
        </w:r>
        <w:r w:rsidR="0007078D">
          <w:rPr>
            <w:noProof/>
            <w:webHidden/>
          </w:rPr>
          <w:t>11</w:t>
        </w:r>
        <w:r w:rsidR="00A54C6D">
          <w:rPr>
            <w:noProof/>
            <w:webHidden/>
          </w:rPr>
          <w:fldChar w:fldCharType="end"/>
        </w:r>
      </w:hyperlink>
    </w:p>
    <w:p w14:paraId="5256C300" w14:textId="219A0177" w:rsidR="00A54C6D" w:rsidRDefault="00973846">
      <w:pPr>
        <w:pStyle w:val="TOC2"/>
        <w:rPr>
          <w:rFonts w:eastAsiaTheme="minorEastAsia"/>
          <w:noProof/>
          <w:kern w:val="2"/>
          <w:lang w:eastAsia="en-AU"/>
          <w14:ligatures w14:val="standardContextual"/>
        </w:rPr>
      </w:pPr>
      <w:hyperlink w:anchor="_Toc139295525" w:history="1">
        <w:r w:rsidR="00A54C6D" w:rsidRPr="00C940DB">
          <w:rPr>
            <w:rStyle w:val="Hyperlink"/>
            <w:noProof/>
          </w:rPr>
          <w:t>New South Wales Government Inquiry</w:t>
        </w:r>
        <w:r w:rsidR="00A54C6D">
          <w:rPr>
            <w:noProof/>
            <w:webHidden/>
          </w:rPr>
          <w:tab/>
        </w:r>
        <w:r w:rsidR="00A54C6D">
          <w:rPr>
            <w:noProof/>
            <w:webHidden/>
          </w:rPr>
          <w:fldChar w:fldCharType="begin"/>
        </w:r>
        <w:r w:rsidR="00A54C6D">
          <w:rPr>
            <w:noProof/>
            <w:webHidden/>
          </w:rPr>
          <w:instrText xml:space="preserve"> PAGEREF _Toc139295525 \h </w:instrText>
        </w:r>
        <w:r w:rsidR="00A54C6D">
          <w:rPr>
            <w:noProof/>
            <w:webHidden/>
          </w:rPr>
        </w:r>
        <w:r w:rsidR="00A54C6D">
          <w:rPr>
            <w:noProof/>
            <w:webHidden/>
          </w:rPr>
          <w:fldChar w:fldCharType="separate"/>
        </w:r>
        <w:r w:rsidR="0007078D">
          <w:rPr>
            <w:noProof/>
            <w:webHidden/>
          </w:rPr>
          <w:t>11</w:t>
        </w:r>
        <w:r w:rsidR="00A54C6D">
          <w:rPr>
            <w:noProof/>
            <w:webHidden/>
          </w:rPr>
          <w:fldChar w:fldCharType="end"/>
        </w:r>
      </w:hyperlink>
    </w:p>
    <w:p w14:paraId="6583B8EE" w14:textId="55A34E0C" w:rsidR="00A54C6D" w:rsidRDefault="00973846">
      <w:pPr>
        <w:pStyle w:val="TOC2"/>
        <w:rPr>
          <w:rFonts w:eastAsiaTheme="minorEastAsia"/>
          <w:noProof/>
          <w:kern w:val="2"/>
          <w:lang w:eastAsia="en-AU"/>
          <w14:ligatures w14:val="standardContextual"/>
        </w:rPr>
      </w:pPr>
      <w:hyperlink w:anchor="_Toc139295526" w:history="1">
        <w:r w:rsidR="00A54C6D" w:rsidRPr="00C940DB">
          <w:rPr>
            <w:rStyle w:val="Hyperlink"/>
            <w:noProof/>
          </w:rPr>
          <w:t>Alignment of reviews and Impact Analysis questions</w:t>
        </w:r>
        <w:r w:rsidR="00A54C6D">
          <w:rPr>
            <w:noProof/>
            <w:webHidden/>
          </w:rPr>
          <w:tab/>
        </w:r>
        <w:r w:rsidR="00A54C6D">
          <w:rPr>
            <w:noProof/>
            <w:webHidden/>
          </w:rPr>
          <w:fldChar w:fldCharType="begin"/>
        </w:r>
        <w:r w:rsidR="00A54C6D">
          <w:rPr>
            <w:noProof/>
            <w:webHidden/>
          </w:rPr>
          <w:instrText xml:space="preserve"> PAGEREF _Toc139295526 \h </w:instrText>
        </w:r>
        <w:r w:rsidR="00A54C6D">
          <w:rPr>
            <w:noProof/>
            <w:webHidden/>
          </w:rPr>
        </w:r>
        <w:r w:rsidR="00A54C6D">
          <w:rPr>
            <w:noProof/>
            <w:webHidden/>
          </w:rPr>
          <w:fldChar w:fldCharType="separate"/>
        </w:r>
        <w:r w:rsidR="0007078D">
          <w:rPr>
            <w:noProof/>
            <w:webHidden/>
          </w:rPr>
          <w:t>12</w:t>
        </w:r>
        <w:r w:rsidR="00A54C6D">
          <w:rPr>
            <w:noProof/>
            <w:webHidden/>
          </w:rPr>
          <w:fldChar w:fldCharType="end"/>
        </w:r>
      </w:hyperlink>
    </w:p>
    <w:p w14:paraId="095A6BD0" w14:textId="1E9F0242" w:rsidR="00A54C6D" w:rsidRDefault="00973846">
      <w:pPr>
        <w:pStyle w:val="TOC3"/>
        <w:rPr>
          <w:rFonts w:eastAsiaTheme="minorEastAsia"/>
          <w:noProof/>
          <w:kern w:val="2"/>
          <w:lang w:eastAsia="en-AU"/>
          <w14:ligatures w14:val="standardContextual"/>
        </w:rPr>
      </w:pPr>
      <w:hyperlink w:anchor="_Toc139295527" w:history="1">
        <w:r w:rsidR="00A54C6D" w:rsidRPr="00C940DB">
          <w:rPr>
            <w:rStyle w:val="Hyperlink"/>
            <w:noProof/>
          </w:rPr>
          <w:t>Question 1: What is the problem you are trying to solve and what data is available?</w:t>
        </w:r>
        <w:r w:rsidR="00A54C6D">
          <w:rPr>
            <w:noProof/>
            <w:webHidden/>
          </w:rPr>
          <w:tab/>
        </w:r>
        <w:r w:rsidR="00A54C6D">
          <w:rPr>
            <w:noProof/>
            <w:webHidden/>
          </w:rPr>
          <w:fldChar w:fldCharType="begin"/>
        </w:r>
        <w:r w:rsidR="00A54C6D">
          <w:rPr>
            <w:noProof/>
            <w:webHidden/>
          </w:rPr>
          <w:instrText xml:space="preserve"> PAGEREF _Toc139295527 \h </w:instrText>
        </w:r>
        <w:r w:rsidR="00A54C6D">
          <w:rPr>
            <w:noProof/>
            <w:webHidden/>
          </w:rPr>
        </w:r>
        <w:r w:rsidR="00A54C6D">
          <w:rPr>
            <w:noProof/>
            <w:webHidden/>
          </w:rPr>
          <w:fldChar w:fldCharType="separate"/>
        </w:r>
        <w:r w:rsidR="0007078D">
          <w:rPr>
            <w:noProof/>
            <w:webHidden/>
          </w:rPr>
          <w:t>12</w:t>
        </w:r>
        <w:r w:rsidR="00A54C6D">
          <w:rPr>
            <w:noProof/>
            <w:webHidden/>
          </w:rPr>
          <w:fldChar w:fldCharType="end"/>
        </w:r>
      </w:hyperlink>
    </w:p>
    <w:p w14:paraId="6CE6CCDF" w14:textId="3CB0428D" w:rsidR="00A54C6D" w:rsidRDefault="00973846">
      <w:pPr>
        <w:pStyle w:val="TOC3"/>
        <w:rPr>
          <w:rFonts w:eastAsiaTheme="minorEastAsia"/>
          <w:noProof/>
          <w:kern w:val="2"/>
          <w:lang w:eastAsia="en-AU"/>
          <w14:ligatures w14:val="standardContextual"/>
        </w:rPr>
      </w:pPr>
      <w:hyperlink w:anchor="_Toc139295528" w:history="1">
        <w:r w:rsidR="00A54C6D" w:rsidRPr="00C940DB">
          <w:rPr>
            <w:rStyle w:val="Hyperlink"/>
            <w:noProof/>
          </w:rPr>
          <w:t>Question 2: What are the objectives, why is government intervention needed to achieve them, and how will success be measured?</w:t>
        </w:r>
        <w:r w:rsidR="00A54C6D">
          <w:rPr>
            <w:noProof/>
            <w:webHidden/>
          </w:rPr>
          <w:tab/>
        </w:r>
        <w:r w:rsidR="00A54C6D">
          <w:rPr>
            <w:noProof/>
            <w:webHidden/>
          </w:rPr>
          <w:fldChar w:fldCharType="begin"/>
        </w:r>
        <w:r w:rsidR="00A54C6D">
          <w:rPr>
            <w:noProof/>
            <w:webHidden/>
          </w:rPr>
          <w:instrText xml:space="preserve"> PAGEREF _Toc139295528 \h </w:instrText>
        </w:r>
        <w:r w:rsidR="00A54C6D">
          <w:rPr>
            <w:noProof/>
            <w:webHidden/>
          </w:rPr>
        </w:r>
        <w:r w:rsidR="00A54C6D">
          <w:rPr>
            <w:noProof/>
            <w:webHidden/>
          </w:rPr>
          <w:fldChar w:fldCharType="separate"/>
        </w:r>
        <w:r w:rsidR="0007078D">
          <w:rPr>
            <w:noProof/>
            <w:webHidden/>
          </w:rPr>
          <w:t>14</w:t>
        </w:r>
        <w:r w:rsidR="00A54C6D">
          <w:rPr>
            <w:noProof/>
            <w:webHidden/>
          </w:rPr>
          <w:fldChar w:fldCharType="end"/>
        </w:r>
      </w:hyperlink>
    </w:p>
    <w:p w14:paraId="6D4E7DB2" w14:textId="05ECC251" w:rsidR="00A54C6D" w:rsidRDefault="00973846">
      <w:pPr>
        <w:pStyle w:val="TOC2"/>
        <w:rPr>
          <w:rFonts w:eastAsiaTheme="minorEastAsia"/>
          <w:noProof/>
          <w:kern w:val="2"/>
          <w:lang w:eastAsia="en-AU"/>
          <w14:ligatures w14:val="standardContextual"/>
        </w:rPr>
      </w:pPr>
      <w:hyperlink w:anchor="_Toc139295529" w:history="1">
        <w:r w:rsidR="00A54C6D" w:rsidRPr="00C940DB">
          <w:rPr>
            <w:rStyle w:val="Hyperlink"/>
            <w:noProof/>
          </w:rPr>
          <w:t>Principles for measuring success</w:t>
        </w:r>
        <w:r w:rsidR="00A54C6D">
          <w:rPr>
            <w:noProof/>
            <w:webHidden/>
          </w:rPr>
          <w:tab/>
        </w:r>
        <w:r w:rsidR="00A54C6D">
          <w:rPr>
            <w:noProof/>
            <w:webHidden/>
          </w:rPr>
          <w:fldChar w:fldCharType="begin"/>
        </w:r>
        <w:r w:rsidR="00A54C6D">
          <w:rPr>
            <w:noProof/>
            <w:webHidden/>
          </w:rPr>
          <w:instrText xml:space="preserve"> PAGEREF _Toc139295529 \h </w:instrText>
        </w:r>
        <w:r w:rsidR="00A54C6D">
          <w:rPr>
            <w:noProof/>
            <w:webHidden/>
          </w:rPr>
        </w:r>
        <w:r w:rsidR="00A54C6D">
          <w:rPr>
            <w:noProof/>
            <w:webHidden/>
          </w:rPr>
          <w:fldChar w:fldCharType="separate"/>
        </w:r>
        <w:r w:rsidR="0007078D">
          <w:rPr>
            <w:noProof/>
            <w:webHidden/>
          </w:rPr>
          <w:t>21</w:t>
        </w:r>
        <w:r w:rsidR="00A54C6D">
          <w:rPr>
            <w:noProof/>
            <w:webHidden/>
          </w:rPr>
          <w:fldChar w:fldCharType="end"/>
        </w:r>
      </w:hyperlink>
    </w:p>
    <w:p w14:paraId="77390B13" w14:textId="53F7B580" w:rsidR="00A54C6D" w:rsidRDefault="00973846">
      <w:pPr>
        <w:pStyle w:val="TOC1"/>
        <w:rPr>
          <w:rFonts w:eastAsiaTheme="minorEastAsia"/>
          <w:b w:val="0"/>
          <w:kern w:val="2"/>
          <w:lang w:eastAsia="en-AU"/>
          <w14:ligatures w14:val="standardContextual"/>
        </w:rPr>
      </w:pPr>
      <w:hyperlink w:anchor="_Toc139295530" w:history="1">
        <w:r w:rsidR="00A54C6D" w:rsidRPr="00C940DB">
          <w:rPr>
            <w:rStyle w:val="Hyperlink"/>
          </w:rPr>
          <w:t>3.</w:t>
        </w:r>
        <w:r w:rsidR="00A54C6D">
          <w:rPr>
            <w:rFonts w:eastAsiaTheme="minorEastAsia"/>
            <w:b w:val="0"/>
            <w:kern w:val="2"/>
            <w:lang w:eastAsia="en-AU"/>
            <w14:ligatures w14:val="standardContextual"/>
          </w:rPr>
          <w:tab/>
        </w:r>
        <w:r w:rsidR="00A54C6D" w:rsidRPr="00C940DB">
          <w:rPr>
            <w:rStyle w:val="Hyperlink"/>
          </w:rPr>
          <w:t>Background</w:t>
        </w:r>
        <w:r w:rsidR="00A54C6D">
          <w:rPr>
            <w:webHidden/>
          </w:rPr>
          <w:tab/>
        </w:r>
        <w:r w:rsidR="00A54C6D">
          <w:rPr>
            <w:webHidden/>
          </w:rPr>
          <w:fldChar w:fldCharType="begin"/>
        </w:r>
        <w:r w:rsidR="00A54C6D">
          <w:rPr>
            <w:webHidden/>
          </w:rPr>
          <w:instrText xml:space="preserve"> PAGEREF _Toc139295530 \h </w:instrText>
        </w:r>
        <w:r w:rsidR="00A54C6D">
          <w:rPr>
            <w:webHidden/>
          </w:rPr>
        </w:r>
        <w:r w:rsidR="00A54C6D">
          <w:rPr>
            <w:webHidden/>
          </w:rPr>
          <w:fldChar w:fldCharType="separate"/>
        </w:r>
        <w:r w:rsidR="0007078D">
          <w:rPr>
            <w:webHidden/>
          </w:rPr>
          <w:t>22</w:t>
        </w:r>
        <w:r w:rsidR="00A54C6D">
          <w:rPr>
            <w:webHidden/>
          </w:rPr>
          <w:fldChar w:fldCharType="end"/>
        </w:r>
      </w:hyperlink>
    </w:p>
    <w:p w14:paraId="626ACA04" w14:textId="138BB7EE" w:rsidR="00A54C6D" w:rsidRDefault="00973846">
      <w:pPr>
        <w:pStyle w:val="TOC2"/>
        <w:rPr>
          <w:rFonts w:eastAsiaTheme="minorEastAsia"/>
          <w:noProof/>
          <w:kern w:val="2"/>
          <w:lang w:eastAsia="en-AU"/>
          <w14:ligatures w14:val="standardContextual"/>
        </w:rPr>
      </w:pPr>
      <w:hyperlink w:anchor="_Toc139295531" w:history="1">
        <w:r w:rsidR="00A54C6D" w:rsidRPr="00C940DB">
          <w:rPr>
            <w:rStyle w:val="Hyperlink"/>
            <w:noProof/>
          </w:rPr>
          <w:t>Legislative framework applying to independent contractors</w:t>
        </w:r>
        <w:r w:rsidR="00A54C6D">
          <w:rPr>
            <w:noProof/>
            <w:webHidden/>
          </w:rPr>
          <w:tab/>
        </w:r>
        <w:r w:rsidR="00A54C6D">
          <w:rPr>
            <w:noProof/>
            <w:webHidden/>
          </w:rPr>
          <w:fldChar w:fldCharType="begin"/>
        </w:r>
        <w:r w:rsidR="00A54C6D">
          <w:rPr>
            <w:noProof/>
            <w:webHidden/>
          </w:rPr>
          <w:instrText xml:space="preserve"> PAGEREF _Toc139295531 \h </w:instrText>
        </w:r>
        <w:r w:rsidR="00A54C6D">
          <w:rPr>
            <w:noProof/>
            <w:webHidden/>
          </w:rPr>
        </w:r>
        <w:r w:rsidR="00A54C6D">
          <w:rPr>
            <w:noProof/>
            <w:webHidden/>
          </w:rPr>
          <w:fldChar w:fldCharType="separate"/>
        </w:r>
        <w:r w:rsidR="0007078D">
          <w:rPr>
            <w:noProof/>
            <w:webHidden/>
          </w:rPr>
          <w:t>22</w:t>
        </w:r>
        <w:r w:rsidR="00A54C6D">
          <w:rPr>
            <w:noProof/>
            <w:webHidden/>
          </w:rPr>
          <w:fldChar w:fldCharType="end"/>
        </w:r>
      </w:hyperlink>
    </w:p>
    <w:p w14:paraId="35D4EDDF" w14:textId="3415E190" w:rsidR="00A54C6D" w:rsidRDefault="00973846">
      <w:pPr>
        <w:pStyle w:val="TOC3"/>
        <w:rPr>
          <w:rFonts w:eastAsiaTheme="minorEastAsia"/>
          <w:noProof/>
          <w:kern w:val="2"/>
          <w:lang w:eastAsia="en-AU"/>
          <w14:ligatures w14:val="standardContextual"/>
        </w:rPr>
      </w:pPr>
      <w:hyperlink w:anchor="_Toc139295532" w:history="1">
        <w:r w:rsidR="00A54C6D" w:rsidRPr="00C940DB">
          <w:rPr>
            <w:rStyle w:val="Hyperlink"/>
            <w:noProof/>
          </w:rPr>
          <w:t>A worker’s status as an independent contractor or employee is currently determined at common law</w:t>
        </w:r>
        <w:r w:rsidR="00A54C6D">
          <w:rPr>
            <w:noProof/>
            <w:webHidden/>
          </w:rPr>
          <w:tab/>
        </w:r>
        <w:r w:rsidR="00A54C6D">
          <w:rPr>
            <w:noProof/>
            <w:webHidden/>
          </w:rPr>
          <w:fldChar w:fldCharType="begin"/>
        </w:r>
        <w:r w:rsidR="00A54C6D">
          <w:rPr>
            <w:noProof/>
            <w:webHidden/>
          </w:rPr>
          <w:instrText xml:space="preserve"> PAGEREF _Toc139295532 \h </w:instrText>
        </w:r>
        <w:r w:rsidR="00A54C6D">
          <w:rPr>
            <w:noProof/>
            <w:webHidden/>
          </w:rPr>
        </w:r>
        <w:r w:rsidR="00A54C6D">
          <w:rPr>
            <w:noProof/>
            <w:webHidden/>
          </w:rPr>
          <w:fldChar w:fldCharType="separate"/>
        </w:r>
        <w:r w:rsidR="0007078D">
          <w:rPr>
            <w:noProof/>
            <w:webHidden/>
          </w:rPr>
          <w:t>22</w:t>
        </w:r>
        <w:r w:rsidR="00A54C6D">
          <w:rPr>
            <w:noProof/>
            <w:webHidden/>
          </w:rPr>
          <w:fldChar w:fldCharType="end"/>
        </w:r>
      </w:hyperlink>
    </w:p>
    <w:p w14:paraId="44B64580" w14:textId="7E27C95B" w:rsidR="00A54C6D" w:rsidRDefault="00973846">
      <w:pPr>
        <w:pStyle w:val="TOC3"/>
        <w:rPr>
          <w:rFonts w:eastAsiaTheme="minorEastAsia"/>
          <w:noProof/>
          <w:kern w:val="2"/>
          <w:lang w:eastAsia="en-AU"/>
          <w14:ligatures w14:val="standardContextual"/>
        </w:rPr>
      </w:pPr>
      <w:hyperlink w:anchor="_Toc139295533" w:history="1">
        <w:r w:rsidR="00A54C6D" w:rsidRPr="00C940DB">
          <w:rPr>
            <w:rStyle w:val="Hyperlink"/>
            <w:noProof/>
          </w:rPr>
          <w:t>The Independent Contractors Act regulates independent contractors</w:t>
        </w:r>
        <w:r w:rsidR="00A54C6D">
          <w:rPr>
            <w:noProof/>
            <w:webHidden/>
          </w:rPr>
          <w:tab/>
        </w:r>
        <w:r w:rsidR="00A54C6D">
          <w:rPr>
            <w:noProof/>
            <w:webHidden/>
          </w:rPr>
          <w:fldChar w:fldCharType="begin"/>
        </w:r>
        <w:r w:rsidR="00A54C6D">
          <w:rPr>
            <w:noProof/>
            <w:webHidden/>
          </w:rPr>
          <w:instrText xml:space="preserve"> PAGEREF _Toc139295533 \h </w:instrText>
        </w:r>
        <w:r w:rsidR="00A54C6D">
          <w:rPr>
            <w:noProof/>
            <w:webHidden/>
          </w:rPr>
        </w:r>
        <w:r w:rsidR="00A54C6D">
          <w:rPr>
            <w:noProof/>
            <w:webHidden/>
          </w:rPr>
          <w:fldChar w:fldCharType="separate"/>
        </w:r>
        <w:r w:rsidR="0007078D">
          <w:rPr>
            <w:noProof/>
            <w:webHidden/>
          </w:rPr>
          <w:t>23</w:t>
        </w:r>
        <w:r w:rsidR="00A54C6D">
          <w:rPr>
            <w:noProof/>
            <w:webHidden/>
          </w:rPr>
          <w:fldChar w:fldCharType="end"/>
        </w:r>
      </w:hyperlink>
    </w:p>
    <w:p w14:paraId="1F950FE6" w14:textId="483F4AA0" w:rsidR="00A54C6D" w:rsidRDefault="00973846">
      <w:pPr>
        <w:pStyle w:val="TOC3"/>
        <w:rPr>
          <w:rFonts w:eastAsiaTheme="minorEastAsia"/>
          <w:noProof/>
          <w:kern w:val="2"/>
          <w:lang w:eastAsia="en-AU"/>
          <w14:ligatures w14:val="standardContextual"/>
        </w:rPr>
      </w:pPr>
      <w:hyperlink w:anchor="_Toc139295534" w:history="1">
        <w:r w:rsidR="00A54C6D" w:rsidRPr="00C940DB">
          <w:rPr>
            <w:rStyle w:val="Hyperlink"/>
            <w:noProof/>
            <w:lang w:val="en-GB"/>
          </w:rPr>
          <w:t>Independent contractors can access limited dispute resolution about workplace issues</w:t>
        </w:r>
        <w:r w:rsidR="00A54C6D">
          <w:rPr>
            <w:noProof/>
            <w:webHidden/>
          </w:rPr>
          <w:tab/>
        </w:r>
        <w:r w:rsidR="00A54C6D">
          <w:rPr>
            <w:noProof/>
            <w:webHidden/>
          </w:rPr>
          <w:fldChar w:fldCharType="begin"/>
        </w:r>
        <w:r w:rsidR="00A54C6D">
          <w:rPr>
            <w:noProof/>
            <w:webHidden/>
          </w:rPr>
          <w:instrText xml:space="preserve"> PAGEREF _Toc139295534 \h </w:instrText>
        </w:r>
        <w:r w:rsidR="00A54C6D">
          <w:rPr>
            <w:noProof/>
            <w:webHidden/>
          </w:rPr>
        </w:r>
        <w:r w:rsidR="00A54C6D">
          <w:rPr>
            <w:noProof/>
            <w:webHidden/>
          </w:rPr>
          <w:fldChar w:fldCharType="separate"/>
        </w:r>
        <w:r w:rsidR="0007078D">
          <w:rPr>
            <w:noProof/>
            <w:webHidden/>
          </w:rPr>
          <w:t>24</w:t>
        </w:r>
        <w:r w:rsidR="00A54C6D">
          <w:rPr>
            <w:noProof/>
            <w:webHidden/>
          </w:rPr>
          <w:fldChar w:fldCharType="end"/>
        </w:r>
      </w:hyperlink>
    </w:p>
    <w:p w14:paraId="348FC093" w14:textId="1942EA61" w:rsidR="00A54C6D" w:rsidRDefault="00973846">
      <w:pPr>
        <w:pStyle w:val="TOC3"/>
        <w:rPr>
          <w:rFonts w:eastAsiaTheme="minorEastAsia"/>
          <w:noProof/>
          <w:kern w:val="2"/>
          <w:lang w:eastAsia="en-AU"/>
          <w14:ligatures w14:val="standardContextual"/>
        </w:rPr>
      </w:pPr>
      <w:hyperlink w:anchor="_Toc139295535" w:history="1">
        <w:r w:rsidR="00A54C6D" w:rsidRPr="00C940DB">
          <w:rPr>
            <w:rStyle w:val="Hyperlink"/>
            <w:noProof/>
            <w:lang w:val="en-GB"/>
          </w:rPr>
          <w:t>There is some existing regulation of road transport work</w:t>
        </w:r>
        <w:r w:rsidR="00A54C6D">
          <w:rPr>
            <w:noProof/>
            <w:webHidden/>
          </w:rPr>
          <w:tab/>
        </w:r>
        <w:r w:rsidR="00A54C6D">
          <w:rPr>
            <w:noProof/>
            <w:webHidden/>
          </w:rPr>
          <w:fldChar w:fldCharType="begin"/>
        </w:r>
        <w:r w:rsidR="00A54C6D">
          <w:rPr>
            <w:noProof/>
            <w:webHidden/>
          </w:rPr>
          <w:instrText xml:space="preserve"> PAGEREF _Toc139295535 \h </w:instrText>
        </w:r>
        <w:r w:rsidR="00A54C6D">
          <w:rPr>
            <w:noProof/>
            <w:webHidden/>
          </w:rPr>
        </w:r>
        <w:r w:rsidR="00A54C6D">
          <w:rPr>
            <w:noProof/>
            <w:webHidden/>
          </w:rPr>
          <w:fldChar w:fldCharType="separate"/>
        </w:r>
        <w:r w:rsidR="0007078D">
          <w:rPr>
            <w:noProof/>
            <w:webHidden/>
          </w:rPr>
          <w:t>25</w:t>
        </w:r>
        <w:r w:rsidR="00A54C6D">
          <w:rPr>
            <w:noProof/>
            <w:webHidden/>
          </w:rPr>
          <w:fldChar w:fldCharType="end"/>
        </w:r>
      </w:hyperlink>
    </w:p>
    <w:p w14:paraId="09DB8EF6" w14:textId="513DE448" w:rsidR="00A54C6D" w:rsidRDefault="00973846">
      <w:pPr>
        <w:pStyle w:val="TOC3"/>
        <w:rPr>
          <w:rFonts w:eastAsiaTheme="minorEastAsia"/>
          <w:noProof/>
          <w:kern w:val="2"/>
          <w:lang w:eastAsia="en-AU"/>
          <w14:ligatures w14:val="standardContextual"/>
        </w:rPr>
      </w:pPr>
      <w:hyperlink w:anchor="_Toc139295536" w:history="1">
        <w:r w:rsidR="00A54C6D" w:rsidRPr="00C940DB">
          <w:rPr>
            <w:rStyle w:val="Hyperlink"/>
            <w:noProof/>
            <w:lang w:val="en-GB"/>
          </w:rPr>
          <w:t>Emerging state-based regulation of the digital platform economy</w:t>
        </w:r>
        <w:r w:rsidR="00A54C6D">
          <w:rPr>
            <w:noProof/>
            <w:webHidden/>
          </w:rPr>
          <w:tab/>
        </w:r>
        <w:r w:rsidR="00A54C6D">
          <w:rPr>
            <w:noProof/>
            <w:webHidden/>
          </w:rPr>
          <w:fldChar w:fldCharType="begin"/>
        </w:r>
        <w:r w:rsidR="00A54C6D">
          <w:rPr>
            <w:noProof/>
            <w:webHidden/>
          </w:rPr>
          <w:instrText xml:space="preserve"> PAGEREF _Toc139295536 \h </w:instrText>
        </w:r>
        <w:r w:rsidR="00A54C6D">
          <w:rPr>
            <w:noProof/>
            <w:webHidden/>
          </w:rPr>
        </w:r>
        <w:r w:rsidR="00A54C6D">
          <w:rPr>
            <w:noProof/>
            <w:webHidden/>
          </w:rPr>
          <w:fldChar w:fldCharType="separate"/>
        </w:r>
        <w:r w:rsidR="0007078D">
          <w:rPr>
            <w:noProof/>
            <w:webHidden/>
          </w:rPr>
          <w:t>26</w:t>
        </w:r>
        <w:r w:rsidR="00A54C6D">
          <w:rPr>
            <w:noProof/>
            <w:webHidden/>
          </w:rPr>
          <w:fldChar w:fldCharType="end"/>
        </w:r>
      </w:hyperlink>
    </w:p>
    <w:p w14:paraId="470838C0" w14:textId="0C741CFA" w:rsidR="00A54C6D" w:rsidRDefault="00973846">
      <w:pPr>
        <w:pStyle w:val="TOC2"/>
        <w:rPr>
          <w:rFonts w:eastAsiaTheme="minorEastAsia"/>
          <w:noProof/>
          <w:kern w:val="2"/>
          <w:lang w:eastAsia="en-AU"/>
          <w14:ligatures w14:val="standardContextual"/>
        </w:rPr>
      </w:pPr>
      <w:hyperlink w:anchor="_Toc139295537" w:history="1">
        <w:r w:rsidR="00A54C6D" w:rsidRPr="00C940DB">
          <w:rPr>
            <w:rStyle w:val="Hyperlink"/>
            <w:noProof/>
          </w:rPr>
          <w:t>Available data</w:t>
        </w:r>
        <w:r w:rsidR="00A54C6D">
          <w:rPr>
            <w:noProof/>
            <w:webHidden/>
          </w:rPr>
          <w:tab/>
        </w:r>
        <w:r w:rsidR="00A54C6D">
          <w:rPr>
            <w:noProof/>
            <w:webHidden/>
          </w:rPr>
          <w:fldChar w:fldCharType="begin"/>
        </w:r>
        <w:r w:rsidR="00A54C6D">
          <w:rPr>
            <w:noProof/>
            <w:webHidden/>
          </w:rPr>
          <w:instrText xml:space="preserve"> PAGEREF _Toc139295537 \h </w:instrText>
        </w:r>
        <w:r w:rsidR="00A54C6D">
          <w:rPr>
            <w:noProof/>
            <w:webHidden/>
          </w:rPr>
        </w:r>
        <w:r w:rsidR="00A54C6D">
          <w:rPr>
            <w:noProof/>
            <w:webHidden/>
          </w:rPr>
          <w:fldChar w:fldCharType="separate"/>
        </w:r>
        <w:r w:rsidR="0007078D">
          <w:rPr>
            <w:noProof/>
            <w:webHidden/>
          </w:rPr>
          <w:t>26</w:t>
        </w:r>
        <w:r w:rsidR="00A54C6D">
          <w:rPr>
            <w:noProof/>
            <w:webHidden/>
          </w:rPr>
          <w:fldChar w:fldCharType="end"/>
        </w:r>
      </w:hyperlink>
    </w:p>
    <w:p w14:paraId="2175FF3C" w14:textId="50CE2584" w:rsidR="00A54C6D" w:rsidRDefault="00973846">
      <w:pPr>
        <w:pStyle w:val="TOC3"/>
        <w:rPr>
          <w:rFonts w:eastAsiaTheme="minorEastAsia"/>
          <w:noProof/>
          <w:kern w:val="2"/>
          <w:lang w:eastAsia="en-AU"/>
          <w14:ligatures w14:val="standardContextual"/>
        </w:rPr>
      </w:pPr>
      <w:hyperlink w:anchor="_Toc139295538" w:history="1">
        <w:r w:rsidR="00A54C6D" w:rsidRPr="00C940DB">
          <w:rPr>
            <w:rStyle w:val="Hyperlink"/>
            <w:noProof/>
            <w:shd w:val="clear" w:color="auto" w:fill="FFFFFF"/>
          </w:rPr>
          <w:t>Digital platforms</w:t>
        </w:r>
        <w:r w:rsidR="00A54C6D">
          <w:rPr>
            <w:noProof/>
            <w:webHidden/>
          </w:rPr>
          <w:tab/>
        </w:r>
        <w:r w:rsidR="00A54C6D">
          <w:rPr>
            <w:noProof/>
            <w:webHidden/>
          </w:rPr>
          <w:fldChar w:fldCharType="begin"/>
        </w:r>
        <w:r w:rsidR="00A54C6D">
          <w:rPr>
            <w:noProof/>
            <w:webHidden/>
          </w:rPr>
          <w:instrText xml:space="preserve"> PAGEREF _Toc139295538 \h </w:instrText>
        </w:r>
        <w:r w:rsidR="00A54C6D">
          <w:rPr>
            <w:noProof/>
            <w:webHidden/>
          </w:rPr>
        </w:r>
        <w:r w:rsidR="00A54C6D">
          <w:rPr>
            <w:noProof/>
            <w:webHidden/>
          </w:rPr>
          <w:fldChar w:fldCharType="separate"/>
        </w:r>
        <w:r w:rsidR="0007078D">
          <w:rPr>
            <w:noProof/>
            <w:webHidden/>
          </w:rPr>
          <w:t>26</w:t>
        </w:r>
        <w:r w:rsidR="00A54C6D">
          <w:rPr>
            <w:noProof/>
            <w:webHidden/>
          </w:rPr>
          <w:fldChar w:fldCharType="end"/>
        </w:r>
      </w:hyperlink>
    </w:p>
    <w:p w14:paraId="46CD6056" w14:textId="0CDE1E7F" w:rsidR="00A54C6D" w:rsidRDefault="00973846">
      <w:pPr>
        <w:pStyle w:val="TOC3"/>
        <w:rPr>
          <w:rFonts w:eastAsiaTheme="minorEastAsia"/>
          <w:noProof/>
          <w:kern w:val="2"/>
          <w:lang w:eastAsia="en-AU"/>
          <w14:ligatures w14:val="standardContextual"/>
        </w:rPr>
      </w:pPr>
      <w:hyperlink w:anchor="_Toc139295539" w:history="1">
        <w:r w:rsidR="00A54C6D" w:rsidRPr="00C940DB">
          <w:rPr>
            <w:rStyle w:val="Hyperlink"/>
            <w:noProof/>
            <w:shd w:val="clear" w:color="auto" w:fill="FFFFFF"/>
          </w:rPr>
          <w:t>Road transport</w:t>
        </w:r>
        <w:r w:rsidR="00A54C6D">
          <w:rPr>
            <w:noProof/>
            <w:webHidden/>
          </w:rPr>
          <w:tab/>
        </w:r>
        <w:r w:rsidR="00A54C6D">
          <w:rPr>
            <w:noProof/>
            <w:webHidden/>
          </w:rPr>
          <w:fldChar w:fldCharType="begin"/>
        </w:r>
        <w:r w:rsidR="00A54C6D">
          <w:rPr>
            <w:noProof/>
            <w:webHidden/>
          </w:rPr>
          <w:instrText xml:space="preserve"> PAGEREF _Toc139295539 \h </w:instrText>
        </w:r>
        <w:r w:rsidR="00A54C6D">
          <w:rPr>
            <w:noProof/>
            <w:webHidden/>
          </w:rPr>
        </w:r>
        <w:r w:rsidR="00A54C6D">
          <w:rPr>
            <w:noProof/>
            <w:webHidden/>
          </w:rPr>
          <w:fldChar w:fldCharType="separate"/>
        </w:r>
        <w:r w:rsidR="0007078D">
          <w:rPr>
            <w:noProof/>
            <w:webHidden/>
          </w:rPr>
          <w:t>32</w:t>
        </w:r>
        <w:r w:rsidR="00A54C6D">
          <w:rPr>
            <w:noProof/>
            <w:webHidden/>
          </w:rPr>
          <w:fldChar w:fldCharType="end"/>
        </w:r>
      </w:hyperlink>
    </w:p>
    <w:p w14:paraId="4FF59E48" w14:textId="2748CF8F" w:rsidR="00A54C6D" w:rsidRDefault="00973846">
      <w:pPr>
        <w:pStyle w:val="TOC1"/>
        <w:rPr>
          <w:rFonts w:eastAsiaTheme="minorEastAsia"/>
          <w:b w:val="0"/>
          <w:kern w:val="2"/>
          <w:lang w:eastAsia="en-AU"/>
          <w14:ligatures w14:val="standardContextual"/>
        </w:rPr>
      </w:pPr>
      <w:hyperlink w:anchor="_Toc139295540" w:history="1">
        <w:r w:rsidR="00A54C6D" w:rsidRPr="00C940DB">
          <w:rPr>
            <w:rStyle w:val="Hyperlink"/>
          </w:rPr>
          <w:t>4.</w:t>
        </w:r>
        <w:r w:rsidR="00A54C6D">
          <w:rPr>
            <w:rFonts w:eastAsiaTheme="minorEastAsia"/>
            <w:b w:val="0"/>
            <w:kern w:val="2"/>
            <w:lang w:eastAsia="en-AU"/>
            <w14:ligatures w14:val="standardContextual"/>
          </w:rPr>
          <w:tab/>
        </w:r>
        <w:r w:rsidR="00A54C6D" w:rsidRPr="00C940DB">
          <w:rPr>
            <w:rStyle w:val="Hyperlink"/>
          </w:rPr>
          <w:t>Consultation</w:t>
        </w:r>
        <w:r w:rsidR="00A54C6D">
          <w:rPr>
            <w:webHidden/>
          </w:rPr>
          <w:tab/>
        </w:r>
        <w:r w:rsidR="00A54C6D">
          <w:rPr>
            <w:webHidden/>
          </w:rPr>
          <w:fldChar w:fldCharType="begin"/>
        </w:r>
        <w:r w:rsidR="00A54C6D">
          <w:rPr>
            <w:webHidden/>
          </w:rPr>
          <w:instrText xml:space="preserve"> PAGEREF _Toc139295540 \h </w:instrText>
        </w:r>
        <w:r w:rsidR="00A54C6D">
          <w:rPr>
            <w:webHidden/>
          </w:rPr>
        </w:r>
        <w:r w:rsidR="00A54C6D">
          <w:rPr>
            <w:webHidden/>
          </w:rPr>
          <w:fldChar w:fldCharType="separate"/>
        </w:r>
        <w:r w:rsidR="0007078D">
          <w:rPr>
            <w:webHidden/>
          </w:rPr>
          <w:t>33</w:t>
        </w:r>
        <w:r w:rsidR="00A54C6D">
          <w:rPr>
            <w:webHidden/>
          </w:rPr>
          <w:fldChar w:fldCharType="end"/>
        </w:r>
      </w:hyperlink>
    </w:p>
    <w:p w14:paraId="1CC5FE3C" w14:textId="131E777C" w:rsidR="00A54C6D" w:rsidRDefault="00973846">
      <w:pPr>
        <w:pStyle w:val="TOC2"/>
        <w:rPr>
          <w:rFonts w:eastAsiaTheme="minorEastAsia"/>
          <w:noProof/>
          <w:kern w:val="2"/>
          <w:lang w:eastAsia="en-AU"/>
          <w14:ligatures w14:val="standardContextual"/>
        </w:rPr>
      </w:pPr>
      <w:hyperlink w:anchor="_Toc139295541" w:history="1">
        <w:r w:rsidR="00A54C6D" w:rsidRPr="00C940DB">
          <w:rPr>
            <w:rStyle w:val="Hyperlink"/>
            <w:noProof/>
          </w:rPr>
          <w:t>Timeline of consultation</w:t>
        </w:r>
        <w:r w:rsidR="00A54C6D">
          <w:rPr>
            <w:noProof/>
            <w:webHidden/>
          </w:rPr>
          <w:tab/>
        </w:r>
        <w:r w:rsidR="00A54C6D">
          <w:rPr>
            <w:noProof/>
            <w:webHidden/>
          </w:rPr>
          <w:fldChar w:fldCharType="begin"/>
        </w:r>
        <w:r w:rsidR="00A54C6D">
          <w:rPr>
            <w:noProof/>
            <w:webHidden/>
          </w:rPr>
          <w:instrText xml:space="preserve"> PAGEREF _Toc139295541 \h </w:instrText>
        </w:r>
        <w:r w:rsidR="00A54C6D">
          <w:rPr>
            <w:noProof/>
            <w:webHidden/>
          </w:rPr>
        </w:r>
        <w:r w:rsidR="00A54C6D">
          <w:rPr>
            <w:noProof/>
            <w:webHidden/>
          </w:rPr>
          <w:fldChar w:fldCharType="separate"/>
        </w:r>
        <w:r w:rsidR="0007078D">
          <w:rPr>
            <w:noProof/>
            <w:webHidden/>
          </w:rPr>
          <w:t>33</w:t>
        </w:r>
        <w:r w:rsidR="00A54C6D">
          <w:rPr>
            <w:noProof/>
            <w:webHidden/>
          </w:rPr>
          <w:fldChar w:fldCharType="end"/>
        </w:r>
      </w:hyperlink>
    </w:p>
    <w:p w14:paraId="72B7019C" w14:textId="6721F8C0" w:rsidR="00A54C6D" w:rsidRDefault="00973846">
      <w:pPr>
        <w:pStyle w:val="TOC2"/>
        <w:rPr>
          <w:rFonts w:eastAsiaTheme="minorEastAsia"/>
          <w:noProof/>
          <w:kern w:val="2"/>
          <w:lang w:eastAsia="en-AU"/>
          <w14:ligatures w14:val="standardContextual"/>
        </w:rPr>
      </w:pPr>
      <w:hyperlink w:anchor="_Toc139295542" w:history="1">
        <w:r w:rsidR="00A54C6D" w:rsidRPr="00C940DB">
          <w:rPr>
            <w:rStyle w:val="Hyperlink"/>
            <w:noProof/>
          </w:rPr>
          <w:t>Number of consultation participants</w:t>
        </w:r>
        <w:r w:rsidR="00A54C6D">
          <w:rPr>
            <w:noProof/>
            <w:webHidden/>
          </w:rPr>
          <w:tab/>
        </w:r>
        <w:r w:rsidR="00A54C6D">
          <w:rPr>
            <w:noProof/>
            <w:webHidden/>
          </w:rPr>
          <w:fldChar w:fldCharType="begin"/>
        </w:r>
        <w:r w:rsidR="00A54C6D">
          <w:rPr>
            <w:noProof/>
            <w:webHidden/>
          </w:rPr>
          <w:instrText xml:space="preserve"> PAGEREF _Toc139295542 \h </w:instrText>
        </w:r>
        <w:r w:rsidR="00A54C6D">
          <w:rPr>
            <w:noProof/>
            <w:webHidden/>
          </w:rPr>
        </w:r>
        <w:r w:rsidR="00A54C6D">
          <w:rPr>
            <w:noProof/>
            <w:webHidden/>
          </w:rPr>
          <w:fldChar w:fldCharType="separate"/>
        </w:r>
        <w:r w:rsidR="0007078D">
          <w:rPr>
            <w:noProof/>
            <w:webHidden/>
          </w:rPr>
          <w:t>35</w:t>
        </w:r>
        <w:r w:rsidR="00A54C6D">
          <w:rPr>
            <w:noProof/>
            <w:webHidden/>
          </w:rPr>
          <w:fldChar w:fldCharType="end"/>
        </w:r>
      </w:hyperlink>
    </w:p>
    <w:p w14:paraId="71C5B840" w14:textId="4001269A" w:rsidR="00A54C6D" w:rsidRDefault="00973846">
      <w:pPr>
        <w:pStyle w:val="TOC2"/>
        <w:rPr>
          <w:rFonts w:eastAsiaTheme="minorEastAsia"/>
          <w:noProof/>
          <w:kern w:val="2"/>
          <w:lang w:eastAsia="en-AU"/>
          <w14:ligatures w14:val="standardContextual"/>
        </w:rPr>
      </w:pPr>
      <w:hyperlink w:anchor="_Toc139295543" w:history="1">
        <w:r w:rsidR="00A54C6D" w:rsidRPr="00C940DB">
          <w:rPr>
            <w:rStyle w:val="Hyperlink"/>
            <w:noProof/>
          </w:rPr>
          <w:t>Key themes from consultation</w:t>
        </w:r>
        <w:r w:rsidR="00A54C6D">
          <w:rPr>
            <w:noProof/>
            <w:webHidden/>
          </w:rPr>
          <w:tab/>
        </w:r>
        <w:r w:rsidR="00A54C6D">
          <w:rPr>
            <w:noProof/>
            <w:webHidden/>
          </w:rPr>
          <w:fldChar w:fldCharType="begin"/>
        </w:r>
        <w:r w:rsidR="00A54C6D">
          <w:rPr>
            <w:noProof/>
            <w:webHidden/>
          </w:rPr>
          <w:instrText xml:space="preserve"> PAGEREF _Toc139295543 \h </w:instrText>
        </w:r>
        <w:r w:rsidR="00A54C6D">
          <w:rPr>
            <w:noProof/>
            <w:webHidden/>
          </w:rPr>
        </w:r>
        <w:r w:rsidR="00A54C6D">
          <w:rPr>
            <w:noProof/>
            <w:webHidden/>
          </w:rPr>
          <w:fldChar w:fldCharType="separate"/>
        </w:r>
        <w:r w:rsidR="0007078D">
          <w:rPr>
            <w:noProof/>
            <w:webHidden/>
          </w:rPr>
          <w:t>35</w:t>
        </w:r>
        <w:r w:rsidR="00A54C6D">
          <w:rPr>
            <w:noProof/>
            <w:webHidden/>
          </w:rPr>
          <w:fldChar w:fldCharType="end"/>
        </w:r>
      </w:hyperlink>
    </w:p>
    <w:p w14:paraId="493A75BF" w14:textId="3E5E1695" w:rsidR="00A54C6D" w:rsidRDefault="00973846">
      <w:pPr>
        <w:pStyle w:val="TOC3"/>
        <w:rPr>
          <w:rFonts w:eastAsiaTheme="minorEastAsia"/>
          <w:noProof/>
          <w:kern w:val="2"/>
          <w:lang w:eastAsia="en-AU"/>
          <w14:ligatures w14:val="standardContextual"/>
        </w:rPr>
      </w:pPr>
      <w:hyperlink w:anchor="_Toc139295544" w:history="1">
        <w:r w:rsidR="00A54C6D" w:rsidRPr="00C940DB">
          <w:rPr>
            <w:rStyle w:val="Hyperlink"/>
            <w:noProof/>
          </w:rPr>
          <w:t>Minimum standards for digital platform workers</w:t>
        </w:r>
        <w:r w:rsidR="00A54C6D">
          <w:rPr>
            <w:noProof/>
            <w:webHidden/>
          </w:rPr>
          <w:tab/>
        </w:r>
        <w:r w:rsidR="00A54C6D">
          <w:rPr>
            <w:noProof/>
            <w:webHidden/>
          </w:rPr>
          <w:fldChar w:fldCharType="begin"/>
        </w:r>
        <w:r w:rsidR="00A54C6D">
          <w:rPr>
            <w:noProof/>
            <w:webHidden/>
          </w:rPr>
          <w:instrText xml:space="preserve"> PAGEREF _Toc139295544 \h </w:instrText>
        </w:r>
        <w:r w:rsidR="00A54C6D">
          <w:rPr>
            <w:noProof/>
            <w:webHidden/>
          </w:rPr>
        </w:r>
        <w:r w:rsidR="00A54C6D">
          <w:rPr>
            <w:noProof/>
            <w:webHidden/>
          </w:rPr>
          <w:fldChar w:fldCharType="separate"/>
        </w:r>
        <w:r w:rsidR="0007078D">
          <w:rPr>
            <w:noProof/>
            <w:webHidden/>
          </w:rPr>
          <w:t>35</w:t>
        </w:r>
        <w:r w:rsidR="00A54C6D">
          <w:rPr>
            <w:noProof/>
            <w:webHidden/>
          </w:rPr>
          <w:fldChar w:fldCharType="end"/>
        </w:r>
      </w:hyperlink>
    </w:p>
    <w:p w14:paraId="62C3FC06" w14:textId="07C77AA4" w:rsidR="00A54C6D" w:rsidRDefault="00973846">
      <w:pPr>
        <w:pStyle w:val="TOC3"/>
        <w:rPr>
          <w:rFonts w:eastAsiaTheme="minorEastAsia"/>
          <w:noProof/>
          <w:kern w:val="2"/>
          <w:lang w:eastAsia="en-AU"/>
          <w14:ligatures w14:val="standardContextual"/>
        </w:rPr>
      </w:pPr>
      <w:hyperlink w:anchor="_Toc139295545" w:history="1">
        <w:r w:rsidR="00A54C6D" w:rsidRPr="00C940DB">
          <w:rPr>
            <w:rStyle w:val="Hyperlink"/>
            <w:noProof/>
          </w:rPr>
          <w:t>Minimum standards in the road transport industry</w:t>
        </w:r>
        <w:r w:rsidR="00A54C6D">
          <w:rPr>
            <w:noProof/>
            <w:webHidden/>
          </w:rPr>
          <w:tab/>
        </w:r>
        <w:r w:rsidR="00A54C6D">
          <w:rPr>
            <w:noProof/>
            <w:webHidden/>
          </w:rPr>
          <w:fldChar w:fldCharType="begin"/>
        </w:r>
        <w:r w:rsidR="00A54C6D">
          <w:rPr>
            <w:noProof/>
            <w:webHidden/>
          </w:rPr>
          <w:instrText xml:space="preserve"> PAGEREF _Toc139295545 \h </w:instrText>
        </w:r>
        <w:r w:rsidR="00A54C6D">
          <w:rPr>
            <w:noProof/>
            <w:webHidden/>
          </w:rPr>
        </w:r>
        <w:r w:rsidR="00A54C6D">
          <w:rPr>
            <w:noProof/>
            <w:webHidden/>
          </w:rPr>
          <w:fldChar w:fldCharType="separate"/>
        </w:r>
        <w:r w:rsidR="0007078D">
          <w:rPr>
            <w:noProof/>
            <w:webHidden/>
          </w:rPr>
          <w:t>36</w:t>
        </w:r>
        <w:r w:rsidR="00A54C6D">
          <w:rPr>
            <w:noProof/>
            <w:webHidden/>
          </w:rPr>
          <w:fldChar w:fldCharType="end"/>
        </w:r>
      </w:hyperlink>
    </w:p>
    <w:p w14:paraId="13A851A4" w14:textId="662527A5" w:rsidR="00A54C6D" w:rsidRDefault="00973846">
      <w:pPr>
        <w:pStyle w:val="TOC3"/>
        <w:rPr>
          <w:rFonts w:eastAsiaTheme="minorEastAsia"/>
          <w:noProof/>
          <w:kern w:val="2"/>
          <w:lang w:eastAsia="en-AU"/>
          <w14:ligatures w14:val="standardContextual"/>
        </w:rPr>
      </w:pPr>
      <w:hyperlink w:anchor="_Toc139295546" w:history="1">
        <w:r w:rsidR="00A54C6D" w:rsidRPr="00C940DB">
          <w:rPr>
            <w:rStyle w:val="Hyperlink"/>
            <w:noProof/>
          </w:rPr>
          <w:t>Access to dispute resolution over unfair contracts</w:t>
        </w:r>
        <w:r w:rsidR="00A54C6D">
          <w:rPr>
            <w:noProof/>
            <w:webHidden/>
          </w:rPr>
          <w:tab/>
        </w:r>
        <w:r w:rsidR="00A54C6D">
          <w:rPr>
            <w:noProof/>
            <w:webHidden/>
          </w:rPr>
          <w:fldChar w:fldCharType="begin"/>
        </w:r>
        <w:r w:rsidR="00A54C6D">
          <w:rPr>
            <w:noProof/>
            <w:webHidden/>
          </w:rPr>
          <w:instrText xml:space="preserve"> PAGEREF _Toc139295546 \h </w:instrText>
        </w:r>
        <w:r w:rsidR="00A54C6D">
          <w:rPr>
            <w:noProof/>
            <w:webHidden/>
          </w:rPr>
        </w:r>
        <w:r w:rsidR="00A54C6D">
          <w:rPr>
            <w:noProof/>
            <w:webHidden/>
          </w:rPr>
          <w:fldChar w:fldCharType="separate"/>
        </w:r>
        <w:r w:rsidR="0007078D">
          <w:rPr>
            <w:noProof/>
            <w:webHidden/>
          </w:rPr>
          <w:t>37</w:t>
        </w:r>
        <w:r w:rsidR="00A54C6D">
          <w:rPr>
            <w:noProof/>
            <w:webHidden/>
          </w:rPr>
          <w:fldChar w:fldCharType="end"/>
        </w:r>
      </w:hyperlink>
    </w:p>
    <w:p w14:paraId="3B50C3CA" w14:textId="48B60C81" w:rsidR="00A54C6D" w:rsidRDefault="00973846">
      <w:pPr>
        <w:pStyle w:val="TOC1"/>
        <w:rPr>
          <w:rFonts w:eastAsiaTheme="minorEastAsia"/>
          <w:b w:val="0"/>
          <w:kern w:val="2"/>
          <w:lang w:eastAsia="en-AU"/>
          <w14:ligatures w14:val="standardContextual"/>
        </w:rPr>
      </w:pPr>
      <w:hyperlink w:anchor="_Toc139295547" w:history="1">
        <w:r w:rsidR="00A54C6D" w:rsidRPr="00C940DB">
          <w:rPr>
            <w:rStyle w:val="Hyperlink"/>
          </w:rPr>
          <w:t>5.</w:t>
        </w:r>
        <w:r w:rsidR="00A54C6D">
          <w:rPr>
            <w:rFonts w:eastAsiaTheme="minorEastAsia"/>
            <w:b w:val="0"/>
            <w:kern w:val="2"/>
            <w:lang w:eastAsia="en-AU"/>
            <w14:ligatures w14:val="standardContextual"/>
          </w:rPr>
          <w:tab/>
        </w:r>
        <w:r w:rsidR="00A54C6D" w:rsidRPr="00C940DB">
          <w:rPr>
            <w:rStyle w:val="Hyperlink"/>
          </w:rPr>
          <w:t>What policy options have been considered?</w:t>
        </w:r>
        <w:r w:rsidR="00A54C6D">
          <w:rPr>
            <w:webHidden/>
          </w:rPr>
          <w:tab/>
        </w:r>
        <w:r w:rsidR="00A54C6D">
          <w:rPr>
            <w:webHidden/>
          </w:rPr>
          <w:fldChar w:fldCharType="begin"/>
        </w:r>
        <w:r w:rsidR="00A54C6D">
          <w:rPr>
            <w:webHidden/>
          </w:rPr>
          <w:instrText xml:space="preserve"> PAGEREF _Toc139295547 \h </w:instrText>
        </w:r>
        <w:r w:rsidR="00A54C6D">
          <w:rPr>
            <w:webHidden/>
          </w:rPr>
        </w:r>
        <w:r w:rsidR="00A54C6D">
          <w:rPr>
            <w:webHidden/>
          </w:rPr>
          <w:fldChar w:fldCharType="separate"/>
        </w:r>
        <w:r w:rsidR="0007078D">
          <w:rPr>
            <w:webHidden/>
          </w:rPr>
          <w:t>38</w:t>
        </w:r>
        <w:r w:rsidR="00A54C6D">
          <w:rPr>
            <w:webHidden/>
          </w:rPr>
          <w:fldChar w:fldCharType="end"/>
        </w:r>
      </w:hyperlink>
    </w:p>
    <w:p w14:paraId="2473F39A" w14:textId="2FCDFDAD" w:rsidR="00A54C6D" w:rsidRDefault="00973846">
      <w:pPr>
        <w:pStyle w:val="TOC2"/>
        <w:rPr>
          <w:rFonts w:eastAsiaTheme="minorEastAsia"/>
          <w:noProof/>
          <w:kern w:val="2"/>
          <w:lang w:eastAsia="en-AU"/>
          <w14:ligatures w14:val="standardContextual"/>
        </w:rPr>
      </w:pPr>
      <w:hyperlink w:anchor="_Toc139295548" w:history="1">
        <w:r w:rsidR="00A54C6D" w:rsidRPr="00C940DB">
          <w:rPr>
            <w:rStyle w:val="Hyperlink"/>
            <w:noProof/>
          </w:rPr>
          <w:t>Summary of reform options</w:t>
        </w:r>
        <w:r w:rsidR="00A54C6D">
          <w:rPr>
            <w:noProof/>
            <w:webHidden/>
          </w:rPr>
          <w:tab/>
        </w:r>
        <w:r w:rsidR="00A54C6D">
          <w:rPr>
            <w:noProof/>
            <w:webHidden/>
          </w:rPr>
          <w:fldChar w:fldCharType="begin"/>
        </w:r>
        <w:r w:rsidR="00A54C6D">
          <w:rPr>
            <w:noProof/>
            <w:webHidden/>
          </w:rPr>
          <w:instrText xml:space="preserve"> PAGEREF _Toc139295548 \h </w:instrText>
        </w:r>
        <w:r w:rsidR="00A54C6D">
          <w:rPr>
            <w:noProof/>
            <w:webHidden/>
          </w:rPr>
        </w:r>
        <w:r w:rsidR="00A54C6D">
          <w:rPr>
            <w:noProof/>
            <w:webHidden/>
          </w:rPr>
          <w:fldChar w:fldCharType="separate"/>
        </w:r>
        <w:r w:rsidR="0007078D">
          <w:rPr>
            <w:noProof/>
            <w:webHidden/>
          </w:rPr>
          <w:t>38</w:t>
        </w:r>
        <w:r w:rsidR="00A54C6D">
          <w:rPr>
            <w:noProof/>
            <w:webHidden/>
          </w:rPr>
          <w:fldChar w:fldCharType="end"/>
        </w:r>
      </w:hyperlink>
    </w:p>
    <w:p w14:paraId="0F551EE9" w14:textId="1493D93F" w:rsidR="00A54C6D" w:rsidRDefault="00973846">
      <w:pPr>
        <w:pStyle w:val="TOC2"/>
        <w:rPr>
          <w:rFonts w:eastAsiaTheme="minorEastAsia"/>
          <w:noProof/>
          <w:kern w:val="2"/>
          <w:lang w:eastAsia="en-AU"/>
          <w14:ligatures w14:val="standardContextual"/>
        </w:rPr>
      </w:pPr>
      <w:hyperlink w:anchor="_Toc139295549" w:history="1">
        <w:r w:rsidR="00A54C6D" w:rsidRPr="00C940DB">
          <w:rPr>
            <w:rStyle w:val="Hyperlink"/>
            <w:noProof/>
          </w:rPr>
          <w:t>Minimum standards</w:t>
        </w:r>
        <w:r w:rsidR="00A54C6D">
          <w:rPr>
            <w:noProof/>
            <w:webHidden/>
          </w:rPr>
          <w:tab/>
        </w:r>
        <w:r w:rsidR="00A54C6D">
          <w:rPr>
            <w:noProof/>
            <w:webHidden/>
          </w:rPr>
          <w:fldChar w:fldCharType="begin"/>
        </w:r>
        <w:r w:rsidR="00A54C6D">
          <w:rPr>
            <w:noProof/>
            <w:webHidden/>
          </w:rPr>
          <w:instrText xml:space="preserve"> PAGEREF _Toc139295549 \h </w:instrText>
        </w:r>
        <w:r w:rsidR="00A54C6D">
          <w:rPr>
            <w:noProof/>
            <w:webHidden/>
          </w:rPr>
        </w:r>
        <w:r w:rsidR="00A54C6D">
          <w:rPr>
            <w:noProof/>
            <w:webHidden/>
          </w:rPr>
          <w:fldChar w:fldCharType="separate"/>
        </w:r>
        <w:r w:rsidR="0007078D">
          <w:rPr>
            <w:noProof/>
            <w:webHidden/>
          </w:rPr>
          <w:t>39</w:t>
        </w:r>
        <w:r w:rsidR="00A54C6D">
          <w:rPr>
            <w:noProof/>
            <w:webHidden/>
          </w:rPr>
          <w:fldChar w:fldCharType="end"/>
        </w:r>
      </w:hyperlink>
    </w:p>
    <w:p w14:paraId="4F8F7A74" w14:textId="75DBA782" w:rsidR="00A54C6D" w:rsidRDefault="00973846">
      <w:pPr>
        <w:pStyle w:val="TOC3"/>
        <w:rPr>
          <w:rFonts w:eastAsiaTheme="minorEastAsia"/>
          <w:noProof/>
          <w:kern w:val="2"/>
          <w:lang w:eastAsia="en-AU"/>
          <w14:ligatures w14:val="standardContextual"/>
        </w:rPr>
      </w:pPr>
      <w:hyperlink w:anchor="_Toc139295550" w:history="1">
        <w:r w:rsidR="00A54C6D" w:rsidRPr="00C940DB">
          <w:rPr>
            <w:rStyle w:val="Hyperlink"/>
            <w:noProof/>
          </w:rPr>
          <w:t>Option 1: Status quo</w:t>
        </w:r>
        <w:r w:rsidR="00A54C6D">
          <w:rPr>
            <w:noProof/>
            <w:webHidden/>
          </w:rPr>
          <w:tab/>
        </w:r>
        <w:r w:rsidR="00A54C6D">
          <w:rPr>
            <w:noProof/>
            <w:webHidden/>
          </w:rPr>
          <w:fldChar w:fldCharType="begin"/>
        </w:r>
        <w:r w:rsidR="00A54C6D">
          <w:rPr>
            <w:noProof/>
            <w:webHidden/>
          </w:rPr>
          <w:instrText xml:space="preserve"> PAGEREF _Toc139295550 \h </w:instrText>
        </w:r>
        <w:r w:rsidR="00A54C6D">
          <w:rPr>
            <w:noProof/>
            <w:webHidden/>
          </w:rPr>
        </w:r>
        <w:r w:rsidR="00A54C6D">
          <w:rPr>
            <w:noProof/>
            <w:webHidden/>
          </w:rPr>
          <w:fldChar w:fldCharType="separate"/>
        </w:r>
        <w:r w:rsidR="0007078D">
          <w:rPr>
            <w:noProof/>
            <w:webHidden/>
          </w:rPr>
          <w:t>39</w:t>
        </w:r>
        <w:r w:rsidR="00A54C6D">
          <w:rPr>
            <w:noProof/>
            <w:webHidden/>
          </w:rPr>
          <w:fldChar w:fldCharType="end"/>
        </w:r>
      </w:hyperlink>
    </w:p>
    <w:p w14:paraId="4E599B9E" w14:textId="14E47C06" w:rsidR="00A54C6D" w:rsidRDefault="00973846">
      <w:pPr>
        <w:pStyle w:val="TOC3"/>
        <w:rPr>
          <w:rFonts w:eastAsiaTheme="minorEastAsia"/>
          <w:noProof/>
          <w:kern w:val="2"/>
          <w:lang w:eastAsia="en-AU"/>
          <w14:ligatures w14:val="standardContextual"/>
        </w:rPr>
      </w:pPr>
      <w:hyperlink w:anchor="_Toc139295551" w:history="1">
        <w:r w:rsidR="00A54C6D" w:rsidRPr="00C940DB">
          <w:rPr>
            <w:rStyle w:val="Hyperlink"/>
            <w:noProof/>
          </w:rPr>
          <w:t>Option 2: Minimum standards for digital platform workers</w:t>
        </w:r>
        <w:r w:rsidR="00A54C6D">
          <w:rPr>
            <w:noProof/>
            <w:webHidden/>
          </w:rPr>
          <w:tab/>
        </w:r>
        <w:r w:rsidR="00A54C6D">
          <w:rPr>
            <w:noProof/>
            <w:webHidden/>
          </w:rPr>
          <w:fldChar w:fldCharType="begin"/>
        </w:r>
        <w:r w:rsidR="00A54C6D">
          <w:rPr>
            <w:noProof/>
            <w:webHidden/>
          </w:rPr>
          <w:instrText xml:space="preserve"> PAGEREF _Toc139295551 \h </w:instrText>
        </w:r>
        <w:r w:rsidR="00A54C6D">
          <w:rPr>
            <w:noProof/>
            <w:webHidden/>
          </w:rPr>
        </w:r>
        <w:r w:rsidR="00A54C6D">
          <w:rPr>
            <w:noProof/>
            <w:webHidden/>
          </w:rPr>
          <w:fldChar w:fldCharType="separate"/>
        </w:r>
        <w:r w:rsidR="0007078D">
          <w:rPr>
            <w:noProof/>
            <w:webHidden/>
          </w:rPr>
          <w:t>39</w:t>
        </w:r>
        <w:r w:rsidR="00A54C6D">
          <w:rPr>
            <w:noProof/>
            <w:webHidden/>
          </w:rPr>
          <w:fldChar w:fldCharType="end"/>
        </w:r>
      </w:hyperlink>
    </w:p>
    <w:p w14:paraId="5EB3D051" w14:textId="1086FB25" w:rsidR="00A54C6D" w:rsidRDefault="00973846">
      <w:pPr>
        <w:pStyle w:val="TOC3"/>
        <w:rPr>
          <w:rFonts w:eastAsiaTheme="minorEastAsia"/>
          <w:noProof/>
          <w:kern w:val="2"/>
          <w:lang w:eastAsia="en-AU"/>
          <w14:ligatures w14:val="standardContextual"/>
        </w:rPr>
      </w:pPr>
      <w:hyperlink w:anchor="_Toc139295552" w:history="1">
        <w:r w:rsidR="00A54C6D" w:rsidRPr="00C940DB">
          <w:rPr>
            <w:rStyle w:val="Hyperlink"/>
            <w:noProof/>
          </w:rPr>
          <w:t>Option 3: Minimum standards for digital platform workers and road transport workers</w:t>
        </w:r>
        <w:r w:rsidR="00A54C6D">
          <w:rPr>
            <w:noProof/>
            <w:webHidden/>
          </w:rPr>
          <w:tab/>
        </w:r>
        <w:r w:rsidR="00A54C6D">
          <w:rPr>
            <w:noProof/>
            <w:webHidden/>
          </w:rPr>
          <w:fldChar w:fldCharType="begin"/>
        </w:r>
        <w:r w:rsidR="00A54C6D">
          <w:rPr>
            <w:noProof/>
            <w:webHidden/>
          </w:rPr>
          <w:instrText xml:space="preserve"> PAGEREF _Toc139295552 \h </w:instrText>
        </w:r>
        <w:r w:rsidR="00A54C6D">
          <w:rPr>
            <w:noProof/>
            <w:webHidden/>
          </w:rPr>
        </w:r>
        <w:r w:rsidR="00A54C6D">
          <w:rPr>
            <w:noProof/>
            <w:webHidden/>
          </w:rPr>
          <w:fldChar w:fldCharType="separate"/>
        </w:r>
        <w:r w:rsidR="0007078D">
          <w:rPr>
            <w:noProof/>
            <w:webHidden/>
          </w:rPr>
          <w:t>41</w:t>
        </w:r>
        <w:r w:rsidR="00A54C6D">
          <w:rPr>
            <w:noProof/>
            <w:webHidden/>
          </w:rPr>
          <w:fldChar w:fldCharType="end"/>
        </w:r>
      </w:hyperlink>
    </w:p>
    <w:p w14:paraId="334B9E0D" w14:textId="0BC78820" w:rsidR="00A54C6D" w:rsidRDefault="00973846">
      <w:pPr>
        <w:pStyle w:val="TOC3"/>
        <w:rPr>
          <w:rFonts w:eastAsiaTheme="minorEastAsia"/>
          <w:noProof/>
          <w:kern w:val="2"/>
          <w:lang w:eastAsia="en-AU"/>
          <w14:ligatures w14:val="standardContextual"/>
        </w:rPr>
      </w:pPr>
      <w:hyperlink w:anchor="_Toc139295553" w:history="1">
        <w:r w:rsidR="00A54C6D" w:rsidRPr="00C940DB">
          <w:rPr>
            <w:rStyle w:val="Hyperlink"/>
            <w:noProof/>
          </w:rPr>
          <w:t>Option 4: Minimum standards for digital platform workers and road transport workers with an interpretive principle in the Fair Work Act</w:t>
        </w:r>
        <w:r w:rsidR="00A54C6D">
          <w:rPr>
            <w:noProof/>
            <w:webHidden/>
          </w:rPr>
          <w:tab/>
        </w:r>
        <w:r w:rsidR="00A54C6D">
          <w:rPr>
            <w:noProof/>
            <w:webHidden/>
          </w:rPr>
          <w:fldChar w:fldCharType="begin"/>
        </w:r>
        <w:r w:rsidR="00A54C6D">
          <w:rPr>
            <w:noProof/>
            <w:webHidden/>
          </w:rPr>
          <w:instrText xml:space="preserve"> PAGEREF _Toc139295553 \h </w:instrText>
        </w:r>
        <w:r w:rsidR="00A54C6D">
          <w:rPr>
            <w:noProof/>
            <w:webHidden/>
          </w:rPr>
        </w:r>
        <w:r w:rsidR="00A54C6D">
          <w:rPr>
            <w:noProof/>
            <w:webHidden/>
          </w:rPr>
          <w:fldChar w:fldCharType="separate"/>
        </w:r>
        <w:r w:rsidR="0007078D">
          <w:rPr>
            <w:noProof/>
            <w:webHidden/>
          </w:rPr>
          <w:t>44</w:t>
        </w:r>
        <w:r w:rsidR="00A54C6D">
          <w:rPr>
            <w:noProof/>
            <w:webHidden/>
          </w:rPr>
          <w:fldChar w:fldCharType="end"/>
        </w:r>
      </w:hyperlink>
    </w:p>
    <w:p w14:paraId="76FB1E67" w14:textId="108E3FAA" w:rsidR="00A54C6D" w:rsidRDefault="00973846">
      <w:pPr>
        <w:pStyle w:val="TOC2"/>
        <w:rPr>
          <w:rFonts w:eastAsiaTheme="minorEastAsia"/>
          <w:noProof/>
          <w:kern w:val="2"/>
          <w:lang w:eastAsia="en-AU"/>
          <w14:ligatures w14:val="standardContextual"/>
        </w:rPr>
      </w:pPr>
      <w:hyperlink w:anchor="_Toc139295554" w:history="1">
        <w:r w:rsidR="00A54C6D" w:rsidRPr="00C940DB">
          <w:rPr>
            <w:rStyle w:val="Hyperlink"/>
            <w:noProof/>
          </w:rPr>
          <w:t>Improving access to unfair contracts protections</w:t>
        </w:r>
        <w:r w:rsidR="00A54C6D">
          <w:rPr>
            <w:noProof/>
            <w:webHidden/>
          </w:rPr>
          <w:tab/>
        </w:r>
        <w:r w:rsidR="00A54C6D">
          <w:rPr>
            <w:noProof/>
            <w:webHidden/>
          </w:rPr>
          <w:fldChar w:fldCharType="begin"/>
        </w:r>
        <w:r w:rsidR="00A54C6D">
          <w:rPr>
            <w:noProof/>
            <w:webHidden/>
          </w:rPr>
          <w:instrText xml:space="preserve"> PAGEREF _Toc139295554 \h </w:instrText>
        </w:r>
        <w:r w:rsidR="00A54C6D">
          <w:rPr>
            <w:noProof/>
            <w:webHidden/>
          </w:rPr>
        </w:r>
        <w:r w:rsidR="00A54C6D">
          <w:rPr>
            <w:noProof/>
            <w:webHidden/>
          </w:rPr>
          <w:fldChar w:fldCharType="separate"/>
        </w:r>
        <w:r w:rsidR="0007078D">
          <w:rPr>
            <w:noProof/>
            <w:webHidden/>
          </w:rPr>
          <w:t>45</w:t>
        </w:r>
        <w:r w:rsidR="00A54C6D">
          <w:rPr>
            <w:noProof/>
            <w:webHidden/>
          </w:rPr>
          <w:fldChar w:fldCharType="end"/>
        </w:r>
      </w:hyperlink>
    </w:p>
    <w:p w14:paraId="1ACA52C7" w14:textId="27870E77" w:rsidR="00A54C6D" w:rsidRDefault="00973846">
      <w:pPr>
        <w:pStyle w:val="TOC3"/>
        <w:rPr>
          <w:rFonts w:eastAsiaTheme="minorEastAsia"/>
          <w:noProof/>
          <w:kern w:val="2"/>
          <w:lang w:eastAsia="en-AU"/>
          <w14:ligatures w14:val="standardContextual"/>
        </w:rPr>
      </w:pPr>
      <w:hyperlink w:anchor="_Toc139295555" w:history="1">
        <w:r w:rsidR="00A54C6D" w:rsidRPr="00C940DB">
          <w:rPr>
            <w:rStyle w:val="Hyperlink"/>
            <w:noProof/>
          </w:rPr>
          <w:t>Option 1: Status quo</w:t>
        </w:r>
        <w:r w:rsidR="00A54C6D">
          <w:rPr>
            <w:noProof/>
            <w:webHidden/>
          </w:rPr>
          <w:tab/>
        </w:r>
        <w:r w:rsidR="00A54C6D">
          <w:rPr>
            <w:noProof/>
            <w:webHidden/>
          </w:rPr>
          <w:fldChar w:fldCharType="begin"/>
        </w:r>
        <w:r w:rsidR="00A54C6D">
          <w:rPr>
            <w:noProof/>
            <w:webHidden/>
          </w:rPr>
          <w:instrText xml:space="preserve"> PAGEREF _Toc139295555 \h </w:instrText>
        </w:r>
        <w:r w:rsidR="00A54C6D">
          <w:rPr>
            <w:noProof/>
            <w:webHidden/>
          </w:rPr>
        </w:r>
        <w:r w:rsidR="00A54C6D">
          <w:rPr>
            <w:noProof/>
            <w:webHidden/>
          </w:rPr>
          <w:fldChar w:fldCharType="separate"/>
        </w:r>
        <w:r w:rsidR="0007078D">
          <w:rPr>
            <w:noProof/>
            <w:webHidden/>
          </w:rPr>
          <w:t>45</w:t>
        </w:r>
        <w:r w:rsidR="00A54C6D">
          <w:rPr>
            <w:noProof/>
            <w:webHidden/>
          </w:rPr>
          <w:fldChar w:fldCharType="end"/>
        </w:r>
      </w:hyperlink>
    </w:p>
    <w:p w14:paraId="5ED64B6C" w14:textId="2F5EE573" w:rsidR="00A54C6D" w:rsidRDefault="00973846">
      <w:pPr>
        <w:pStyle w:val="TOC3"/>
        <w:rPr>
          <w:rFonts w:eastAsiaTheme="minorEastAsia"/>
          <w:noProof/>
          <w:kern w:val="2"/>
          <w:lang w:eastAsia="en-AU"/>
          <w14:ligatures w14:val="standardContextual"/>
        </w:rPr>
      </w:pPr>
      <w:hyperlink w:anchor="_Toc139295556" w:history="1">
        <w:r w:rsidR="00A54C6D" w:rsidRPr="00C940DB">
          <w:rPr>
            <w:rStyle w:val="Hyperlink"/>
            <w:noProof/>
          </w:rPr>
          <w:t>Option 2: Allow the Fair Work Commission to resolve disputes about unfair contracts for digital platform and road transport workers</w:t>
        </w:r>
        <w:r w:rsidR="00A54C6D">
          <w:rPr>
            <w:noProof/>
            <w:webHidden/>
          </w:rPr>
          <w:tab/>
        </w:r>
        <w:r w:rsidR="00A54C6D">
          <w:rPr>
            <w:noProof/>
            <w:webHidden/>
          </w:rPr>
          <w:fldChar w:fldCharType="begin"/>
        </w:r>
        <w:r w:rsidR="00A54C6D">
          <w:rPr>
            <w:noProof/>
            <w:webHidden/>
          </w:rPr>
          <w:instrText xml:space="preserve"> PAGEREF _Toc139295556 \h </w:instrText>
        </w:r>
        <w:r w:rsidR="00A54C6D">
          <w:rPr>
            <w:noProof/>
            <w:webHidden/>
          </w:rPr>
        </w:r>
        <w:r w:rsidR="00A54C6D">
          <w:rPr>
            <w:noProof/>
            <w:webHidden/>
          </w:rPr>
          <w:fldChar w:fldCharType="separate"/>
        </w:r>
        <w:r w:rsidR="0007078D">
          <w:rPr>
            <w:noProof/>
            <w:webHidden/>
          </w:rPr>
          <w:t>45</w:t>
        </w:r>
        <w:r w:rsidR="00A54C6D">
          <w:rPr>
            <w:noProof/>
            <w:webHidden/>
          </w:rPr>
          <w:fldChar w:fldCharType="end"/>
        </w:r>
      </w:hyperlink>
    </w:p>
    <w:p w14:paraId="5E1851BD" w14:textId="08166054" w:rsidR="00A54C6D" w:rsidRDefault="00973846">
      <w:pPr>
        <w:pStyle w:val="TOC3"/>
        <w:rPr>
          <w:rFonts w:eastAsiaTheme="minorEastAsia"/>
          <w:noProof/>
          <w:kern w:val="2"/>
          <w:lang w:eastAsia="en-AU"/>
          <w14:ligatures w14:val="standardContextual"/>
        </w:rPr>
      </w:pPr>
      <w:hyperlink w:anchor="_Toc139295557" w:history="1">
        <w:r w:rsidR="00A54C6D" w:rsidRPr="00C940DB">
          <w:rPr>
            <w:rStyle w:val="Hyperlink"/>
            <w:noProof/>
          </w:rPr>
          <w:t>Option 3: Allow the Fair Work Commission to resolve disputes about unfair contracts for all independent contractors</w:t>
        </w:r>
        <w:r w:rsidR="00A54C6D">
          <w:rPr>
            <w:noProof/>
            <w:webHidden/>
          </w:rPr>
          <w:tab/>
        </w:r>
        <w:r w:rsidR="00A54C6D">
          <w:rPr>
            <w:noProof/>
            <w:webHidden/>
          </w:rPr>
          <w:fldChar w:fldCharType="begin"/>
        </w:r>
        <w:r w:rsidR="00A54C6D">
          <w:rPr>
            <w:noProof/>
            <w:webHidden/>
          </w:rPr>
          <w:instrText xml:space="preserve"> PAGEREF _Toc139295557 \h </w:instrText>
        </w:r>
        <w:r w:rsidR="00A54C6D">
          <w:rPr>
            <w:noProof/>
            <w:webHidden/>
          </w:rPr>
        </w:r>
        <w:r w:rsidR="00A54C6D">
          <w:rPr>
            <w:noProof/>
            <w:webHidden/>
          </w:rPr>
          <w:fldChar w:fldCharType="separate"/>
        </w:r>
        <w:r w:rsidR="0007078D">
          <w:rPr>
            <w:noProof/>
            <w:webHidden/>
          </w:rPr>
          <w:t>45</w:t>
        </w:r>
        <w:r w:rsidR="00A54C6D">
          <w:rPr>
            <w:noProof/>
            <w:webHidden/>
          </w:rPr>
          <w:fldChar w:fldCharType="end"/>
        </w:r>
      </w:hyperlink>
    </w:p>
    <w:p w14:paraId="6604A1E4" w14:textId="30931F00" w:rsidR="00A54C6D" w:rsidRDefault="00973846">
      <w:pPr>
        <w:pStyle w:val="TOC1"/>
        <w:rPr>
          <w:rFonts w:eastAsiaTheme="minorEastAsia"/>
          <w:b w:val="0"/>
          <w:kern w:val="2"/>
          <w:lang w:eastAsia="en-AU"/>
          <w14:ligatures w14:val="standardContextual"/>
        </w:rPr>
      </w:pPr>
      <w:hyperlink w:anchor="_Toc139295558" w:history="1">
        <w:r w:rsidR="00A54C6D" w:rsidRPr="00C940DB">
          <w:rPr>
            <w:rStyle w:val="Hyperlink"/>
          </w:rPr>
          <w:t>6.</w:t>
        </w:r>
        <w:r w:rsidR="00A54C6D">
          <w:rPr>
            <w:rFonts w:eastAsiaTheme="minorEastAsia"/>
            <w:b w:val="0"/>
            <w:kern w:val="2"/>
            <w:lang w:eastAsia="en-AU"/>
            <w14:ligatures w14:val="standardContextual"/>
          </w:rPr>
          <w:tab/>
        </w:r>
        <w:r w:rsidR="00A54C6D" w:rsidRPr="00C940DB">
          <w:rPr>
            <w:rStyle w:val="Hyperlink"/>
          </w:rPr>
          <w:t>What is the likely net benefit of each option?</w:t>
        </w:r>
        <w:r w:rsidR="00A54C6D">
          <w:rPr>
            <w:webHidden/>
          </w:rPr>
          <w:tab/>
        </w:r>
        <w:r w:rsidR="00A54C6D">
          <w:rPr>
            <w:webHidden/>
          </w:rPr>
          <w:fldChar w:fldCharType="begin"/>
        </w:r>
        <w:r w:rsidR="00A54C6D">
          <w:rPr>
            <w:webHidden/>
          </w:rPr>
          <w:instrText xml:space="preserve"> PAGEREF _Toc139295558 \h </w:instrText>
        </w:r>
        <w:r w:rsidR="00A54C6D">
          <w:rPr>
            <w:webHidden/>
          </w:rPr>
        </w:r>
        <w:r w:rsidR="00A54C6D">
          <w:rPr>
            <w:webHidden/>
          </w:rPr>
          <w:fldChar w:fldCharType="separate"/>
        </w:r>
        <w:r w:rsidR="0007078D">
          <w:rPr>
            <w:webHidden/>
          </w:rPr>
          <w:t>46</w:t>
        </w:r>
        <w:r w:rsidR="00A54C6D">
          <w:rPr>
            <w:webHidden/>
          </w:rPr>
          <w:fldChar w:fldCharType="end"/>
        </w:r>
      </w:hyperlink>
    </w:p>
    <w:p w14:paraId="5AC386B0" w14:textId="394637D9" w:rsidR="00A54C6D" w:rsidRDefault="00973846">
      <w:pPr>
        <w:pStyle w:val="TOC2"/>
        <w:rPr>
          <w:rFonts w:eastAsiaTheme="minorEastAsia"/>
          <w:noProof/>
          <w:kern w:val="2"/>
          <w:lang w:eastAsia="en-AU"/>
          <w14:ligatures w14:val="standardContextual"/>
        </w:rPr>
      </w:pPr>
      <w:hyperlink w:anchor="_Toc139295559" w:history="1">
        <w:r w:rsidR="00A54C6D" w:rsidRPr="00C940DB">
          <w:rPr>
            <w:rStyle w:val="Hyperlink"/>
            <w:noProof/>
          </w:rPr>
          <w:t>Who will the options impact?</w:t>
        </w:r>
        <w:r w:rsidR="00A54C6D">
          <w:rPr>
            <w:noProof/>
            <w:webHidden/>
          </w:rPr>
          <w:tab/>
        </w:r>
        <w:r w:rsidR="00A54C6D">
          <w:rPr>
            <w:noProof/>
            <w:webHidden/>
          </w:rPr>
          <w:fldChar w:fldCharType="begin"/>
        </w:r>
        <w:r w:rsidR="00A54C6D">
          <w:rPr>
            <w:noProof/>
            <w:webHidden/>
          </w:rPr>
          <w:instrText xml:space="preserve"> PAGEREF _Toc139295559 \h </w:instrText>
        </w:r>
        <w:r w:rsidR="00A54C6D">
          <w:rPr>
            <w:noProof/>
            <w:webHidden/>
          </w:rPr>
        </w:r>
        <w:r w:rsidR="00A54C6D">
          <w:rPr>
            <w:noProof/>
            <w:webHidden/>
          </w:rPr>
          <w:fldChar w:fldCharType="separate"/>
        </w:r>
        <w:r w:rsidR="0007078D">
          <w:rPr>
            <w:noProof/>
            <w:webHidden/>
          </w:rPr>
          <w:t>46</w:t>
        </w:r>
        <w:r w:rsidR="00A54C6D">
          <w:rPr>
            <w:noProof/>
            <w:webHidden/>
          </w:rPr>
          <w:fldChar w:fldCharType="end"/>
        </w:r>
      </w:hyperlink>
    </w:p>
    <w:p w14:paraId="1A12E621" w14:textId="0CA2C08F" w:rsidR="00A54C6D" w:rsidRDefault="00973846">
      <w:pPr>
        <w:pStyle w:val="TOC3"/>
        <w:rPr>
          <w:rFonts w:eastAsiaTheme="minorEastAsia"/>
          <w:noProof/>
          <w:kern w:val="2"/>
          <w:lang w:eastAsia="en-AU"/>
          <w14:ligatures w14:val="standardContextual"/>
        </w:rPr>
      </w:pPr>
      <w:hyperlink w:anchor="_Toc139295560" w:history="1">
        <w:r w:rsidR="00A54C6D" w:rsidRPr="00C940DB">
          <w:rPr>
            <w:rStyle w:val="Hyperlink"/>
            <w:noProof/>
          </w:rPr>
          <w:t>Independent contractors</w:t>
        </w:r>
        <w:r w:rsidR="00A54C6D">
          <w:rPr>
            <w:noProof/>
            <w:webHidden/>
          </w:rPr>
          <w:tab/>
        </w:r>
        <w:r w:rsidR="00A54C6D">
          <w:rPr>
            <w:noProof/>
            <w:webHidden/>
          </w:rPr>
          <w:fldChar w:fldCharType="begin"/>
        </w:r>
        <w:r w:rsidR="00A54C6D">
          <w:rPr>
            <w:noProof/>
            <w:webHidden/>
          </w:rPr>
          <w:instrText xml:space="preserve"> PAGEREF _Toc139295560 \h </w:instrText>
        </w:r>
        <w:r w:rsidR="00A54C6D">
          <w:rPr>
            <w:noProof/>
            <w:webHidden/>
          </w:rPr>
        </w:r>
        <w:r w:rsidR="00A54C6D">
          <w:rPr>
            <w:noProof/>
            <w:webHidden/>
          </w:rPr>
          <w:fldChar w:fldCharType="separate"/>
        </w:r>
        <w:r w:rsidR="0007078D">
          <w:rPr>
            <w:noProof/>
            <w:webHidden/>
          </w:rPr>
          <w:t>46</w:t>
        </w:r>
        <w:r w:rsidR="00A54C6D">
          <w:rPr>
            <w:noProof/>
            <w:webHidden/>
          </w:rPr>
          <w:fldChar w:fldCharType="end"/>
        </w:r>
      </w:hyperlink>
    </w:p>
    <w:p w14:paraId="621351CF" w14:textId="5B875D8B" w:rsidR="00A54C6D" w:rsidRDefault="00973846">
      <w:pPr>
        <w:pStyle w:val="TOC3"/>
        <w:rPr>
          <w:rFonts w:eastAsiaTheme="minorEastAsia"/>
          <w:noProof/>
          <w:kern w:val="2"/>
          <w:lang w:eastAsia="en-AU"/>
          <w14:ligatures w14:val="standardContextual"/>
        </w:rPr>
      </w:pPr>
      <w:hyperlink w:anchor="_Toc139295561" w:history="1">
        <w:r w:rsidR="00A54C6D" w:rsidRPr="00C940DB">
          <w:rPr>
            <w:rStyle w:val="Hyperlink"/>
            <w:noProof/>
          </w:rPr>
          <w:t>Digital labour platform businesses</w:t>
        </w:r>
        <w:r w:rsidR="00A54C6D">
          <w:rPr>
            <w:noProof/>
            <w:webHidden/>
          </w:rPr>
          <w:tab/>
        </w:r>
        <w:r w:rsidR="00A54C6D">
          <w:rPr>
            <w:noProof/>
            <w:webHidden/>
          </w:rPr>
          <w:fldChar w:fldCharType="begin"/>
        </w:r>
        <w:r w:rsidR="00A54C6D">
          <w:rPr>
            <w:noProof/>
            <w:webHidden/>
          </w:rPr>
          <w:instrText xml:space="preserve"> PAGEREF _Toc139295561 \h </w:instrText>
        </w:r>
        <w:r w:rsidR="00A54C6D">
          <w:rPr>
            <w:noProof/>
            <w:webHidden/>
          </w:rPr>
        </w:r>
        <w:r w:rsidR="00A54C6D">
          <w:rPr>
            <w:noProof/>
            <w:webHidden/>
          </w:rPr>
          <w:fldChar w:fldCharType="separate"/>
        </w:r>
        <w:r w:rsidR="0007078D">
          <w:rPr>
            <w:noProof/>
            <w:webHidden/>
          </w:rPr>
          <w:t>49</w:t>
        </w:r>
        <w:r w:rsidR="00A54C6D">
          <w:rPr>
            <w:noProof/>
            <w:webHidden/>
          </w:rPr>
          <w:fldChar w:fldCharType="end"/>
        </w:r>
      </w:hyperlink>
    </w:p>
    <w:p w14:paraId="1A365987" w14:textId="286B1546" w:rsidR="00A54C6D" w:rsidRDefault="00973846">
      <w:pPr>
        <w:pStyle w:val="TOC3"/>
        <w:rPr>
          <w:rFonts w:eastAsiaTheme="minorEastAsia"/>
          <w:noProof/>
          <w:kern w:val="2"/>
          <w:lang w:eastAsia="en-AU"/>
          <w14:ligatures w14:val="standardContextual"/>
        </w:rPr>
      </w:pPr>
      <w:hyperlink w:anchor="_Toc139295562" w:history="1">
        <w:r w:rsidR="00A54C6D" w:rsidRPr="00C940DB">
          <w:rPr>
            <w:rStyle w:val="Hyperlink"/>
            <w:noProof/>
          </w:rPr>
          <w:t>Entities engaging road transport workers</w:t>
        </w:r>
        <w:r w:rsidR="00A54C6D">
          <w:rPr>
            <w:noProof/>
            <w:webHidden/>
          </w:rPr>
          <w:tab/>
        </w:r>
        <w:r w:rsidR="00A54C6D">
          <w:rPr>
            <w:noProof/>
            <w:webHidden/>
          </w:rPr>
          <w:fldChar w:fldCharType="begin"/>
        </w:r>
        <w:r w:rsidR="00A54C6D">
          <w:rPr>
            <w:noProof/>
            <w:webHidden/>
          </w:rPr>
          <w:instrText xml:space="preserve"> PAGEREF _Toc139295562 \h </w:instrText>
        </w:r>
        <w:r w:rsidR="00A54C6D">
          <w:rPr>
            <w:noProof/>
            <w:webHidden/>
          </w:rPr>
        </w:r>
        <w:r w:rsidR="00A54C6D">
          <w:rPr>
            <w:noProof/>
            <w:webHidden/>
          </w:rPr>
          <w:fldChar w:fldCharType="separate"/>
        </w:r>
        <w:r w:rsidR="0007078D">
          <w:rPr>
            <w:noProof/>
            <w:webHidden/>
          </w:rPr>
          <w:t>50</w:t>
        </w:r>
        <w:r w:rsidR="00A54C6D">
          <w:rPr>
            <w:noProof/>
            <w:webHidden/>
          </w:rPr>
          <w:fldChar w:fldCharType="end"/>
        </w:r>
      </w:hyperlink>
    </w:p>
    <w:p w14:paraId="32155607" w14:textId="5E414A0C" w:rsidR="00A54C6D" w:rsidRDefault="00973846">
      <w:pPr>
        <w:pStyle w:val="TOC3"/>
        <w:rPr>
          <w:rFonts w:eastAsiaTheme="minorEastAsia"/>
          <w:noProof/>
          <w:kern w:val="2"/>
          <w:lang w:eastAsia="en-AU"/>
          <w14:ligatures w14:val="standardContextual"/>
        </w:rPr>
      </w:pPr>
      <w:hyperlink w:anchor="_Toc139295563" w:history="1">
        <w:r w:rsidR="00A54C6D" w:rsidRPr="00C940DB">
          <w:rPr>
            <w:rStyle w:val="Hyperlink"/>
            <w:noProof/>
          </w:rPr>
          <w:t>Consumers (of digital platform and road transport services)</w:t>
        </w:r>
        <w:r w:rsidR="00A54C6D">
          <w:rPr>
            <w:noProof/>
            <w:webHidden/>
          </w:rPr>
          <w:tab/>
        </w:r>
        <w:r w:rsidR="00A54C6D">
          <w:rPr>
            <w:noProof/>
            <w:webHidden/>
          </w:rPr>
          <w:fldChar w:fldCharType="begin"/>
        </w:r>
        <w:r w:rsidR="00A54C6D">
          <w:rPr>
            <w:noProof/>
            <w:webHidden/>
          </w:rPr>
          <w:instrText xml:space="preserve"> PAGEREF _Toc139295563 \h </w:instrText>
        </w:r>
        <w:r w:rsidR="00A54C6D">
          <w:rPr>
            <w:noProof/>
            <w:webHidden/>
          </w:rPr>
        </w:r>
        <w:r w:rsidR="00A54C6D">
          <w:rPr>
            <w:noProof/>
            <w:webHidden/>
          </w:rPr>
          <w:fldChar w:fldCharType="separate"/>
        </w:r>
        <w:r w:rsidR="0007078D">
          <w:rPr>
            <w:noProof/>
            <w:webHidden/>
          </w:rPr>
          <w:t>51</w:t>
        </w:r>
        <w:r w:rsidR="00A54C6D">
          <w:rPr>
            <w:noProof/>
            <w:webHidden/>
          </w:rPr>
          <w:fldChar w:fldCharType="end"/>
        </w:r>
      </w:hyperlink>
    </w:p>
    <w:p w14:paraId="7792170B" w14:textId="0B176E5A" w:rsidR="00A54C6D" w:rsidRDefault="00973846">
      <w:pPr>
        <w:pStyle w:val="TOC3"/>
        <w:rPr>
          <w:rFonts w:eastAsiaTheme="minorEastAsia"/>
          <w:noProof/>
          <w:kern w:val="2"/>
          <w:lang w:eastAsia="en-AU"/>
          <w14:ligatures w14:val="standardContextual"/>
        </w:rPr>
      </w:pPr>
      <w:hyperlink w:anchor="_Toc139295564" w:history="1">
        <w:r w:rsidR="00A54C6D" w:rsidRPr="00C940DB">
          <w:rPr>
            <w:rStyle w:val="Hyperlink"/>
            <w:noProof/>
          </w:rPr>
          <w:t>Government</w:t>
        </w:r>
        <w:r w:rsidR="00A54C6D">
          <w:rPr>
            <w:noProof/>
            <w:webHidden/>
          </w:rPr>
          <w:tab/>
        </w:r>
        <w:r w:rsidR="00A54C6D">
          <w:rPr>
            <w:noProof/>
            <w:webHidden/>
          </w:rPr>
          <w:fldChar w:fldCharType="begin"/>
        </w:r>
        <w:r w:rsidR="00A54C6D">
          <w:rPr>
            <w:noProof/>
            <w:webHidden/>
          </w:rPr>
          <w:instrText xml:space="preserve"> PAGEREF _Toc139295564 \h </w:instrText>
        </w:r>
        <w:r w:rsidR="00A54C6D">
          <w:rPr>
            <w:noProof/>
            <w:webHidden/>
          </w:rPr>
        </w:r>
        <w:r w:rsidR="00A54C6D">
          <w:rPr>
            <w:noProof/>
            <w:webHidden/>
          </w:rPr>
          <w:fldChar w:fldCharType="separate"/>
        </w:r>
        <w:r w:rsidR="0007078D">
          <w:rPr>
            <w:noProof/>
            <w:webHidden/>
          </w:rPr>
          <w:t>51</w:t>
        </w:r>
        <w:r w:rsidR="00A54C6D">
          <w:rPr>
            <w:noProof/>
            <w:webHidden/>
          </w:rPr>
          <w:fldChar w:fldCharType="end"/>
        </w:r>
      </w:hyperlink>
    </w:p>
    <w:p w14:paraId="3A8AEC4B" w14:textId="6BB6A79E" w:rsidR="00A54C6D" w:rsidRDefault="00973846">
      <w:pPr>
        <w:pStyle w:val="TOC2"/>
        <w:rPr>
          <w:rFonts w:eastAsiaTheme="minorEastAsia"/>
          <w:noProof/>
          <w:kern w:val="2"/>
          <w:lang w:eastAsia="en-AU"/>
          <w14:ligatures w14:val="standardContextual"/>
        </w:rPr>
      </w:pPr>
      <w:hyperlink w:anchor="_Toc139295565" w:history="1">
        <w:r w:rsidR="00A54C6D" w:rsidRPr="00C940DB">
          <w:rPr>
            <w:rStyle w:val="Hyperlink"/>
            <w:noProof/>
          </w:rPr>
          <w:t>Minimum standards</w:t>
        </w:r>
        <w:r w:rsidR="00A54C6D">
          <w:rPr>
            <w:noProof/>
            <w:webHidden/>
          </w:rPr>
          <w:tab/>
        </w:r>
        <w:r w:rsidR="00A54C6D">
          <w:rPr>
            <w:noProof/>
            <w:webHidden/>
          </w:rPr>
          <w:fldChar w:fldCharType="begin"/>
        </w:r>
        <w:r w:rsidR="00A54C6D">
          <w:rPr>
            <w:noProof/>
            <w:webHidden/>
          </w:rPr>
          <w:instrText xml:space="preserve"> PAGEREF _Toc139295565 \h </w:instrText>
        </w:r>
        <w:r w:rsidR="00A54C6D">
          <w:rPr>
            <w:noProof/>
            <w:webHidden/>
          </w:rPr>
        </w:r>
        <w:r w:rsidR="00A54C6D">
          <w:rPr>
            <w:noProof/>
            <w:webHidden/>
          </w:rPr>
          <w:fldChar w:fldCharType="separate"/>
        </w:r>
        <w:r w:rsidR="0007078D">
          <w:rPr>
            <w:noProof/>
            <w:webHidden/>
          </w:rPr>
          <w:t>52</w:t>
        </w:r>
        <w:r w:rsidR="00A54C6D">
          <w:rPr>
            <w:noProof/>
            <w:webHidden/>
          </w:rPr>
          <w:fldChar w:fldCharType="end"/>
        </w:r>
      </w:hyperlink>
    </w:p>
    <w:p w14:paraId="7E97D747" w14:textId="6BF033AD" w:rsidR="00A54C6D" w:rsidRDefault="00973846">
      <w:pPr>
        <w:pStyle w:val="TOC3"/>
        <w:rPr>
          <w:rFonts w:eastAsiaTheme="minorEastAsia"/>
          <w:noProof/>
          <w:kern w:val="2"/>
          <w:lang w:eastAsia="en-AU"/>
          <w14:ligatures w14:val="standardContextual"/>
        </w:rPr>
      </w:pPr>
      <w:hyperlink w:anchor="_Toc139295566" w:history="1">
        <w:r w:rsidR="00A54C6D" w:rsidRPr="00C940DB">
          <w:rPr>
            <w:rStyle w:val="Hyperlink"/>
            <w:noProof/>
          </w:rPr>
          <w:t>Scenarios for estimating net benefits</w:t>
        </w:r>
        <w:r w:rsidR="00A54C6D">
          <w:rPr>
            <w:noProof/>
            <w:webHidden/>
          </w:rPr>
          <w:tab/>
        </w:r>
        <w:r w:rsidR="00A54C6D">
          <w:rPr>
            <w:noProof/>
            <w:webHidden/>
          </w:rPr>
          <w:fldChar w:fldCharType="begin"/>
        </w:r>
        <w:r w:rsidR="00A54C6D">
          <w:rPr>
            <w:noProof/>
            <w:webHidden/>
          </w:rPr>
          <w:instrText xml:space="preserve"> PAGEREF _Toc139295566 \h </w:instrText>
        </w:r>
        <w:r w:rsidR="00A54C6D">
          <w:rPr>
            <w:noProof/>
            <w:webHidden/>
          </w:rPr>
        </w:r>
        <w:r w:rsidR="00A54C6D">
          <w:rPr>
            <w:noProof/>
            <w:webHidden/>
          </w:rPr>
          <w:fldChar w:fldCharType="separate"/>
        </w:r>
        <w:r w:rsidR="0007078D">
          <w:rPr>
            <w:noProof/>
            <w:webHidden/>
          </w:rPr>
          <w:t>52</w:t>
        </w:r>
        <w:r w:rsidR="00A54C6D">
          <w:rPr>
            <w:noProof/>
            <w:webHidden/>
          </w:rPr>
          <w:fldChar w:fldCharType="end"/>
        </w:r>
      </w:hyperlink>
    </w:p>
    <w:p w14:paraId="222ABD6D" w14:textId="5E5B6E07" w:rsidR="00A54C6D" w:rsidRDefault="00973846">
      <w:pPr>
        <w:pStyle w:val="TOC3"/>
        <w:rPr>
          <w:rFonts w:eastAsiaTheme="minorEastAsia"/>
          <w:noProof/>
          <w:kern w:val="2"/>
          <w:lang w:eastAsia="en-AU"/>
          <w14:ligatures w14:val="standardContextual"/>
        </w:rPr>
      </w:pPr>
      <w:hyperlink w:anchor="_Toc139295567" w:history="1">
        <w:r w:rsidR="00A54C6D" w:rsidRPr="00C940DB">
          <w:rPr>
            <w:rStyle w:val="Hyperlink"/>
            <w:noProof/>
          </w:rPr>
          <w:t>Option 1: Status quo</w:t>
        </w:r>
        <w:r w:rsidR="00A54C6D">
          <w:rPr>
            <w:noProof/>
            <w:webHidden/>
          </w:rPr>
          <w:tab/>
        </w:r>
        <w:r w:rsidR="00A54C6D">
          <w:rPr>
            <w:noProof/>
            <w:webHidden/>
          </w:rPr>
          <w:fldChar w:fldCharType="begin"/>
        </w:r>
        <w:r w:rsidR="00A54C6D">
          <w:rPr>
            <w:noProof/>
            <w:webHidden/>
          </w:rPr>
          <w:instrText xml:space="preserve"> PAGEREF _Toc139295567 \h </w:instrText>
        </w:r>
        <w:r w:rsidR="00A54C6D">
          <w:rPr>
            <w:noProof/>
            <w:webHidden/>
          </w:rPr>
        </w:r>
        <w:r w:rsidR="00A54C6D">
          <w:rPr>
            <w:noProof/>
            <w:webHidden/>
          </w:rPr>
          <w:fldChar w:fldCharType="separate"/>
        </w:r>
        <w:r w:rsidR="0007078D">
          <w:rPr>
            <w:noProof/>
            <w:webHidden/>
          </w:rPr>
          <w:t>54</w:t>
        </w:r>
        <w:r w:rsidR="00A54C6D">
          <w:rPr>
            <w:noProof/>
            <w:webHidden/>
          </w:rPr>
          <w:fldChar w:fldCharType="end"/>
        </w:r>
      </w:hyperlink>
    </w:p>
    <w:p w14:paraId="5CB1B12C" w14:textId="28BB5CB9" w:rsidR="00A54C6D" w:rsidRDefault="00973846">
      <w:pPr>
        <w:pStyle w:val="TOC3"/>
        <w:rPr>
          <w:rFonts w:eastAsiaTheme="minorEastAsia"/>
          <w:noProof/>
          <w:kern w:val="2"/>
          <w:lang w:eastAsia="en-AU"/>
          <w14:ligatures w14:val="standardContextual"/>
        </w:rPr>
      </w:pPr>
      <w:hyperlink w:anchor="_Toc139295568" w:history="1">
        <w:r w:rsidR="00A54C6D" w:rsidRPr="00C940DB">
          <w:rPr>
            <w:rStyle w:val="Hyperlink"/>
            <w:noProof/>
          </w:rPr>
          <w:t>Option 2: Empower the Fair Work Commission to set minimum standards for digital platform workers</w:t>
        </w:r>
        <w:r w:rsidR="00A54C6D">
          <w:rPr>
            <w:noProof/>
            <w:webHidden/>
          </w:rPr>
          <w:tab/>
        </w:r>
        <w:r w:rsidR="00A54C6D">
          <w:rPr>
            <w:noProof/>
            <w:webHidden/>
          </w:rPr>
          <w:fldChar w:fldCharType="begin"/>
        </w:r>
        <w:r w:rsidR="00A54C6D">
          <w:rPr>
            <w:noProof/>
            <w:webHidden/>
          </w:rPr>
          <w:instrText xml:space="preserve"> PAGEREF _Toc139295568 \h </w:instrText>
        </w:r>
        <w:r w:rsidR="00A54C6D">
          <w:rPr>
            <w:noProof/>
            <w:webHidden/>
          </w:rPr>
        </w:r>
        <w:r w:rsidR="00A54C6D">
          <w:rPr>
            <w:noProof/>
            <w:webHidden/>
          </w:rPr>
          <w:fldChar w:fldCharType="separate"/>
        </w:r>
        <w:r w:rsidR="0007078D">
          <w:rPr>
            <w:noProof/>
            <w:webHidden/>
          </w:rPr>
          <w:t>61</w:t>
        </w:r>
        <w:r w:rsidR="00A54C6D">
          <w:rPr>
            <w:noProof/>
            <w:webHidden/>
          </w:rPr>
          <w:fldChar w:fldCharType="end"/>
        </w:r>
      </w:hyperlink>
    </w:p>
    <w:p w14:paraId="27E6D621" w14:textId="6C49F335" w:rsidR="00A54C6D" w:rsidRDefault="00973846">
      <w:pPr>
        <w:pStyle w:val="TOC3"/>
        <w:rPr>
          <w:rFonts w:eastAsiaTheme="minorEastAsia"/>
          <w:noProof/>
          <w:kern w:val="2"/>
          <w:lang w:eastAsia="en-AU"/>
          <w14:ligatures w14:val="standardContextual"/>
        </w:rPr>
      </w:pPr>
      <w:hyperlink w:anchor="_Toc139295569" w:history="1">
        <w:r w:rsidR="00A54C6D" w:rsidRPr="00C940DB">
          <w:rPr>
            <w:rStyle w:val="Hyperlink"/>
            <w:noProof/>
          </w:rPr>
          <w:t>Option 3: Empower the Fair Work Commission to set minimum standards for digital platform workers and road transport workers</w:t>
        </w:r>
        <w:r w:rsidR="00A54C6D">
          <w:rPr>
            <w:noProof/>
            <w:webHidden/>
          </w:rPr>
          <w:tab/>
        </w:r>
        <w:r w:rsidR="00A54C6D">
          <w:rPr>
            <w:noProof/>
            <w:webHidden/>
          </w:rPr>
          <w:fldChar w:fldCharType="begin"/>
        </w:r>
        <w:r w:rsidR="00A54C6D">
          <w:rPr>
            <w:noProof/>
            <w:webHidden/>
          </w:rPr>
          <w:instrText xml:space="preserve"> PAGEREF _Toc139295569 \h </w:instrText>
        </w:r>
        <w:r w:rsidR="00A54C6D">
          <w:rPr>
            <w:noProof/>
            <w:webHidden/>
          </w:rPr>
        </w:r>
        <w:r w:rsidR="00A54C6D">
          <w:rPr>
            <w:noProof/>
            <w:webHidden/>
          </w:rPr>
          <w:fldChar w:fldCharType="separate"/>
        </w:r>
        <w:r w:rsidR="0007078D">
          <w:rPr>
            <w:noProof/>
            <w:webHidden/>
          </w:rPr>
          <w:t>79</w:t>
        </w:r>
        <w:r w:rsidR="00A54C6D">
          <w:rPr>
            <w:noProof/>
            <w:webHidden/>
          </w:rPr>
          <w:fldChar w:fldCharType="end"/>
        </w:r>
      </w:hyperlink>
    </w:p>
    <w:p w14:paraId="5DB16E1A" w14:textId="770E083C" w:rsidR="00A54C6D" w:rsidRDefault="00973846">
      <w:pPr>
        <w:pStyle w:val="TOC3"/>
        <w:rPr>
          <w:rFonts w:eastAsiaTheme="minorEastAsia"/>
          <w:noProof/>
          <w:kern w:val="2"/>
          <w:lang w:eastAsia="en-AU"/>
          <w14:ligatures w14:val="standardContextual"/>
        </w:rPr>
      </w:pPr>
      <w:hyperlink w:anchor="_Toc139295570" w:history="1">
        <w:r w:rsidR="00A54C6D" w:rsidRPr="00C940DB">
          <w:rPr>
            <w:rStyle w:val="Hyperlink"/>
            <w:noProof/>
          </w:rPr>
          <w:t>Option 4: Empower the Fair Work Commission to set minimum standards for digital platform workers and road transport workers, with an interpretive principle</w:t>
        </w:r>
        <w:r w:rsidR="00A54C6D">
          <w:rPr>
            <w:noProof/>
            <w:webHidden/>
          </w:rPr>
          <w:tab/>
        </w:r>
        <w:r w:rsidR="00A54C6D">
          <w:rPr>
            <w:noProof/>
            <w:webHidden/>
          </w:rPr>
          <w:fldChar w:fldCharType="begin"/>
        </w:r>
        <w:r w:rsidR="00A54C6D">
          <w:rPr>
            <w:noProof/>
            <w:webHidden/>
          </w:rPr>
          <w:instrText xml:space="preserve"> PAGEREF _Toc139295570 \h </w:instrText>
        </w:r>
        <w:r w:rsidR="00A54C6D">
          <w:rPr>
            <w:noProof/>
            <w:webHidden/>
          </w:rPr>
        </w:r>
        <w:r w:rsidR="00A54C6D">
          <w:rPr>
            <w:noProof/>
            <w:webHidden/>
          </w:rPr>
          <w:fldChar w:fldCharType="separate"/>
        </w:r>
        <w:r w:rsidR="0007078D">
          <w:rPr>
            <w:noProof/>
            <w:webHidden/>
          </w:rPr>
          <w:t>91</w:t>
        </w:r>
        <w:r w:rsidR="00A54C6D">
          <w:rPr>
            <w:noProof/>
            <w:webHidden/>
          </w:rPr>
          <w:fldChar w:fldCharType="end"/>
        </w:r>
      </w:hyperlink>
    </w:p>
    <w:p w14:paraId="7AD9CB89" w14:textId="0068C541" w:rsidR="00A54C6D" w:rsidRDefault="00973846">
      <w:pPr>
        <w:pStyle w:val="TOC2"/>
        <w:rPr>
          <w:rFonts w:eastAsiaTheme="minorEastAsia"/>
          <w:noProof/>
          <w:kern w:val="2"/>
          <w:lang w:eastAsia="en-AU"/>
          <w14:ligatures w14:val="standardContextual"/>
        </w:rPr>
      </w:pPr>
      <w:hyperlink w:anchor="_Toc139295571" w:history="1">
        <w:r w:rsidR="00A54C6D" w:rsidRPr="00C940DB">
          <w:rPr>
            <w:rStyle w:val="Hyperlink"/>
            <w:noProof/>
          </w:rPr>
          <w:t>Access to dispute resolution of unfair contracts</w:t>
        </w:r>
        <w:r w:rsidR="00A54C6D">
          <w:rPr>
            <w:noProof/>
            <w:webHidden/>
          </w:rPr>
          <w:tab/>
        </w:r>
        <w:r w:rsidR="00A54C6D">
          <w:rPr>
            <w:noProof/>
            <w:webHidden/>
          </w:rPr>
          <w:fldChar w:fldCharType="begin"/>
        </w:r>
        <w:r w:rsidR="00A54C6D">
          <w:rPr>
            <w:noProof/>
            <w:webHidden/>
          </w:rPr>
          <w:instrText xml:space="preserve"> PAGEREF _Toc139295571 \h </w:instrText>
        </w:r>
        <w:r w:rsidR="00A54C6D">
          <w:rPr>
            <w:noProof/>
            <w:webHidden/>
          </w:rPr>
        </w:r>
        <w:r w:rsidR="00A54C6D">
          <w:rPr>
            <w:noProof/>
            <w:webHidden/>
          </w:rPr>
          <w:fldChar w:fldCharType="separate"/>
        </w:r>
        <w:r w:rsidR="0007078D">
          <w:rPr>
            <w:noProof/>
            <w:webHidden/>
          </w:rPr>
          <w:t>97</w:t>
        </w:r>
        <w:r w:rsidR="00A54C6D">
          <w:rPr>
            <w:noProof/>
            <w:webHidden/>
          </w:rPr>
          <w:fldChar w:fldCharType="end"/>
        </w:r>
      </w:hyperlink>
    </w:p>
    <w:p w14:paraId="10623CC9" w14:textId="6F8E288F" w:rsidR="00A54C6D" w:rsidRDefault="00973846">
      <w:pPr>
        <w:pStyle w:val="TOC3"/>
        <w:rPr>
          <w:rFonts w:eastAsiaTheme="minorEastAsia"/>
          <w:noProof/>
          <w:kern w:val="2"/>
          <w:lang w:eastAsia="en-AU"/>
          <w14:ligatures w14:val="standardContextual"/>
        </w:rPr>
      </w:pPr>
      <w:hyperlink w:anchor="_Toc139295572" w:history="1">
        <w:r w:rsidR="00A54C6D" w:rsidRPr="00C940DB">
          <w:rPr>
            <w:rStyle w:val="Hyperlink"/>
            <w:noProof/>
          </w:rPr>
          <w:t>Option 1: Status quo</w:t>
        </w:r>
        <w:r w:rsidR="00A54C6D">
          <w:rPr>
            <w:noProof/>
            <w:webHidden/>
          </w:rPr>
          <w:tab/>
        </w:r>
        <w:r w:rsidR="00A54C6D">
          <w:rPr>
            <w:noProof/>
            <w:webHidden/>
          </w:rPr>
          <w:fldChar w:fldCharType="begin"/>
        </w:r>
        <w:r w:rsidR="00A54C6D">
          <w:rPr>
            <w:noProof/>
            <w:webHidden/>
          </w:rPr>
          <w:instrText xml:space="preserve"> PAGEREF _Toc139295572 \h </w:instrText>
        </w:r>
        <w:r w:rsidR="00A54C6D">
          <w:rPr>
            <w:noProof/>
            <w:webHidden/>
          </w:rPr>
        </w:r>
        <w:r w:rsidR="00A54C6D">
          <w:rPr>
            <w:noProof/>
            <w:webHidden/>
          </w:rPr>
          <w:fldChar w:fldCharType="separate"/>
        </w:r>
        <w:r w:rsidR="0007078D">
          <w:rPr>
            <w:noProof/>
            <w:webHidden/>
          </w:rPr>
          <w:t>97</w:t>
        </w:r>
        <w:r w:rsidR="00A54C6D">
          <w:rPr>
            <w:noProof/>
            <w:webHidden/>
          </w:rPr>
          <w:fldChar w:fldCharType="end"/>
        </w:r>
      </w:hyperlink>
    </w:p>
    <w:p w14:paraId="23C2A1CB" w14:textId="725C26F3" w:rsidR="00A54C6D" w:rsidRDefault="00973846">
      <w:pPr>
        <w:pStyle w:val="TOC3"/>
        <w:rPr>
          <w:rFonts w:eastAsiaTheme="minorEastAsia"/>
          <w:noProof/>
          <w:kern w:val="2"/>
          <w:lang w:eastAsia="en-AU"/>
          <w14:ligatures w14:val="standardContextual"/>
        </w:rPr>
      </w:pPr>
      <w:hyperlink w:anchor="_Toc139295573" w:history="1">
        <w:r w:rsidR="00A54C6D" w:rsidRPr="00C940DB">
          <w:rPr>
            <w:rStyle w:val="Hyperlink"/>
            <w:noProof/>
          </w:rPr>
          <w:t>Option 2: Allow the Fair Work Commission to resolve disputes about unfair contracts for digital platform workers and road transport workers</w:t>
        </w:r>
        <w:r w:rsidR="00A54C6D">
          <w:rPr>
            <w:noProof/>
            <w:webHidden/>
          </w:rPr>
          <w:tab/>
        </w:r>
        <w:r w:rsidR="00A54C6D">
          <w:rPr>
            <w:noProof/>
            <w:webHidden/>
          </w:rPr>
          <w:fldChar w:fldCharType="begin"/>
        </w:r>
        <w:r w:rsidR="00A54C6D">
          <w:rPr>
            <w:noProof/>
            <w:webHidden/>
          </w:rPr>
          <w:instrText xml:space="preserve"> PAGEREF _Toc139295573 \h </w:instrText>
        </w:r>
        <w:r w:rsidR="00A54C6D">
          <w:rPr>
            <w:noProof/>
            <w:webHidden/>
          </w:rPr>
        </w:r>
        <w:r w:rsidR="00A54C6D">
          <w:rPr>
            <w:noProof/>
            <w:webHidden/>
          </w:rPr>
          <w:fldChar w:fldCharType="separate"/>
        </w:r>
        <w:r w:rsidR="0007078D">
          <w:rPr>
            <w:noProof/>
            <w:webHidden/>
          </w:rPr>
          <w:t>100</w:t>
        </w:r>
        <w:r w:rsidR="00A54C6D">
          <w:rPr>
            <w:noProof/>
            <w:webHidden/>
          </w:rPr>
          <w:fldChar w:fldCharType="end"/>
        </w:r>
      </w:hyperlink>
    </w:p>
    <w:p w14:paraId="7CC5BA1D" w14:textId="7DEEBBBC" w:rsidR="00A54C6D" w:rsidRDefault="00973846">
      <w:pPr>
        <w:pStyle w:val="TOC3"/>
        <w:rPr>
          <w:rFonts w:eastAsiaTheme="minorEastAsia"/>
          <w:noProof/>
          <w:kern w:val="2"/>
          <w:lang w:eastAsia="en-AU"/>
          <w14:ligatures w14:val="standardContextual"/>
        </w:rPr>
      </w:pPr>
      <w:hyperlink w:anchor="_Toc139295574" w:history="1">
        <w:r w:rsidR="00A54C6D" w:rsidRPr="00C940DB">
          <w:rPr>
            <w:rStyle w:val="Hyperlink"/>
            <w:noProof/>
          </w:rPr>
          <w:t>Option 3: Allow the Fair Work Commission to resolve disputes about unfair contracts for all independent contractors, subject to a high income threshold</w:t>
        </w:r>
        <w:r w:rsidR="00A54C6D">
          <w:rPr>
            <w:noProof/>
            <w:webHidden/>
          </w:rPr>
          <w:tab/>
        </w:r>
        <w:r w:rsidR="00A54C6D">
          <w:rPr>
            <w:noProof/>
            <w:webHidden/>
          </w:rPr>
          <w:fldChar w:fldCharType="begin"/>
        </w:r>
        <w:r w:rsidR="00A54C6D">
          <w:rPr>
            <w:noProof/>
            <w:webHidden/>
          </w:rPr>
          <w:instrText xml:space="preserve"> PAGEREF _Toc139295574 \h </w:instrText>
        </w:r>
        <w:r w:rsidR="00A54C6D">
          <w:rPr>
            <w:noProof/>
            <w:webHidden/>
          </w:rPr>
        </w:r>
        <w:r w:rsidR="00A54C6D">
          <w:rPr>
            <w:noProof/>
            <w:webHidden/>
          </w:rPr>
          <w:fldChar w:fldCharType="separate"/>
        </w:r>
        <w:r w:rsidR="0007078D">
          <w:rPr>
            <w:noProof/>
            <w:webHidden/>
          </w:rPr>
          <w:t>105</w:t>
        </w:r>
        <w:r w:rsidR="00A54C6D">
          <w:rPr>
            <w:noProof/>
            <w:webHidden/>
          </w:rPr>
          <w:fldChar w:fldCharType="end"/>
        </w:r>
      </w:hyperlink>
    </w:p>
    <w:p w14:paraId="4881F4C7" w14:textId="3B536CDD" w:rsidR="00A54C6D" w:rsidRDefault="00973846">
      <w:pPr>
        <w:pStyle w:val="TOC1"/>
        <w:rPr>
          <w:rFonts w:eastAsiaTheme="minorEastAsia"/>
          <w:b w:val="0"/>
          <w:kern w:val="2"/>
          <w:lang w:eastAsia="en-AU"/>
          <w14:ligatures w14:val="standardContextual"/>
        </w:rPr>
      </w:pPr>
      <w:hyperlink w:anchor="_Toc139295575" w:history="1">
        <w:r w:rsidR="00A54C6D" w:rsidRPr="00C940DB">
          <w:rPr>
            <w:rStyle w:val="Hyperlink"/>
          </w:rPr>
          <w:t>7.</w:t>
        </w:r>
        <w:r w:rsidR="00A54C6D">
          <w:rPr>
            <w:rFonts w:eastAsiaTheme="minorEastAsia"/>
            <w:b w:val="0"/>
            <w:kern w:val="2"/>
            <w:lang w:eastAsia="en-AU"/>
            <w14:ligatures w14:val="standardContextual"/>
          </w:rPr>
          <w:tab/>
        </w:r>
        <w:r w:rsidR="00A54C6D" w:rsidRPr="00C940DB">
          <w:rPr>
            <w:rStyle w:val="Hyperlink"/>
          </w:rPr>
          <w:t>Preferred options and implementation plan</w:t>
        </w:r>
        <w:r w:rsidR="00A54C6D">
          <w:rPr>
            <w:webHidden/>
          </w:rPr>
          <w:tab/>
        </w:r>
        <w:r w:rsidR="00A54C6D">
          <w:rPr>
            <w:webHidden/>
          </w:rPr>
          <w:fldChar w:fldCharType="begin"/>
        </w:r>
        <w:r w:rsidR="00A54C6D">
          <w:rPr>
            <w:webHidden/>
          </w:rPr>
          <w:instrText xml:space="preserve"> PAGEREF _Toc139295575 \h </w:instrText>
        </w:r>
        <w:r w:rsidR="00A54C6D">
          <w:rPr>
            <w:webHidden/>
          </w:rPr>
        </w:r>
        <w:r w:rsidR="00A54C6D">
          <w:rPr>
            <w:webHidden/>
          </w:rPr>
          <w:fldChar w:fldCharType="separate"/>
        </w:r>
        <w:r w:rsidR="0007078D">
          <w:rPr>
            <w:webHidden/>
          </w:rPr>
          <w:t>108</w:t>
        </w:r>
        <w:r w:rsidR="00A54C6D">
          <w:rPr>
            <w:webHidden/>
          </w:rPr>
          <w:fldChar w:fldCharType="end"/>
        </w:r>
      </w:hyperlink>
    </w:p>
    <w:p w14:paraId="3C985514" w14:textId="0E998CBD" w:rsidR="00A54C6D" w:rsidRDefault="00973846">
      <w:pPr>
        <w:pStyle w:val="TOC2"/>
        <w:rPr>
          <w:rFonts w:eastAsiaTheme="minorEastAsia"/>
          <w:noProof/>
          <w:kern w:val="2"/>
          <w:lang w:eastAsia="en-AU"/>
          <w14:ligatures w14:val="standardContextual"/>
        </w:rPr>
      </w:pPr>
      <w:hyperlink w:anchor="_Toc139295576" w:history="1">
        <w:r w:rsidR="00A54C6D" w:rsidRPr="00C940DB">
          <w:rPr>
            <w:rStyle w:val="Hyperlink"/>
            <w:noProof/>
          </w:rPr>
          <w:t>Preferred options</w:t>
        </w:r>
        <w:r w:rsidR="00A54C6D">
          <w:rPr>
            <w:noProof/>
            <w:webHidden/>
          </w:rPr>
          <w:tab/>
        </w:r>
        <w:r w:rsidR="00A54C6D">
          <w:rPr>
            <w:noProof/>
            <w:webHidden/>
          </w:rPr>
          <w:fldChar w:fldCharType="begin"/>
        </w:r>
        <w:r w:rsidR="00A54C6D">
          <w:rPr>
            <w:noProof/>
            <w:webHidden/>
          </w:rPr>
          <w:instrText xml:space="preserve"> PAGEREF _Toc139295576 \h </w:instrText>
        </w:r>
        <w:r w:rsidR="00A54C6D">
          <w:rPr>
            <w:noProof/>
            <w:webHidden/>
          </w:rPr>
        </w:r>
        <w:r w:rsidR="00A54C6D">
          <w:rPr>
            <w:noProof/>
            <w:webHidden/>
          </w:rPr>
          <w:fldChar w:fldCharType="separate"/>
        </w:r>
        <w:r w:rsidR="0007078D">
          <w:rPr>
            <w:noProof/>
            <w:webHidden/>
          </w:rPr>
          <w:t>108</w:t>
        </w:r>
        <w:r w:rsidR="00A54C6D">
          <w:rPr>
            <w:noProof/>
            <w:webHidden/>
          </w:rPr>
          <w:fldChar w:fldCharType="end"/>
        </w:r>
      </w:hyperlink>
    </w:p>
    <w:p w14:paraId="3B04B17D" w14:textId="56411077" w:rsidR="00A54C6D" w:rsidRDefault="00973846">
      <w:pPr>
        <w:pStyle w:val="TOC2"/>
        <w:rPr>
          <w:rFonts w:eastAsiaTheme="minorEastAsia"/>
          <w:noProof/>
          <w:kern w:val="2"/>
          <w:lang w:eastAsia="en-AU"/>
          <w14:ligatures w14:val="standardContextual"/>
        </w:rPr>
      </w:pPr>
      <w:hyperlink w:anchor="_Toc139295577" w:history="1">
        <w:r w:rsidR="00A54C6D" w:rsidRPr="00C940DB">
          <w:rPr>
            <w:rStyle w:val="Hyperlink"/>
            <w:noProof/>
          </w:rPr>
          <w:t>Summary of impacts</w:t>
        </w:r>
        <w:r w:rsidR="00A54C6D">
          <w:rPr>
            <w:noProof/>
            <w:webHidden/>
          </w:rPr>
          <w:tab/>
        </w:r>
        <w:r w:rsidR="00A54C6D">
          <w:rPr>
            <w:noProof/>
            <w:webHidden/>
          </w:rPr>
          <w:fldChar w:fldCharType="begin"/>
        </w:r>
        <w:r w:rsidR="00A54C6D">
          <w:rPr>
            <w:noProof/>
            <w:webHidden/>
          </w:rPr>
          <w:instrText xml:space="preserve"> PAGEREF _Toc139295577 \h </w:instrText>
        </w:r>
        <w:r w:rsidR="00A54C6D">
          <w:rPr>
            <w:noProof/>
            <w:webHidden/>
          </w:rPr>
        </w:r>
        <w:r w:rsidR="00A54C6D">
          <w:rPr>
            <w:noProof/>
            <w:webHidden/>
          </w:rPr>
          <w:fldChar w:fldCharType="separate"/>
        </w:r>
        <w:r w:rsidR="0007078D">
          <w:rPr>
            <w:noProof/>
            <w:webHidden/>
          </w:rPr>
          <w:t>108</w:t>
        </w:r>
        <w:r w:rsidR="00A54C6D">
          <w:rPr>
            <w:noProof/>
            <w:webHidden/>
          </w:rPr>
          <w:fldChar w:fldCharType="end"/>
        </w:r>
      </w:hyperlink>
    </w:p>
    <w:p w14:paraId="3E19DE5A" w14:textId="354B44C1" w:rsidR="00A54C6D" w:rsidRDefault="00973846">
      <w:pPr>
        <w:pStyle w:val="TOC3"/>
        <w:rPr>
          <w:rFonts w:eastAsiaTheme="minorEastAsia"/>
          <w:noProof/>
          <w:kern w:val="2"/>
          <w:lang w:eastAsia="en-AU"/>
          <w14:ligatures w14:val="standardContextual"/>
        </w:rPr>
      </w:pPr>
      <w:hyperlink w:anchor="_Toc139295578" w:history="1">
        <w:r w:rsidR="00A54C6D" w:rsidRPr="00C940DB">
          <w:rPr>
            <w:rStyle w:val="Hyperlink"/>
            <w:noProof/>
          </w:rPr>
          <w:t>Minimum standards</w:t>
        </w:r>
        <w:r w:rsidR="00A54C6D">
          <w:rPr>
            <w:noProof/>
            <w:webHidden/>
          </w:rPr>
          <w:tab/>
        </w:r>
        <w:r w:rsidR="00A54C6D">
          <w:rPr>
            <w:noProof/>
            <w:webHidden/>
          </w:rPr>
          <w:fldChar w:fldCharType="begin"/>
        </w:r>
        <w:r w:rsidR="00A54C6D">
          <w:rPr>
            <w:noProof/>
            <w:webHidden/>
          </w:rPr>
          <w:instrText xml:space="preserve"> PAGEREF _Toc139295578 \h </w:instrText>
        </w:r>
        <w:r w:rsidR="00A54C6D">
          <w:rPr>
            <w:noProof/>
            <w:webHidden/>
          </w:rPr>
        </w:r>
        <w:r w:rsidR="00A54C6D">
          <w:rPr>
            <w:noProof/>
            <w:webHidden/>
          </w:rPr>
          <w:fldChar w:fldCharType="separate"/>
        </w:r>
        <w:r w:rsidR="0007078D">
          <w:rPr>
            <w:noProof/>
            <w:webHidden/>
          </w:rPr>
          <w:t>108</w:t>
        </w:r>
        <w:r w:rsidR="00A54C6D">
          <w:rPr>
            <w:noProof/>
            <w:webHidden/>
          </w:rPr>
          <w:fldChar w:fldCharType="end"/>
        </w:r>
      </w:hyperlink>
    </w:p>
    <w:p w14:paraId="017409A7" w14:textId="519ABACE" w:rsidR="00A54C6D" w:rsidRDefault="00973846">
      <w:pPr>
        <w:pStyle w:val="TOC3"/>
        <w:rPr>
          <w:rFonts w:eastAsiaTheme="minorEastAsia"/>
          <w:noProof/>
          <w:kern w:val="2"/>
          <w:lang w:eastAsia="en-AU"/>
          <w14:ligatures w14:val="standardContextual"/>
        </w:rPr>
      </w:pPr>
      <w:hyperlink w:anchor="_Toc139295579" w:history="1">
        <w:r w:rsidR="00A54C6D" w:rsidRPr="00C940DB">
          <w:rPr>
            <w:rStyle w:val="Hyperlink"/>
            <w:noProof/>
          </w:rPr>
          <w:t>Access to dispute resolution for unfair contracts</w:t>
        </w:r>
        <w:r w:rsidR="00A54C6D">
          <w:rPr>
            <w:noProof/>
            <w:webHidden/>
          </w:rPr>
          <w:tab/>
        </w:r>
        <w:r w:rsidR="00A54C6D">
          <w:rPr>
            <w:noProof/>
            <w:webHidden/>
          </w:rPr>
          <w:fldChar w:fldCharType="begin"/>
        </w:r>
        <w:r w:rsidR="00A54C6D">
          <w:rPr>
            <w:noProof/>
            <w:webHidden/>
          </w:rPr>
          <w:instrText xml:space="preserve"> PAGEREF _Toc139295579 \h </w:instrText>
        </w:r>
        <w:r w:rsidR="00A54C6D">
          <w:rPr>
            <w:noProof/>
            <w:webHidden/>
          </w:rPr>
        </w:r>
        <w:r w:rsidR="00A54C6D">
          <w:rPr>
            <w:noProof/>
            <w:webHidden/>
          </w:rPr>
          <w:fldChar w:fldCharType="separate"/>
        </w:r>
        <w:r w:rsidR="0007078D">
          <w:rPr>
            <w:noProof/>
            <w:webHidden/>
          </w:rPr>
          <w:t>110</w:t>
        </w:r>
        <w:r w:rsidR="00A54C6D">
          <w:rPr>
            <w:noProof/>
            <w:webHidden/>
          </w:rPr>
          <w:fldChar w:fldCharType="end"/>
        </w:r>
      </w:hyperlink>
    </w:p>
    <w:p w14:paraId="5BA2EECF" w14:textId="0A82C7E5" w:rsidR="00A54C6D" w:rsidRDefault="00973846">
      <w:pPr>
        <w:pStyle w:val="TOC2"/>
        <w:rPr>
          <w:rFonts w:eastAsiaTheme="minorEastAsia"/>
          <w:noProof/>
          <w:kern w:val="2"/>
          <w:lang w:eastAsia="en-AU"/>
          <w14:ligatures w14:val="standardContextual"/>
        </w:rPr>
      </w:pPr>
      <w:hyperlink w:anchor="_Toc139295580" w:history="1">
        <w:r w:rsidR="00A54C6D" w:rsidRPr="00C940DB">
          <w:rPr>
            <w:rStyle w:val="Hyperlink"/>
            <w:noProof/>
          </w:rPr>
          <w:t>Implementation</w:t>
        </w:r>
        <w:r w:rsidR="00A54C6D">
          <w:rPr>
            <w:noProof/>
            <w:webHidden/>
          </w:rPr>
          <w:tab/>
        </w:r>
        <w:r w:rsidR="00A54C6D">
          <w:rPr>
            <w:noProof/>
            <w:webHidden/>
          </w:rPr>
          <w:fldChar w:fldCharType="begin"/>
        </w:r>
        <w:r w:rsidR="00A54C6D">
          <w:rPr>
            <w:noProof/>
            <w:webHidden/>
          </w:rPr>
          <w:instrText xml:space="preserve"> PAGEREF _Toc139295580 \h </w:instrText>
        </w:r>
        <w:r w:rsidR="00A54C6D">
          <w:rPr>
            <w:noProof/>
            <w:webHidden/>
          </w:rPr>
        </w:r>
        <w:r w:rsidR="00A54C6D">
          <w:rPr>
            <w:noProof/>
            <w:webHidden/>
          </w:rPr>
          <w:fldChar w:fldCharType="separate"/>
        </w:r>
        <w:r w:rsidR="0007078D">
          <w:rPr>
            <w:noProof/>
            <w:webHidden/>
          </w:rPr>
          <w:t>111</w:t>
        </w:r>
        <w:r w:rsidR="00A54C6D">
          <w:rPr>
            <w:noProof/>
            <w:webHidden/>
          </w:rPr>
          <w:fldChar w:fldCharType="end"/>
        </w:r>
      </w:hyperlink>
    </w:p>
    <w:p w14:paraId="14B05C4F" w14:textId="3D0FFD6C" w:rsidR="00A54C6D" w:rsidRDefault="00973846">
      <w:pPr>
        <w:pStyle w:val="TOC3"/>
        <w:rPr>
          <w:rFonts w:eastAsiaTheme="minorEastAsia"/>
          <w:noProof/>
          <w:kern w:val="2"/>
          <w:lang w:eastAsia="en-AU"/>
          <w14:ligatures w14:val="standardContextual"/>
        </w:rPr>
      </w:pPr>
      <w:hyperlink w:anchor="_Toc139295581" w:history="1">
        <w:r w:rsidR="00A54C6D" w:rsidRPr="00C940DB">
          <w:rPr>
            <w:rStyle w:val="Hyperlink"/>
            <w:noProof/>
          </w:rPr>
          <w:t>Role of the Fair Work Commission</w:t>
        </w:r>
        <w:r w:rsidR="00A54C6D">
          <w:rPr>
            <w:noProof/>
            <w:webHidden/>
          </w:rPr>
          <w:tab/>
        </w:r>
        <w:r w:rsidR="00A54C6D">
          <w:rPr>
            <w:noProof/>
            <w:webHidden/>
          </w:rPr>
          <w:fldChar w:fldCharType="begin"/>
        </w:r>
        <w:r w:rsidR="00A54C6D">
          <w:rPr>
            <w:noProof/>
            <w:webHidden/>
          </w:rPr>
          <w:instrText xml:space="preserve"> PAGEREF _Toc139295581 \h </w:instrText>
        </w:r>
        <w:r w:rsidR="00A54C6D">
          <w:rPr>
            <w:noProof/>
            <w:webHidden/>
          </w:rPr>
        </w:r>
        <w:r w:rsidR="00A54C6D">
          <w:rPr>
            <w:noProof/>
            <w:webHidden/>
          </w:rPr>
          <w:fldChar w:fldCharType="separate"/>
        </w:r>
        <w:r w:rsidR="0007078D">
          <w:rPr>
            <w:noProof/>
            <w:webHidden/>
          </w:rPr>
          <w:t>111</w:t>
        </w:r>
        <w:r w:rsidR="00A54C6D">
          <w:rPr>
            <w:noProof/>
            <w:webHidden/>
          </w:rPr>
          <w:fldChar w:fldCharType="end"/>
        </w:r>
      </w:hyperlink>
    </w:p>
    <w:p w14:paraId="4CD21139" w14:textId="45823D7F" w:rsidR="00A54C6D" w:rsidRDefault="00973846">
      <w:pPr>
        <w:pStyle w:val="TOC3"/>
        <w:rPr>
          <w:rFonts w:eastAsiaTheme="minorEastAsia"/>
          <w:noProof/>
          <w:kern w:val="2"/>
          <w:lang w:eastAsia="en-AU"/>
          <w14:ligatures w14:val="standardContextual"/>
        </w:rPr>
      </w:pPr>
      <w:hyperlink w:anchor="_Toc139295582" w:history="1">
        <w:r w:rsidR="00A54C6D" w:rsidRPr="00C940DB">
          <w:rPr>
            <w:rStyle w:val="Hyperlink"/>
            <w:noProof/>
          </w:rPr>
          <w:t>Minimum standards for digital platform workers and road transport</w:t>
        </w:r>
        <w:r w:rsidR="00A54C6D">
          <w:rPr>
            <w:noProof/>
            <w:webHidden/>
          </w:rPr>
          <w:tab/>
        </w:r>
        <w:r w:rsidR="00A54C6D">
          <w:rPr>
            <w:noProof/>
            <w:webHidden/>
          </w:rPr>
          <w:fldChar w:fldCharType="begin"/>
        </w:r>
        <w:r w:rsidR="00A54C6D">
          <w:rPr>
            <w:noProof/>
            <w:webHidden/>
          </w:rPr>
          <w:instrText xml:space="preserve"> PAGEREF _Toc139295582 \h </w:instrText>
        </w:r>
        <w:r w:rsidR="00A54C6D">
          <w:rPr>
            <w:noProof/>
            <w:webHidden/>
          </w:rPr>
        </w:r>
        <w:r w:rsidR="00A54C6D">
          <w:rPr>
            <w:noProof/>
            <w:webHidden/>
          </w:rPr>
          <w:fldChar w:fldCharType="separate"/>
        </w:r>
        <w:r w:rsidR="0007078D">
          <w:rPr>
            <w:noProof/>
            <w:webHidden/>
          </w:rPr>
          <w:t>112</w:t>
        </w:r>
        <w:r w:rsidR="00A54C6D">
          <w:rPr>
            <w:noProof/>
            <w:webHidden/>
          </w:rPr>
          <w:fldChar w:fldCharType="end"/>
        </w:r>
      </w:hyperlink>
    </w:p>
    <w:p w14:paraId="31EB9F56" w14:textId="70C52FFA" w:rsidR="00A54C6D" w:rsidRDefault="00973846">
      <w:pPr>
        <w:pStyle w:val="TOC3"/>
        <w:rPr>
          <w:rFonts w:eastAsiaTheme="minorEastAsia"/>
          <w:noProof/>
          <w:kern w:val="2"/>
          <w:lang w:eastAsia="en-AU"/>
          <w14:ligatures w14:val="standardContextual"/>
        </w:rPr>
      </w:pPr>
      <w:hyperlink w:anchor="_Toc139295583" w:history="1">
        <w:r w:rsidR="00A54C6D" w:rsidRPr="00C940DB">
          <w:rPr>
            <w:rStyle w:val="Hyperlink"/>
            <w:noProof/>
          </w:rPr>
          <w:t>Disputes in relation to unfair contracts, unfair contract terminations and ‘deactivation’</w:t>
        </w:r>
        <w:r w:rsidR="00A54C6D">
          <w:rPr>
            <w:noProof/>
            <w:webHidden/>
          </w:rPr>
          <w:tab/>
        </w:r>
        <w:r w:rsidR="00A54C6D">
          <w:rPr>
            <w:noProof/>
            <w:webHidden/>
          </w:rPr>
          <w:fldChar w:fldCharType="begin"/>
        </w:r>
        <w:r w:rsidR="00A54C6D">
          <w:rPr>
            <w:noProof/>
            <w:webHidden/>
          </w:rPr>
          <w:instrText xml:space="preserve"> PAGEREF _Toc139295583 \h </w:instrText>
        </w:r>
        <w:r w:rsidR="00A54C6D">
          <w:rPr>
            <w:noProof/>
            <w:webHidden/>
          </w:rPr>
        </w:r>
        <w:r w:rsidR="00A54C6D">
          <w:rPr>
            <w:noProof/>
            <w:webHidden/>
          </w:rPr>
          <w:fldChar w:fldCharType="separate"/>
        </w:r>
        <w:r w:rsidR="0007078D">
          <w:rPr>
            <w:noProof/>
            <w:webHidden/>
          </w:rPr>
          <w:t>112</w:t>
        </w:r>
        <w:r w:rsidR="00A54C6D">
          <w:rPr>
            <w:noProof/>
            <w:webHidden/>
          </w:rPr>
          <w:fldChar w:fldCharType="end"/>
        </w:r>
      </w:hyperlink>
    </w:p>
    <w:p w14:paraId="374C61BC" w14:textId="2960FC34" w:rsidR="00A54C6D" w:rsidRDefault="00973846">
      <w:pPr>
        <w:pStyle w:val="TOC3"/>
        <w:rPr>
          <w:rFonts w:eastAsiaTheme="minorEastAsia"/>
          <w:noProof/>
          <w:kern w:val="2"/>
          <w:lang w:eastAsia="en-AU"/>
          <w14:ligatures w14:val="standardContextual"/>
        </w:rPr>
      </w:pPr>
      <w:hyperlink w:anchor="_Toc139295584" w:history="1">
        <w:r w:rsidR="00A54C6D" w:rsidRPr="00C940DB">
          <w:rPr>
            <w:rStyle w:val="Hyperlink"/>
            <w:noProof/>
          </w:rPr>
          <w:t>Role of the Fair Work Ombudsman</w:t>
        </w:r>
        <w:r w:rsidR="00A54C6D">
          <w:rPr>
            <w:noProof/>
            <w:webHidden/>
          </w:rPr>
          <w:tab/>
        </w:r>
        <w:r w:rsidR="00A54C6D">
          <w:rPr>
            <w:noProof/>
            <w:webHidden/>
          </w:rPr>
          <w:fldChar w:fldCharType="begin"/>
        </w:r>
        <w:r w:rsidR="00A54C6D">
          <w:rPr>
            <w:noProof/>
            <w:webHidden/>
          </w:rPr>
          <w:instrText xml:space="preserve"> PAGEREF _Toc139295584 \h </w:instrText>
        </w:r>
        <w:r w:rsidR="00A54C6D">
          <w:rPr>
            <w:noProof/>
            <w:webHidden/>
          </w:rPr>
        </w:r>
        <w:r w:rsidR="00A54C6D">
          <w:rPr>
            <w:noProof/>
            <w:webHidden/>
          </w:rPr>
          <w:fldChar w:fldCharType="separate"/>
        </w:r>
        <w:r w:rsidR="0007078D">
          <w:rPr>
            <w:noProof/>
            <w:webHidden/>
          </w:rPr>
          <w:t>112</w:t>
        </w:r>
        <w:r w:rsidR="00A54C6D">
          <w:rPr>
            <w:noProof/>
            <w:webHidden/>
          </w:rPr>
          <w:fldChar w:fldCharType="end"/>
        </w:r>
      </w:hyperlink>
    </w:p>
    <w:p w14:paraId="084E4BAE" w14:textId="18781E0E" w:rsidR="00A54C6D" w:rsidRDefault="00973846">
      <w:pPr>
        <w:pStyle w:val="TOC1"/>
        <w:rPr>
          <w:rFonts w:eastAsiaTheme="minorEastAsia"/>
          <w:b w:val="0"/>
          <w:kern w:val="2"/>
          <w:lang w:eastAsia="en-AU"/>
          <w14:ligatures w14:val="standardContextual"/>
        </w:rPr>
      </w:pPr>
      <w:hyperlink w:anchor="_Toc139295585" w:history="1">
        <w:r w:rsidR="00A54C6D" w:rsidRPr="00C940DB">
          <w:rPr>
            <w:rStyle w:val="Hyperlink"/>
          </w:rPr>
          <w:t>8. How will you evaluate your chosen options against the success metrics?</w:t>
        </w:r>
        <w:r w:rsidR="00A54C6D">
          <w:rPr>
            <w:webHidden/>
          </w:rPr>
          <w:tab/>
        </w:r>
        <w:r w:rsidR="00A54C6D">
          <w:rPr>
            <w:webHidden/>
          </w:rPr>
          <w:fldChar w:fldCharType="begin"/>
        </w:r>
        <w:r w:rsidR="00A54C6D">
          <w:rPr>
            <w:webHidden/>
          </w:rPr>
          <w:instrText xml:space="preserve"> PAGEREF _Toc139295585 \h </w:instrText>
        </w:r>
        <w:r w:rsidR="00A54C6D">
          <w:rPr>
            <w:webHidden/>
          </w:rPr>
        </w:r>
        <w:r w:rsidR="00A54C6D">
          <w:rPr>
            <w:webHidden/>
          </w:rPr>
          <w:fldChar w:fldCharType="separate"/>
        </w:r>
        <w:r w:rsidR="0007078D">
          <w:rPr>
            <w:webHidden/>
          </w:rPr>
          <w:t>113</w:t>
        </w:r>
        <w:r w:rsidR="00A54C6D">
          <w:rPr>
            <w:webHidden/>
          </w:rPr>
          <w:fldChar w:fldCharType="end"/>
        </w:r>
      </w:hyperlink>
    </w:p>
    <w:p w14:paraId="5FFFC6F5" w14:textId="3EBA18A5" w:rsidR="00DE34C3" w:rsidRDefault="0095636C" w:rsidP="001F0AE4">
      <w:pPr>
        <w:rPr>
          <w:rFonts w:ascii="Calibri" w:eastAsiaTheme="majorEastAsia" w:hAnsi="Calibri" w:cstheme="majorBidi"/>
          <w:b/>
          <w:color w:val="404246"/>
          <w:sz w:val="32"/>
          <w:szCs w:val="32"/>
        </w:rPr>
      </w:pPr>
      <w:r w:rsidRPr="009043F2">
        <w:rPr>
          <w:rFonts w:ascii="Calibri" w:eastAsiaTheme="majorEastAsia" w:hAnsi="Calibri" w:cstheme="majorBidi"/>
          <w:bCs/>
          <w:color w:val="343741"/>
          <w:sz w:val="32"/>
          <w:szCs w:val="32"/>
        </w:rPr>
        <w:fldChar w:fldCharType="end"/>
      </w:r>
      <w:bookmarkStart w:id="3" w:name="_Toc110598492"/>
      <w:r w:rsidR="00DE34C3">
        <w:br w:type="page"/>
      </w:r>
    </w:p>
    <w:p w14:paraId="579C9F1F" w14:textId="0CC9C336" w:rsidR="007D3BDF" w:rsidRDefault="007D3BDF" w:rsidP="2C2CF46A">
      <w:pPr>
        <w:pStyle w:val="Heading1"/>
        <w:numPr>
          <w:ilvl w:val="0"/>
          <w:numId w:val="1"/>
        </w:numPr>
        <w:spacing w:before="120" w:after="120" w:line="240" w:lineRule="auto"/>
      </w:pPr>
      <w:bookmarkStart w:id="4" w:name="_Toc139295518"/>
      <w:r>
        <w:t>Introduction</w:t>
      </w:r>
      <w:bookmarkEnd w:id="3"/>
      <w:r>
        <w:t xml:space="preserve"> </w:t>
      </w:r>
      <w:r w:rsidR="00765952">
        <w:t>and key terms</w:t>
      </w:r>
      <w:bookmarkEnd w:id="4"/>
    </w:p>
    <w:p w14:paraId="34AD7A6B" w14:textId="7382E942" w:rsidR="00610C72" w:rsidRDefault="000F1EAC" w:rsidP="000F1EAC">
      <w:bookmarkStart w:id="5" w:name="_Toc110598494"/>
      <w:r w:rsidRPr="00A504BB">
        <w:t xml:space="preserve">This </w:t>
      </w:r>
      <w:r w:rsidR="00D37079">
        <w:t>I</w:t>
      </w:r>
      <w:r w:rsidRPr="00A504BB">
        <w:t xml:space="preserve">mpact </w:t>
      </w:r>
      <w:r w:rsidR="00D37079">
        <w:t>A</w:t>
      </w:r>
      <w:r w:rsidRPr="00A504BB">
        <w:t xml:space="preserve">nalysis </w:t>
      </w:r>
      <w:r w:rsidR="0048365E" w:rsidRPr="001F0AE4">
        <w:rPr>
          <w:rStyle w:val="cf01"/>
          <w:rFonts w:asciiTheme="minorHAnsi" w:eastAsiaTheme="minorEastAsia" w:hAnsiTheme="minorHAnsi" w:cstheme="minorHAnsi"/>
          <w:sz w:val="22"/>
          <w:szCs w:val="22"/>
        </w:rPr>
        <w:t>Equivalent</w:t>
      </w:r>
      <w:r w:rsidR="0048365E">
        <w:t xml:space="preserve"> process and supplementary analysis </w:t>
      </w:r>
      <w:r w:rsidR="00BC3519">
        <w:t>responds</w:t>
      </w:r>
      <w:r>
        <w:t xml:space="preserve"> to proposed</w:t>
      </w:r>
      <w:r w:rsidRPr="00A504BB">
        <w:t xml:space="preserve"> changes to two pieces of legislation that cover workers in Australia</w:t>
      </w:r>
      <w:r>
        <w:t xml:space="preserve"> – the </w:t>
      </w:r>
      <w:r w:rsidRPr="00E1246E">
        <w:rPr>
          <w:i/>
          <w:iCs/>
        </w:rPr>
        <w:t>Fair Work Act 2009</w:t>
      </w:r>
      <w:r w:rsidR="00E1246E">
        <w:rPr>
          <w:i/>
          <w:iCs/>
        </w:rPr>
        <w:t xml:space="preserve"> (</w:t>
      </w:r>
      <w:r w:rsidR="00895B16">
        <w:rPr>
          <w:i/>
          <w:iCs/>
        </w:rPr>
        <w:t>Cth</w:t>
      </w:r>
      <w:r w:rsidR="00E1246E">
        <w:rPr>
          <w:i/>
          <w:iCs/>
        </w:rPr>
        <w:t>)</w:t>
      </w:r>
      <w:r>
        <w:t xml:space="preserve"> </w:t>
      </w:r>
      <w:r w:rsidR="005948A9">
        <w:t xml:space="preserve">(Fair Work Act) </w:t>
      </w:r>
      <w:r>
        <w:t xml:space="preserve">and the </w:t>
      </w:r>
      <w:r w:rsidRPr="00E1246E">
        <w:rPr>
          <w:i/>
          <w:iCs/>
        </w:rPr>
        <w:t>Independent Contractors Act</w:t>
      </w:r>
      <w:r w:rsidR="00E1246E">
        <w:rPr>
          <w:i/>
          <w:iCs/>
        </w:rPr>
        <w:t xml:space="preserve"> 2006 (Cth)</w:t>
      </w:r>
      <w:r w:rsidR="005948A9">
        <w:rPr>
          <w:i/>
          <w:iCs/>
        </w:rPr>
        <w:t xml:space="preserve"> </w:t>
      </w:r>
      <w:r w:rsidR="005948A9">
        <w:t>(Independent Contractors Act)</w:t>
      </w:r>
      <w:r>
        <w:t>.</w:t>
      </w:r>
      <w:r w:rsidR="00610C72">
        <w:t xml:space="preserve"> </w:t>
      </w:r>
    </w:p>
    <w:p w14:paraId="53DCD69D" w14:textId="6D6DA527" w:rsidR="000F1EAC" w:rsidRDefault="000F1EAC" w:rsidP="00D41E0D">
      <w:pPr>
        <w:rPr>
          <w:b/>
          <w:bCs/>
        </w:rPr>
      </w:pPr>
      <w:r w:rsidRPr="00A504BB">
        <w:rPr>
          <w:b/>
          <w:bCs/>
        </w:rPr>
        <w:t xml:space="preserve">The </w:t>
      </w:r>
      <w:r w:rsidRPr="005948A9">
        <w:rPr>
          <w:b/>
          <w:bCs/>
        </w:rPr>
        <w:t>Fair Work Act</w:t>
      </w:r>
      <w:r w:rsidRPr="00A504BB">
        <w:rPr>
          <w:b/>
          <w:bCs/>
          <w:i/>
          <w:iCs/>
        </w:rPr>
        <w:t xml:space="preserve"> </w:t>
      </w:r>
      <w:r w:rsidRPr="00A504BB">
        <w:rPr>
          <w:b/>
          <w:bCs/>
        </w:rPr>
        <w:t>govern</w:t>
      </w:r>
      <w:r w:rsidR="00F80E6D">
        <w:rPr>
          <w:b/>
          <w:bCs/>
        </w:rPr>
        <w:t>s</w:t>
      </w:r>
      <w:r w:rsidRPr="00A504BB">
        <w:rPr>
          <w:b/>
          <w:bCs/>
        </w:rPr>
        <w:t xml:space="preserve"> </w:t>
      </w:r>
      <w:r w:rsidR="00F80E6D">
        <w:rPr>
          <w:b/>
          <w:bCs/>
        </w:rPr>
        <w:t>employment</w:t>
      </w:r>
      <w:r w:rsidRPr="00A504BB">
        <w:rPr>
          <w:b/>
          <w:bCs/>
        </w:rPr>
        <w:t xml:space="preserve"> relationship</w:t>
      </w:r>
      <w:r w:rsidR="007F0EF8">
        <w:rPr>
          <w:b/>
          <w:bCs/>
        </w:rPr>
        <w:t>s</w:t>
      </w:r>
      <w:r w:rsidRPr="00A504BB">
        <w:rPr>
          <w:b/>
          <w:bCs/>
        </w:rPr>
        <w:t xml:space="preserve"> in Australia</w:t>
      </w:r>
    </w:p>
    <w:p w14:paraId="33CD2EBB" w14:textId="77777777" w:rsidR="001F0AE4" w:rsidRDefault="009660F9" w:rsidP="000F1EAC">
      <w:pPr>
        <w:rPr>
          <w:rStyle w:val="cf01"/>
          <w:rFonts w:asciiTheme="minorHAnsi" w:eastAsiaTheme="majorEastAsia" w:hAnsiTheme="minorHAnsi" w:cstheme="minorHAnsi"/>
          <w:sz w:val="22"/>
          <w:szCs w:val="22"/>
        </w:rPr>
      </w:pPr>
      <w:r w:rsidRPr="009660F9">
        <w:rPr>
          <w:rStyle w:val="cf01"/>
          <w:rFonts w:asciiTheme="minorHAnsi" w:eastAsiaTheme="minorEastAsia" w:hAnsiTheme="minorHAnsi" w:cstheme="minorHAnsi"/>
          <w:sz w:val="22"/>
          <w:szCs w:val="22"/>
        </w:rPr>
        <w:t xml:space="preserve">Employees are engaged under a </w:t>
      </w:r>
      <w:r w:rsidRPr="009660F9">
        <w:rPr>
          <w:rStyle w:val="cf11"/>
          <w:rFonts w:asciiTheme="minorHAnsi" w:eastAsiaTheme="majorEastAsia" w:hAnsiTheme="minorHAnsi" w:cstheme="minorHAnsi"/>
          <w:sz w:val="22"/>
          <w:szCs w:val="22"/>
        </w:rPr>
        <w:t>contract of service</w:t>
      </w:r>
      <w:r w:rsidRPr="009660F9">
        <w:rPr>
          <w:rStyle w:val="cf01"/>
          <w:rFonts w:asciiTheme="minorHAnsi" w:eastAsiaTheme="minorEastAsia" w:hAnsiTheme="minorHAnsi" w:cstheme="minorHAnsi"/>
          <w:sz w:val="22"/>
          <w:szCs w:val="22"/>
        </w:rPr>
        <w:t xml:space="preserve"> and entitled to a safety net of minimum conditions under the </w:t>
      </w:r>
      <w:r w:rsidRPr="009660F9">
        <w:rPr>
          <w:rStyle w:val="cf11"/>
          <w:rFonts w:asciiTheme="minorHAnsi" w:eastAsiaTheme="majorEastAsia" w:hAnsiTheme="minorHAnsi" w:cstheme="minorHAnsi"/>
          <w:i w:val="0"/>
          <w:iCs w:val="0"/>
          <w:sz w:val="22"/>
          <w:szCs w:val="22"/>
        </w:rPr>
        <w:t>Fair Work Act</w:t>
      </w:r>
      <w:r w:rsidRPr="009660F9">
        <w:rPr>
          <w:rStyle w:val="cf01"/>
          <w:rFonts w:asciiTheme="minorHAnsi" w:eastAsiaTheme="minorEastAsia" w:hAnsiTheme="minorHAnsi" w:cstheme="minorHAnsi"/>
          <w:sz w:val="22"/>
          <w:szCs w:val="22"/>
        </w:rPr>
        <w:t>, modern awards and other workplace legislation</w:t>
      </w:r>
      <w:r w:rsidR="00662E44">
        <w:rPr>
          <w:rStyle w:val="cf01"/>
          <w:rFonts w:asciiTheme="minorHAnsi" w:eastAsiaTheme="minorEastAsia" w:hAnsiTheme="minorHAnsi" w:cstheme="minorHAnsi"/>
          <w:sz w:val="22"/>
          <w:szCs w:val="22"/>
        </w:rPr>
        <w:t>.</w:t>
      </w:r>
      <w:r w:rsidR="00662E44" w:rsidRPr="009660F9">
        <w:rPr>
          <w:rStyle w:val="cf01"/>
          <w:rFonts w:asciiTheme="minorHAnsi" w:eastAsiaTheme="minorEastAsia" w:hAnsiTheme="minorHAnsi" w:cstheme="minorHAnsi"/>
          <w:sz w:val="22"/>
          <w:szCs w:val="22"/>
        </w:rPr>
        <w:t xml:space="preserve"> </w:t>
      </w:r>
      <w:r w:rsidR="00662E44">
        <w:rPr>
          <w:rStyle w:val="cf01"/>
          <w:rFonts w:asciiTheme="minorHAnsi" w:eastAsiaTheme="minorEastAsia" w:hAnsiTheme="minorHAnsi" w:cstheme="minorHAnsi"/>
          <w:sz w:val="22"/>
          <w:szCs w:val="22"/>
        </w:rPr>
        <w:t>By contrast,</w:t>
      </w:r>
      <w:r w:rsidR="00662E44" w:rsidRPr="009660F9">
        <w:rPr>
          <w:rStyle w:val="cf01"/>
          <w:rFonts w:asciiTheme="minorHAnsi" w:eastAsiaTheme="majorEastAsia" w:hAnsiTheme="minorHAnsi" w:cstheme="minorHAnsi"/>
          <w:sz w:val="22"/>
          <w:szCs w:val="22"/>
        </w:rPr>
        <w:t xml:space="preserve"> </w:t>
      </w:r>
      <w:r w:rsidRPr="001F0AE4">
        <w:rPr>
          <w:rStyle w:val="normaltextrun"/>
          <w:rFonts w:ascii="Calibri" w:hAnsi="Calibri" w:cs="Calibri"/>
          <w:color w:val="262626"/>
          <w:shd w:val="clear" w:color="auto" w:fill="FFFFFF"/>
        </w:rPr>
        <w:t>independent</w:t>
      </w:r>
      <w:r w:rsidRPr="009660F9">
        <w:rPr>
          <w:rStyle w:val="cf01"/>
          <w:rFonts w:asciiTheme="minorHAnsi" w:eastAsiaTheme="majorEastAsia" w:hAnsiTheme="minorHAnsi" w:cstheme="minorHAnsi"/>
          <w:sz w:val="22"/>
          <w:szCs w:val="22"/>
        </w:rPr>
        <w:t xml:space="preserve"> contractors are engaged under a </w:t>
      </w:r>
      <w:r w:rsidRPr="009660F9">
        <w:rPr>
          <w:rStyle w:val="cf11"/>
          <w:rFonts w:asciiTheme="minorHAnsi" w:eastAsiaTheme="majorEastAsia" w:hAnsiTheme="minorHAnsi" w:cstheme="minorHAnsi"/>
          <w:sz w:val="22"/>
          <w:szCs w:val="22"/>
        </w:rPr>
        <w:t>contract for services</w:t>
      </w:r>
      <w:r w:rsidRPr="009660F9">
        <w:rPr>
          <w:rStyle w:val="cf01"/>
          <w:rFonts w:asciiTheme="minorHAnsi" w:eastAsiaTheme="majorEastAsia" w:hAnsiTheme="minorHAnsi" w:cstheme="minorHAnsi"/>
          <w:sz w:val="22"/>
          <w:szCs w:val="22"/>
        </w:rPr>
        <w:t xml:space="preserve">. </w:t>
      </w:r>
    </w:p>
    <w:p w14:paraId="693E1219" w14:textId="1407B983" w:rsidR="000F1EAC" w:rsidRPr="00662E44" w:rsidRDefault="003C6AEF" w:rsidP="00617654">
      <w:pPr>
        <w:rPr>
          <w:b/>
          <w:bCs/>
        </w:rPr>
      </w:pPr>
      <w:r>
        <w:t xml:space="preserve">The National Employment Standards </w:t>
      </w:r>
      <w:r w:rsidR="38AFF4BE">
        <w:t>in the Fair Work Act, together wi</w:t>
      </w:r>
      <w:r w:rsidR="00BA34FB">
        <w:t>t</w:t>
      </w:r>
      <w:r w:rsidR="38AFF4BE">
        <w:t>h</w:t>
      </w:r>
      <w:r>
        <w:t xml:space="preserve"> modern awards </w:t>
      </w:r>
      <w:r w:rsidR="4294460F">
        <w:t xml:space="preserve">and national minimum wage orders </w:t>
      </w:r>
      <w:r>
        <w:t>provide a safety net of minimum wages and entitlements for national system employees</w:t>
      </w:r>
      <w:r w:rsidR="00BE6FAA">
        <w:t xml:space="preserve">. </w:t>
      </w:r>
      <w:r w:rsidR="000F1EAC">
        <w:t xml:space="preserve">The Object of the </w:t>
      </w:r>
      <w:r w:rsidR="00F85CE4">
        <w:t xml:space="preserve">Fair Work </w:t>
      </w:r>
      <w:r w:rsidR="000313CD">
        <w:t>A</w:t>
      </w:r>
      <w:r w:rsidR="000F1EAC">
        <w:t xml:space="preserve">ct is to provide a balanced framework for cooperative and </w:t>
      </w:r>
      <w:r w:rsidR="000F1EAC" w:rsidRPr="001F0AE4">
        <w:rPr>
          <w:rStyle w:val="normaltextrun"/>
          <w:rFonts w:ascii="Calibri" w:hAnsi="Calibri" w:cs="Calibri"/>
          <w:color w:val="262626"/>
          <w:shd w:val="clear" w:color="auto" w:fill="FFFFFF"/>
        </w:rPr>
        <w:t>productive</w:t>
      </w:r>
      <w:r w:rsidR="000F1EAC">
        <w:t xml:space="preserve"> workplace relations that promotes national economic prosperity and social inclusion for all Australians.</w:t>
      </w:r>
      <w:r w:rsidR="005948A9">
        <w:rPr>
          <w:rStyle w:val="FootnoteReference"/>
        </w:rPr>
        <w:footnoteReference w:id="2"/>
      </w:r>
      <w:r>
        <w:t xml:space="preserve"> </w:t>
      </w:r>
      <w:r w:rsidR="007563CD">
        <w:t>The</w:t>
      </w:r>
      <w:r w:rsidR="004956FE">
        <w:t xml:space="preserve"> Fair Work Act</w:t>
      </w:r>
      <w:r w:rsidR="008E6071">
        <w:t xml:space="preserve"> also </w:t>
      </w:r>
      <w:r w:rsidR="00AC45B8">
        <w:t>provides</w:t>
      </w:r>
      <w:r w:rsidR="00D22B93">
        <w:t xml:space="preserve">, for example, </w:t>
      </w:r>
      <w:r w:rsidR="000F1EAC">
        <w:t xml:space="preserve">employers </w:t>
      </w:r>
      <w:r w:rsidR="00AC45B8">
        <w:t xml:space="preserve">with </w:t>
      </w:r>
      <w:r w:rsidR="000F1EAC">
        <w:t xml:space="preserve">access to a range of types of employment </w:t>
      </w:r>
      <w:r w:rsidR="008E6071">
        <w:t>to offer</w:t>
      </w:r>
      <w:r w:rsidR="000F1EAC">
        <w:t xml:space="preserve"> their employees, ensuring flexibility in how working time is arranged.</w:t>
      </w:r>
    </w:p>
    <w:p w14:paraId="38FE0E31" w14:textId="637DBB2A" w:rsidR="00C53CD1" w:rsidRDefault="000F1EAC" w:rsidP="000F1EAC">
      <w:pPr>
        <w:rPr>
          <w:b/>
          <w:bCs/>
        </w:rPr>
      </w:pPr>
      <w:r w:rsidRPr="00A504BB">
        <w:rPr>
          <w:b/>
          <w:bCs/>
        </w:rPr>
        <w:t xml:space="preserve">The Independent Contractors Act </w:t>
      </w:r>
      <w:r w:rsidR="0023380B">
        <w:rPr>
          <w:b/>
          <w:bCs/>
        </w:rPr>
        <w:t>governs</w:t>
      </w:r>
      <w:r w:rsidRPr="00A504BB">
        <w:rPr>
          <w:b/>
          <w:bCs/>
        </w:rPr>
        <w:t xml:space="preserve"> contract</w:t>
      </w:r>
      <w:r w:rsidR="0023380B">
        <w:rPr>
          <w:b/>
          <w:bCs/>
        </w:rPr>
        <w:t>s</w:t>
      </w:r>
      <w:r w:rsidRPr="00A504BB">
        <w:rPr>
          <w:b/>
          <w:bCs/>
        </w:rPr>
        <w:t xml:space="preserve"> </w:t>
      </w:r>
      <w:r w:rsidRPr="0061686E">
        <w:rPr>
          <w:b/>
          <w:bCs/>
          <w:i/>
          <w:iCs/>
        </w:rPr>
        <w:t>for</w:t>
      </w:r>
      <w:r w:rsidRPr="00A504BB">
        <w:rPr>
          <w:b/>
          <w:bCs/>
        </w:rPr>
        <w:t xml:space="preserve"> service</w:t>
      </w:r>
    </w:p>
    <w:p w14:paraId="7A67AD0B" w14:textId="47DED082" w:rsidR="00777D63" w:rsidRPr="00C53CD1" w:rsidRDefault="00C53CD1" w:rsidP="000F1EAC">
      <w:pPr>
        <w:rPr>
          <w:b/>
          <w:bCs/>
        </w:rPr>
      </w:pPr>
      <w:r>
        <w:t xml:space="preserve">The Independent Contractors Act sets </w:t>
      </w:r>
      <w:r w:rsidR="4B8BB393">
        <w:t>up a national unfair contracts remedy scheme for</w:t>
      </w:r>
      <w:r w:rsidR="009E2A4D">
        <w:t xml:space="preserve"> independent contractors. </w:t>
      </w:r>
      <w:r w:rsidR="00DC042E">
        <w:t xml:space="preserve">The principal objects of the Act are to protect the freedom of independent contractors to enter into services </w:t>
      </w:r>
      <w:r w:rsidR="00DC042E" w:rsidRPr="001F0AE4">
        <w:rPr>
          <w:rStyle w:val="normaltextrun"/>
          <w:rFonts w:ascii="Calibri" w:hAnsi="Calibri" w:cs="Calibri"/>
          <w:color w:val="262626"/>
          <w:shd w:val="clear" w:color="auto" w:fill="FFFFFF"/>
        </w:rPr>
        <w:t>contracts</w:t>
      </w:r>
      <w:r w:rsidR="00DC042E">
        <w:t>, to recognise independent contracting as a legitimate form of work arrangement that is primarily commercial and to prevent interference with the terms of genuine independent contracting arrangements.</w:t>
      </w:r>
      <w:r w:rsidR="00DC042E">
        <w:rPr>
          <w:rStyle w:val="FootnoteReference"/>
        </w:rPr>
        <w:footnoteReference w:id="3"/>
      </w:r>
      <w:r w:rsidR="001C0979">
        <w:t xml:space="preserve"> </w:t>
      </w:r>
    </w:p>
    <w:p w14:paraId="14F18150" w14:textId="2A17A7EA" w:rsidR="000F1EAC" w:rsidRPr="00A504BB" w:rsidRDefault="004C7D24" w:rsidP="000F1EAC">
      <w:pPr>
        <w:rPr>
          <w:b/>
          <w:bCs/>
        </w:rPr>
      </w:pPr>
      <w:r>
        <w:rPr>
          <w:b/>
          <w:bCs/>
        </w:rPr>
        <w:t>Most d</w:t>
      </w:r>
      <w:r w:rsidR="0000232C">
        <w:rPr>
          <w:b/>
          <w:bCs/>
        </w:rPr>
        <w:t>igital platform</w:t>
      </w:r>
      <w:r w:rsidR="000F1EAC">
        <w:rPr>
          <w:b/>
          <w:bCs/>
        </w:rPr>
        <w:t xml:space="preserve"> workers </w:t>
      </w:r>
      <w:r>
        <w:rPr>
          <w:b/>
          <w:bCs/>
        </w:rPr>
        <w:t xml:space="preserve">do not receive minimum standards </w:t>
      </w:r>
    </w:p>
    <w:p w14:paraId="57029B5E" w14:textId="38ABC67C" w:rsidR="004C7D24" w:rsidRPr="008B793A" w:rsidRDefault="00280312" w:rsidP="000F1EAC">
      <w:pPr>
        <w:rPr>
          <w:rFonts w:ascii="Calibri" w:hAnsi="Calibri" w:cs="Calibri"/>
          <w:color w:val="262626"/>
          <w:shd w:val="clear" w:color="auto" w:fill="FFFFFF"/>
        </w:rPr>
      </w:pPr>
      <w:r>
        <w:rPr>
          <w:rStyle w:val="normaltextrun"/>
          <w:rFonts w:ascii="Calibri" w:hAnsi="Calibri" w:cs="Calibri"/>
          <w:color w:val="262626"/>
          <w:shd w:val="clear" w:color="auto" w:fill="FFFFFF"/>
        </w:rPr>
        <w:t>Over the past decade, digital platform work has become embedded</w:t>
      </w:r>
      <w:r w:rsidR="00260116">
        <w:rPr>
          <w:rStyle w:val="normaltextrun"/>
          <w:rFonts w:ascii="Calibri" w:hAnsi="Calibri" w:cs="Calibri"/>
          <w:color w:val="262626"/>
          <w:shd w:val="clear" w:color="auto" w:fill="FFFFFF"/>
        </w:rPr>
        <w:t xml:space="preserve"> across the economy</w:t>
      </w:r>
      <w:r>
        <w:rPr>
          <w:rStyle w:val="normaltextrun"/>
          <w:rFonts w:ascii="Calibri" w:hAnsi="Calibri" w:cs="Calibri"/>
          <w:color w:val="262626"/>
          <w:shd w:val="clear" w:color="auto" w:fill="FFFFFF"/>
        </w:rPr>
        <w:t xml:space="preserve"> in both Australia and internationally</w:t>
      </w:r>
      <w:r w:rsidR="00916214">
        <w:rPr>
          <w:rStyle w:val="normaltextrun"/>
          <w:rFonts w:ascii="Calibri" w:hAnsi="Calibri" w:cs="Calibri"/>
          <w:color w:val="262626"/>
          <w:shd w:val="clear" w:color="auto" w:fill="FFFFFF"/>
        </w:rPr>
        <w:t xml:space="preserve">. This </w:t>
      </w:r>
      <w:r w:rsidR="00020210">
        <w:rPr>
          <w:rStyle w:val="normaltextrun"/>
          <w:rFonts w:ascii="Calibri" w:hAnsi="Calibri" w:cs="Calibri"/>
          <w:color w:val="262626"/>
          <w:shd w:val="clear" w:color="auto" w:fill="FFFFFF"/>
        </w:rPr>
        <w:t>document</w:t>
      </w:r>
      <w:r w:rsidR="00916214">
        <w:rPr>
          <w:rStyle w:val="normaltextrun"/>
          <w:rFonts w:ascii="Calibri" w:hAnsi="Calibri" w:cs="Calibri"/>
          <w:color w:val="262626"/>
          <w:shd w:val="clear" w:color="auto" w:fill="FFFFFF"/>
        </w:rPr>
        <w:t xml:space="preserve"> will refer to </w:t>
      </w:r>
      <w:r w:rsidR="00260116">
        <w:rPr>
          <w:rStyle w:val="normaltextrun"/>
          <w:rFonts w:ascii="Calibri" w:hAnsi="Calibri" w:cs="Calibri"/>
          <w:color w:val="262626"/>
          <w:shd w:val="clear" w:color="auto" w:fill="FFFFFF"/>
        </w:rPr>
        <w:t>th</w:t>
      </w:r>
      <w:r w:rsidR="007854B6">
        <w:rPr>
          <w:rStyle w:val="normaltextrun"/>
          <w:rFonts w:ascii="Calibri" w:hAnsi="Calibri" w:cs="Calibri"/>
          <w:color w:val="262626"/>
          <w:shd w:val="clear" w:color="auto" w:fill="FFFFFF"/>
        </w:rPr>
        <w:t>e marketplace of these</w:t>
      </w:r>
      <w:r w:rsidR="00916214">
        <w:rPr>
          <w:rStyle w:val="normaltextrun"/>
          <w:rFonts w:ascii="Calibri" w:hAnsi="Calibri" w:cs="Calibri"/>
          <w:color w:val="262626"/>
          <w:shd w:val="clear" w:color="auto" w:fill="FFFFFF"/>
        </w:rPr>
        <w:t xml:space="preserve"> services as </w:t>
      </w:r>
      <w:r w:rsidR="0000232C" w:rsidDel="00D710B3">
        <w:rPr>
          <w:rStyle w:val="normaltextrun"/>
          <w:rFonts w:ascii="Calibri" w:hAnsi="Calibri" w:cs="Calibri"/>
          <w:color w:val="262626"/>
          <w:shd w:val="clear" w:color="auto" w:fill="FFFFFF"/>
        </w:rPr>
        <w:t>t</w:t>
      </w:r>
      <w:r w:rsidR="0000232C">
        <w:t xml:space="preserve">he </w:t>
      </w:r>
      <w:r w:rsidR="00916214">
        <w:t>‘</w:t>
      </w:r>
      <w:r w:rsidR="0023380B">
        <w:t>digital platform economy</w:t>
      </w:r>
      <w:r w:rsidR="00916214">
        <w:t>’</w:t>
      </w:r>
      <w:r w:rsidR="0023380B">
        <w:t xml:space="preserve"> (also </w:t>
      </w:r>
      <w:r w:rsidR="009D7DA7">
        <w:t xml:space="preserve">known </w:t>
      </w:r>
      <w:r w:rsidR="0023380B">
        <w:t xml:space="preserve">as the </w:t>
      </w:r>
      <w:r w:rsidR="0000232C">
        <w:t>gig economy</w:t>
      </w:r>
      <w:r w:rsidR="0023380B">
        <w:t>)</w:t>
      </w:r>
      <w:r w:rsidR="000F1EAC">
        <w:t>.</w:t>
      </w:r>
      <w:r w:rsidR="004C7D24">
        <w:t xml:space="preserve"> </w:t>
      </w:r>
    </w:p>
    <w:p w14:paraId="60BA365E" w14:textId="49F1E391" w:rsidR="0006714C" w:rsidRDefault="004C7D24" w:rsidP="000F1EAC">
      <w:r>
        <w:t xml:space="preserve">There is no universal definition </w:t>
      </w:r>
      <w:r w:rsidR="7C9F17DA">
        <w:t>of</w:t>
      </w:r>
      <w:r>
        <w:t xml:space="preserve"> </w:t>
      </w:r>
      <w:r w:rsidR="00EC03BE">
        <w:t xml:space="preserve">digital </w:t>
      </w:r>
      <w:r>
        <w:t>platform work</w:t>
      </w:r>
      <w:r w:rsidR="00EC03BE">
        <w:t xml:space="preserve">. This </w:t>
      </w:r>
      <w:r w:rsidR="00020210">
        <w:t>document</w:t>
      </w:r>
      <w:r w:rsidR="00EC03BE">
        <w:t xml:space="preserve"> will refer to digital platform workers as </w:t>
      </w:r>
      <w:r w:rsidR="00EC03BE" w:rsidRPr="001F0AE4">
        <w:rPr>
          <w:rStyle w:val="normaltextrun"/>
          <w:rFonts w:ascii="Calibri" w:hAnsi="Calibri" w:cs="Calibri"/>
          <w:color w:val="262626"/>
          <w:shd w:val="clear" w:color="auto" w:fill="FFFFFF"/>
        </w:rPr>
        <w:t>persons</w:t>
      </w:r>
      <w:r w:rsidR="00EC03BE">
        <w:t xml:space="preserve"> </w:t>
      </w:r>
      <w:r w:rsidR="000F1EAC">
        <w:t>who use a digital</w:t>
      </w:r>
      <w:r w:rsidR="00EC03BE">
        <w:t xml:space="preserve"> labour</w:t>
      </w:r>
      <w:r w:rsidR="000F1EAC">
        <w:t xml:space="preserve"> platform to find work, and then, </w:t>
      </w:r>
      <w:r w:rsidR="00EC03BE">
        <w:t>are</w:t>
      </w:r>
      <w:r w:rsidR="000F1EAC">
        <w:t xml:space="preserve"> engaged to do paid work through a digital platform. </w:t>
      </w:r>
    </w:p>
    <w:p w14:paraId="19B7429F" w14:textId="5116479D" w:rsidR="003E7F9A" w:rsidRDefault="00561650" w:rsidP="00280312">
      <w:pPr>
        <w:rPr>
          <w:rStyle w:val="normaltextrun"/>
          <w:rFonts w:ascii="Calibri" w:hAnsi="Calibri" w:cs="Calibri"/>
          <w:color w:val="262626" w:themeColor="text1" w:themeTint="D9"/>
        </w:rPr>
      </w:pPr>
      <w:r>
        <w:t xml:space="preserve">There are </w:t>
      </w:r>
      <w:r w:rsidR="5937811C">
        <w:t>numerous</w:t>
      </w:r>
      <w:r>
        <w:t xml:space="preserve"> models </w:t>
      </w:r>
      <w:r w:rsidR="1C2D85E5">
        <w:t>of</w:t>
      </w:r>
      <w:r>
        <w:t xml:space="preserve"> digital platform work. While </w:t>
      </w:r>
      <w:r w:rsidRPr="004C7D24">
        <w:t>digital platform</w:t>
      </w:r>
      <w:r>
        <w:t xml:space="preserve">s can directly </w:t>
      </w:r>
      <w:r w:rsidR="00491D0C">
        <w:t>hire</w:t>
      </w:r>
      <w:r w:rsidRPr="004C7D24">
        <w:t xml:space="preserve"> employees</w:t>
      </w:r>
      <w:r>
        <w:t>, in m</w:t>
      </w:r>
      <w:r w:rsidR="7345519B">
        <w:t>ost</w:t>
      </w:r>
      <w:r>
        <w:t xml:space="preserve"> cases they are</w:t>
      </w:r>
      <w:r w:rsidRPr="004C7D24">
        <w:t xml:space="preserve"> engaged as independent contractors by a platform, or </w:t>
      </w:r>
      <w:r w:rsidR="6FF237A3" w:rsidRPr="004C7D24">
        <w:t>by</w:t>
      </w:r>
      <w:r w:rsidRPr="004C7D24">
        <w:t xml:space="preserve"> another person via a platform.</w:t>
      </w:r>
      <w:r>
        <w:t xml:space="preserve"> </w:t>
      </w:r>
      <w:r w:rsidR="00280312" w:rsidRPr="73720404">
        <w:rPr>
          <w:rStyle w:val="normaltextrun"/>
          <w:rFonts w:ascii="Calibri" w:hAnsi="Calibri" w:cs="Calibri"/>
          <w:color w:val="262626" w:themeColor="text1" w:themeTint="D9"/>
        </w:rPr>
        <w:t xml:space="preserve"> </w:t>
      </w:r>
      <w:r w:rsidR="00280312" w:rsidRPr="73720404" w:rsidDel="00965BFF">
        <w:rPr>
          <w:rStyle w:val="normaltextrun"/>
          <w:rFonts w:ascii="Calibri" w:hAnsi="Calibri" w:cs="Calibri"/>
          <w:color w:val="262626" w:themeColor="text1" w:themeTint="D9"/>
        </w:rPr>
        <w:t>D</w:t>
      </w:r>
      <w:r w:rsidR="00280312" w:rsidRPr="73720404">
        <w:rPr>
          <w:rStyle w:val="normaltextrun"/>
          <w:rFonts w:ascii="Calibri" w:hAnsi="Calibri" w:cs="Calibri"/>
          <w:color w:val="262626" w:themeColor="text1" w:themeTint="D9"/>
        </w:rPr>
        <w:t>igital platforms can be loosely categorised as ‘horizontal’ or ‘vertical’ structures</w:t>
      </w:r>
      <w:r w:rsidR="00965BFF" w:rsidRPr="73720404">
        <w:rPr>
          <w:rStyle w:val="normaltextrun"/>
          <w:rFonts w:ascii="Calibri" w:hAnsi="Calibri" w:cs="Calibri"/>
          <w:color w:val="262626" w:themeColor="text1" w:themeTint="D9"/>
        </w:rPr>
        <w:t xml:space="preserve">, while noting that there are many hybrid </w:t>
      </w:r>
      <w:r w:rsidR="00AE4828" w:rsidRPr="73720404">
        <w:rPr>
          <w:rStyle w:val="normaltextrun"/>
          <w:rFonts w:ascii="Calibri" w:hAnsi="Calibri" w:cs="Calibri"/>
          <w:color w:val="262626" w:themeColor="text1" w:themeTint="D9"/>
        </w:rPr>
        <w:t>models that fall between these categories</w:t>
      </w:r>
      <w:r w:rsidR="00280312" w:rsidRPr="73720404">
        <w:rPr>
          <w:rStyle w:val="normaltextrun"/>
          <w:rFonts w:ascii="Calibri" w:hAnsi="Calibri" w:cs="Calibri"/>
          <w:color w:val="262626" w:themeColor="text1" w:themeTint="D9"/>
        </w:rPr>
        <w:t>.</w:t>
      </w:r>
      <w:r w:rsidR="00280312" w:rsidRPr="73720404">
        <w:rPr>
          <w:rStyle w:val="FootnoteReference"/>
          <w:rFonts w:ascii="Calibri" w:hAnsi="Calibri" w:cs="Calibri"/>
          <w:color w:val="262626" w:themeColor="text1" w:themeTint="D9"/>
        </w:rPr>
        <w:t xml:space="preserve"> </w:t>
      </w:r>
      <w:r w:rsidR="00280312">
        <w:rPr>
          <w:rStyle w:val="FootnoteReference"/>
          <w:rFonts w:ascii="Calibri" w:hAnsi="Calibri" w:cs="Calibri"/>
          <w:color w:val="262626"/>
          <w:shd w:val="clear" w:color="auto" w:fill="FFFFFF"/>
        </w:rPr>
        <w:footnoteReference w:id="4"/>
      </w:r>
      <w:r w:rsidR="00280312" w:rsidRPr="73720404">
        <w:rPr>
          <w:rStyle w:val="normaltextrun"/>
          <w:rFonts w:ascii="Calibri" w:hAnsi="Calibri" w:cs="Calibri"/>
          <w:color w:val="262626" w:themeColor="text1" w:themeTint="D9"/>
        </w:rPr>
        <w:t xml:space="preserve"> ‘Horizontal’ platforms are also known as ‘crowd-work systems’ and facilitate a ‘marketplace’ of transactions between </w:t>
      </w:r>
      <w:r w:rsidR="3A658AA8" w:rsidRPr="73720404">
        <w:rPr>
          <w:rStyle w:val="normaltextrun"/>
          <w:rFonts w:ascii="Calibri" w:hAnsi="Calibri" w:cs="Calibri"/>
          <w:color w:val="262626" w:themeColor="text1" w:themeTint="D9"/>
        </w:rPr>
        <w:t>service</w:t>
      </w:r>
      <w:r w:rsidR="00280312" w:rsidRPr="73720404">
        <w:rPr>
          <w:rStyle w:val="normaltextrun"/>
          <w:rFonts w:ascii="Calibri" w:hAnsi="Calibri" w:cs="Calibri"/>
          <w:color w:val="262626" w:themeColor="text1" w:themeTint="D9"/>
        </w:rPr>
        <w:t xml:space="preserve"> providers and clients</w:t>
      </w:r>
      <w:r w:rsidR="00404900" w:rsidRPr="73720404">
        <w:rPr>
          <w:rStyle w:val="normaltextrun"/>
          <w:rFonts w:ascii="Calibri" w:hAnsi="Calibri" w:cs="Calibri"/>
          <w:color w:val="262626" w:themeColor="text1" w:themeTint="D9"/>
        </w:rPr>
        <w:t xml:space="preserve">, with varying levels of </w:t>
      </w:r>
      <w:r w:rsidR="00597016">
        <w:rPr>
          <w:rStyle w:val="normaltextrun"/>
          <w:rFonts w:ascii="Calibri" w:hAnsi="Calibri" w:cs="Calibri"/>
          <w:color w:val="262626" w:themeColor="text1" w:themeTint="D9"/>
        </w:rPr>
        <w:t xml:space="preserve">platform </w:t>
      </w:r>
      <w:r w:rsidR="00404900" w:rsidRPr="73720404">
        <w:rPr>
          <w:rStyle w:val="normaltextrun"/>
          <w:rFonts w:ascii="Calibri" w:hAnsi="Calibri" w:cs="Calibri"/>
          <w:color w:val="262626" w:themeColor="text1" w:themeTint="D9"/>
        </w:rPr>
        <w:t>regulation of</w:t>
      </w:r>
      <w:r w:rsidR="009B47F9" w:rsidRPr="73720404">
        <w:rPr>
          <w:rStyle w:val="normaltextrun"/>
          <w:rFonts w:ascii="Calibri" w:hAnsi="Calibri" w:cs="Calibri"/>
          <w:color w:val="262626" w:themeColor="text1" w:themeTint="D9"/>
        </w:rPr>
        <w:t xml:space="preserve"> </w:t>
      </w:r>
      <w:r w:rsidR="00323726" w:rsidRPr="73720404">
        <w:rPr>
          <w:rStyle w:val="normaltextrun"/>
          <w:rFonts w:ascii="Calibri" w:hAnsi="Calibri" w:cs="Calibri"/>
          <w:color w:val="262626" w:themeColor="text1" w:themeTint="D9"/>
        </w:rPr>
        <w:t>these contracting relationships</w:t>
      </w:r>
      <w:r w:rsidR="009B47F9" w:rsidRPr="73720404">
        <w:rPr>
          <w:rStyle w:val="normaltextrun"/>
          <w:rFonts w:ascii="Calibri" w:hAnsi="Calibri" w:cs="Calibri"/>
          <w:color w:val="262626" w:themeColor="text1" w:themeTint="D9"/>
        </w:rPr>
        <w:t>.</w:t>
      </w:r>
      <w:r w:rsidR="00280312" w:rsidRPr="73720404">
        <w:rPr>
          <w:rStyle w:val="normaltextrun"/>
          <w:rFonts w:ascii="Calibri" w:hAnsi="Calibri" w:cs="Calibri"/>
          <w:color w:val="262626" w:themeColor="text1" w:themeTint="D9"/>
        </w:rPr>
        <w:t xml:space="preserve"> ‘</w:t>
      </w:r>
      <w:r w:rsidR="009B47F9" w:rsidRPr="73720404">
        <w:rPr>
          <w:rStyle w:val="normaltextrun"/>
          <w:rFonts w:ascii="Calibri" w:hAnsi="Calibri" w:cs="Calibri"/>
          <w:color w:val="262626" w:themeColor="text1" w:themeTint="D9"/>
        </w:rPr>
        <w:t>V</w:t>
      </w:r>
      <w:r w:rsidR="00280312" w:rsidRPr="73720404">
        <w:rPr>
          <w:rStyle w:val="normaltextrun"/>
          <w:rFonts w:ascii="Calibri" w:hAnsi="Calibri" w:cs="Calibri"/>
          <w:color w:val="262626" w:themeColor="text1" w:themeTint="D9"/>
        </w:rPr>
        <w:t>ertical’ (or ‘on-demand’) platforms directly allocate tasks to available workers to complete for a client.</w:t>
      </w:r>
    </w:p>
    <w:p w14:paraId="12929924" w14:textId="5EC633D1" w:rsidR="00AB70B7" w:rsidRDefault="003E7F9A" w:rsidP="00280312">
      <w:pPr>
        <w:rPr>
          <w:rStyle w:val="normaltextrun"/>
          <w:rFonts w:ascii="Calibri" w:hAnsi="Calibri" w:cs="Calibri"/>
          <w:color w:val="262626"/>
          <w:shd w:val="clear" w:color="auto" w:fill="FFFFFF"/>
        </w:rPr>
      </w:pPr>
      <w:r>
        <w:rPr>
          <w:rStyle w:val="normaltextrun"/>
          <w:rFonts w:ascii="Calibri" w:hAnsi="Calibri" w:cs="Calibri"/>
          <w:color w:val="262626"/>
          <w:shd w:val="clear" w:color="auto" w:fill="FFFFFF"/>
        </w:rPr>
        <w:t xml:space="preserve">Digital platform work is </w:t>
      </w:r>
      <w:r w:rsidR="00434C05">
        <w:rPr>
          <w:rStyle w:val="normaltextrun"/>
          <w:rFonts w:ascii="Calibri" w:hAnsi="Calibri" w:cs="Calibri"/>
          <w:color w:val="262626"/>
          <w:shd w:val="clear" w:color="auto" w:fill="FFFFFF"/>
        </w:rPr>
        <w:t>common</w:t>
      </w:r>
      <w:r>
        <w:rPr>
          <w:rStyle w:val="normaltextrun"/>
          <w:rFonts w:ascii="Calibri" w:hAnsi="Calibri" w:cs="Calibri"/>
          <w:color w:val="262626"/>
          <w:shd w:val="clear" w:color="auto" w:fill="FFFFFF"/>
        </w:rPr>
        <w:t xml:space="preserve"> in passenger transport, food delivery and disability and aged care support services.</w:t>
      </w:r>
      <w:r w:rsidR="00C33732">
        <w:rPr>
          <w:rStyle w:val="normaltextrun"/>
          <w:rFonts w:ascii="Calibri" w:hAnsi="Calibri" w:cs="Calibri"/>
          <w:color w:val="262626"/>
          <w:shd w:val="clear" w:color="auto" w:fill="FFFFFF"/>
        </w:rPr>
        <w:t xml:space="preserve"> However, </w:t>
      </w:r>
      <w:r w:rsidR="00025837">
        <w:rPr>
          <w:rStyle w:val="normaltextrun"/>
          <w:rFonts w:ascii="Calibri" w:hAnsi="Calibri" w:cs="Calibri"/>
          <w:color w:val="262626"/>
          <w:shd w:val="clear" w:color="auto" w:fill="FFFFFF"/>
        </w:rPr>
        <w:t xml:space="preserve">the digital platform economy also includes </w:t>
      </w:r>
      <w:r w:rsidR="00C33732">
        <w:rPr>
          <w:rStyle w:val="normaltextrun"/>
          <w:rFonts w:ascii="Calibri" w:hAnsi="Calibri" w:cs="Calibri"/>
          <w:color w:val="262626"/>
          <w:shd w:val="clear" w:color="auto" w:fill="FFFFFF"/>
        </w:rPr>
        <w:t xml:space="preserve">other </w:t>
      </w:r>
      <w:r w:rsidR="00025837">
        <w:rPr>
          <w:rStyle w:val="normaltextrun"/>
          <w:rFonts w:ascii="Calibri" w:hAnsi="Calibri" w:cs="Calibri"/>
          <w:color w:val="262626"/>
          <w:shd w:val="clear" w:color="auto" w:fill="FFFFFF"/>
        </w:rPr>
        <w:t>types of work</w:t>
      </w:r>
      <w:r w:rsidR="00C33732">
        <w:rPr>
          <w:rStyle w:val="normaltextrun"/>
          <w:rFonts w:ascii="Calibri" w:hAnsi="Calibri" w:cs="Calibri"/>
          <w:color w:val="262626"/>
          <w:shd w:val="clear" w:color="auto" w:fill="FFFFFF"/>
        </w:rPr>
        <w:t xml:space="preserve"> such as </w:t>
      </w:r>
      <w:r w:rsidR="00025837">
        <w:rPr>
          <w:rStyle w:val="normaltextrun"/>
          <w:rFonts w:ascii="Calibri" w:hAnsi="Calibri" w:cs="Calibri"/>
          <w:color w:val="262626"/>
          <w:shd w:val="clear" w:color="auto" w:fill="FFFFFF"/>
        </w:rPr>
        <w:t xml:space="preserve">professional services, ‘odd jobs’ and maintenance, writing and translation, clerical and data entry, creative and multimedia, software development and technology, </w:t>
      </w:r>
      <w:r w:rsidR="00CC155C">
        <w:rPr>
          <w:rStyle w:val="normaltextrun"/>
          <w:rFonts w:ascii="Calibri" w:hAnsi="Calibri" w:cs="Calibri"/>
          <w:color w:val="262626"/>
          <w:shd w:val="clear" w:color="auto" w:fill="FFFFFF"/>
        </w:rPr>
        <w:t xml:space="preserve">skilled trades work, sales and </w:t>
      </w:r>
      <w:r w:rsidR="00CC155C" w:rsidRPr="00617654">
        <w:t>marketing</w:t>
      </w:r>
      <w:r w:rsidR="00CC155C">
        <w:rPr>
          <w:rStyle w:val="normaltextrun"/>
          <w:rFonts w:ascii="Calibri" w:hAnsi="Calibri" w:cs="Calibri"/>
          <w:color w:val="262626"/>
          <w:shd w:val="clear" w:color="auto" w:fill="FFFFFF"/>
        </w:rPr>
        <w:t xml:space="preserve"> support, education and personal services.</w:t>
      </w:r>
      <w:r w:rsidR="00CC155C">
        <w:rPr>
          <w:rStyle w:val="FootnoteReference"/>
          <w:rFonts w:ascii="Calibri" w:hAnsi="Calibri" w:cs="Calibri"/>
          <w:color w:val="262626"/>
          <w:shd w:val="clear" w:color="auto" w:fill="FFFFFF"/>
        </w:rPr>
        <w:footnoteReference w:id="5"/>
      </w:r>
    </w:p>
    <w:p w14:paraId="0D4F6B7F" w14:textId="44C7E5A9" w:rsidR="00280312" w:rsidRPr="006C6757" w:rsidRDefault="00280312" w:rsidP="001F0AE4">
      <w:pPr>
        <w:rPr>
          <w:rStyle w:val="eop"/>
          <w:rFonts w:eastAsiaTheme="minorEastAsia"/>
          <w:color w:val="262626"/>
        </w:rPr>
      </w:pPr>
      <w:r w:rsidRPr="20EC82BA">
        <w:rPr>
          <w:rStyle w:val="normaltextrun"/>
          <w:rFonts w:eastAsiaTheme="minorEastAsia"/>
          <w:color w:val="262626" w:themeColor="text1" w:themeTint="D9"/>
        </w:rPr>
        <w:t xml:space="preserve">These services can provide broader economic benefits through efficiencies in matching buyers and sellers, </w:t>
      </w:r>
      <w:r w:rsidRPr="00617654">
        <w:t>creating</w:t>
      </w:r>
      <w:r w:rsidRPr="20EC82BA">
        <w:rPr>
          <w:rStyle w:val="normaltextrun"/>
          <w:rFonts w:eastAsiaTheme="minorEastAsia"/>
          <w:color w:val="262626" w:themeColor="text1" w:themeTint="D9"/>
        </w:rPr>
        <w:t xml:space="preserve"> new markets, and innovating to provide improved services.</w:t>
      </w:r>
      <w:r w:rsidRPr="20EC82BA">
        <w:rPr>
          <w:rStyle w:val="eop"/>
          <w:rFonts w:eastAsiaTheme="majorEastAsia"/>
          <w:color w:val="262626" w:themeColor="text1" w:themeTint="D9"/>
        </w:rPr>
        <w:t xml:space="preserve"> However, i</w:t>
      </w:r>
      <w:r w:rsidRPr="20EC82BA">
        <w:rPr>
          <w:rStyle w:val="normaltextrun"/>
          <w:rFonts w:eastAsiaTheme="minorEastAsia"/>
          <w:color w:val="262626" w:themeColor="text1" w:themeTint="D9"/>
        </w:rPr>
        <w:t xml:space="preserve">ndependent contracting </w:t>
      </w:r>
      <w:r w:rsidRPr="001F0AE4">
        <w:rPr>
          <w:rStyle w:val="normaltextrun"/>
          <w:rFonts w:ascii="Calibri" w:hAnsi="Calibri" w:cs="Calibri"/>
          <w:color w:val="262626"/>
          <w:shd w:val="clear" w:color="auto" w:fill="FFFFFF"/>
        </w:rPr>
        <w:t>arrangements</w:t>
      </w:r>
      <w:r w:rsidRPr="20EC82BA">
        <w:rPr>
          <w:rStyle w:val="normaltextrun"/>
          <w:rFonts w:eastAsiaTheme="minorEastAsia"/>
          <w:color w:val="262626" w:themeColor="text1" w:themeTint="D9"/>
        </w:rPr>
        <w:t xml:space="preserve"> </w:t>
      </w:r>
      <w:r w:rsidR="00D65E5A" w:rsidRPr="20EC82BA">
        <w:rPr>
          <w:rStyle w:val="normaltextrun"/>
          <w:rFonts w:eastAsiaTheme="minorEastAsia"/>
          <w:color w:val="262626" w:themeColor="text1" w:themeTint="D9"/>
        </w:rPr>
        <w:t>operate without many of the protections that apply to employees, such as minimum rates of pay</w:t>
      </w:r>
      <w:r w:rsidRPr="20EC82BA">
        <w:rPr>
          <w:rStyle w:val="normaltextrun"/>
          <w:rFonts w:eastAsiaTheme="minorEastAsia"/>
          <w:color w:val="262626" w:themeColor="text1" w:themeTint="D9"/>
        </w:rPr>
        <w:t xml:space="preserve">. This is despite many digital platform workers exhibiting characteristics that are ‘employee-like’, including </w:t>
      </w:r>
      <w:r w:rsidR="0043112E">
        <w:rPr>
          <w:rStyle w:val="normaltextrun"/>
          <w:rFonts w:eastAsiaTheme="minorEastAsia"/>
          <w:color w:val="262626" w:themeColor="text1" w:themeTint="D9"/>
        </w:rPr>
        <w:t>low</w:t>
      </w:r>
      <w:r w:rsidRPr="20EC82BA">
        <w:rPr>
          <w:rStyle w:val="normaltextrun"/>
          <w:rFonts w:eastAsiaTheme="minorEastAsia"/>
          <w:color w:val="262626" w:themeColor="text1" w:themeTint="D9"/>
        </w:rPr>
        <w:t xml:space="preserve"> bargaining power or autonomy over their own work.</w:t>
      </w:r>
      <w:r w:rsidR="00FB508E">
        <w:rPr>
          <w:rStyle w:val="FootnoteReference"/>
          <w:rFonts w:eastAsiaTheme="minorEastAsia"/>
          <w:color w:val="262626" w:themeColor="text1" w:themeTint="D9"/>
        </w:rPr>
        <w:footnoteReference w:id="6"/>
      </w:r>
      <w:r w:rsidRPr="20EC82BA">
        <w:rPr>
          <w:rStyle w:val="normaltextrun"/>
          <w:rFonts w:eastAsiaTheme="minorEastAsia"/>
          <w:color w:val="262626" w:themeColor="text1" w:themeTint="D9"/>
        </w:rPr>
        <w:t xml:space="preserve"> </w:t>
      </w:r>
    </w:p>
    <w:p w14:paraId="16BB9FB8" w14:textId="53193829" w:rsidR="00280312" w:rsidRPr="00B71B67" w:rsidRDefault="7CD5A1B3" w:rsidP="001F0AE4">
      <w:pPr>
        <w:rPr>
          <w:color w:val="262626"/>
          <w:sz w:val="18"/>
          <w:szCs w:val="18"/>
        </w:rPr>
      </w:pPr>
      <w:r w:rsidRPr="001F0AE4">
        <w:rPr>
          <w:rStyle w:val="normaltextrun"/>
          <w:rFonts w:ascii="Calibri" w:hAnsi="Calibri" w:cs="Calibri"/>
          <w:color w:val="262626"/>
          <w:shd w:val="clear" w:color="auto" w:fill="FFFFFF"/>
        </w:rPr>
        <w:t>Additionally</w:t>
      </w:r>
      <w:r w:rsidRPr="4B951325">
        <w:rPr>
          <w:rStyle w:val="normaltextrun"/>
          <w:rFonts w:eastAsiaTheme="minorEastAsia"/>
          <w:color w:val="262626" w:themeColor="text1" w:themeTint="D9"/>
        </w:rPr>
        <w:t>, i</w:t>
      </w:r>
      <w:r w:rsidR="00280312" w:rsidRPr="4B951325">
        <w:rPr>
          <w:rStyle w:val="normaltextrun"/>
          <w:rFonts w:eastAsiaTheme="minorEastAsia"/>
          <w:color w:val="262626" w:themeColor="text1" w:themeTint="D9"/>
        </w:rPr>
        <w:t>n</w:t>
      </w:r>
      <w:r w:rsidR="00280312" w:rsidRPr="54C904DB">
        <w:rPr>
          <w:rStyle w:val="normaltextrun"/>
          <w:rFonts w:eastAsiaTheme="minorEastAsia"/>
          <w:color w:val="262626" w:themeColor="text1" w:themeTint="D9"/>
        </w:rPr>
        <w:t xml:space="preserve"> some circumstances, the infrastructure of digital labour platforms does not allow workers to set their own prices. This feature is common in sectors such as food delivery and rideshare, where digital labour platforms often set the price for work based on factors such as time, distance and demand. </w:t>
      </w:r>
    </w:p>
    <w:p w14:paraId="62ACD9F9" w14:textId="526BAA8B" w:rsidR="000F1EAC" w:rsidRDefault="00EB3E13" w:rsidP="000F1EAC">
      <w:pPr>
        <w:pStyle w:val="CABNETParagraph"/>
        <w:spacing w:line="276" w:lineRule="auto"/>
        <w:rPr>
          <w:rFonts w:asciiTheme="minorHAnsi" w:hAnsiTheme="minorHAnsi" w:cstheme="minorHAnsi"/>
          <w:b/>
          <w:bCs/>
          <w:sz w:val="22"/>
          <w:szCs w:val="22"/>
        </w:rPr>
      </w:pPr>
      <w:r>
        <w:rPr>
          <w:rFonts w:asciiTheme="minorHAnsi" w:hAnsiTheme="minorHAnsi" w:cstheme="minorHAnsi"/>
          <w:b/>
          <w:bCs/>
          <w:sz w:val="22"/>
          <w:szCs w:val="22"/>
        </w:rPr>
        <w:t>Proposed</w:t>
      </w:r>
      <w:r w:rsidR="00FB0771">
        <w:rPr>
          <w:rFonts w:asciiTheme="minorHAnsi" w:hAnsiTheme="minorHAnsi" w:cstheme="minorHAnsi"/>
          <w:b/>
          <w:bCs/>
          <w:sz w:val="22"/>
          <w:szCs w:val="22"/>
        </w:rPr>
        <w:t xml:space="preserve"> changes to strengthen protections for certain independent contractors</w:t>
      </w:r>
    </w:p>
    <w:p w14:paraId="11E4E75D" w14:textId="329B787C" w:rsidR="00FB0771" w:rsidRPr="00FB0771" w:rsidRDefault="00995C15" w:rsidP="00617654">
      <w:pPr>
        <w:rPr>
          <w:rFonts w:cstheme="minorHAnsi"/>
        </w:rPr>
      </w:pPr>
      <w:r>
        <w:rPr>
          <w:rFonts w:cstheme="minorHAnsi"/>
        </w:rPr>
        <w:t>T</w:t>
      </w:r>
      <w:r w:rsidR="00EB3E13">
        <w:rPr>
          <w:rFonts w:cstheme="minorHAnsi"/>
        </w:rPr>
        <w:t xml:space="preserve">he Government </w:t>
      </w:r>
      <w:r>
        <w:rPr>
          <w:rFonts w:cstheme="minorHAnsi"/>
        </w:rPr>
        <w:t xml:space="preserve">proposes </w:t>
      </w:r>
      <w:r w:rsidR="00EB3E13">
        <w:rPr>
          <w:rFonts w:cstheme="minorHAnsi"/>
        </w:rPr>
        <w:t>to strengthen protections for certain independent contractors</w:t>
      </w:r>
      <w:r w:rsidR="00974184">
        <w:rPr>
          <w:rFonts w:cstheme="minorHAnsi"/>
        </w:rPr>
        <w:t xml:space="preserve"> with three distinct </w:t>
      </w:r>
      <w:r w:rsidR="00974184" w:rsidRPr="00617654">
        <w:t>but</w:t>
      </w:r>
      <w:r w:rsidR="00974184">
        <w:rPr>
          <w:rFonts w:cstheme="minorHAnsi"/>
        </w:rPr>
        <w:t xml:space="preserve"> inter-related measures</w:t>
      </w:r>
      <w:r w:rsidR="00EB3E13">
        <w:rPr>
          <w:rFonts w:cstheme="minorHAnsi"/>
        </w:rPr>
        <w:t xml:space="preserve">: </w:t>
      </w:r>
    </w:p>
    <w:p w14:paraId="1C3315ED" w14:textId="3034616B" w:rsidR="000F1EAC" w:rsidRPr="00A504BB" w:rsidRDefault="000F1EAC" w:rsidP="00DF1930">
      <w:pPr>
        <w:pStyle w:val="CABNETParagraph"/>
        <w:numPr>
          <w:ilvl w:val="0"/>
          <w:numId w:val="18"/>
        </w:numPr>
        <w:spacing w:line="276" w:lineRule="auto"/>
        <w:rPr>
          <w:rFonts w:asciiTheme="minorHAnsi" w:hAnsiTheme="minorHAnsi" w:cstheme="minorHAnsi"/>
          <w:i/>
          <w:iCs/>
          <w:sz w:val="22"/>
          <w:szCs w:val="22"/>
        </w:rPr>
      </w:pPr>
      <w:r w:rsidRPr="00A504BB">
        <w:rPr>
          <w:rFonts w:asciiTheme="minorHAnsi" w:hAnsiTheme="minorHAnsi" w:cstheme="minorHAnsi"/>
          <w:i/>
          <w:iCs/>
          <w:sz w:val="22"/>
          <w:szCs w:val="22"/>
        </w:rPr>
        <w:t>Minimum standards for</w:t>
      </w:r>
      <w:r w:rsidR="00105261">
        <w:rPr>
          <w:rFonts w:asciiTheme="minorHAnsi" w:hAnsiTheme="minorHAnsi" w:cstheme="minorHAnsi"/>
          <w:i/>
          <w:iCs/>
          <w:sz w:val="22"/>
          <w:szCs w:val="22"/>
        </w:rPr>
        <w:t xml:space="preserve"> independent contractors who are</w:t>
      </w:r>
      <w:r w:rsidRPr="00A504BB">
        <w:rPr>
          <w:rFonts w:asciiTheme="minorHAnsi" w:hAnsiTheme="minorHAnsi" w:cstheme="minorHAnsi"/>
          <w:i/>
          <w:iCs/>
          <w:sz w:val="22"/>
          <w:szCs w:val="22"/>
        </w:rPr>
        <w:t xml:space="preserve"> ‘employee-like’ </w:t>
      </w:r>
    </w:p>
    <w:p w14:paraId="1A4A3566" w14:textId="22A195F7" w:rsidR="000F1EAC" w:rsidRPr="00883527" w:rsidRDefault="000F1EAC" w:rsidP="00617654">
      <w:pPr>
        <w:rPr>
          <w:rFonts w:cstheme="minorHAnsi"/>
        </w:rPr>
      </w:pPr>
      <w:r w:rsidRPr="00A504BB">
        <w:rPr>
          <w:rFonts w:cstheme="minorHAnsi"/>
        </w:rPr>
        <w:t xml:space="preserve">This </w:t>
      </w:r>
      <w:r w:rsidR="0002537E">
        <w:rPr>
          <w:rFonts w:cstheme="minorHAnsi"/>
        </w:rPr>
        <w:t xml:space="preserve">Impact Analysis Equivalent </w:t>
      </w:r>
      <w:r w:rsidR="00B064E4">
        <w:rPr>
          <w:rFonts w:cstheme="minorHAnsi"/>
        </w:rPr>
        <w:t>process</w:t>
      </w:r>
      <w:r w:rsidRPr="00A504BB">
        <w:rPr>
          <w:rFonts w:cstheme="minorHAnsi"/>
        </w:rPr>
        <w:t xml:space="preserve"> responds to </w:t>
      </w:r>
      <w:r w:rsidRPr="00883527">
        <w:rPr>
          <w:rFonts w:cstheme="minorHAnsi"/>
        </w:rPr>
        <w:t xml:space="preserve">an </w:t>
      </w:r>
      <w:r w:rsidR="004D7B45">
        <w:rPr>
          <w:rFonts w:cstheme="minorHAnsi"/>
        </w:rPr>
        <w:t>Australian Government</w:t>
      </w:r>
      <w:r w:rsidR="00A2111D">
        <w:rPr>
          <w:rFonts w:cstheme="minorHAnsi"/>
        </w:rPr>
        <w:t>’s</w:t>
      </w:r>
      <w:r w:rsidR="004D7B45">
        <w:rPr>
          <w:rFonts w:cstheme="minorHAnsi"/>
        </w:rPr>
        <w:t xml:space="preserve"> 2022 </w:t>
      </w:r>
      <w:r w:rsidRPr="00883527">
        <w:rPr>
          <w:rFonts w:cstheme="minorHAnsi"/>
        </w:rPr>
        <w:t xml:space="preserve">election </w:t>
      </w:r>
      <w:r w:rsidRPr="00617654">
        <w:t>commitment</w:t>
      </w:r>
      <w:r w:rsidRPr="00883527">
        <w:rPr>
          <w:rFonts w:cstheme="minorHAnsi"/>
        </w:rPr>
        <w:t xml:space="preserve"> to empower the Fair Work Commission to set minimum standards for </w:t>
      </w:r>
      <w:r w:rsidR="004D7B45">
        <w:rPr>
          <w:rFonts w:cstheme="minorHAnsi"/>
        </w:rPr>
        <w:t>workers in</w:t>
      </w:r>
      <w:r w:rsidRPr="00883527">
        <w:rPr>
          <w:rFonts w:cstheme="minorHAnsi"/>
        </w:rPr>
        <w:t xml:space="preserve"> ‘employee-like’ </w:t>
      </w:r>
      <w:r w:rsidR="004D7B45">
        <w:rPr>
          <w:rFonts w:cstheme="minorHAnsi"/>
        </w:rPr>
        <w:t xml:space="preserve">forms of </w:t>
      </w:r>
      <w:r w:rsidRPr="00883527">
        <w:rPr>
          <w:rFonts w:cstheme="minorHAnsi"/>
        </w:rPr>
        <w:t>work</w:t>
      </w:r>
      <w:r w:rsidR="00E6654F">
        <w:rPr>
          <w:rFonts w:cstheme="minorHAnsi"/>
        </w:rPr>
        <w:t xml:space="preserve">, including those in the </w:t>
      </w:r>
      <w:r w:rsidR="004A544C">
        <w:rPr>
          <w:rFonts w:cstheme="minorHAnsi"/>
        </w:rPr>
        <w:t xml:space="preserve">digital platform </w:t>
      </w:r>
      <w:r w:rsidR="00E6654F">
        <w:rPr>
          <w:rFonts w:cstheme="minorHAnsi"/>
        </w:rPr>
        <w:t xml:space="preserve">economy. </w:t>
      </w:r>
    </w:p>
    <w:p w14:paraId="14E64251" w14:textId="77777777" w:rsidR="00F801FC" w:rsidRPr="00A504BB" w:rsidRDefault="00F801FC" w:rsidP="00F801FC">
      <w:pPr>
        <w:pStyle w:val="CABNETParagraph"/>
        <w:numPr>
          <w:ilvl w:val="0"/>
          <w:numId w:val="18"/>
        </w:numPr>
        <w:spacing w:line="276" w:lineRule="auto"/>
        <w:rPr>
          <w:rFonts w:asciiTheme="minorHAnsi" w:hAnsiTheme="minorHAnsi" w:cstheme="minorHAnsi"/>
          <w:i/>
          <w:iCs/>
          <w:sz w:val="22"/>
          <w:szCs w:val="22"/>
        </w:rPr>
      </w:pPr>
      <w:r>
        <w:rPr>
          <w:rFonts w:asciiTheme="minorHAnsi" w:hAnsiTheme="minorHAnsi" w:cstheme="minorHAnsi"/>
          <w:i/>
          <w:iCs/>
          <w:sz w:val="22"/>
          <w:szCs w:val="22"/>
        </w:rPr>
        <w:t>M</w:t>
      </w:r>
      <w:r w:rsidRPr="00A504BB">
        <w:rPr>
          <w:rFonts w:asciiTheme="minorHAnsi" w:hAnsiTheme="minorHAnsi" w:cstheme="minorHAnsi"/>
          <w:i/>
          <w:iCs/>
          <w:sz w:val="22"/>
          <w:szCs w:val="22"/>
        </w:rPr>
        <w:t>inimum standards in the road transport industry</w:t>
      </w:r>
    </w:p>
    <w:p w14:paraId="608ACD3A" w14:textId="2279F88B" w:rsidR="00F801FC" w:rsidRDefault="00F801FC" w:rsidP="00617654">
      <w:pPr>
        <w:rPr>
          <w:rFonts w:cstheme="minorHAnsi"/>
        </w:rPr>
      </w:pPr>
      <w:r w:rsidRPr="00883527">
        <w:rPr>
          <w:rFonts w:cstheme="minorHAnsi"/>
        </w:rPr>
        <w:t>A</w:t>
      </w:r>
      <w:r>
        <w:rPr>
          <w:rFonts w:cstheme="minorHAnsi"/>
        </w:rPr>
        <w:t>n</w:t>
      </w:r>
      <w:r w:rsidRPr="00883527">
        <w:rPr>
          <w:rFonts w:cstheme="minorHAnsi"/>
        </w:rPr>
        <w:t xml:space="preserve"> outcome of the Jobs and Skills Summit </w:t>
      </w:r>
      <w:r>
        <w:rPr>
          <w:rFonts w:cstheme="minorHAnsi"/>
        </w:rPr>
        <w:t xml:space="preserve">held on 1-2 September 2022 was </w:t>
      </w:r>
      <w:r w:rsidRPr="00883527">
        <w:rPr>
          <w:rFonts w:cstheme="minorHAnsi"/>
        </w:rPr>
        <w:t xml:space="preserve">to ‘consider allowing the Fair </w:t>
      </w:r>
      <w:r w:rsidRPr="00617654">
        <w:t>Work</w:t>
      </w:r>
      <w:r w:rsidRPr="00883527">
        <w:rPr>
          <w:rFonts w:cstheme="minorHAnsi"/>
        </w:rPr>
        <w:t xml:space="preserve"> Commission to set fair minimum standards to ensure the Road Transport Industry is safe, sustainable and viable’.</w:t>
      </w:r>
      <w:r w:rsidRPr="00883527">
        <w:rPr>
          <w:rStyle w:val="FootnoteReference"/>
          <w:rFonts w:cstheme="minorHAnsi"/>
        </w:rPr>
        <w:footnoteReference w:id="7"/>
      </w:r>
      <w:r w:rsidRPr="00883527">
        <w:rPr>
          <w:rFonts w:cstheme="minorHAnsi"/>
        </w:rPr>
        <w:t xml:space="preserve"> </w:t>
      </w:r>
    </w:p>
    <w:p w14:paraId="2BEF410E" w14:textId="190154F8" w:rsidR="000F1EAC" w:rsidRPr="00A504BB" w:rsidRDefault="000F1EAC" w:rsidP="00DF1930">
      <w:pPr>
        <w:pStyle w:val="CABNETParagraph"/>
        <w:numPr>
          <w:ilvl w:val="0"/>
          <w:numId w:val="18"/>
        </w:numPr>
        <w:spacing w:line="276" w:lineRule="auto"/>
        <w:rPr>
          <w:rFonts w:asciiTheme="minorHAnsi" w:hAnsiTheme="minorHAnsi" w:cstheme="minorHAnsi"/>
          <w:i/>
          <w:iCs/>
          <w:sz w:val="22"/>
          <w:szCs w:val="22"/>
        </w:rPr>
      </w:pPr>
      <w:r>
        <w:rPr>
          <w:rFonts w:asciiTheme="minorHAnsi" w:hAnsiTheme="minorHAnsi" w:cstheme="minorHAnsi"/>
          <w:i/>
          <w:iCs/>
          <w:sz w:val="22"/>
          <w:szCs w:val="22"/>
        </w:rPr>
        <w:t xml:space="preserve">Greater protection against </w:t>
      </w:r>
      <w:r w:rsidR="00D26E15">
        <w:rPr>
          <w:rFonts w:asciiTheme="minorHAnsi" w:hAnsiTheme="minorHAnsi" w:cstheme="minorHAnsi"/>
          <w:i/>
          <w:iCs/>
          <w:sz w:val="22"/>
          <w:szCs w:val="22"/>
        </w:rPr>
        <w:t>u</w:t>
      </w:r>
      <w:r w:rsidRPr="00A504BB">
        <w:rPr>
          <w:rFonts w:asciiTheme="minorHAnsi" w:hAnsiTheme="minorHAnsi" w:cstheme="minorHAnsi"/>
          <w:i/>
          <w:iCs/>
          <w:sz w:val="22"/>
          <w:szCs w:val="22"/>
        </w:rPr>
        <w:t>nfair contrac</w:t>
      </w:r>
      <w:r w:rsidR="00D26E15">
        <w:rPr>
          <w:rFonts w:asciiTheme="minorHAnsi" w:hAnsiTheme="minorHAnsi" w:cstheme="minorHAnsi"/>
          <w:i/>
          <w:iCs/>
          <w:sz w:val="22"/>
          <w:szCs w:val="22"/>
        </w:rPr>
        <w:t xml:space="preserve">ts </w:t>
      </w:r>
      <w:r w:rsidR="00105261">
        <w:rPr>
          <w:rFonts w:asciiTheme="minorHAnsi" w:hAnsiTheme="minorHAnsi" w:cstheme="minorHAnsi"/>
          <w:i/>
          <w:iCs/>
          <w:sz w:val="22"/>
          <w:szCs w:val="22"/>
        </w:rPr>
        <w:t>for independent contractors</w:t>
      </w:r>
    </w:p>
    <w:p w14:paraId="447EB584" w14:textId="37ACF50A" w:rsidR="000F1EAC" w:rsidRPr="00883527" w:rsidRDefault="000F1EAC" w:rsidP="00617654">
      <w:pPr>
        <w:rPr>
          <w:rFonts w:cstheme="minorHAnsi"/>
        </w:rPr>
      </w:pPr>
      <w:r w:rsidRPr="00883527">
        <w:rPr>
          <w:rFonts w:cstheme="minorHAnsi"/>
        </w:rPr>
        <w:t>A</w:t>
      </w:r>
      <w:r w:rsidR="00F801FC">
        <w:rPr>
          <w:rFonts w:cstheme="minorHAnsi"/>
        </w:rPr>
        <w:t xml:space="preserve"> further</w:t>
      </w:r>
      <w:r w:rsidRPr="00883527">
        <w:rPr>
          <w:rFonts w:cstheme="minorHAnsi"/>
        </w:rPr>
        <w:t xml:space="preserve"> </w:t>
      </w:r>
      <w:r w:rsidRPr="00617654">
        <w:t>outcome</w:t>
      </w:r>
      <w:r w:rsidRPr="00883527">
        <w:rPr>
          <w:rFonts w:cstheme="minorHAnsi"/>
        </w:rPr>
        <w:t xml:space="preserve"> of the Jobs and Skills Summit was to ‘amend relevant legislation to give workers the right to challenge unfair contractual terms’</w:t>
      </w:r>
      <w:r w:rsidR="008A7B97">
        <w:rPr>
          <w:rFonts w:cstheme="minorHAnsi"/>
        </w:rPr>
        <w:t>.</w:t>
      </w:r>
      <w:r w:rsidRPr="00883527">
        <w:rPr>
          <w:rStyle w:val="FootnoteReference"/>
          <w:rFonts w:cstheme="minorHAnsi"/>
        </w:rPr>
        <w:footnoteReference w:id="8"/>
      </w:r>
      <w:r w:rsidRPr="00883527">
        <w:rPr>
          <w:rFonts w:cstheme="minorHAnsi"/>
        </w:rPr>
        <w:t xml:space="preserve"> </w:t>
      </w:r>
    </w:p>
    <w:p w14:paraId="603E1483" w14:textId="38F4F9DC" w:rsidR="00C52843" w:rsidRDefault="000F1EAC" w:rsidP="00617654">
      <w:r w:rsidRPr="4BD84C57">
        <w:t>The Department of</w:t>
      </w:r>
      <w:r>
        <w:t xml:space="preserve"> Employment and Workplace Relations (the department) has developed th</w:t>
      </w:r>
      <w:r w:rsidR="008E40E4">
        <w:t>is</w:t>
      </w:r>
      <w:r>
        <w:t xml:space="preserve"> Impact Analysis </w:t>
      </w:r>
      <w:r w:rsidR="00B064E4">
        <w:t xml:space="preserve">Equivalent process and supplementary analysis </w:t>
      </w:r>
      <w:r>
        <w:t xml:space="preserve">in accordance with the </w:t>
      </w:r>
      <w:r>
        <w:rPr>
          <w:i/>
          <w:iCs/>
        </w:rPr>
        <w:t xml:space="preserve">Australian Guide to </w:t>
      </w:r>
      <w:r w:rsidR="00F41080">
        <w:rPr>
          <w:i/>
          <w:iCs/>
        </w:rPr>
        <w:t>Policy</w:t>
      </w:r>
      <w:r>
        <w:rPr>
          <w:i/>
          <w:iCs/>
        </w:rPr>
        <w:t xml:space="preserve"> Impact Analysis </w:t>
      </w:r>
      <w:r w:rsidRPr="00314419">
        <w:t>a</w:t>
      </w:r>
      <w:r>
        <w:t xml:space="preserve">nd in </w:t>
      </w:r>
      <w:r w:rsidRPr="00314419">
        <w:t>consultation</w:t>
      </w:r>
      <w:r>
        <w:t xml:space="preserve"> with the Office of Impact </w:t>
      </w:r>
      <w:r w:rsidR="00DC03B0">
        <w:t xml:space="preserve">Analysis </w:t>
      </w:r>
      <w:r w:rsidR="69B9258D" w:rsidRPr="4BD84C57">
        <w:t>in</w:t>
      </w:r>
      <w:r>
        <w:t xml:space="preserve"> the Department of Prime Minister and Cabinet. </w:t>
      </w:r>
    </w:p>
    <w:p w14:paraId="6872EA8E" w14:textId="61A0D7FC" w:rsidR="00567625" w:rsidRDefault="00567625" w:rsidP="00D41E0D">
      <w:pPr>
        <w:pStyle w:val="Heading2"/>
        <w:spacing w:after="200"/>
        <w:rPr>
          <w:lang w:eastAsia="en-AU"/>
        </w:rPr>
      </w:pPr>
      <w:bookmarkStart w:id="6" w:name="_Toc139295519"/>
      <w:r>
        <w:rPr>
          <w:lang w:eastAsia="en-AU"/>
        </w:rPr>
        <w:t xml:space="preserve">Terms used throughout this </w:t>
      </w:r>
      <w:r w:rsidR="0096740B">
        <w:rPr>
          <w:lang w:eastAsia="en-AU"/>
        </w:rPr>
        <w:t>document</w:t>
      </w:r>
      <w:bookmarkEnd w:id="6"/>
      <w:r w:rsidR="0096740B">
        <w:rPr>
          <w:lang w:eastAsia="en-AU"/>
        </w:rPr>
        <w:t xml:space="preserve"> </w:t>
      </w:r>
      <w:r>
        <w:rPr>
          <w:lang w:eastAsia="en-AU"/>
        </w:rPr>
        <w:t xml:space="preserve"> </w:t>
      </w:r>
    </w:p>
    <w:p w14:paraId="1B9D3902" w14:textId="38C90D7E" w:rsidR="00567625" w:rsidRPr="00F35A39" w:rsidRDefault="00567625" w:rsidP="00567625">
      <w:pPr>
        <w:rPr>
          <w:rFonts w:ascii="Segoe UI" w:hAnsi="Segoe UI" w:cs="Segoe UI"/>
          <w:sz w:val="18"/>
          <w:szCs w:val="18"/>
          <w:lang w:eastAsia="en-AU"/>
        </w:rPr>
      </w:pPr>
      <w:r>
        <w:rPr>
          <w:lang w:eastAsia="en-AU"/>
        </w:rPr>
        <w:t xml:space="preserve">The measures assessed </w:t>
      </w:r>
      <w:r w:rsidR="00964BBA">
        <w:rPr>
          <w:lang w:eastAsia="en-AU"/>
        </w:rPr>
        <w:t>in this Impact Analysis Equivalent process and supplementary analysis</w:t>
      </w:r>
      <w:r>
        <w:rPr>
          <w:lang w:eastAsia="en-AU"/>
        </w:rPr>
        <w:t xml:space="preserve"> consider forms of work where there is limited regulation. As such, the measures </w:t>
      </w:r>
      <w:r w:rsidR="002D333B">
        <w:rPr>
          <w:lang w:eastAsia="en-AU"/>
        </w:rPr>
        <w:t>introduce new concepts</w:t>
      </w:r>
      <w:r w:rsidR="1FFED8B0" w:rsidRPr="286F3057">
        <w:rPr>
          <w:lang w:eastAsia="en-AU"/>
        </w:rPr>
        <w:t xml:space="preserve">, </w:t>
      </w:r>
      <w:r>
        <w:rPr>
          <w:lang w:eastAsia="en-AU"/>
        </w:rPr>
        <w:t>which th</w:t>
      </w:r>
      <w:r w:rsidR="00D9221A">
        <w:rPr>
          <w:lang w:eastAsia="en-AU"/>
        </w:rPr>
        <w:t xml:space="preserve">is document </w:t>
      </w:r>
      <w:r>
        <w:rPr>
          <w:lang w:eastAsia="en-AU"/>
        </w:rPr>
        <w:t>will refer to throughou</w:t>
      </w:r>
      <w:r w:rsidR="00B7271A">
        <w:rPr>
          <w:lang w:eastAsia="en-AU"/>
        </w:rPr>
        <w:t>t.</w:t>
      </w:r>
      <w:r>
        <w:rPr>
          <w:lang w:eastAsia="en-AU"/>
        </w:rPr>
        <w:t xml:space="preserve"> </w:t>
      </w:r>
      <w:r w:rsidR="00D9221A">
        <w:rPr>
          <w:lang w:eastAsia="en-AU"/>
        </w:rPr>
        <w:t>T</w:t>
      </w:r>
      <w:r w:rsidR="00E645C9">
        <w:rPr>
          <w:lang w:eastAsia="en-AU"/>
        </w:rPr>
        <w:t xml:space="preserve">erms </w:t>
      </w:r>
      <w:r w:rsidR="00E202E2">
        <w:rPr>
          <w:lang w:eastAsia="en-AU"/>
        </w:rPr>
        <w:t xml:space="preserve">used </w:t>
      </w:r>
      <w:r w:rsidR="00D14D3E">
        <w:rPr>
          <w:lang w:eastAsia="en-AU"/>
        </w:rPr>
        <w:t>to refer</w:t>
      </w:r>
      <w:r w:rsidR="00E645C9">
        <w:rPr>
          <w:lang w:eastAsia="en-AU"/>
        </w:rPr>
        <w:t xml:space="preserve"> to these concepts for the purposes of </w:t>
      </w:r>
      <w:r w:rsidR="00D9221A">
        <w:rPr>
          <w:lang w:eastAsia="en-AU"/>
        </w:rPr>
        <w:t xml:space="preserve">the </w:t>
      </w:r>
      <w:r w:rsidR="00E645C9">
        <w:rPr>
          <w:lang w:eastAsia="en-AU"/>
        </w:rPr>
        <w:t>Impact Analysis</w:t>
      </w:r>
      <w:r w:rsidR="00D9221A">
        <w:rPr>
          <w:lang w:eastAsia="en-AU"/>
        </w:rPr>
        <w:t xml:space="preserve"> Equivalent process and supplementary analysis</w:t>
      </w:r>
      <w:r w:rsidR="00E645C9">
        <w:rPr>
          <w:lang w:eastAsia="en-AU"/>
        </w:rPr>
        <w:t xml:space="preserve"> </w:t>
      </w:r>
      <w:r w:rsidR="00D9221A">
        <w:rPr>
          <w:lang w:eastAsia="en-AU"/>
        </w:rPr>
        <w:t xml:space="preserve">are </w:t>
      </w:r>
      <w:r w:rsidR="00E202E2">
        <w:rPr>
          <w:lang w:eastAsia="en-AU"/>
        </w:rPr>
        <w:t xml:space="preserve">included </w:t>
      </w:r>
      <w:r w:rsidR="00E645C9">
        <w:rPr>
          <w:lang w:eastAsia="en-AU"/>
        </w:rPr>
        <w:t xml:space="preserve">in the following table. </w:t>
      </w:r>
      <w:r w:rsidR="006D6611">
        <w:rPr>
          <w:lang w:eastAsia="en-AU"/>
        </w:rPr>
        <w:t>Where applicable, t</w:t>
      </w:r>
      <w:r w:rsidR="001125E9">
        <w:rPr>
          <w:lang w:eastAsia="en-AU"/>
        </w:rPr>
        <w:t xml:space="preserve">hese are intended to be simplified versions of the definitions that appear in the </w:t>
      </w:r>
      <w:r w:rsidR="001125E9">
        <w:t>Fair Work Legislation Amendment (Closing Loopholes) Bill 2023.</w:t>
      </w:r>
    </w:p>
    <w:tbl>
      <w:tblPr>
        <w:tblW w:w="90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085"/>
      </w:tblGrid>
      <w:tr w:rsidR="00567625" w:rsidRPr="00F35A39" w14:paraId="289D4F34" w14:textId="77777777" w:rsidTr="3939B92D">
        <w:trPr>
          <w:trHeight w:val="65"/>
        </w:trPr>
        <w:tc>
          <w:tcPr>
            <w:tcW w:w="2969" w:type="dxa"/>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79A0B905" w14:textId="77777777" w:rsidR="00567625" w:rsidRPr="004D4B6E" w:rsidRDefault="00567625">
            <w:pPr>
              <w:spacing w:after="0" w:line="240" w:lineRule="auto"/>
              <w:jc w:val="center"/>
              <w:textAlignment w:val="baseline"/>
              <w:rPr>
                <w:rFonts w:ascii="Times New Roman" w:eastAsia="Times New Roman" w:hAnsi="Times New Roman" w:cs="Times New Roman"/>
                <w:color w:val="FFFFFF" w:themeColor="background1"/>
                <w:sz w:val="24"/>
                <w:szCs w:val="24"/>
                <w:lang w:val="en-GB" w:eastAsia="en-AU"/>
              </w:rPr>
            </w:pPr>
            <w:r w:rsidRPr="004D4B6E">
              <w:rPr>
                <w:rFonts w:ascii="Calibri" w:eastAsia="Times New Roman" w:hAnsi="Calibri" w:cs="Calibri"/>
                <w:color w:val="FFFFFF" w:themeColor="background1"/>
                <w:sz w:val="24"/>
                <w:szCs w:val="24"/>
                <w:lang w:val="en-GB" w:eastAsia="en-AU"/>
              </w:rPr>
              <w:t>Term</w:t>
            </w:r>
          </w:p>
        </w:tc>
        <w:tc>
          <w:tcPr>
            <w:tcW w:w="6085" w:type="dxa"/>
            <w:tcBorders>
              <w:top w:val="single" w:sz="6" w:space="0" w:color="auto"/>
              <w:left w:val="single" w:sz="6" w:space="0" w:color="auto"/>
              <w:bottom w:val="single" w:sz="6" w:space="0" w:color="auto"/>
              <w:right w:val="single" w:sz="6" w:space="0" w:color="auto"/>
            </w:tcBorders>
            <w:shd w:val="clear" w:color="auto" w:fill="404040" w:themeFill="text1" w:themeFillTint="BF"/>
            <w:hideMark/>
          </w:tcPr>
          <w:p w14:paraId="25E6F6F8" w14:textId="77777777" w:rsidR="00567625" w:rsidRPr="004D4B6E" w:rsidRDefault="00567625">
            <w:pPr>
              <w:spacing w:after="0" w:line="240" w:lineRule="auto"/>
              <w:jc w:val="center"/>
              <w:textAlignment w:val="baseline"/>
              <w:rPr>
                <w:rFonts w:ascii="Times New Roman" w:eastAsia="Times New Roman" w:hAnsi="Times New Roman" w:cs="Times New Roman"/>
                <w:color w:val="FFFFFF" w:themeColor="background1"/>
                <w:sz w:val="24"/>
                <w:szCs w:val="24"/>
                <w:lang w:val="en-GB" w:eastAsia="en-AU"/>
              </w:rPr>
            </w:pPr>
            <w:r w:rsidRPr="004D4B6E">
              <w:rPr>
                <w:rFonts w:ascii="Calibri" w:eastAsia="Times New Roman" w:hAnsi="Calibri" w:cs="Calibri"/>
                <w:color w:val="FFFFFF" w:themeColor="background1"/>
                <w:sz w:val="24"/>
                <w:szCs w:val="24"/>
                <w:lang w:val="en-GB" w:eastAsia="en-AU"/>
              </w:rPr>
              <w:t>Explanation</w:t>
            </w:r>
          </w:p>
        </w:tc>
      </w:tr>
      <w:tr w:rsidR="00567625" w:rsidRPr="00F35A39" w14:paraId="49398A94" w14:textId="77777777" w:rsidTr="3939B92D">
        <w:trPr>
          <w:trHeight w:val="555"/>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5F43FD4" w14:textId="77777777" w:rsidR="00567625" w:rsidRPr="004D4B6E" w:rsidRDefault="00567625" w:rsidP="005365BF">
            <w:pPr>
              <w:spacing w:after="0"/>
              <w:jc w:val="center"/>
              <w:textAlignment w:val="baseline"/>
              <w:rPr>
                <w:rFonts w:ascii="Times New Roman" w:eastAsia="Times New Roman" w:hAnsi="Times New Roman" w:cs="Times New Roman"/>
                <w:b/>
                <w:bCs/>
                <w:color w:val="2F5496"/>
                <w:sz w:val="24"/>
                <w:szCs w:val="24"/>
                <w:lang w:val="en-GB" w:eastAsia="en-AU"/>
              </w:rPr>
            </w:pPr>
            <w:r w:rsidRPr="004D4B6E">
              <w:rPr>
                <w:rFonts w:ascii="Calibri" w:eastAsia="Times New Roman" w:hAnsi="Calibri" w:cs="Calibri"/>
                <w:b/>
                <w:bCs/>
                <w:color w:val="404246"/>
                <w:lang w:val="en-GB" w:eastAsia="en-AU"/>
              </w:rPr>
              <w:t>Deactivation</w:t>
            </w:r>
          </w:p>
        </w:tc>
        <w:tc>
          <w:tcPr>
            <w:tcW w:w="6085" w:type="dxa"/>
            <w:tcBorders>
              <w:top w:val="single" w:sz="6" w:space="0" w:color="auto"/>
              <w:left w:val="single" w:sz="6" w:space="0" w:color="auto"/>
              <w:bottom w:val="single" w:sz="6" w:space="0" w:color="auto"/>
              <w:right w:val="single" w:sz="6" w:space="0" w:color="auto"/>
            </w:tcBorders>
            <w:shd w:val="clear" w:color="auto" w:fill="auto"/>
            <w:hideMark/>
          </w:tcPr>
          <w:p w14:paraId="76417BDB" w14:textId="37B65671" w:rsidR="00567625" w:rsidRPr="00F35A39" w:rsidRDefault="00EF3DBF" w:rsidP="005365BF">
            <w:pPr>
              <w:spacing w:after="0"/>
              <w:ind w:left="113" w:right="57"/>
              <w:textAlignment w:val="baseline"/>
              <w:rPr>
                <w:rFonts w:ascii="Times New Roman" w:eastAsia="Times New Roman" w:hAnsi="Times New Roman" w:cs="Times New Roman"/>
                <w:color w:val="2F5496"/>
                <w:sz w:val="24"/>
                <w:szCs w:val="24"/>
                <w:lang w:val="en-GB" w:eastAsia="en-AU"/>
              </w:rPr>
            </w:pPr>
            <w:r>
              <w:rPr>
                <w:rFonts w:ascii="Calibri" w:eastAsia="Times New Roman" w:hAnsi="Calibri" w:cs="Calibri"/>
                <w:color w:val="404246"/>
                <w:lang w:val="en-GB" w:eastAsia="en-AU"/>
              </w:rPr>
              <w:t>An</w:t>
            </w:r>
            <w:r w:rsidR="008C3DE0">
              <w:rPr>
                <w:rFonts w:ascii="Calibri" w:eastAsia="Times New Roman" w:hAnsi="Calibri" w:cs="Calibri"/>
                <w:color w:val="404246"/>
                <w:lang w:val="en-GB" w:eastAsia="en-AU"/>
              </w:rPr>
              <w:t xml:space="preserve"> action taken by</w:t>
            </w:r>
            <w:r w:rsidR="00567625">
              <w:rPr>
                <w:rFonts w:ascii="Calibri" w:eastAsia="Times New Roman" w:hAnsi="Calibri" w:cs="Calibri"/>
                <w:color w:val="404246"/>
                <w:lang w:val="en-GB" w:eastAsia="en-AU"/>
              </w:rPr>
              <w:t xml:space="preserve"> a</w:t>
            </w:r>
            <w:r w:rsidR="00567625" w:rsidRPr="00F35A39">
              <w:rPr>
                <w:rFonts w:ascii="Calibri" w:eastAsia="Times New Roman" w:hAnsi="Calibri" w:cs="Calibri"/>
                <w:color w:val="404246"/>
                <w:lang w:val="en-GB" w:eastAsia="en-AU"/>
              </w:rPr>
              <w:t xml:space="preserve"> digital </w:t>
            </w:r>
            <w:r w:rsidR="00567625">
              <w:rPr>
                <w:rFonts w:ascii="Calibri" w:eastAsia="Times New Roman" w:hAnsi="Calibri" w:cs="Calibri"/>
                <w:color w:val="404246"/>
                <w:lang w:val="en-GB" w:eastAsia="en-AU"/>
              </w:rPr>
              <w:t xml:space="preserve">labour </w:t>
            </w:r>
            <w:r w:rsidR="00567625" w:rsidRPr="00F35A39">
              <w:rPr>
                <w:rFonts w:ascii="Calibri" w:eastAsia="Times New Roman" w:hAnsi="Calibri" w:cs="Calibri"/>
                <w:color w:val="404246"/>
                <w:lang w:val="en-GB" w:eastAsia="en-AU"/>
              </w:rPr>
              <w:t xml:space="preserve">platform </w:t>
            </w:r>
            <w:r w:rsidR="008C3DE0">
              <w:rPr>
                <w:rFonts w:ascii="Calibri" w:eastAsia="Times New Roman" w:hAnsi="Calibri" w:cs="Calibri"/>
                <w:color w:val="404246"/>
                <w:lang w:val="en-GB" w:eastAsia="en-AU"/>
              </w:rPr>
              <w:t>to p</w:t>
            </w:r>
            <w:r w:rsidR="00567625">
              <w:rPr>
                <w:rFonts w:ascii="Calibri" w:eastAsia="Times New Roman" w:hAnsi="Calibri" w:cs="Calibri"/>
                <w:color w:val="404246"/>
                <w:lang w:val="en-GB" w:eastAsia="en-AU"/>
              </w:rPr>
              <w:t xml:space="preserve">revent a digital platform worker </w:t>
            </w:r>
            <w:r w:rsidR="00567625" w:rsidRPr="00F35A39">
              <w:rPr>
                <w:rFonts w:ascii="Calibri" w:eastAsia="Times New Roman" w:hAnsi="Calibri" w:cs="Calibri"/>
                <w:color w:val="404246"/>
                <w:lang w:val="en-GB" w:eastAsia="en-AU"/>
              </w:rPr>
              <w:t>from accessing work via the platform</w:t>
            </w:r>
            <w:r w:rsidR="00567625">
              <w:rPr>
                <w:rFonts w:ascii="Calibri" w:eastAsia="Times New Roman" w:hAnsi="Calibri" w:cs="Calibri"/>
                <w:color w:val="404246"/>
                <w:lang w:val="en-GB" w:eastAsia="en-AU"/>
              </w:rPr>
              <w:t>.</w:t>
            </w:r>
            <w:r w:rsidR="00C5757C">
              <w:rPr>
                <w:rFonts w:ascii="Calibri" w:eastAsia="Times New Roman" w:hAnsi="Calibri" w:cs="Calibri"/>
                <w:color w:val="404246"/>
                <w:lang w:val="en-GB" w:eastAsia="en-AU"/>
              </w:rPr>
              <w:t xml:space="preserve"> </w:t>
            </w:r>
            <w:r w:rsidR="00D7578F">
              <w:rPr>
                <w:rFonts w:ascii="Calibri" w:eastAsia="Times New Roman" w:hAnsi="Calibri" w:cs="Calibri"/>
                <w:color w:val="404246"/>
                <w:lang w:val="en-GB" w:eastAsia="en-AU"/>
              </w:rPr>
              <w:t>This is also sometimes referred to as ‘deplatforming</w:t>
            </w:r>
            <w:r w:rsidR="002E6067">
              <w:rPr>
                <w:rFonts w:ascii="Calibri" w:eastAsia="Times New Roman" w:hAnsi="Calibri" w:cs="Calibri"/>
                <w:color w:val="404246"/>
                <w:lang w:val="en-GB" w:eastAsia="en-AU"/>
              </w:rPr>
              <w:t>’, ‘termination’ or ‘suspension</w:t>
            </w:r>
            <w:r w:rsidR="00F14782">
              <w:rPr>
                <w:rFonts w:ascii="Calibri" w:eastAsia="Times New Roman" w:hAnsi="Calibri" w:cs="Calibri"/>
                <w:color w:val="404246"/>
                <w:lang w:val="en-GB" w:eastAsia="en-AU"/>
              </w:rPr>
              <w:t>’ from a platform.</w:t>
            </w:r>
          </w:p>
        </w:tc>
      </w:tr>
      <w:tr w:rsidR="00567625" w:rsidRPr="00F35A39" w14:paraId="0237F5C2" w14:textId="77777777" w:rsidTr="3939B92D">
        <w:trPr>
          <w:trHeight w:val="555"/>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F8619B8" w14:textId="77777777" w:rsidR="00567625" w:rsidRPr="004D4B6E" w:rsidRDefault="00567625" w:rsidP="005365BF">
            <w:pPr>
              <w:spacing w:after="0"/>
              <w:jc w:val="center"/>
              <w:textAlignment w:val="baseline"/>
              <w:rPr>
                <w:rFonts w:ascii="Times New Roman" w:eastAsia="Times New Roman" w:hAnsi="Times New Roman" w:cs="Times New Roman"/>
                <w:b/>
                <w:bCs/>
                <w:color w:val="2F5496"/>
                <w:sz w:val="24"/>
                <w:szCs w:val="24"/>
                <w:lang w:val="en-GB" w:eastAsia="en-AU"/>
              </w:rPr>
            </w:pPr>
            <w:r w:rsidRPr="004D4B6E">
              <w:rPr>
                <w:rFonts w:ascii="Calibri" w:eastAsia="Times New Roman" w:hAnsi="Calibri" w:cs="Calibri"/>
                <w:b/>
                <w:bCs/>
                <w:color w:val="404246"/>
                <w:lang w:val="en-GB" w:eastAsia="en-AU"/>
              </w:rPr>
              <w:t>Digital labour platform</w:t>
            </w:r>
          </w:p>
        </w:tc>
        <w:tc>
          <w:tcPr>
            <w:tcW w:w="6085" w:type="dxa"/>
            <w:tcBorders>
              <w:top w:val="single" w:sz="6" w:space="0" w:color="auto"/>
              <w:left w:val="single" w:sz="6" w:space="0" w:color="auto"/>
              <w:bottom w:val="single" w:sz="6" w:space="0" w:color="auto"/>
              <w:right w:val="single" w:sz="6" w:space="0" w:color="auto"/>
            </w:tcBorders>
            <w:shd w:val="clear" w:color="auto" w:fill="auto"/>
            <w:hideMark/>
          </w:tcPr>
          <w:p w14:paraId="16958C66" w14:textId="38CCBFF6" w:rsidR="00A50A0D" w:rsidRPr="00F528C0" w:rsidRDefault="009F687B" w:rsidP="00F528C0">
            <w:pPr>
              <w:spacing w:after="0"/>
              <w:ind w:left="113" w:right="57"/>
              <w:textAlignment w:val="baseline"/>
              <w:rPr>
                <w:rFonts w:ascii="Calibri" w:eastAsia="Times New Roman" w:hAnsi="Calibri" w:cs="Calibri"/>
                <w:color w:val="404246"/>
                <w:lang w:val="en-GB" w:eastAsia="en-AU"/>
              </w:rPr>
            </w:pPr>
            <w:r w:rsidRPr="00F35A39" w:rsidDel="00C96E3B">
              <w:rPr>
                <w:rFonts w:ascii="Calibri" w:eastAsia="Times New Roman" w:hAnsi="Calibri" w:cs="Calibri"/>
                <w:color w:val="404246"/>
                <w:lang w:val="en-GB" w:eastAsia="en-AU"/>
              </w:rPr>
              <w:t>A</w:t>
            </w:r>
            <w:r w:rsidDel="00C96E3B">
              <w:rPr>
                <w:rFonts w:ascii="Calibri" w:eastAsia="Times New Roman" w:hAnsi="Calibri" w:cs="Calibri"/>
                <w:color w:val="404246"/>
                <w:lang w:val="en-GB" w:eastAsia="en-AU"/>
              </w:rPr>
              <w:t xml:space="preserve">n online enabled </w:t>
            </w:r>
            <w:r>
              <w:rPr>
                <w:rFonts w:ascii="Calibri" w:eastAsia="Times New Roman" w:hAnsi="Calibri" w:cs="Calibri"/>
                <w:color w:val="404246"/>
                <w:lang w:val="en-GB" w:eastAsia="en-AU"/>
              </w:rPr>
              <w:t>‘app’</w:t>
            </w:r>
            <w:r w:rsidDel="00C96E3B">
              <w:rPr>
                <w:rFonts w:ascii="Calibri" w:eastAsia="Times New Roman" w:hAnsi="Calibri" w:cs="Calibri"/>
                <w:color w:val="404246"/>
                <w:lang w:val="en-GB" w:eastAsia="en-AU"/>
              </w:rPr>
              <w:t xml:space="preserve">, website or system </w:t>
            </w:r>
            <w:r>
              <w:rPr>
                <w:rFonts w:ascii="Calibri" w:eastAsia="Times New Roman" w:hAnsi="Calibri" w:cs="Calibri"/>
                <w:color w:val="404246"/>
                <w:lang w:val="en-GB" w:eastAsia="en-AU"/>
              </w:rPr>
              <w:t xml:space="preserve">(platform) </w:t>
            </w:r>
            <w:r w:rsidDel="00C96E3B">
              <w:rPr>
                <w:rFonts w:ascii="Calibri" w:eastAsia="Times New Roman" w:hAnsi="Calibri" w:cs="Calibri"/>
                <w:color w:val="404246"/>
                <w:lang w:val="en-GB" w:eastAsia="en-AU"/>
              </w:rPr>
              <w:t>operated to arrange, allocate or facilitate labour services, where</w:t>
            </w:r>
            <w:r>
              <w:rPr>
                <w:rFonts w:ascii="Calibri" w:eastAsia="Times New Roman" w:hAnsi="Calibri" w:cs="Calibri"/>
                <w:color w:val="404246"/>
                <w:lang w:val="en-GB" w:eastAsia="en-AU"/>
              </w:rPr>
              <w:t xml:space="preserve"> the platform </w:t>
            </w:r>
            <w:r w:rsidRPr="00F528C0" w:rsidDel="00C96E3B">
              <w:rPr>
                <w:rFonts w:ascii="Calibri" w:eastAsia="Times New Roman" w:hAnsi="Calibri" w:cs="Calibri"/>
                <w:color w:val="404246"/>
                <w:lang w:val="en-GB" w:eastAsia="en-AU"/>
              </w:rPr>
              <w:t>engages independent contractors directly or indirectly</w:t>
            </w:r>
            <w:r w:rsidRPr="00F528C0">
              <w:rPr>
                <w:rFonts w:ascii="Calibri" w:eastAsia="Times New Roman" w:hAnsi="Calibri" w:cs="Calibri"/>
                <w:color w:val="404246"/>
                <w:lang w:val="en-GB" w:eastAsia="en-AU"/>
              </w:rPr>
              <w:t xml:space="preserve">, or acts as an intermediary for users, and the platform processes payments for the work. </w:t>
            </w:r>
          </w:p>
        </w:tc>
      </w:tr>
      <w:tr w:rsidR="003A1A1A" w:rsidRPr="00F35A39" w14:paraId="4A37A487" w14:textId="77777777" w:rsidTr="3939B92D">
        <w:trPr>
          <w:trHeight w:val="555"/>
        </w:trPr>
        <w:tc>
          <w:tcPr>
            <w:tcW w:w="2969" w:type="dxa"/>
            <w:tcBorders>
              <w:top w:val="single" w:sz="6" w:space="0" w:color="auto"/>
              <w:left w:val="single" w:sz="6" w:space="0" w:color="auto"/>
              <w:bottom w:val="single" w:sz="6" w:space="0" w:color="auto"/>
              <w:right w:val="single" w:sz="6" w:space="0" w:color="auto"/>
            </w:tcBorders>
            <w:shd w:val="clear" w:color="auto" w:fill="auto"/>
          </w:tcPr>
          <w:p w14:paraId="3BC3D3F6" w14:textId="6D32B13A" w:rsidR="003A1A1A" w:rsidRPr="004D4B6E" w:rsidRDefault="003A1A1A" w:rsidP="005365BF">
            <w:pPr>
              <w:spacing w:after="0"/>
              <w:jc w:val="center"/>
              <w:textAlignment w:val="baseline"/>
              <w:rPr>
                <w:rFonts w:ascii="Calibri" w:eastAsia="Times New Roman" w:hAnsi="Calibri" w:cs="Calibri"/>
                <w:b/>
                <w:bCs/>
                <w:color w:val="404246"/>
                <w:lang w:val="en-GB" w:eastAsia="en-AU"/>
              </w:rPr>
            </w:pPr>
            <w:r w:rsidRPr="004D4B6E">
              <w:rPr>
                <w:rFonts w:ascii="Calibri" w:eastAsia="Times New Roman" w:hAnsi="Calibri" w:cs="Calibri"/>
                <w:b/>
                <w:bCs/>
                <w:color w:val="404246"/>
                <w:lang w:val="en-GB" w:eastAsia="en-AU"/>
              </w:rPr>
              <w:t>D</w:t>
            </w:r>
            <w:r w:rsidRPr="004D4B6E">
              <w:rPr>
                <w:rFonts w:eastAsia="Times New Roman"/>
                <w:b/>
                <w:bCs/>
                <w:color w:val="404246"/>
                <w:lang w:val="en-GB" w:eastAsia="en-AU"/>
              </w:rPr>
              <w:t>igital platform w</w:t>
            </w:r>
            <w:r w:rsidR="00091B03" w:rsidRPr="004D4B6E">
              <w:rPr>
                <w:rFonts w:eastAsia="Times New Roman"/>
                <w:b/>
                <w:bCs/>
                <w:color w:val="404246"/>
                <w:lang w:val="en-GB" w:eastAsia="en-AU"/>
              </w:rPr>
              <w:t>o</w:t>
            </w:r>
            <w:r w:rsidRPr="004D4B6E">
              <w:rPr>
                <w:rFonts w:eastAsia="Times New Roman"/>
                <w:b/>
                <w:bCs/>
                <w:color w:val="404246"/>
                <w:lang w:val="en-GB" w:eastAsia="en-AU"/>
              </w:rPr>
              <w:t>rk</w:t>
            </w:r>
          </w:p>
        </w:tc>
        <w:tc>
          <w:tcPr>
            <w:tcW w:w="6085" w:type="dxa"/>
            <w:tcBorders>
              <w:top w:val="single" w:sz="6" w:space="0" w:color="auto"/>
              <w:left w:val="single" w:sz="6" w:space="0" w:color="auto"/>
              <w:bottom w:val="single" w:sz="6" w:space="0" w:color="auto"/>
              <w:right w:val="single" w:sz="6" w:space="0" w:color="auto"/>
            </w:tcBorders>
            <w:shd w:val="clear" w:color="auto" w:fill="auto"/>
          </w:tcPr>
          <w:p w14:paraId="62A760C1" w14:textId="58BB394A" w:rsidR="003A1A1A" w:rsidRPr="00C62C78" w:rsidRDefault="00C62C78" w:rsidP="00F91BA0">
            <w:pPr>
              <w:spacing w:after="0"/>
              <w:ind w:left="113" w:right="57"/>
              <w:textAlignment w:val="baseline"/>
              <w:rPr>
                <w:rFonts w:ascii="Calibri" w:eastAsia="Times New Roman" w:hAnsi="Calibri" w:cs="Calibri"/>
                <w:color w:val="404246"/>
                <w:lang w:val="en-GB" w:eastAsia="en-AU"/>
              </w:rPr>
            </w:pPr>
            <w:r>
              <w:rPr>
                <w:rFonts w:ascii="Calibri" w:eastAsia="Times New Roman" w:hAnsi="Calibri" w:cs="Calibri"/>
                <w:color w:val="404246"/>
                <w:lang w:val="en-GB" w:eastAsia="en-AU"/>
              </w:rPr>
              <w:t xml:space="preserve">Work </w:t>
            </w:r>
            <w:r w:rsidR="0083177B">
              <w:rPr>
                <w:rFonts w:ascii="Calibri" w:eastAsia="Times New Roman" w:hAnsi="Calibri" w:cs="Calibri"/>
                <w:color w:val="404246"/>
                <w:lang w:val="en-GB" w:eastAsia="en-AU"/>
              </w:rPr>
              <w:t xml:space="preserve">facilitated </w:t>
            </w:r>
            <w:r w:rsidR="00DC0976">
              <w:rPr>
                <w:rFonts w:ascii="Calibri" w:eastAsia="Times New Roman" w:hAnsi="Calibri" w:cs="Calibri"/>
                <w:color w:val="404246"/>
                <w:lang w:val="en-GB" w:eastAsia="en-AU"/>
              </w:rPr>
              <w:t>by</w:t>
            </w:r>
            <w:r w:rsidR="008929C5">
              <w:rPr>
                <w:rFonts w:ascii="Calibri" w:eastAsia="Times New Roman" w:hAnsi="Calibri" w:cs="Calibri"/>
                <w:color w:val="404246"/>
                <w:lang w:val="en-GB" w:eastAsia="en-AU"/>
              </w:rPr>
              <w:t xml:space="preserve"> a digital labour platform. </w:t>
            </w:r>
          </w:p>
        </w:tc>
      </w:tr>
      <w:tr w:rsidR="008A6E97" w:rsidRPr="00F35A39" w14:paraId="60C8FC56" w14:textId="77777777" w:rsidTr="3939B92D">
        <w:trPr>
          <w:trHeight w:val="555"/>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7DBB8A4" w14:textId="77777777" w:rsidR="008A6E97" w:rsidRPr="004D4B6E" w:rsidRDefault="008A6E97" w:rsidP="008A6E97">
            <w:pPr>
              <w:spacing w:after="0"/>
              <w:jc w:val="center"/>
              <w:textAlignment w:val="baseline"/>
              <w:rPr>
                <w:rFonts w:ascii="Times New Roman" w:eastAsia="Times New Roman" w:hAnsi="Times New Roman" w:cs="Times New Roman"/>
                <w:b/>
                <w:bCs/>
                <w:color w:val="2F5496"/>
                <w:sz w:val="24"/>
                <w:szCs w:val="24"/>
                <w:lang w:val="en-GB" w:eastAsia="en-AU"/>
              </w:rPr>
            </w:pPr>
            <w:r w:rsidRPr="004D4B6E">
              <w:rPr>
                <w:rFonts w:ascii="Calibri" w:eastAsia="Times New Roman" w:hAnsi="Calibri" w:cs="Calibri"/>
                <w:b/>
                <w:bCs/>
                <w:color w:val="404246"/>
                <w:lang w:val="en-GB" w:eastAsia="en-AU"/>
              </w:rPr>
              <w:t>Digital platform worker</w:t>
            </w:r>
          </w:p>
        </w:tc>
        <w:tc>
          <w:tcPr>
            <w:tcW w:w="6085" w:type="dxa"/>
            <w:tcBorders>
              <w:top w:val="single" w:sz="6" w:space="0" w:color="auto"/>
              <w:left w:val="single" w:sz="6" w:space="0" w:color="auto"/>
              <w:bottom w:val="single" w:sz="6" w:space="0" w:color="auto"/>
              <w:right w:val="single" w:sz="6" w:space="0" w:color="auto"/>
            </w:tcBorders>
            <w:shd w:val="clear" w:color="auto" w:fill="auto"/>
            <w:hideMark/>
          </w:tcPr>
          <w:p w14:paraId="03474905" w14:textId="647ABAF7" w:rsidR="008A6E97" w:rsidRPr="00F35A39" w:rsidRDefault="008A6E97" w:rsidP="008A6E97">
            <w:pPr>
              <w:spacing w:after="0"/>
              <w:ind w:left="113" w:right="57"/>
              <w:textAlignment w:val="baseline"/>
              <w:rPr>
                <w:rFonts w:ascii="Times New Roman" w:eastAsia="Times New Roman" w:hAnsi="Times New Roman" w:cs="Times New Roman"/>
                <w:color w:val="2F5496"/>
                <w:sz w:val="24"/>
                <w:szCs w:val="24"/>
                <w:lang w:val="en-GB" w:eastAsia="en-AU"/>
              </w:rPr>
            </w:pPr>
            <w:r>
              <w:rPr>
                <w:rFonts w:ascii="Calibri" w:eastAsia="Times New Roman" w:hAnsi="Calibri" w:cs="Calibri"/>
                <w:color w:val="404246"/>
                <w:lang w:val="en-GB" w:eastAsia="en-AU"/>
              </w:rPr>
              <w:t>W</w:t>
            </w:r>
            <w:r w:rsidRPr="465D3EE1" w:rsidDel="0059433E">
              <w:rPr>
                <w:rFonts w:ascii="Calibri" w:eastAsia="Times New Roman" w:hAnsi="Calibri" w:cs="Calibri"/>
                <w:color w:val="404246"/>
                <w:lang w:val="en-GB" w:eastAsia="en-AU"/>
              </w:rPr>
              <w:t>orkers who perform digital platform work who are eligible for proposed Fair Work Commission minimum standards. These workers must also be found to have employee-like characteristics</w:t>
            </w:r>
            <w:r>
              <w:rPr>
                <w:rFonts w:ascii="Calibri" w:eastAsia="Times New Roman" w:hAnsi="Calibri" w:cs="Calibri"/>
                <w:color w:val="404246"/>
                <w:lang w:val="en-GB" w:eastAsia="en-AU"/>
              </w:rPr>
              <w:t>, i.e.</w:t>
            </w:r>
            <w:r w:rsidRPr="465D3EE1" w:rsidDel="0059433E">
              <w:rPr>
                <w:rFonts w:ascii="Calibri" w:eastAsia="Times New Roman" w:hAnsi="Calibri" w:cs="Calibri"/>
                <w:color w:val="404246"/>
                <w:lang w:val="en-GB" w:eastAsia="en-AU"/>
              </w:rPr>
              <w:t xml:space="preserve"> </w:t>
            </w:r>
            <w:r w:rsidR="0EB8D39E" w:rsidRPr="2C440989">
              <w:rPr>
                <w:rFonts w:ascii="Calibri" w:eastAsia="Times New Roman" w:hAnsi="Calibri" w:cs="Calibri"/>
                <w:color w:val="404246"/>
                <w:lang w:val="en-GB" w:eastAsia="en-AU"/>
              </w:rPr>
              <w:t>being pa</w:t>
            </w:r>
            <w:r w:rsidR="00AB2E87">
              <w:rPr>
                <w:rFonts w:ascii="Calibri" w:eastAsia="Times New Roman" w:hAnsi="Calibri" w:cs="Calibri"/>
                <w:color w:val="404246"/>
                <w:lang w:val="en-GB" w:eastAsia="en-AU"/>
              </w:rPr>
              <w:t>id less</w:t>
            </w:r>
            <w:r w:rsidR="44C62B57" w:rsidRPr="2C440989">
              <w:rPr>
                <w:rFonts w:ascii="Calibri" w:eastAsia="Times New Roman" w:hAnsi="Calibri" w:cs="Calibri"/>
                <w:color w:val="404246"/>
                <w:lang w:val="en-GB" w:eastAsia="en-AU"/>
              </w:rPr>
              <w:t xml:space="preserve"> </w:t>
            </w:r>
            <w:r w:rsidR="44C62B57" w:rsidRPr="00D465DF">
              <w:rPr>
                <w:rFonts w:ascii="Calibri" w:eastAsia="Times New Roman" w:hAnsi="Calibri" w:cs="Calibri"/>
                <w:color w:val="404246"/>
                <w:lang w:val="en-GB" w:eastAsia="en-AU"/>
              </w:rPr>
              <w:t>than an employee</w:t>
            </w:r>
            <w:r w:rsidR="00C1416C">
              <w:rPr>
                <w:rFonts w:ascii="Calibri" w:eastAsia="Times New Roman" w:hAnsi="Calibri" w:cs="Calibri"/>
                <w:color w:val="404246"/>
                <w:lang w:val="en-GB" w:eastAsia="en-AU"/>
              </w:rPr>
              <w:t xml:space="preserve"> performing comparable work</w:t>
            </w:r>
            <w:r w:rsidRPr="465D3EE1" w:rsidDel="0059433E">
              <w:rPr>
                <w:rFonts w:ascii="Calibri" w:eastAsia="Times New Roman" w:hAnsi="Calibri" w:cs="Calibri"/>
                <w:color w:val="404246"/>
                <w:lang w:val="en-GB" w:eastAsia="en-AU"/>
              </w:rPr>
              <w:t>, having less authority over their work or ha</w:t>
            </w:r>
            <w:r>
              <w:rPr>
                <w:rFonts w:ascii="Calibri" w:eastAsia="Times New Roman" w:hAnsi="Calibri" w:cs="Calibri"/>
                <w:color w:val="404246"/>
                <w:lang w:val="en-GB" w:eastAsia="en-AU"/>
              </w:rPr>
              <w:t>ving</w:t>
            </w:r>
            <w:r w:rsidRPr="465D3EE1" w:rsidDel="0059433E">
              <w:rPr>
                <w:rFonts w:ascii="Calibri" w:eastAsia="Times New Roman" w:hAnsi="Calibri" w:cs="Calibri"/>
                <w:color w:val="404246"/>
                <w:lang w:val="en-GB" w:eastAsia="en-AU"/>
              </w:rPr>
              <w:t xml:space="preserve"> low bargaining power.</w:t>
            </w:r>
            <w:r w:rsidRPr="465D3EE1" w:rsidDel="009D16C8">
              <w:rPr>
                <w:rFonts w:ascii="Calibri" w:eastAsia="Times New Roman" w:hAnsi="Calibri" w:cs="Calibri"/>
                <w:color w:val="404246"/>
                <w:lang w:val="en-GB" w:eastAsia="en-AU"/>
              </w:rPr>
              <w:t xml:space="preserve"> </w:t>
            </w:r>
          </w:p>
        </w:tc>
      </w:tr>
      <w:tr w:rsidR="008A6E97" w:rsidRPr="00F35A39" w14:paraId="45E8AC85" w14:textId="77777777" w:rsidTr="3939B92D">
        <w:trPr>
          <w:trHeight w:val="555"/>
        </w:trPr>
        <w:tc>
          <w:tcPr>
            <w:tcW w:w="2969" w:type="dxa"/>
            <w:tcBorders>
              <w:top w:val="single" w:sz="6" w:space="0" w:color="auto"/>
              <w:left w:val="single" w:sz="6" w:space="0" w:color="auto"/>
              <w:bottom w:val="single" w:sz="6" w:space="0" w:color="auto"/>
              <w:right w:val="single" w:sz="6" w:space="0" w:color="auto"/>
            </w:tcBorders>
            <w:shd w:val="clear" w:color="auto" w:fill="auto"/>
          </w:tcPr>
          <w:p w14:paraId="6F40EEFF" w14:textId="16CC0279" w:rsidR="008A6E97" w:rsidRDefault="008A6E97" w:rsidP="008A6E97">
            <w:pPr>
              <w:spacing w:after="0"/>
              <w:jc w:val="center"/>
              <w:textAlignment w:val="baseline"/>
              <w:rPr>
                <w:rFonts w:ascii="Calibri" w:eastAsia="Times New Roman" w:hAnsi="Calibri" w:cs="Calibri"/>
                <w:b/>
                <w:bCs/>
                <w:color w:val="404246"/>
                <w:lang w:val="en-GB" w:eastAsia="en-AU"/>
              </w:rPr>
            </w:pPr>
            <w:r w:rsidRPr="004D4B6E">
              <w:rPr>
                <w:rFonts w:ascii="Calibri" w:eastAsia="Times New Roman" w:hAnsi="Calibri" w:cs="Calibri"/>
                <w:b/>
                <w:bCs/>
                <w:color w:val="404246"/>
                <w:lang w:val="en-GB" w:eastAsia="en-AU"/>
              </w:rPr>
              <w:t>Digital platform economy</w:t>
            </w:r>
          </w:p>
          <w:p w14:paraId="6CA0134E" w14:textId="77777777" w:rsidR="008A6E97" w:rsidRDefault="008A6E97" w:rsidP="008A6E97">
            <w:pPr>
              <w:spacing w:after="0"/>
              <w:jc w:val="center"/>
              <w:textAlignment w:val="baseline"/>
              <w:rPr>
                <w:rFonts w:ascii="Calibri" w:eastAsia="Times New Roman" w:hAnsi="Calibri" w:cs="Calibri"/>
                <w:b/>
                <w:bCs/>
                <w:color w:val="404246"/>
                <w:lang w:val="en-GB" w:eastAsia="en-AU"/>
              </w:rPr>
            </w:pPr>
          </w:p>
          <w:p w14:paraId="67B84E20" w14:textId="555602D4" w:rsidR="008A6E97" w:rsidRPr="004D4B6E" w:rsidRDefault="008A6E97" w:rsidP="008A6E97">
            <w:pPr>
              <w:spacing w:after="0"/>
              <w:textAlignment w:val="baseline"/>
              <w:rPr>
                <w:rFonts w:ascii="Calibri" w:eastAsia="Times New Roman" w:hAnsi="Calibri" w:cs="Calibri"/>
                <w:b/>
                <w:bCs/>
                <w:color w:val="404246"/>
                <w:lang w:val="en-GB" w:eastAsia="en-AU"/>
              </w:rPr>
            </w:pPr>
          </w:p>
        </w:tc>
        <w:tc>
          <w:tcPr>
            <w:tcW w:w="6085" w:type="dxa"/>
            <w:tcBorders>
              <w:top w:val="single" w:sz="6" w:space="0" w:color="auto"/>
              <w:left w:val="single" w:sz="6" w:space="0" w:color="auto"/>
              <w:bottom w:val="single" w:sz="6" w:space="0" w:color="auto"/>
              <w:right w:val="single" w:sz="6" w:space="0" w:color="auto"/>
            </w:tcBorders>
            <w:shd w:val="clear" w:color="auto" w:fill="auto"/>
          </w:tcPr>
          <w:p w14:paraId="249A1371" w14:textId="66CBEF00" w:rsidR="008A6E97" w:rsidRPr="00F35A39" w:rsidRDefault="008A6E97" w:rsidP="008A6E97">
            <w:pPr>
              <w:spacing w:after="0"/>
              <w:ind w:left="113" w:right="57"/>
              <w:textAlignment w:val="baseline"/>
              <w:rPr>
                <w:rFonts w:ascii="Calibri" w:eastAsia="Times New Roman" w:hAnsi="Calibri" w:cs="Calibri"/>
                <w:color w:val="404246"/>
                <w:lang w:val="en-GB" w:eastAsia="en-AU"/>
              </w:rPr>
            </w:pPr>
            <w:r>
              <w:rPr>
                <w:rStyle w:val="normaltextrun"/>
                <w:rFonts w:ascii="Calibri" w:hAnsi="Calibri" w:cs="Calibri"/>
                <w:color w:val="262626"/>
                <w:shd w:val="clear" w:color="auto" w:fill="FFFFFF"/>
              </w:rPr>
              <w:t xml:space="preserve">The marketplace of on-demand services provided through digital labour platforms. This is also referred to as the ‘gig economy’ or ‘on-demand economy’. </w:t>
            </w:r>
          </w:p>
        </w:tc>
      </w:tr>
      <w:tr w:rsidR="008A6E97" w:rsidRPr="00F35A39" w14:paraId="3398C936" w14:textId="77777777" w:rsidTr="3939B92D">
        <w:trPr>
          <w:trHeight w:val="555"/>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B37941C" w14:textId="77777777" w:rsidR="008A6E97" w:rsidRPr="004D4B6E" w:rsidRDefault="008A6E97" w:rsidP="008A6E97">
            <w:pPr>
              <w:spacing w:after="0"/>
              <w:jc w:val="center"/>
              <w:textAlignment w:val="baseline"/>
              <w:rPr>
                <w:rFonts w:ascii="Times New Roman" w:eastAsia="Times New Roman" w:hAnsi="Times New Roman" w:cs="Times New Roman"/>
                <w:b/>
                <w:bCs/>
                <w:color w:val="2F5496"/>
                <w:sz w:val="24"/>
                <w:szCs w:val="24"/>
                <w:lang w:val="en-GB" w:eastAsia="en-AU"/>
              </w:rPr>
            </w:pPr>
            <w:r w:rsidRPr="004D4B6E">
              <w:rPr>
                <w:rFonts w:ascii="Calibri" w:eastAsia="Times New Roman" w:hAnsi="Calibri" w:cs="Calibri"/>
                <w:b/>
                <w:bCs/>
                <w:color w:val="404246"/>
                <w:lang w:val="en-GB" w:eastAsia="en-AU"/>
              </w:rPr>
              <w:t>Last-mile delivery</w:t>
            </w:r>
          </w:p>
        </w:tc>
        <w:tc>
          <w:tcPr>
            <w:tcW w:w="6085" w:type="dxa"/>
            <w:tcBorders>
              <w:top w:val="single" w:sz="6" w:space="0" w:color="auto"/>
              <w:left w:val="single" w:sz="6" w:space="0" w:color="auto"/>
              <w:bottom w:val="single" w:sz="6" w:space="0" w:color="auto"/>
              <w:right w:val="single" w:sz="6" w:space="0" w:color="auto"/>
            </w:tcBorders>
            <w:shd w:val="clear" w:color="auto" w:fill="auto"/>
            <w:hideMark/>
          </w:tcPr>
          <w:p w14:paraId="6E399F15" w14:textId="4F216CD0" w:rsidR="008A6E97" w:rsidRPr="00F35A39" w:rsidRDefault="008A6E97" w:rsidP="008A6E97">
            <w:pPr>
              <w:spacing w:after="0"/>
              <w:ind w:left="113" w:right="57"/>
              <w:textAlignment w:val="baseline"/>
              <w:rPr>
                <w:rFonts w:ascii="Times New Roman" w:eastAsia="Times New Roman" w:hAnsi="Times New Roman" w:cs="Times New Roman"/>
                <w:color w:val="2F5496"/>
                <w:sz w:val="24"/>
                <w:szCs w:val="24"/>
                <w:lang w:val="en-GB" w:eastAsia="en-AU"/>
              </w:rPr>
            </w:pPr>
            <w:r>
              <w:rPr>
                <w:rFonts w:ascii="Calibri" w:eastAsia="Times New Roman" w:hAnsi="Calibri" w:cs="Calibri"/>
                <w:color w:val="404246"/>
                <w:lang w:val="en-GB" w:eastAsia="en-AU"/>
              </w:rPr>
              <w:t xml:space="preserve">The ‘final step’ in a delivery process when a good is delivered from a delivery hub or warehouse to the end client. For the purposes of this Impact Analysis Equivalent process, </w:t>
            </w:r>
            <w:r w:rsidR="007E5124">
              <w:rPr>
                <w:rFonts w:ascii="Calibri" w:eastAsia="Times New Roman" w:hAnsi="Calibri" w:cs="Calibri"/>
                <w:color w:val="404246"/>
                <w:lang w:val="en-GB" w:eastAsia="en-AU"/>
              </w:rPr>
              <w:t xml:space="preserve">this is </w:t>
            </w:r>
            <w:r>
              <w:rPr>
                <w:rFonts w:ascii="Calibri" w:eastAsia="Times New Roman" w:hAnsi="Calibri" w:cs="Calibri"/>
                <w:color w:val="404246"/>
                <w:lang w:val="en-GB" w:eastAsia="en-AU"/>
              </w:rPr>
              <w:t xml:space="preserve">workers and businesses in the Postal and courier pick-up and delivery services </w:t>
            </w:r>
            <w:r w:rsidRPr="31F5FAFC">
              <w:rPr>
                <w:rStyle w:val="normaltextrun"/>
                <w:color w:val="262626" w:themeColor="text1" w:themeTint="D9"/>
              </w:rPr>
              <w:t xml:space="preserve">Australian and New Zealand Standard Industrial Classification </w:t>
            </w:r>
            <w:r>
              <w:rPr>
                <w:rStyle w:val="normaltextrun"/>
                <w:color w:val="262626" w:themeColor="text1" w:themeTint="D9"/>
              </w:rPr>
              <w:t xml:space="preserve">(ANZSIC) </w:t>
            </w:r>
            <w:r w:rsidRPr="31F5FAFC">
              <w:rPr>
                <w:rStyle w:val="normaltextrun"/>
                <w:color w:val="262626" w:themeColor="text1" w:themeTint="D9"/>
              </w:rPr>
              <w:t>3-digit industr</w:t>
            </w:r>
            <w:r>
              <w:rPr>
                <w:rStyle w:val="normaltextrun"/>
                <w:color w:val="262626" w:themeColor="text1" w:themeTint="D9"/>
              </w:rPr>
              <w:t>y.</w:t>
            </w:r>
          </w:p>
        </w:tc>
      </w:tr>
      <w:tr w:rsidR="008A6E97" w:rsidRPr="00F35A39" w14:paraId="33D20F3B" w14:textId="77777777" w:rsidTr="3939B92D">
        <w:trPr>
          <w:trHeight w:val="555"/>
        </w:trPr>
        <w:tc>
          <w:tcPr>
            <w:tcW w:w="2969" w:type="dxa"/>
            <w:tcBorders>
              <w:top w:val="single" w:sz="6" w:space="0" w:color="auto"/>
              <w:left w:val="single" w:sz="6" w:space="0" w:color="auto"/>
              <w:bottom w:val="single" w:sz="6" w:space="0" w:color="auto"/>
              <w:right w:val="single" w:sz="6" w:space="0" w:color="auto"/>
            </w:tcBorders>
            <w:shd w:val="clear" w:color="auto" w:fill="auto"/>
          </w:tcPr>
          <w:p w14:paraId="796765AB" w14:textId="5FCFE8A0" w:rsidR="008A6E97" w:rsidRPr="004D4B6E" w:rsidRDefault="008A6E97" w:rsidP="008A6E97">
            <w:pPr>
              <w:spacing w:after="0"/>
              <w:jc w:val="center"/>
              <w:textAlignment w:val="baseline"/>
              <w:rPr>
                <w:rFonts w:ascii="Calibri" w:eastAsia="Times New Roman" w:hAnsi="Calibri" w:cs="Calibri"/>
                <w:b/>
                <w:bCs/>
                <w:color w:val="404246"/>
                <w:lang w:val="en-GB" w:eastAsia="en-AU"/>
              </w:rPr>
            </w:pPr>
            <w:r w:rsidRPr="004D4B6E">
              <w:rPr>
                <w:rFonts w:ascii="Calibri" w:eastAsia="Times New Roman" w:hAnsi="Calibri" w:cs="Calibri"/>
                <w:b/>
                <w:bCs/>
                <w:color w:val="404246"/>
                <w:lang w:val="en-GB" w:eastAsia="en-AU"/>
              </w:rPr>
              <w:t>On-demand work</w:t>
            </w:r>
          </w:p>
        </w:tc>
        <w:tc>
          <w:tcPr>
            <w:tcW w:w="6085" w:type="dxa"/>
            <w:tcBorders>
              <w:top w:val="single" w:sz="6" w:space="0" w:color="auto"/>
              <w:left w:val="single" w:sz="6" w:space="0" w:color="auto"/>
              <w:bottom w:val="single" w:sz="6" w:space="0" w:color="auto"/>
              <w:right w:val="single" w:sz="6" w:space="0" w:color="auto"/>
            </w:tcBorders>
            <w:shd w:val="clear" w:color="auto" w:fill="auto"/>
          </w:tcPr>
          <w:p w14:paraId="0EB43E98" w14:textId="23EC4D61" w:rsidR="008A6E97" w:rsidRPr="00F35A39" w:rsidRDefault="008A6E97" w:rsidP="008A6E97">
            <w:pPr>
              <w:spacing w:after="0"/>
              <w:ind w:left="113" w:right="57"/>
              <w:textAlignment w:val="baseline"/>
              <w:rPr>
                <w:rFonts w:ascii="Calibri" w:eastAsia="Times New Roman" w:hAnsi="Calibri" w:cs="Calibri"/>
                <w:color w:val="404246"/>
                <w:lang w:val="en-GB" w:eastAsia="en-AU"/>
              </w:rPr>
            </w:pPr>
            <w:r>
              <w:rPr>
                <w:rFonts w:ascii="Calibri" w:eastAsia="Times New Roman" w:hAnsi="Calibri" w:cs="Calibri"/>
                <w:color w:val="404246"/>
                <w:lang w:val="en-GB" w:eastAsia="en-AU"/>
              </w:rPr>
              <w:t>An</w:t>
            </w:r>
            <w:r w:rsidRPr="005105C7">
              <w:rPr>
                <w:rFonts w:ascii="Calibri" w:eastAsia="Times New Roman" w:hAnsi="Calibri" w:cs="Calibri"/>
                <w:color w:val="404246"/>
                <w:lang w:val="en-GB" w:eastAsia="en-AU"/>
              </w:rPr>
              <w:t>y work in the labour market being procured ‘on-demand’ (including casual employment and self-employed workers/independent contractors</w:t>
            </w:r>
            <w:r>
              <w:rPr>
                <w:rFonts w:ascii="Calibri" w:eastAsia="Times New Roman" w:hAnsi="Calibri" w:cs="Calibri"/>
                <w:color w:val="404246"/>
                <w:lang w:val="en-GB" w:eastAsia="en-AU"/>
              </w:rPr>
              <w:t xml:space="preserve"> (Victorian Government definition).</w:t>
            </w:r>
            <w:r>
              <w:rPr>
                <w:rStyle w:val="FootnoteReference"/>
                <w:rFonts w:ascii="Calibri" w:eastAsia="Times New Roman" w:hAnsi="Calibri" w:cs="Calibri"/>
                <w:color w:val="404246"/>
                <w:lang w:val="en-GB" w:eastAsia="en-AU"/>
              </w:rPr>
              <w:footnoteReference w:id="9"/>
            </w:r>
            <w:r>
              <w:rPr>
                <w:rFonts w:ascii="Calibri" w:eastAsia="Times New Roman" w:hAnsi="Calibri" w:cs="Calibri"/>
                <w:color w:val="404246"/>
                <w:lang w:val="en-GB" w:eastAsia="en-AU"/>
              </w:rPr>
              <w:t xml:space="preserve"> This encompasses ‘digital platform work’. </w:t>
            </w:r>
          </w:p>
        </w:tc>
      </w:tr>
      <w:tr w:rsidR="008A6E97" w:rsidRPr="00F35A39" w14:paraId="09C956C7" w14:textId="77777777" w:rsidTr="3939B92D">
        <w:trPr>
          <w:trHeight w:val="555"/>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9216214" w14:textId="77777777" w:rsidR="008A6E97" w:rsidRPr="004D4B6E" w:rsidRDefault="008A6E97" w:rsidP="008A6E97">
            <w:pPr>
              <w:spacing w:after="0"/>
              <w:ind w:left="113" w:right="57"/>
              <w:jc w:val="center"/>
              <w:textAlignment w:val="baseline"/>
              <w:rPr>
                <w:rFonts w:ascii="Calibri" w:eastAsia="Times New Roman" w:hAnsi="Calibri" w:cs="Calibri"/>
                <w:b/>
                <w:bCs/>
                <w:color w:val="404246"/>
                <w:lang w:val="en-GB" w:eastAsia="en-AU"/>
              </w:rPr>
            </w:pPr>
            <w:r w:rsidRPr="004D4B6E">
              <w:rPr>
                <w:rFonts w:ascii="Calibri" w:eastAsia="Times New Roman" w:hAnsi="Calibri" w:cs="Calibri"/>
                <w:b/>
                <w:bCs/>
                <w:color w:val="404246"/>
                <w:lang w:val="en-GB" w:eastAsia="en-AU"/>
              </w:rPr>
              <w:t>Rideshare</w:t>
            </w:r>
          </w:p>
        </w:tc>
        <w:tc>
          <w:tcPr>
            <w:tcW w:w="6085" w:type="dxa"/>
            <w:tcBorders>
              <w:top w:val="single" w:sz="6" w:space="0" w:color="auto"/>
              <w:left w:val="single" w:sz="6" w:space="0" w:color="auto"/>
              <w:bottom w:val="single" w:sz="6" w:space="0" w:color="auto"/>
              <w:right w:val="single" w:sz="6" w:space="0" w:color="auto"/>
            </w:tcBorders>
            <w:shd w:val="clear" w:color="auto" w:fill="auto"/>
            <w:hideMark/>
          </w:tcPr>
          <w:p w14:paraId="70BC7B0B" w14:textId="09917D5C" w:rsidR="008A6E97" w:rsidRPr="00D824CF" w:rsidRDefault="008A6E97" w:rsidP="008A6E97">
            <w:pPr>
              <w:spacing w:after="0"/>
              <w:ind w:left="113" w:right="57"/>
              <w:textAlignment w:val="baseline"/>
              <w:rPr>
                <w:rFonts w:ascii="Calibri" w:eastAsia="Times New Roman" w:hAnsi="Calibri" w:cs="Calibri"/>
                <w:color w:val="404246"/>
                <w:lang w:val="en-GB" w:eastAsia="en-AU"/>
              </w:rPr>
            </w:pPr>
            <w:r>
              <w:rPr>
                <w:rFonts w:ascii="Calibri" w:eastAsia="Times New Roman" w:hAnsi="Calibri" w:cs="Calibri"/>
                <w:color w:val="404246"/>
                <w:lang w:val="en-GB" w:eastAsia="en-AU"/>
              </w:rPr>
              <w:t xml:space="preserve">Passenger transport services mediated by a digital labour platform that connects a driver and passenger. </w:t>
            </w:r>
          </w:p>
        </w:tc>
      </w:tr>
      <w:tr w:rsidR="008A6E97" w:rsidRPr="00F35A39" w14:paraId="00A1DBEA" w14:textId="77777777" w:rsidTr="3939B92D">
        <w:trPr>
          <w:trHeight w:val="555"/>
        </w:trPr>
        <w:tc>
          <w:tcPr>
            <w:tcW w:w="2969" w:type="dxa"/>
            <w:tcBorders>
              <w:top w:val="single" w:sz="6" w:space="0" w:color="auto"/>
              <w:left w:val="single" w:sz="6" w:space="0" w:color="auto"/>
              <w:bottom w:val="single" w:sz="6" w:space="0" w:color="auto"/>
              <w:right w:val="single" w:sz="6" w:space="0" w:color="auto"/>
            </w:tcBorders>
            <w:shd w:val="clear" w:color="auto" w:fill="auto"/>
          </w:tcPr>
          <w:p w14:paraId="4F7B1FBC" w14:textId="20EB5C69" w:rsidR="008A6E97" w:rsidRPr="004D4B6E" w:rsidRDefault="008A6E97" w:rsidP="008A6E97">
            <w:pPr>
              <w:spacing w:after="0"/>
              <w:ind w:left="113" w:right="57"/>
              <w:jc w:val="center"/>
              <w:textAlignment w:val="baseline"/>
              <w:rPr>
                <w:rFonts w:ascii="Calibri" w:eastAsia="Times New Roman" w:hAnsi="Calibri" w:cs="Calibri"/>
                <w:b/>
                <w:bCs/>
                <w:color w:val="404246"/>
                <w:lang w:val="en-GB" w:eastAsia="en-AU"/>
              </w:rPr>
            </w:pPr>
            <w:r w:rsidRPr="004D4B6E">
              <w:rPr>
                <w:rFonts w:ascii="Calibri" w:eastAsia="Times New Roman" w:hAnsi="Calibri" w:cs="Calibri"/>
                <w:b/>
                <w:bCs/>
                <w:color w:val="404246"/>
                <w:lang w:val="en-GB" w:eastAsia="en-AU"/>
              </w:rPr>
              <w:t>Road transport industry</w:t>
            </w:r>
          </w:p>
        </w:tc>
        <w:tc>
          <w:tcPr>
            <w:tcW w:w="6085" w:type="dxa"/>
            <w:tcBorders>
              <w:top w:val="single" w:sz="6" w:space="0" w:color="auto"/>
              <w:left w:val="single" w:sz="6" w:space="0" w:color="auto"/>
              <w:bottom w:val="single" w:sz="6" w:space="0" w:color="auto"/>
              <w:right w:val="single" w:sz="6" w:space="0" w:color="auto"/>
            </w:tcBorders>
            <w:shd w:val="clear" w:color="auto" w:fill="auto"/>
          </w:tcPr>
          <w:p w14:paraId="417D57E6" w14:textId="77E55FB8" w:rsidR="008A6E97" w:rsidRDefault="003A09ED" w:rsidP="008A6E97">
            <w:pPr>
              <w:spacing w:after="0"/>
              <w:ind w:left="113" w:right="57"/>
              <w:textAlignment w:val="baseline"/>
              <w:rPr>
                <w:rFonts w:ascii="Calibri" w:eastAsia="Times New Roman" w:hAnsi="Calibri" w:cs="Calibri"/>
                <w:color w:val="404246"/>
                <w:lang w:val="en-GB" w:eastAsia="en-AU"/>
              </w:rPr>
            </w:pPr>
            <w:r>
              <w:rPr>
                <w:rStyle w:val="normaltextrun"/>
                <w:color w:val="262626" w:themeColor="text1" w:themeTint="D9"/>
              </w:rPr>
              <w:t xml:space="preserve">In legislation, this </w:t>
            </w:r>
            <w:r w:rsidR="00C03F1D">
              <w:rPr>
                <w:rStyle w:val="normaltextrun"/>
                <w:color w:val="262626" w:themeColor="text1" w:themeTint="D9"/>
              </w:rPr>
              <w:t xml:space="preserve">will </w:t>
            </w:r>
            <w:r>
              <w:rPr>
                <w:rStyle w:val="normaltextrun"/>
                <w:color w:val="262626" w:themeColor="text1" w:themeTint="D9"/>
              </w:rPr>
              <w:t xml:space="preserve">refer to </w:t>
            </w:r>
            <w:r w:rsidR="00277C91">
              <w:rPr>
                <w:rStyle w:val="normaltextrun"/>
                <w:color w:val="262626" w:themeColor="text1" w:themeTint="D9"/>
              </w:rPr>
              <w:t xml:space="preserve">industries within the meaning of </w:t>
            </w:r>
            <w:r>
              <w:rPr>
                <w:rStyle w:val="normaltextrun"/>
                <w:color w:val="262626" w:themeColor="text1" w:themeTint="D9"/>
              </w:rPr>
              <w:t>specified road transport modern awards. F</w:t>
            </w:r>
            <w:r w:rsidRPr="465D3EE1" w:rsidDel="00C96E3B">
              <w:rPr>
                <w:rStyle w:val="normaltextrun"/>
                <w:color w:val="262626" w:themeColor="text1" w:themeTint="D9"/>
              </w:rPr>
              <w:t xml:space="preserve">or the purposes of this Impact Analysis Equivalent process, </w:t>
            </w:r>
            <w:r>
              <w:rPr>
                <w:rStyle w:val="normaltextrun"/>
                <w:color w:val="262626" w:themeColor="text1" w:themeTint="D9"/>
              </w:rPr>
              <w:t xml:space="preserve">this refers to </w:t>
            </w:r>
            <w:r w:rsidRPr="465D3EE1" w:rsidDel="00C96E3B">
              <w:rPr>
                <w:rStyle w:val="normaltextrun"/>
                <w:color w:val="262626" w:themeColor="text1" w:themeTint="D9"/>
              </w:rPr>
              <w:t>workers and businesses in the Road freight transport, and Postal and courier pick-up and delivery services Australian and New Zealand Standard Industrial Classification (ANZSIC) 3-digit industries.</w:t>
            </w:r>
            <w:r>
              <w:rPr>
                <w:rStyle w:val="normaltextrun"/>
                <w:color w:val="262626" w:themeColor="text1" w:themeTint="D9"/>
              </w:rPr>
              <w:t xml:space="preserve"> This is </w:t>
            </w:r>
            <w:r w:rsidR="00E64415">
              <w:rPr>
                <w:rStyle w:val="normaltextrun"/>
                <w:color w:val="262626" w:themeColor="text1" w:themeTint="D9"/>
              </w:rPr>
              <w:t>because</w:t>
            </w:r>
            <w:r>
              <w:rPr>
                <w:rStyle w:val="normaltextrun"/>
                <w:color w:val="262626" w:themeColor="text1" w:themeTint="D9"/>
              </w:rPr>
              <w:t xml:space="preserve"> </w:t>
            </w:r>
            <w:r w:rsidR="0044265C">
              <w:rPr>
                <w:rStyle w:val="normaltextrun"/>
                <w:color w:val="262626" w:themeColor="text1" w:themeTint="D9"/>
              </w:rPr>
              <w:t xml:space="preserve">as </w:t>
            </w:r>
            <w:r>
              <w:rPr>
                <w:rStyle w:val="normaltextrun"/>
                <w:color w:val="262626" w:themeColor="text1" w:themeTint="D9"/>
              </w:rPr>
              <w:t xml:space="preserve">independent contractors </w:t>
            </w:r>
            <w:r w:rsidR="00E64415">
              <w:rPr>
                <w:rStyle w:val="normaltextrun"/>
                <w:color w:val="262626" w:themeColor="text1" w:themeTint="D9"/>
              </w:rPr>
              <w:t xml:space="preserve">are not covered by </w:t>
            </w:r>
            <w:r>
              <w:rPr>
                <w:rStyle w:val="normaltextrun"/>
                <w:color w:val="262626" w:themeColor="text1" w:themeTint="D9"/>
              </w:rPr>
              <w:t>modern awards</w:t>
            </w:r>
            <w:r w:rsidR="0044265C">
              <w:rPr>
                <w:rStyle w:val="normaltextrun"/>
                <w:color w:val="262626" w:themeColor="text1" w:themeTint="D9"/>
              </w:rPr>
              <w:t xml:space="preserve">, there is no data </w:t>
            </w:r>
            <w:r w:rsidR="00E7387C">
              <w:rPr>
                <w:rStyle w:val="normaltextrun"/>
                <w:color w:val="262626" w:themeColor="text1" w:themeTint="D9"/>
              </w:rPr>
              <w:t xml:space="preserve">corresponding to </w:t>
            </w:r>
            <w:r w:rsidR="001117E4">
              <w:rPr>
                <w:rStyle w:val="normaltextrun"/>
                <w:color w:val="262626" w:themeColor="text1" w:themeTint="D9"/>
              </w:rPr>
              <w:t>modern award coverage</w:t>
            </w:r>
            <w:r>
              <w:rPr>
                <w:rStyle w:val="normaltextrun"/>
                <w:color w:val="262626" w:themeColor="text1" w:themeTint="D9"/>
              </w:rPr>
              <w:t>.</w:t>
            </w:r>
          </w:p>
        </w:tc>
      </w:tr>
    </w:tbl>
    <w:p w14:paraId="40E63B41" w14:textId="77777777" w:rsidR="00567625" w:rsidRDefault="00567625" w:rsidP="00567625">
      <w:pPr>
        <w:spacing w:after="160" w:line="259" w:lineRule="auto"/>
        <w:rPr>
          <w:rFonts w:ascii="Calibri" w:eastAsiaTheme="majorEastAsia" w:hAnsi="Calibri" w:cstheme="majorBidi"/>
          <w:b/>
          <w:color w:val="404246"/>
          <w:sz w:val="32"/>
          <w:szCs w:val="32"/>
        </w:rPr>
      </w:pPr>
      <w:r>
        <w:br w:type="page"/>
      </w:r>
    </w:p>
    <w:p w14:paraId="635D5FD6" w14:textId="041F93D2" w:rsidR="00286C50" w:rsidRDefault="00CB71F3" w:rsidP="00D41E0D">
      <w:pPr>
        <w:pStyle w:val="Heading1"/>
        <w:numPr>
          <w:ilvl w:val="0"/>
          <w:numId w:val="1"/>
        </w:numPr>
        <w:spacing w:after="200"/>
        <w:ind w:left="357" w:hanging="357"/>
      </w:pPr>
      <w:bookmarkStart w:id="7" w:name="_Toc139295520"/>
      <w:r>
        <w:t>R</w:t>
      </w:r>
      <w:r w:rsidR="00286C50">
        <w:t xml:space="preserve">eviews </w:t>
      </w:r>
      <w:r w:rsidR="006A02C8">
        <w:t xml:space="preserve">certified </w:t>
      </w:r>
      <w:r w:rsidR="00A27EFF">
        <w:t xml:space="preserve">as </w:t>
      </w:r>
      <w:r>
        <w:t xml:space="preserve">Impact Analysis Equivalent </w:t>
      </w:r>
      <w:r w:rsidR="006F70F7">
        <w:t>processes</w:t>
      </w:r>
      <w:bookmarkEnd w:id="7"/>
    </w:p>
    <w:p w14:paraId="5AB3A394" w14:textId="5443EF3D" w:rsidR="003B35B3" w:rsidRDefault="002B5575" w:rsidP="003B35B3">
      <w:r>
        <w:t>The department</w:t>
      </w:r>
      <w:r w:rsidR="006A02C8">
        <w:t xml:space="preserve"> has certified </w:t>
      </w:r>
      <w:r w:rsidR="003B35B3" w:rsidRPr="008B793A">
        <w:t>f</w:t>
      </w:r>
      <w:r w:rsidR="000C5A07" w:rsidRPr="008B793A">
        <w:t xml:space="preserve">ive </w:t>
      </w:r>
      <w:r w:rsidR="006A02C8">
        <w:t>independent reviews as having</w:t>
      </w:r>
      <w:r w:rsidR="00434691">
        <w:t xml:space="preserve"> undertaken </w:t>
      </w:r>
      <w:r w:rsidR="00922C84">
        <w:t xml:space="preserve">Impact Analysis </w:t>
      </w:r>
      <w:r w:rsidR="00340420">
        <w:t>E</w:t>
      </w:r>
      <w:r w:rsidR="00922C84">
        <w:t xml:space="preserve">quivalent processes and </w:t>
      </w:r>
      <w:r w:rsidR="000540BA">
        <w:t>analysis</w:t>
      </w:r>
      <w:r w:rsidR="003B35B3">
        <w:t xml:space="preserve"> to respond to Impact Analysis question</w:t>
      </w:r>
      <w:r w:rsidR="00EF4274">
        <w:t xml:space="preserve"> 1 and</w:t>
      </w:r>
      <w:r w:rsidR="00D8382F">
        <w:t xml:space="preserve"> </w:t>
      </w:r>
      <w:r w:rsidR="00FB3DEE">
        <w:t>in part to Impact Analysis question</w:t>
      </w:r>
      <w:r w:rsidR="00EF4274">
        <w:t xml:space="preserve"> 2: </w:t>
      </w:r>
    </w:p>
    <w:p w14:paraId="4E7C3C1D" w14:textId="277BBBA7" w:rsidR="00EF4274" w:rsidRDefault="005F0C86" w:rsidP="003B35B3">
      <w:pPr>
        <w:rPr>
          <w:i/>
          <w:iCs/>
        </w:rPr>
      </w:pPr>
      <w:r>
        <w:rPr>
          <w:i/>
          <w:iCs/>
        </w:rPr>
        <w:t>Question 1: What is the problem you are trying to solve and what data is available?</w:t>
      </w:r>
    </w:p>
    <w:p w14:paraId="50241746" w14:textId="12B09C0C" w:rsidR="009F5DEC" w:rsidRDefault="005F0C86" w:rsidP="009F5DEC">
      <w:pPr>
        <w:rPr>
          <w:i/>
          <w:iCs/>
        </w:rPr>
      </w:pPr>
      <w:r>
        <w:rPr>
          <w:i/>
          <w:iCs/>
        </w:rPr>
        <w:t>Question 2: What are the objectives, why is government intervention needed to achieve them, and how will success be measured?</w:t>
      </w:r>
    </w:p>
    <w:p w14:paraId="265D4400" w14:textId="2DDBE1E0" w:rsidR="005B5F4F" w:rsidRPr="005B5F4F" w:rsidRDefault="005B5F4F" w:rsidP="009F5DEC">
      <w:r>
        <w:t>The</w:t>
      </w:r>
      <w:r w:rsidR="00D64439">
        <w:t xml:space="preserve"> independent reviews are: </w:t>
      </w:r>
    </w:p>
    <w:p w14:paraId="0C9AC068" w14:textId="674E7844" w:rsidR="00AC6F28" w:rsidRDefault="00B532E3" w:rsidP="00F9171A">
      <w:pPr>
        <w:pStyle w:val="ListParagraph"/>
        <w:numPr>
          <w:ilvl w:val="0"/>
          <w:numId w:val="63"/>
        </w:numPr>
        <w:spacing w:line="276" w:lineRule="auto"/>
        <w:ind w:left="714" w:hanging="357"/>
        <w:contextualSpacing w:val="0"/>
      </w:pPr>
      <w:r>
        <w:t xml:space="preserve">The Victorian Government’s </w:t>
      </w:r>
      <w:r w:rsidR="00416F67">
        <w:t>I</w:t>
      </w:r>
      <w:r w:rsidR="00AC6F28">
        <w:t>nquiry into the Victorian On-Demand Workforce (Victorian Government Inquiry)</w:t>
      </w:r>
      <w:r w:rsidR="002F25D1">
        <w:rPr>
          <w:rStyle w:val="FootnoteReference"/>
        </w:rPr>
        <w:footnoteReference w:id="10"/>
      </w:r>
    </w:p>
    <w:p w14:paraId="0760CCC6" w14:textId="7A05C8BB" w:rsidR="00B532E3" w:rsidRDefault="00DE4647" w:rsidP="00F9171A">
      <w:pPr>
        <w:pStyle w:val="ListParagraph"/>
        <w:numPr>
          <w:ilvl w:val="0"/>
          <w:numId w:val="63"/>
        </w:numPr>
        <w:spacing w:line="276" w:lineRule="auto"/>
        <w:ind w:left="714" w:hanging="357"/>
        <w:contextualSpacing w:val="0"/>
      </w:pPr>
      <w:r>
        <w:t>Volume 7 of the report of t</w:t>
      </w:r>
      <w:r w:rsidR="00FF00A2">
        <w:t xml:space="preserve">he Productivity Commission’s </w:t>
      </w:r>
      <w:r w:rsidR="00175043">
        <w:t>5-Year Productivity Inquiry</w:t>
      </w:r>
      <w:r w:rsidR="00B532E3">
        <w:t xml:space="preserve"> </w:t>
      </w:r>
      <w:r w:rsidR="000D24FA">
        <w:t>(Productivity Commission Inquiry)</w:t>
      </w:r>
      <w:r w:rsidR="002F25D1">
        <w:rPr>
          <w:rStyle w:val="FootnoteReference"/>
        </w:rPr>
        <w:footnoteReference w:id="11"/>
      </w:r>
    </w:p>
    <w:p w14:paraId="5FD7D747" w14:textId="1DA62B9A" w:rsidR="000D24FA" w:rsidRDefault="0056311B" w:rsidP="00F9171A">
      <w:pPr>
        <w:pStyle w:val="ListParagraph"/>
        <w:numPr>
          <w:ilvl w:val="0"/>
          <w:numId w:val="63"/>
        </w:numPr>
        <w:spacing w:line="276" w:lineRule="auto"/>
        <w:ind w:left="714" w:hanging="357"/>
        <w:contextualSpacing w:val="0"/>
      </w:pPr>
      <w:r>
        <w:t>T</w:t>
      </w:r>
      <w:r w:rsidR="006D558D">
        <w:t xml:space="preserve">he </w:t>
      </w:r>
      <w:r w:rsidR="00E82A47">
        <w:t xml:space="preserve">inquiry of the </w:t>
      </w:r>
      <w:r w:rsidR="000D653E">
        <w:t>Senate Select Committee on Job Security</w:t>
      </w:r>
      <w:r w:rsidR="004D6574">
        <w:t xml:space="preserve"> (Job Security Inquiry</w:t>
      </w:r>
      <w:r w:rsidR="005D1A1C">
        <w:t>)</w:t>
      </w:r>
      <w:r w:rsidR="00DE4647">
        <w:rPr>
          <w:rStyle w:val="FootnoteReference"/>
        </w:rPr>
        <w:footnoteReference w:id="12"/>
      </w:r>
      <w:r w:rsidR="00300457">
        <w:t xml:space="preserve"> </w:t>
      </w:r>
    </w:p>
    <w:p w14:paraId="49C36983" w14:textId="380908A1" w:rsidR="00E6130A" w:rsidRDefault="00416F67" w:rsidP="00071F32">
      <w:pPr>
        <w:pStyle w:val="ListParagraph"/>
        <w:numPr>
          <w:ilvl w:val="0"/>
          <w:numId w:val="63"/>
        </w:numPr>
        <w:spacing w:line="276" w:lineRule="auto"/>
        <w:ind w:left="714" w:hanging="357"/>
        <w:contextualSpacing w:val="0"/>
      </w:pPr>
      <w:r>
        <w:t xml:space="preserve">The Senate Rural and Regional Affairs and Transport References Committee Inquiry into the Importance </w:t>
      </w:r>
      <w:r w:rsidR="009D32B7">
        <w:t>of a viable, safe, sustainable and efficient road transport industry (Road Transport Inquiry</w:t>
      </w:r>
      <w:r w:rsidR="7E5583B2">
        <w:t>)</w:t>
      </w:r>
      <w:r w:rsidR="0049395F">
        <w:rPr>
          <w:rStyle w:val="FootnoteReference"/>
        </w:rPr>
        <w:footnoteReference w:id="13"/>
      </w:r>
      <w:r w:rsidR="005D1A1C">
        <w:t>; and</w:t>
      </w:r>
    </w:p>
    <w:p w14:paraId="21033E5C" w14:textId="0AE3715D" w:rsidR="002D1C51" w:rsidRPr="008B793A" w:rsidRDefault="00137101" w:rsidP="00F9171A">
      <w:pPr>
        <w:pStyle w:val="ListParagraph"/>
        <w:numPr>
          <w:ilvl w:val="0"/>
          <w:numId w:val="63"/>
        </w:numPr>
        <w:spacing w:line="276" w:lineRule="auto"/>
        <w:ind w:left="714" w:hanging="357"/>
        <w:contextualSpacing w:val="0"/>
      </w:pPr>
      <w:r w:rsidRPr="000138C5">
        <w:t>The Select Committee on the impact of technological and other change on the future of work and workers in New South Wales (New South Wales Government Inquiry)</w:t>
      </w:r>
      <w:r w:rsidR="005D1A1C" w:rsidRPr="000138C5">
        <w:t>.</w:t>
      </w:r>
      <w:r w:rsidR="005D1A1C" w:rsidRPr="000138C5">
        <w:rPr>
          <w:rStyle w:val="FootnoteReference"/>
        </w:rPr>
        <w:footnoteReference w:id="14"/>
      </w:r>
    </w:p>
    <w:p w14:paraId="10327FF8" w14:textId="77777777" w:rsidR="00286C50" w:rsidRPr="00AD2E4D" w:rsidRDefault="00286C50" w:rsidP="00D41E0D">
      <w:pPr>
        <w:pStyle w:val="Heading2"/>
        <w:spacing w:after="200"/>
        <w:rPr>
          <w:sz w:val="24"/>
          <w:szCs w:val="22"/>
        </w:rPr>
      </w:pPr>
      <w:bookmarkStart w:id="8" w:name="_Toc139295521"/>
      <w:r w:rsidRPr="00AD2E4D">
        <w:rPr>
          <w:sz w:val="24"/>
          <w:szCs w:val="22"/>
        </w:rPr>
        <w:t>Victorian Government Inquiry</w:t>
      </w:r>
      <w:bookmarkEnd w:id="8"/>
      <w:r w:rsidRPr="00AD2E4D">
        <w:rPr>
          <w:sz w:val="24"/>
          <w:szCs w:val="22"/>
        </w:rPr>
        <w:t xml:space="preserve"> </w:t>
      </w:r>
    </w:p>
    <w:p w14:paraId="7C6414CC" w14:textId="7B1BD1E0" w:rsidR="00286C50" w:rsidRDefault="00286C50" w:rsidP="00286C50">
      <w:r>
        <w:t>The Victorian Government established the Inquiry into the Victorian On-Demand Workforce in 2018. The Inquiry’s Terms of Reference included that it would ‘inquire into, consider and report to the Minister for Industrial Relations on the extent and nature of the on-demand economy in Victoria, for the purposes of considering its impact on both the Victorian labour market and Victorian economy more broadly’. The Inquiry commissioned Australia’s ‘largest ever published survey’ on on-demand work in Australia, surveying more than 14,000 people across the nation</w:t>
      </w:r>
      <w:r w:rsidR="00721978">
        <w:t xml:space="preserve"> – </w:t>
      </w:r>
      <w:r w:rsidR="00721978" w:rsidRPr="004326A8">
        <w:rPr>
          <w:i/>
          <w:iCs/>
        </w:rPr>
        <w:t xml:space="preserve">Digital Platform Work in Australia – Prevalence, Nature and Impact </w:t>
      </w:r>
      <w:r w:rsidR="00721978" w:rsidRPr="004326A8">
        <w:t>(the ‘Vi</w:t>
      </w:r>
      <w:r w:rsidR="00721978">
        <w:t>c</w:t>
      </w:r>
      <w:r w:rsidR="00721978" w:rsidRPr="004326A8">
        <w:t xml:space="preserve">torian </w:t>
      </w:r>
      <w:r w:rsidR="00721978">
        <w:t>National Survey’</w:t>
      </w:r>
      <w:r w:rsidR="00721978" w:rsidRPr="004326A8">
        <w:t>)</w:t>
      </w:r>
      <w:r w:rsidR="00721978">
        <w:t>.</w:t>
      </w:r>
      <w:r w:rsidR="009B0257">
        <w:rPr>
          <w:rStyle w:val="FootnoteReference"/>
        </w:rPr>
        <w:footnoteReference w:id="15"/>
      </w:r>
      <w:r>
        <w:t xml:space="preserve"> The Inquiry also considered submissions from over 90 individuals and organisations</w:t>
      </w:r>
      <w:r w:rsidR="003F3AE2">
        <w:t xml:space="preserve"> ahead of publishing its final report </w:t>
      </w:r>
      <w:r w:rsidR="0019644E">
        <w:t>in July 2020.</w:t>
      </w:r>
      <w:r w:rsidR="0019644E">
        <w:rPr>
          <w:rStyle w:val="FootnoteReference"/>
        </w:rPr>
        <w:footnoteReference w:id="16"/>
      </w:r>
    </w:p>
    <w:p w14:paraId="2923E21E" w14:textId="77777777" w:rsidR="00286C50" w:rsidRPr="00AD2E4D" w:rsidRDefault="00286C50" w:rsidP="00D41E0D">
      <w:pPr>
        <w:pStyle w:val="Heading2"/>
        <w:spacing w:after="200"/>
        <w:rPr>
          <w:sz w:val="24"/>
          <w:szCs w:val="22"/>
        </w:rPr>
      </w:pPr>
      <w:bookmarkStart w:id="9" w:name="_Toc139295522"/>
      <w:r w:rsidRPr="00AD2E4D">
        <w:rPr>
          <w:sz w:val="24"/>
          <w:szCs w:val="22"/>
        </w:rPr>
        <w:t>Productivity Commission Inquiry</w:t>
      </w:r>
      <w:bookmarkEnd w:id="9"/>
      <w:r w:rsidRPr="00AD2E4D">
        <w:rPr>
          <w:sz w:val="24"/>
          <w:szCs w:val="22"/>
        </w:rPr>
        <w:t xml:space="preserve"> </w:t>
      </w:r>
    </w:p>
    <w:p w14:paraId="7812CF81" w14:textId="17D8701E" w:rsidR="000846A5" w:rsidRDefault="004E2E2F" w:rsidP="00286C50">
      <w:r>
        <w:t>The Productivity Commission</w:t>
      </w:r>
      <w:r w:rsidR="00371B89">
        <w:t xml:space="preserve"> </w:t>
      </w:r>
      <w:r w:rsidR="00E209F9">
        <w:t xml:space="preserve">began its most recent </w:t>
      </w:r>
      <w:r w:rsidR="00286C50">
        <w:t>5-Year Productivity Inquiry</w:t>
      </w:r>
      <w:r w:rsidR="00E209F9">
        <w:t xml:space="preserve"> </w:t>
      </w:r>
      <w:r w:rsidR="00A70EDA">
        <w:rPr>
          <w:i/>
          <w:iCs/>
        </w:rPr>
        <w:t xml:space="preserve">Advancing Prosperity </w:t>
      </w:r>
      <w:r w:rsidR="00E209F9">
        <w:t xml:space="preserve">in February 2022. </w:t>
      </w:r>
      <w:r w:rsidR="00E73CDB">
        <w:t>The review considered over 200 submissions and conducted two public hearings on 7 and 8 November 2022</w:t>
      </w:r>
      <w:r w:rsidR="000846A5">
        <w:t>.</w:t>
      </w:r>
      <w:r w:rsidR="0092281F">
        <w:t xml:space="preserve"> The Productivity Commission</w:t>
      </w:r>
      <w:r w:rsidR="00163179">
        <w:t xml:space="preserve">’s </w:t>
      </w:r>
      <w:r w:rsidR="000634DF">
        <w:t>7</w:t>
      </w:r>
      <w:r w:rsidR="001A0B53">
        <w:t>t</w:t>
      </w:r>
      <w:r w:rsidR="000634DF">
        <w:t xml:space="preserve">h interim </w:t>
      </w:r>
      <w:r w:rsidR="009D38B0">
        <w:t xml:space="preserve">report </w:t>
      </w:r>
      <w:r w:rsidR="009D38B0">
        <w:rPr>
          <w:i/>
          <w:iCs/>
        </w:rPr>
        <w:t>5-year Productivity Inquiry: A more productive labour market</w:t>
      </w:r>
      <w:r w:rsidR="00E17F32">
        <w:t xml:space="preserve"> was published in February 2023 </w:t>
      </w:r>
      <w:r w:rsidR="000846A5">
        <w:t>and considered digital platform work in detail.</w:t>
      </w:r>
      <w:r w:rsidR="000846A5">
        <w:rPr>
          <w:rStyle w:val="FootnoteReference"/>
        </w:rPr>
        <w:footnoteReference w:id="17"/>
      </w:r>
      <w:r w:rsidR="000846A5">
        <w:t xml:space="preserve"> </w:t>
      </w:r>
    </w:p>
    <w:p w14:paraId="7DA9FF30" w14:textId="2989FE82" w:rsidR="00286C50" w:rsidRPr="00AD2E4D" w:rsidRDefault="00A6483A" w:rsidP="00D41E0D">
      <w:pPr>
        <w:pStyle w:val="Heading2"/>
        <w:spacing w:after="200"/>
        <w:rPr>
          <w:sz w:val="24"/>
          <w:szCs w:val="22"/>
        </w:rPr>
      </w:pPr>
      <w:bookmarkStart w:id="10" w:name="_Toc139295523"/>
      <w:r w:rsidRPr="00AD2E4D">
        <w:rPr>
          <w:sz w:val="24"/>
          <w:szCs w:val="22"/>
        </w:rPr>
        <w:t>Job Security Inquiry</w:t>
      </w:r>
      <w:bookmarkEnd w:id="10"/>
      <w:r w:rsidRPr="00AD2E4D">
        <w:rPr>
          <w:sz w:val="24"/>
          <w:szCs w:val="22"/>
        </w:rPr>
        <w:t xml:space="preserve"> </w:t>
      </w:r>
    </w:p>
    <w:p w14:paraId="7DAFC3DA" w14:textId="427D73A9" w:rsidR="00286C50" w:rsidRPr="002A6025" w:rsidRDefault="00286C50" w:rsidP="00286C50">
      <w:r>
        <w:t xml:space="preserve">The Senate Select Committee on Job Security was established on 2 December 2020 to inquire into the impact of insecure or precarious employment on the economy, wages, social cohesion and workplace rights and conditions, including with reference to ‘workplace and consumer trends and the associated impact on employment arrangements in sectors of the economy including the ‘gig’ and ‘on-demand’ economy. </w:t>
      </w:r>
      <w:r w:rsidR="00E57CAE">
        <w:t xml:space="preserve">The </w:t>
      </w:r>
      <w:r w:rsidR="00E511D4">
        <w:t>Job Security Inquiry’s first interim report considered ‘on-demand platform work in Australia’</w:t>
      </w:r>
      <w:r w:rsidR="0034180F">
        <w:t xml:space="preserve"> and was released in </w:t>
      </w:r>
      <w:r w:rsidR="001E4CE3">
        <w:t>June 2021.</w:t>
      </w:r>
      <w:r w:rsidR="001E4CE3">
        <w:rPr>
          <w:rStyle w:val="FootnoteReference"/>
        </w:rPr>
        <w:footnoteReference w:id="18"/>
      </w:r>
      <w:r w:rsidR="00C568CD">
        <w:t xml:space="preserve"> </w:t>
      </w:r>
      <w:r w:rsidR="00B36C0E">
        <w:t xml:space="preserve">The Inquiry’s </w:t>
      </w:r>
      <w:r w:rsidR="00C568CD">
        <w:t xml:space="preserve">final list of recommendations </w:t>
      </w:r>
      <w:r w:rsidR="00B36C0E">
        <w:t xml:space="preserve">is </w:t>
      </w:r>
      <w:r w:rsidR="00C568CD">
        <w:t xml:space="preserve">in the </w:t>
      </w:r>
      <w:r w:rsidR="009D3E1B">
        <w:t>fourth interim report</w:t>
      </w:r>
      <w:r w:rsidR="00B36C0E">
        <w:t xml:space="preserve">, </w:t>
      </w:r>
      <w:r w:rsidR="002A6025">
        <w:rPr>
          <w:i/>
          <w:iCs/>
        </w:rPr>
        <w:t xml:space="preserve">The Job Insecurity Report, </w:t>
      </w:r>
      <w:r w:rsidR="002A6025">
        <w:t>released in February 2022.</w:t>
      </w:r>
      <w:r w:rsidR="002A6025">
        <w:rPr>
          <w:rStyle w:val="FootnoteReference"/>
        </w:rPr>
        <w:footnoteReference w:id="19"/>
      </w:r>
    </w:p>
    <w:p w14:paraId="17BEEF26" w14:textId="77777777" w:rsidR="00286C50" w:rsidRPr="00AD2E4D" w:rsidRDefault="00286C50" w:rsidP="00D41E0D">
      <w:pPr>
        <w:pStyle w:val="Heading2"/>
        <w:spacing w:after="200"/>
        <w:rPr>
          <w:sz w:val="24"/>
          <w:szCs w:val="22"/>
        </w:rPr>
      </w:pPr>
      <w:bookmarkStart w:id="11" w:name="_Toc139295524"/>
      <w:r w:rsidRPr="00AD2E4D">
        <w:rPr>
          <w:sz w:val="24"/>
          <w:szCs w:val="22"/>
        </w:rPr>
        <w:t>Road Transport Inquiry</w:t>
      </w:r>
      <w:bookmarkEnd w:id="11"/>
      <w:r w:rsidRPr="00AD2E4D">
        <w:rPr>
          <w:sz w:val="24"/>
          <w:szCs w:val="22"/>
        </w:rPr>
        <w:t xml:space="preserve"> </w:t>
      </w:r>
    </w:p>
    <w:p w14:paraId="186030FC" w14:textId="3E508F73" w:rsidR="00286C50" w:rsidRDefault="00286C50" w:rsidP="00067C5D">
      <w:r>
        <w:t xml:space="preserve">On 11 September 2019, the Senate moved that the Rural and Regional Affairs and Transport References Committee inquire into the </w:t>
      </w:r>
      <w:r w:rsidR="63519DC3">
        <w:t>i</w:t>
      </w:r>
      <w:r>
        <w:t xml:space="preserve">mportance of a viable, safe sustainable and efficient road transport industry. The </w:t>
      </w:r>
      <w:r w:rsidR="00DB457A">
        <w:t>I</w:t>
      </w:r>
      <w:r>
        <w:t xml:space="preserve">nquiry’s terms of reference included that it would have particular reference to ‘the importance of an enforceable minimum award rate and sustainable standards and conditions for all stakeholders in the road transport industry’. </w:t>
      </w:r>
      <w:r w:rsidR="009E4A20">
        <w:t xml:space="preserve">The Inquiry published its </w:t>
      </w:r>
      <w:r w:rsidR="00DB457A">
        <w:t>r</w:t>
      </w:r>
      <w:r w:rsidR="009E4A20">
        <w:t xml:space="preserve">eport </w:t>
      </w:r>
      <w:r w:rsidR="009E4A20">
        <w:rPr>
          <w:i/>
          <w:iCs/>
        </w:rPr>
        <w:t xml:space="preserve">Without Trucks Australia Stops: the development of a viable, safe, sustainable and efficient road transport industry </w:t>
      </w:r>
      <w:r w:rsidR="0014625D">
        <w:t>in August 2021.</w:t>
      </w:r>
      <w:r w:rsidR="0014625D">
        <w:rPr>
          <w:rStyle w:val="FootnoteReference"/>
        </w:rPr>
        <w:footnoteReference w:id="20"/>
      </w:r>
      <w:r w:rsidR="0014625D">
        <w:t xml:space="preserve"> </w:t>
      </w:r>
    </w:p>
    <w:p w14:paraId="1FA3B3D5" w14:textId="05446BA1" w:rsidR="002A45C4" w:rsidRPr="00AD2E4D" w:rsidRDefault="002A45C4" w:rsidP="00D41E0D">
      <w:pPr>
        <w:pStyle w:val="Heading2"/>
        <w:spacing w:after="200"/>
        <w:rPr>
          <w:sz w:val="24"/>
          <w:szCs w:val="22"/>
        </w:rPr>
      </w:pPr>
      <w:bookmarkStart w:id="12" w:name="_Toc139295525"/>
      <w:r w:rsidRPr="00AD2E4D">
        <w:rPr>
          <w:sz w:val="24"/>
          <w:szCs w:val="22"/>
        </w:rPr>
        <w:t>New South Wales Government Inquiry</w:t>
      </w:r>
      <w:bookmarkEnd w:id="12"/>
      <w:r w:rsidRPr="00AD2E4D">
        <w:rPr>
          <w:sz w:val="24"/>
          <w:szCs w:val="22"/>
        </w:rPr>
        <w:t xml:space="preserve"> </w:t>
      </w:r>
    </w:p>
    <w:p w14:paraId="72EE62AF" w14:textId="4CDE331A" w:rsidR="00632B41" w:rsidRPr="000138C5" w:rsidRDefault="007D72D0" w:rsidP="00632B41">
      <w:r w:rsidRPr="000138C5">
        <w:t xml:space="preserve">The select committee was established on 24 March 2020 to inquire into </w:t>
      </w:r>
      <w:r w:rsidR="00632B41" w:rsidRPr="000138C5">
        <w:t>and report on the impact of technological and other change on the future of work and workers in New South Wales.</w:t>
      </w:r>
      <w:r w:rsidR="008A74F4" w:rsidRPr="000138C5">
        <w:t xml:space="preserve"> The </w:t>
      </w:r>
      <w:r w:rsidR="00FC61FE" w:rsidRPr="000138C5">
        <w:t xml:space="preserve">select committee received 53 submissions </w:t>
      </w:r>
      <w:r w:rsidR="0074648E" w:rsidRPr="000138C5">
        <w:t xml:space="preserve">and held eight hearings </w:t>
      </w:r>
      <w:r w:rsidR="00FC61FE" w:rsidRPr="000138C5">
        <w:t>in the course of its inquiry</w:t>
      </w:r>
      <w:r w:rsidR="0074648E" w:rsidRPr="000138C5">
        <w:t xml:space="preserve">. The </w:t>
      </w:r>
      <w:r w:rsidR="00CA4A46">
        <w:t>I</w:t>
      </w:r>
      <w:r w:rsidR="0074648E" w:rsidRPr="000138C5">
        <w:t xml:space="preserve">nquiry’s </w:t>
      </w:r>
      <w:r w:rsidR="00861742" w:rsidRPr="000138C5">
        <w:t>first</w:t>
      </w:r>
      <w:r w:rsidR="0074648E" w:rsidRPr="000138C5">
        <w:t xml:space="preserve"> </w:t>
      </w:r>
      <w:r w:rsidR="00062A1F" w:rsidRPr="000138C5">
        <w:t xml:space="preserve">report </w:t>
      </w:r>
      <w:r w:rsidR="00861742" w:rsidRPr="000138C5">
        <w:rPr>
          <w:i/>
        </w:rPr>
        <w:t xml:space="preserve">The </w:t>
      </w:r>
      <w:r w:rsidR="00862FDC" w:rsidRPr="000138C5">
        <w:rPr>
          <w:i/>
        </w:rPr>
        <w:t>G</w:t>
      </w:r>
      <w:r w:rsidR="00861742" w:rsidRPr="000138C5">
        <w:rPr>
          <w:i/>
        </w:rPr>
        <w:t xml:space="preserve">ig </w:t>
      </w:r>
      <w:r w:rsidR="00862FDC" w:rsidRPr="000138C5">
        <w:rPr>
          <w:i/>
        </w:rPr>
        <w:t>E</w:t>
      </w:r>
      <w:r w:rsidR="00861742" w:rsidRPr="000138C5">
        <w:rPr>
          <w:i/>
        </w:rPr>
        <w:t xml:space="preserve">conomy </w:t>
      </w:r>
      <w:r w:rsidR="00861742" w:rsidRPr="000138C5">
        <w:t>was released in April 2022</w:t>
      </w:r>
      <w:r w:rsidR="005C0ABC" w:rsidRPr="000138C5">
        <w:rPr>
          <w:rStyle w:val="FootnoteReference"/>
        </w:rPr>
        <w:footnoteReference w:id="21"/>
      </w:r>
      <w:r w:rsidR="001B21E2" w:rsidRPr="000138C5">
        <w:t xml:space="preserve"> and </w:t>
      </w:r>
      <w:r w:rsidR="00A36A7A">
        <w:t xml:space="preserve">its </w:t>
      </w:r>
      <w:r w:rsidR="001B21E2" w:rsidRPr="000138C5">
        <w:t xml:space="preserve">second report </w:t>
      </w:r>
      <w:r w:rsidR="00862FDC" w:rsidRPr="000138C5">
        <w:rPr>
          <w:i/>
        </w:rPr>
        <w:t xml:space="preserve">Workplace Surveillance and Automation </w:t>
      </w:r>
      <w:r w:rsidR="00A36A7A">
        <w:rPr>
          <w:iCs/>
        </w:rPr>
        <w:t xml:space="preserve">was released </w:t>
      </w:r>
      <w:r w:rsidR="00862FDC" w:rsidRPr="000138C5">
        <w:t xml:space="preserve">in </w:t>
      </w:r>
      <w:r w:rsidR="00D204D1" w:rsidRPr="000138C5">
        <w:t>November 2022.</w:t>
      </w:r>
      <w:r w:rsidR="00D204D1" w:rsidRPr="000138C5">
        <w:rPr>
          <w:rStyle w:val="FootnoteReference"/>
        </w:rPr>
        <w:footnoteReference w:id="22"/>
      </w:r>
      <w:r w:rsidR="00D204D1" w:rsidRPr="000138C5">
        <w:t xml:space="preserve"> </w:t>
      </w:r>
    </w:p>
    <w:p w14:paraId="12F3B409" w14:textId="4F7229E3" w:rsidR="00067C5D" w:rsidRPr="00AD2E4D" w:rsidRDefault="003C24B8" w:rsidP="008A3F78">
      <w:pPr>
        <w:pStyle w:val="Heading2"/>
        <w:rPr>
          <w:sz w:val="28"/>
          <w:szCs w:val="24"/>
        </w:rPr>
      </w:pPr>
      <w:bookmarkStart w:id="13" w:name="_Toc139295526"/>
      <w:r w:rsidRPr="00AD2E4D">
        <w:rPr>
          <w:sz w:val="28"/>
          <w:szCs w:val="24"/>
        </w:rPr>
        <w:t xml:space="preserve">Alignment of reviews and </w:t>
      </w:r>
      <w:r w:rsidR="00883EF2" w:rsidRPr="00AD2E4D">
        <w:rPr>
          <w:sz w:val="28"/>
          <w:szCs w:val="24"/>
        </w:rPr>
        <w:t>Impact Analysis questions</w:t>
      </w:r>
      <w:bookmarkEnd w:id="13"/>
      <w:r w:rsidR="00883EF2" w:rsidRPr="00AD2E4D">
        <w:rPr>
          <w:sz w:val="28"/>
          <w:szCs w:val="24"/>
        </w:rPr>
        <w:t xml:space="preserve"> </w:t>
      </w:r>
    </w:p>
    <w:p w14:paraId="5C689EEF" w14:textId="718DAD79" w:rsidR="00883EF2" w:rsidRPr="00617654" w:rsidRDefault="00883EF2" w:rsidP="00F60F5C">
      <w:pPr>
        <w:pStyle w:val="Heading3"/>
      </w:pPr>
      <w:bookmarkStart w:id="14" w:name="_Toc139295527"/>
      <w:r w:rsidRPr="00617654">
        <w:t xml:space="preserve">Question 1: </w:t>
      </w:r>
      <w:r w:rsidR="00542955" w:rsidRPr="00617654">
        <w:t>What is the problem you are trying to solve and what data is available?</w:t>
      </w:r>
      <w:bookmarkEnd w:id="14"/>
      <w:r w:rsidR="00542955" w:rsidRPr="00617654">
        <w:t xml:space="preserve"> </w:t>
      </w:r>
    </w:p>
    <w:p w14:paraId="6D48488E" w14:textId="57EFB910" w:rsidR="003D3D26" w:rsidRDefault="003D3D26" w:rsidP="00617654">
      <w:r w:rsidRPr="007C7CE4">
        <w:t xml:space="preserve">Together, the </w:t>
      </w:r>
      <w:r w:rsidR="009202DB" w:rsidRPr="007C7CE4">
        <w:t>five</w:t>
      </w:r>
      <w:r w:rsidRPr="007C7CE4">
        <w:t xml:space="preserve"> </w:t>
      </w:r>
      <w:r>
        <w:t xml:space="preserve">reviews </w:t>
      </w:r>
      <w:r w:rsidR="003B148E">
        <w:t xml:space="preserve">identified an overarching problem of independent contractors having </w:t>
      </w:r>
      <w:r w:rsidR="00356E88">
        <w:t xml:space="preserve">inadequate </w:t>
      </w:r>
      <w:r w:rsidR="003B148E">
        <w:t xml:space="preserve">access to </w:t>
      </w:r>
      <w:r w:rsidR="00EC4205">
        <w:t xml:space="preserve">workplace protections and entitlements, to varying degrees. </w:t>
      </w:r>
      <w:r w:rsidR="00B94ECA">
        <w:t xml:space="preserve">This problem can be categorised as having three broad components: </w:t>
      </w:r>
    </w:p>
    <w:p w14:paraId="193E4F70" w14:textId="04290393" w:rsidR="00B94ECA" w:rsidRPr="00AD2E4D" w:rsidRDefault="00CC7FAC" w:rsidP="00617654">
      <w:pPr>
        <w:pStyle w:val="Heading4"/>
        <w:spacing w:after="200"/>
        <w:rPr>
          <w:sz w:val="24"/>
          <w:szCs w:val="20"/>
        </w:rPr>
      </w:pPr>
      <w:r w:rsidRPr="00AD2E4D">
        <w:rPr>
          <w:sz w:val="24"/>
          <w:szCs w:val="20"/>
        </w:rPr>
        <w:t>Lack of minimum standards for d</w:t>
      </w:r>
      <w:r w:rsidR="002F38C8" w:rsidRPr="00AD2E4D">
        <w:rPr>
          <w:sz w:val="24"/>
          <w:szCs w:val="20"/>
        </w:rPr>
        <w:t xml:space="preserve">igital platform workers </w:t>
      </w:r>
    </w:p>
    <w:p w14:paraId="7170FA16" w14:textId="2A6E83A4" w:rsidR="00302C86" w:rsidRDefault="00DB6734" w:rsidP="00617654">
      <w:r>
        <w:t xml:space="preserve">The Victorian </w:t>
      </w:r>
      <w:r w:rsidR="00E511D4">
        <w:t xml:space="preserve">Government </w:t>
      </w:r>
      <w:r>
        <w:t xml:space="preserve">Inquiry and Job Security </w:t>
      </w:r>
      <w:r w:rsidR="004D6574">
        <w:t>Inquiry</w:t>
      </w:r>
      <w:r>
        <w:t xml:space="preserve"> found that while estimates of pay rates in the</w:t>
      </w:r>
      <w:r w:rsidR="005E2141">
        <w:t xml:space="preserve"> digital platform </w:t>
      </w:r>
      <w:r>
        <w:t>economy vary and data is limited, some</w:t>
      </w:r>
      <w:r w:rsidR="004D6574">
        <w:t xml:space="preserve"> digital platform</w:t>
      </w:r>
      <w:r>
        <w:t xml:space="preserve"> workers earn below the equivalent of the minimum wage. </w:t>
      </w:r>
      <w:r w:rsidR="00302C86">
        <w:t>The Productivity Commission Inquiry noted that “evidence suggests that the per-take fees offered by some platforms in food delivery may be on average less than the adult minimum wage for casuals based on assumptions about how many tasks were completed per hour and available public data on earnings</w:t>
      </w:r>
      <w:r w:rsidR="005A448A">
        <w:t>.</w:t>
      </w:r>
      <w:r w:rsidR="00302C86">
        <w:t>”</w:t>
      </w:r>
      <w:r w:rsidR="005A448A">
        <w:t xml:space="preserve"> </w:t>
      </w:r>
      <w:r w:rsidR="006F1AF8">
        <w:t>T</w:t>
      </w:r>
      <w:r w:rsidR="00725EBB">
        <w:t>he Productivity Commission Inquiry</w:t>
      </w:r>
      <w:r w:rsidR="005A448A">
        <w:t xml:space="preserve"> </w:t>
      </w:r>
      <w:r w:rsidR="00302C86">
        <w:t xml:space="preserve">also </w:t>
      </w:r>
      <w:r w:rsidR="006F1AF8">
        <w:t xml:space="preserve">acknowledged </w:t>
      </w:r>
      <w:r w:rsidR="00302C86">
        <w:t xml:space="preserve">the difficulty of estimating pay rates in the </w:t>
      </w:r>
      <w:r w:rsidR="002715A4">
        <w:t xml:space="preserve">digital platform </w:t>
      </w:r>
      <w:r w:rsidR="00302C86">
        <w:t>economy due to a lack of data, and that</w:t>
      </w:r>
      <w:r w:rsidR="00F57119">
        <w:t xml:space="preserve"> in</w:t>
      </w:r>
      <w:r w:rsidR="00302C86">
        <w:t xml:space="preserve"> some industries platform workers may </w:t>
      </w:r>
      <w:r w:rsidR="00F57119">
        <w:t xml:space="preserve">earn </w:t>
      </w:r>
      <w:r w:rsidR="00302C86">
        <w:t xml:space="preserve">in excess of the relevant award rate. </w:t>
      </w:r>
    </w:p>
    <w:p w14:paraId="3A16D9FD" w14:textId="7711AEB3" w:rsidR="0064154E" w:rsidRPr="008B793A" w:rsidRDefault="00752C30" w:rsidP="00617654">
      <w:pPr>
        <w:rPr>
          <w:i/>
        </w:rPr>
      </w:pPr>
      <w:r>
        <w:t>In examining digital platform work or ‘on-demand work’ in Victoria, the Victorian Inquir</w:t>
      </w:r>
      <w:r w:rsidR="00070825">
        <w:t>y identified si</w:t>
      </w:r>
      <w:r w:rsidR="00DF321B">
        <w:t xml:space="preserve">x </w:t>
      </w:r>
      <w:r w:rsidR="00146EE5">
        <w:t>‘</w:t>
      </w:r>
      <w:r w:rsidR="00146EE5" w:rsidRPr="008B793A">
        <w:rPr>
          <w:i/>
        </w:rPr>
        <w:t>aspects of our current system which are not serving us well</w:t>
      </w:r>
      <w:r w:rsidR="0037596A" w:rsidRPr="008B793A">
        <w:rPr>
          <w:i/>
        </w:rPr>
        <w:t xml:space="preserve"> </w:t>
      </w:r>
      <w:r w:rsidR="0037596A" w:rsidRPr="0063078B">
        <w:t>[which are]</w:t>
      </w:r>
      <w:r w:rsidR="00146EE5" w:rsidRPr="008B793A">
        <w:rPr>
          <w:i/>
          <w:iCs/>
        </w:rPr>
        <w:t>:</w:t>
      </w:r>
      <w:r w:rsidR="00146EE5" w:rsidRPr="008B793A">
        <w:rPr>
          <w:i/>
        </w:rPr>
        <w:t xml:space="preserve"> </w:t>
      </w:r>
    </w:p>
    <w:p w14:paraId="2742CA92" w14:textId="2EE65628" w:rsidR="00146EE5" w:rsidRPr="008B793A" w:rsidRDefault="00146EE5" w:rsidP="006C7654">
      <w:pPr>
        <w:pStyle w:val="ListParagraph"/>
        <w:numPr>
          <w:ilvl w:val="0"/>
          <w:numId w:val="65"/>
        </w:numPr>
        <w:spacing w:line="276" w:lineRule="auto"/>
        <w:ind w:left="714" w:hanging="357"/>
        <w:contextualSpacing w:val="0"/>
        <w:rPr>
          <w:i/>
        </w:rPr>
      </w:pPr>
      <w:r w:rsidRPr="008B793A">
        <w:rPr>
          <w:i/>
        </w:rPr>
        <w:t>The inherent uncertainty of the work status test</w:t>
      </w:r>
      <w:r w:rsidR="00D90E7A" w:rsidRPr="008B793A">
        <w:rPr>
          <w:i/>
        </w:rPr>
        <w:t xml:space="preserve"> (i.e. whether a worker is an employee or independent contractor)</w:t>
      </w:r>
    </w:p>
    <w:p w14:paraId="6CAC5430" w14:textId="5EBABC64" w:rsidR="00146EE5" w:rsidRPr="008B793A" w:rsidRDefault="00146EE5" w:rsidP="006C7654">
      <w:pPr>
        <w:pStyle w:val="ListParagraph"/>
        <w:numPr>
          <w:ilvl w:val="0"/>
          <w:numId w:val="65"/>
        </w:numPr>
        <w:spacing w:line="276" w:lineRule="auto"/>
        <w:ind w:left="714" w:hanging="357"/>
        <w:contextualSpacing w:val="0"/>
        <w:rPr>
          <w:i/>
        </w:rPr>
      </w:pPr>
      <w:r w:rsidRPr="008B793A">
        <w:rPr>
          <w:i/>
        </w:rPr>
        <w:t xml:space="preserve">The fragmented and limited nature of advice and support about work status </w:t>
      </w:r>
    </w:p>
    <w:p w14:paraId="44DC690A" w14:textId="1DAC7596" w:rsidR="00146EE5" w:rsidRPr="008B793A" w:rsidRDefault="00146EE5" w:rsidP="006C7654">
      <w:pPr>
        <w:pStyle w:val="ListParagraph"/>
        <w:numPr>
          <w:ilvl w:val="0"/>
          <w:numId w:val="65"/>
        </w:numPr>
        <w:spacing w:line="276" w:lineRule="auto"/>
        <w:ind w:left="714" w:hanging="357"/>
        <w:contextualSpacing w:val="0"/>
        <w:rPr>
          <w:i/>
        </w:rPr>
      </w:pPr>
      <w:r w:rsidRPr="008B793A">
        <w:rPr>
          <w:i/>
        </w:rPr>
        <w:t xml:space="preserve">Inaccessible resolution pathways to determine work status </w:t>
      </w:r>
    </w:p>
    <w:p w14:paraId="544DE6A4" w14:textId="435E06CF" w:rsidR="00146EE5" w:rsidRPr="008B793A" w:rsidRDefault="00146EE5" w:rsidP="006C7654">
      <w:pPr>
        <w:pStyle w:val="ListParagraph"/>
        <w:numPr>
          <w:ilvl w:val="0"/>
          <w:numId w:val="65"/>
        </w:numPr>
        <w:spacing w:line="276" w:lineRule="auto"/>
        <w:ind w:left="714" w:hanging="357"/>
        <w:contextualSpacing w:val="0"/>
        <w:rPr>
          <w:i/>
        </w:rPr>
      </w:pPr>
      <w:r w:rsidRPr="008B793A">
        <w:rPr>
          <w:i/>
        </w:rPr>
        <w:t>The emergence and conduct of platforms</w:t>
      </w:r>
    </w:p>
    <w:p w14:paraId="0CD964A8" w14:textId="59189A96" w:rsidR="00146EE5" w:rsidRPr="008B793A" w:rsidRDefault="00146EE5" w:rsidP="006C7654">
      <w:pPr>
        <w:pStyle w:val="ListParagraph"/>
        <w:numPr>
          <w:ilvl w:val="0"/>
          <w:numId w:val="65"/>
        </w:numPr>
        <w:spacing w:line="276" w:lineRule="auto"/>
        <w:ind w:left="714" w:hanging="357"/>
        <w:contextualSpacing w:val="0"/>
        <w:rPr>
          <w:i/>
        </w:rPr>
      </w:pPr>
      <w:r w:rsidRPr="008B793A">
        <w:rPr>
          <w:i/>
        </w:rPr>
        <w:t xml:space="preserve">High incidences of low-leveraged workers accessing work via platforms </w:t>
      </w:r>
      <w:r w:rsidR="00637975" w:rsidRPr="008B793A">
        <w:rPr>
          <w:i/>
        </w:rPr>
        <w:t>and working under ‘borderline’ work status</w:t>
      </w:r>
    </w:p>
    <w:p w14:paraId="4CFCD919" w14:textId="2B5A9844" w:rsidR="00637975" w:rsidRDefault="00637975" w:rsidP="006C7654">
      <w:pPr>
        <w:pStyle w:val="ListParagraph"/>
        <w:numPr>
          <w:ilvl w:val="0"/>
          <w:numId w:val="65"/>
        </w:numPr>
        <w:spacing w:line="276" w:lineRule="auto"/>
        <w:ind w:left="714" w:hanging="357"/>
        <w:contextualSpacing w:val="0"/>
      </w:pPr>
      <w:r w:rsidRPr="008B793A">
        <w:rPr>
          <w:i/>
        </w:rPr>
        <w:t>Inadequate protections for non-employee ‘small business’ platform workers</w:t>
      </w:r>
      <w:r>
        <w:t>.</w:t>
      </w:r>
      <w:r w:rsidR="0037596A">
        <w:t>’</w:t>
      </w:r>
      <w:r w:rsidR="0063078B">
        <w:rPr>
          <w:rStyle w:val="FootnoteReference"/>
        </w:rPr>
        <w:footnoteReference w:id="23"/>
      </w:r>
    </w:p>
    <w:p w14:paraId="2FF1A3DC" w14:textId="53387B32" w:rsidR="004C5987" w:rsidRDefault="0045196D" w:rsidP="00637975">
      <w:r>
        <w:t>The Victorian</w:t>
      </w:r>
      <w:r w:rsidR="00E511D4">
        <w:t xml:space="preserve"> Government</w:t>
      </w:r>
      <w:r>
        <w:t xml:space="preserve"> Inquiry found that </w:t>
      </w:r>
      <w:r w:rsidR="00D90E7A">
        <w:t xml:space="preserve">while work status is pivotal to determining </w:t>
      </w:r>
      <w:r w:rsidR="00207926">
        <w:t xml:space="preserve">a workers’ entitlements, </w:t>
      </w:r>
      <w:r w:rsidR="009175F3">
        <w:t>‘</w:t>
      </w:r>
      <w:r w:rsidR="00C452FF">
        <w:t xml:space="preserve">some </w:t>
      </w:r>
      <w:r w:rsidR="00014BC1">
        <w:t>[</w:t>
      </w:r>
      <w:r w:rsidR="009175F3">
        <w:t>“</w:t>
      </w:r>
      <w:r w:rsidR="00D43946">
        <w:t>borderline</w:t>
      </w:r>
      <w:r w:rsidR="009175F3">
        <w:t>”</w:t>
      </w:r>
      <w:r w:rsidR="00014BC1">
        <w:t>]</w:t>
      </w:r>
      <w:r w:rsidR="00D43946">
        <w:t xml:space="preserve"> workers </w:t>
      </w:r>
      <w:r w:rsidR="005B3985">
        <w:t xml:space="preserve">arrangements </w:t>
      </w:r>
      <w:r w:rsidR="00D43946">
        <w:t>have features of both employment and self-employed arrangements</w:t>
      </w:r>
      <w:r w:rsidR="002737D5">
        <w:t>’</w:t>
      </w:r>
      <w:r w:rsidR="00D43946">
        <w:t>.</w:t>
      </w:r>
      <w:r w:rsidR="00D43946">
        <w:rPr>
          <w:rStyle w:val="FootnoteReference"/>
        </w:rPr>
        <w:footnoteReference w:id="24"/>
      </w:r>
      <w:r w:rsidR="00D43946">
        <w:t xml:space="preserve"> </w:t>
      </w:r>
      <w:r w:rsidR="00EA0A34">
        <w:t>It also found that low-leveraged workers</w:t>
      </w:r>
      <w:r w:rsidR="00693043">
        <w:t>, including those who are low-skil</w:t>
      </w:r>
      <w:r w:rsidR="00164D8A">
        <w:t>led</w:t>
      </w:r>
      <w:r w:rsidR="002924A0">
        <w:t>, more likely to be young and from a migrant background</w:t>
      </w:r>
      <w:r w:rsidR="003D5187">
        <w:t>, are prominent in digital platform work.</w:t>
      </w:r>
      <w:r w:rsidR="006549B6" w:rsidRPr="006549B6">
        <w:rPr>
          <w:rStyle w:val="FootnoteReference"/>
        </w:rPr>
        <w:t xml:space="preserve"> </w:t>
      </w:r>
      <w:r w:rsidR="006549B6">
        <w:rPr>
          <w:rStyle w:val="FootnoteReference"/>
        </w:rPr>
        <w:footnoteReference w:id="25"/>
      </w:r>
      <w:r w:rsidR="003D5187">
        <w:t xml:space="preserve"> Low-</w:t>
      </w:r>
      <w:r w:rsidR="00AF3A4F">
        <w:t>leveraged</w:t>
      </w:r>
      <w:r w:rsidR="003D5187">
        <w:t xml:space="preserve"> workers </w:t>
      </w:r>
      <w:r w:rsidR="00AF3A4F">
        <w:t>are in a precarious position in the labour market</w:t>
      </w:r>
      <w:r w:rsidR="00A43C8E">
        <w:t>, and while platforms offer opportunities to earn income, there is minimal autonomy over their working arrangements and low income security.</w:t>
      </w:r>
      <w:r w:rsidR="00A43C8E">
        <w:rPr>
          <w:rStyle w:val="FootnoteReference"/>
        </w:rPr>
        <w:footnoteReference w:id="26"/>
      </w:r>
      <w:r w:rsidR="007826F2">
        <w:t xml:space="preserve"> </w:t>
      </w:r>
    </w:p>
    <w:p w14:paraId="4AFBA2EB" w14:textId="051CDF12" w:rsidR="00F11948" w:rsidRPr="000138C5" w:rsidRDefault="00F11948" w:rsidP="00637975">
      <w:r w:rsidRPr="000138C5">
        <w:t>The New South Wales Inquiry found</w:t>
      </w:r>
      <w:r w:rsidR="00A43F87" w:rsidRPr="000138C5">
        <w:t>:</w:t>
      </w:r>
      <w:r w:rsidRPr="000138C5">
        <w:t xml:space="preserve"> </w:t>
      </w:r>
      <w:r w:rsidR="008E2A36" w:rsidRPr="000138C5">
        <w:t>‘</w:t>
      </w:r>
      <w:r w:rsidRPr="000138C5">
        <w:t xml:space="preserve">that New South Wales is falling behind other states and comparable nations in developing laws that </w:t>
      </w:r>
      <w:r w:rsidR="006E3439" w:rsidRPr="000138C5">
        <w:t>establish decent work in the gig economy</w:t>
      </w:r>
      <w:r w:rsidR="00A43F87" w:rsidRPr="000138C5">
        <w:t>;</w:t>
      </w:r>
      <w:r w:rsidR="006E3439" w:rsidRPr="000138C5">
        <w:t xml:space="preserve"> that the failure to provide gig workers with a minimum wage</w:t>
      </w:r>
      <w:r w:rsidR="00B9635C" w:rsidRPr="000138C5">
        <w:t xml:space="preserve"> and other workplace entitlements is increasing </w:t>
      </w:r>
      <w:r w:rsidR="00CF7B8D">
        <w:t>inequality</w:t>
      </w:r>
      <w:r w:rsidR="00B9635C" w:rsidRPr="000138C5">
        <w:t xml:space="preserve"> in that state</w:t>
      </w:r>
      <w:r w:rsidR="00A43F87" w:rsidRPr="000138C5">
        <w:t>; that gig workers currently lack the power to interact and negotiate with on</w:t>
      </w:r>
      <w:r w:rsidR="00D465DF">
        <w:t xml:space="preserve"> </w:t>
      </w:r>
      <w:r w:rsidR="00A43F87" w:rsidRPr="000138C5">
        <w:t>demand platforms as equals in New South Wales; and, that the failure to provide gig workers with access to a low-cost independent tribunal empowered to hear and decide disputes is leading to injustice in New South Wales.</w:t>
      </w:r>
      <w:r w:rsidR="008E2A36" w:rsidRPr="000138C5">
        <w:t>’</w:t>
      </w:r>
      <w:r w:rsidR="00A43F87" w:rsidRPr="000138C5">
        <w:rPr>
          <w:rStyle w:val="FootnoteReference"/>
        </w:rPr>
        <w:footnoteReference w:id="27"/>
      </w:r>
      <w:r w:rsidR="00A43F87" w:rsidRPr="000138C5">
        <w:t xml:space="preserve"> </w:t>
      </w:r>
    </w:p>
    <w:p w14:paraId="3573B390" w14:textId="1FF2DE45" w:rsidR="00637975" w:rsidRPr="0064154E" w:rsidRDefault="007826F2" w:rsidP="00637975">
      <w:r>
        <w:t>The Productivity Commission Inquiry</w:t>
      </w:r>
      <w:r w:rsidR="00F66C08">
        <w:t xml:space="preserve"> also found that </w:t>
      </w:r>
      <w:r w:rsidR="00B161A9">
        <w:t xml:space="preserve">while income varies by industry, </w:t>
      </w:r>
      <w:r w:rsidR="008D1D1B">
        <w:t xml:space="preserve">digital platform workers in occupations such as food delivery and rideshare </w:t>
      </w:r>
      <w:r w:rsidR="0005474C">
        <w:t xml:space="preserve">often </w:t>
      </w:r>
      <w:r w:rsidR="00D837A2">
        <w:t>have low pay</w:t>
      </w:r>
      <w:r w:rsidR="007A6579">
        <w:t>, which can be below the National Minimum Wage</w:t>
      </w:r>
      <w:r w:rsidR="004C5987">
        <w:t>.</w:t>
      </w:r>
      <w:r w:rsidR="00DD0EC4">
        <w:rPr>
          <w:rStyle w:val="FootnoteReference"/>
        </w:rPr>
        <w:footnoteReference w:id="28"/>
      </w:r>
      <w:r w:rsidR="004C5987">
        <w:t xml:space="preserve"> </w:t>
      </w:r>
      <w:r w:rsidR="0061045B">
        <w:t xml:space="preserve">It </w:t>
      </w:r>
      <w:r w:rsidR="001C3931">
        <w:t>also found</w:t>
      </w:r>
      <w:r w:rsidR="0061045B">
        <w:t xml:space="preserve"> that </w:t>
      </w:r>
      <w:r w:rsidR="3CA4132A">
        <w:t>d</w:t>
      </w:r>
      <w:r w:rsidR="004C5987">
        <w:t xml:space="preserve">igital platform workers are </w:t>
      </w:r>
      <w:r w:rsidR="00DD0EC4">
        <w:t xml:space="preserve">exposed to risk in the event of voluntary administration or </w:t>
      </w:r>
      <w:r w:rsidR="0061045B">
        <w:t>liquidation as they are considered unsecured creditors.</w:t>
      </w:r>
      <w:r w:rsidR="0061045B">
        <w:rPr>
          <w:rStyle w:val="FootnoteReference"/>
        </w:rPr>
        <w:footnoteReference w:id="29"/>
      </w:r>
      <w:r w:rsidR="008B3E87">
        <w:t xml:space="preserve"> </w:t>
      </w:r>
      <w:r w:rsidR="001C3931">
        <w:t xml:space="preserve">However, the Productivity Commission noted that </w:t>
      </w:r>
      <w:r w:rsidR="003642F6">
        <w:t>comparisons of piece rates earned by digital platform rates and employee wages can be difficult and is complicated by a lack of data</w:t>
      </w:r>
      <w:r w:rsidR="002F6D36">
        <w:t>.</w:t>
      </w:r>
      <w:r w:rsidR="002F6D36">
        <w:rPr>
          <w:rStyle w:val="FootnoteReference"/>
        </w:rPr>
        <w:footnoteReference w:id="30"/>
      </w:r>
    </w:p>
    <w:p w14:paraId="24124FFA" w14:textId="587CF933" w:rsidR="003D3D26" w:rsidRDefault="00FC6FB1" w:rsidP="00617654">
      <w:r>
        <w:t xml:space="preserve">The Productivity Commission Inquiry </w:t>
      </w:r>
      <w:r w:rsidR="001374AD">
        <w:t xml:space="preserve">found that </w:t>
      </w:r>
      <w:r w:rsidR="00903100">
        <w:t xml:space="preserve">internal and external </w:t>
      </w:r>
      <w:r w:rsidR="001374AD">
        <w:t xml:space="preserve">dispute resolution mechanisms for </w:t>
      </w:r>
      <w:r w:rsidR="004B3854">
        <w:t xml:space="preserve">digital platform workers are </w:t>
      </w:r>
      <w:r w:rsidR="00D35018">
        <w:t>poor</w:t>
      </w:r>
      <w:r w:rsidR="00D466B3">
        <w:t>, and that digital platform w</w:t>
      </w:r>
      <w:r w:rsidR="00C76D3C">
        <w:t xml:space="preserve">orkers have limited </w:t>
      </w:r>
      <w:r w:rsidR="00D63AC5">
        <w:t>options to appeal a suspension or termination from a digital platform.</w:t>
      </w:r>
      <w:r w:rsidR="0038765E">
        <w:rPr>
          <w:rStyle w:val="FootnoteReference"/>
        </w:rPr>
        <w:footnoteReference w:id="31"/>
      </w:r>
      <w:r w:rsidR="00D466B3">
        <w:t xml:space="preserve"> </w:t>
      </w:r>
    </w:p>
    <w:p w14:paraId="0DA726D8" w14:textId="360C7A01" w:rsidR="003018B8" w:rsidRDefault="003018B8" w:rsidP="00617654">
      <w:r>
        <w:t xml:space="preserve">In relation to available data, while the </w:t>
      </w:r>
      <w:r w:rsidR="000945FF">
        <w:t>Australian Bureau of Statistics</w:t>
      </w:r>
      <w:r>
        <w:t xml:space="preserve"> </w:t>
      </w:r>
      <w:r w:rsidR="002B1ADD">
        <w:t xml:space="preserve">(ABS) </w:t>
      </w:r>
      <w:r>
        <w:t xml:space="preserve">has recently introduced a survey module seeking data on digital platform work, it has not yet begun publishing these statistics. The </w:t>
      </w:r>
      <w:r w:rsidR="00554211">
        <w:t xml:space="preserve">Victorian </w:t>
      </w:r>
      <w:r>
        <w:t xml:space="preserve">National Survey remains the most comprehensive data source on digital platform work. </w:t>
      </w:r>
    </w:p>
    <w:p w14:paraId="53D1530B" w14:textId="3D4C3492" w:rsidR="00302C86" w:rsidRPr="00AD2E4D" w:rsidRDefault="00CC7FAC" w:rsidP="00617654">
      <w:pPr>
        <w:pStyle w:val="Heading4"/>
        <w:spacing w:after="200"/>
        <w:rPr>
          <w:sz w:val="24"/>
          <w:szCs w:val="20"/>
        </w:rPr>
      </w:pPr>
      <w:r w:rsidRPr="00AD2E4D">
        <w:rPr>
          <w:sz w:val="24"/>
          <w:szCs w:val="20"/>
        </w:rPr>
        <w:t>Lack of minimum standards for i</w:t>
      </w:r>
      <w:r w:rsidR="00302C86" w:rsidRPr="00AD2E4D">
        <w:rPr>
          <w:sz w:val="24"/>
          <w:szCs w:val="20"/>
        </w:rPr>
        <w:t>ndependent contractors in the road transport industry</w:t>
      </w:r>
    </w:p>
    <w:p w14:paraId="2CEC2BC6" w14:textId="3EF2A9CB" w:rsidR="0064397A" w:rsidRDefault="00CC7FAC" w:rsidP="00CC7FAC">
      <w:pPr>
        <w:spacing w:before="240" w:after="160" w:line="252" w:lineRule="auto"/>
      </w:pPr>
      <w:r>
        <w:t>T</w:t>
      </w:r>
      <w:r w:rsidR="00DA2A37">
        <w:t>he Road Transport Inquiry thoroughly considered the impact of the lack of minimum standards applying to independent contractors in the road transport industry, finding that it contributes to inadequate incomes for workers</w:t>
      </w:r>
      <w:r w:rsidR="00460DC1">
        <w:t xml:space="preserve"> and </w:t>
      </w:r>
      <w:r w:rsidR="00DA2A37">
        <w:t>poor outcomes for road users</w:t>
      </w:r>
      <w:r w:rsidR="00460DC1">
        <w:t>.</w:t>
      </w:r>
      <w:r w:rsidR="00DA2A37">
        <w:t xml:space="preserve"> </w:t>
      </w:r>
      <w:r w:rsidR="00951795">
        <w:t xml:space="preserve">The Inquiry </w:t>
      </w:r>
      <w:r w:rsidR="00FF5A7D">
        <w:t>found that issues faced by road transport workers include wide disparities in pay rates and unpaid wages, despite high operating costs.</w:t>
      </w:r>
      <w:r w:rsidR="00FF5A7D">
        <w:rPr>
          <w:rStyle w:val="FootnoteReference"/>
        </w:rPr>
        <w:footnoteReference w:id="32"/>
      </w:r>
      <w:r w:rsidR="00FF5A7D">
        <w:t xml:space="preserve"> </w:t>
      </w:r>
      <w:r w:rsidR="00402C21">
        <w:t>It</w:t>
      </w:r>
      <w:r w:rsidR="00951795">
        <w:t xml:space="preserve"> considered the prevalence of long contracting chains in the road transport industry</w:t>
      </w:r>
      <w:r w:rsidR="0067523E">
        <w:t xml:space="preserve"> and</w:t>
      </w:r>
      <w:r w:rsidR="00402C21">
        <w:t xml:space="preserve"> found</w:t>
      </w:r>
      <w:r w:rsidR="000276C2">
        <w:t xml:space="preserve"> tha</w:t>
      </w:r>
      <w:r w:rsidR="000D0284">
        <w:t>t pressure</w:t>
      </w:r>
      <w:r w:rsidR="00370987">
        <w:t>s</w:t>
      </w:r>
      <w:r w:rsidR="00376453">
        <w:t xml:space="preserve"> created by the influence of a </w:t>
      </w:r>
      <w:r w:rsidR="00AB3374">
        <w:t xml:space="preserve">client at the ‘top’ of this chain can lead to </w:t>
      </w:r>
      <w:r w:rsidR="00CC78D9">
        <w:t xml:space="preserve">road transport workers at the ‘bottom’ having </w:t>
      </w:r>
      <w:r w:rsidR="00DE031F">
        <w:t>little ability to negotiate prices.</w:t>
      </w:r>
      <w:r w:rsidR="002168F9" w:rsidRPr="002168F9">
        <w:rPr>
          <w:rStyle w:val="FootnoteReference"/>
        </w:rPr>
        <w:t xml:space="preserve"> </w:t>
      </w:r>
      <w:r w:rsidR="002168F9">
        <w:rPr>
          <w:rStyle w:val="FootnoteReference"/>
        </w:rPr>
        <w:footnoteReference w:id="33"/>
      </w:r>
      <w:r w:rsidR="00DE031F">
        <w:t xml:space="preserve"> </w:t>
      </w:r>
      <w:r w:rsidR="00550FD7">
        <w:t>It</w:t>
      </w:r>
      <w:r w:rsidR="0064397A">
        <w:t xml:space="preserve"> further found that </w:t>
      </w:r>
      <w:r w:rsidR="00550FD7">
        <w:t>inadequate</w:t>
      </w:r>
      <w:r w:rsidR="0064397A">
        <w:t xml:space="preserve"> pay rates create pressures </w:t>
      </w:r>
      <w:r w:rsidR="00B61302">
        <w:t xml:space="preserve">for workers to </w:t>
      </w:r>
      <w:r w:rsidR="00B61302" w:rsidRPr="15B1A755">
        <w:t xml:space="preserve">complete trips quickly </w:t>
      </w:r>
      <w:r w:rsidR="0040434A" w:rsidRPr="15B1A755">
        <w:t>to</w:t>
      </w:r>
      <w:r w:rsidR="00B61302" w:rsidRPr="15B1A755">
        <w:t xml:space="preserve"> earn an adequate income</w:t>
      </w:r>
      <w:r w:rsidR="00855F9F">
        <w:t>,</w:t>
      </w:r>
      <w:r w:rsidR="00ED1DA0">
        <w:t xml:space="preserve"> which can </w:t>
      </w:r>
      <w:r w:rsidR="00B61302" w:rsidRPr="15B1A755">
        <w:t>encourage risk-taking behaviour</w:t>
      </w:r>
      <w:r w:rsidR="00ED1DA0">
        <w:t>.</w:t>
      </w:r>
      <w:r w:rsidR="00420D6A">
        <w:rPr>
          <w:rStyle w:val="FootnoteReference"/>
        </w:rPr>
        <w:footnoteReference w:id="34"/>
      </w:r>
    </w:p>
    <w:p w14:paraId="4EFCB309" w14:textId="6ACE06E0" w:rsidR="00AB2D03" w:rsidRPr="00AD2E4D" w:rsidRDefault="00BB4529" w:rsidP="00617654">
      <w:pPr>
        <w:pStyle w:val="Heading4"/>
        <w:spacing w:after="200"/>
        <w:rPr>
          <w:sz w:val="24"/>
          <w:szCs w:val="20"/>
        </w:rPr>
      </w:pPr>
      <w:r w:rsidRPr="00AD2E4D">
        <w:rPr>
          <w:sz w:val="24"/>
          <w:szCs w:val="20"/>
        </w:rPr>
        <w:t>Barriers to disputing an unfair contract</w:t>
      </w:r>
    </w:p>
    <w:p w14:paraId="51F51C1A" w14:textId="0ED2A046" w:rsidR="00542955" w:rsidRPr="00542955" w:rsidRDefault="00DA2A37" w:rsidP="00F54464">
      <w:pPr>
        <w:spacing w:before="240" w:after="160" w:line="252" w:lineRule="auto"/>
      </w:pPr>
      <w:r>
        <w:t xml:space="preserve">The Victorian </w:t>
      </w:r>
      <w:r w:rsidR="00E511D4">
        <w:t xml:space="preserve">Government </w:t>
      </w:r>
      <w:r>
        <w:t xml:space="preserve">Inquiry, Job Security </w:t>
      </w:r>
      <w:r w:rsidR="00EC6483">
        <w:t>Inquiry</w:t>
      </w:r>
      <w:r>
        <w:t xml:space="preserve"> and Productivity Commission Inquiry found that </w:t>
      </w:r>
      <w:r w:rsidR="00EC6483">
        <w:t>independent contractors</w:t>
      </w:r>
      <w:r>
        <w:t xml:space="preserve"> lack access to dispute resolution over unfair contract terms. </w:t>
      </w:r>
      <w:r w:rsidR="00EC6483">
        <w:t xml:space="preserve">The Victorian Inquiry </w:t>
      </w:r>
      <w:r w:rsidR="002D012B">
        <w:t xml:space="preserve">found that </w:t>
      </w:r>
      <w:r w:rsidR="00182379">
        <w:t>‘</w:t>
      </w:r>
      <w:r w:rsidR="002D012B">
        <w:t xml:space="preserve">existing unfair contracts remedies </w:t>
      </w:r>
      <w:r w:rsidR="00B4281E">
        <w:t>(</w:t>
      </w:r>
      <w:r w:rsidR="002D012B">
        <w:t>in the Independent Contractors Act and Austral</w:t>
      </w:r>
      <w:r w:rsidR="0034011E">
        <w:t>i</w:t>
      </w:r>
      <w:r w:rsidR="002D012B">
        <w:t xml:space="preserve">an </w:t>
      </w:r>
      <w:r w:rsidR="00013AB4">
        <w:t>Consumer Law</w:t>
      </w:r>
      <w:r w:rsidR="007470AC">
        <w:t>)</w:t>
      </w:r>
      <w:r w:rsidR="00013AB4">
        <w:t xml:space="preserve"> are </w:t>
      </w:r>
      <w:r w:rsidR="002757D7">
        <w:t>confusing in their operation and inte</w:t>
      </w:r>
      <w:r w:rsidR="00182379">
        <w:t xml:space="preserve">raction </w:t>
      </w:r>
      <w:r w:rsidR="00331E9A">
        <w:t xml:space="preserve">with respect to </w:t>
      </w:r>
      <w:r w:rsidR="008A6AE0">
        <w:t>platform workers</w:t>
      </w:r>
      <w:r w:rsidR="00663814">
        <w:t>… [and] unfair contracts remedies would offer very confined and limited relief and are not sufficient to ensure fairness in work arrangements with platform workers</w:t>
      </w:r>
      <w:r w:rsidR="00DF2403">
        <w:t>’.</w:t>
      </w:r>
      <w:r w:rsidR="00DF2403">
        <w:rPr>
          <w:rStyle w:val="FootnoteReference"/>
        </w:rPr>
        <w:footnoteReference w:id="35"/>
      </w:r>
      <w:r w:rsidR="00826AFD">
        <w:t xml:space="preserve"> The Productivity Commission furt</w:t>
      </w:r>
      <w:r w:rsidR="00046012">
        <w:t xml:space="preserve">her found that </w:t>
      </w:r>
      <w:r w:rsidR="0080416E">
        <w:t xml:space="preserve">these existing </w:t>
      </w:r>
      <w:r w:rsidR="00F54464">
        <w:t>provisions are ‘only partial in scope and not an accessible mechanism’.</w:t>
      </w:r>
      <w:r w:rsidR="00F54464">
        <w:rPr>
          <w:rStyle w:val="FootnoteReference"/>
        </w:rPr>
        <w:footnoteReference w:id="36"/>
      </w:r>
      <w:r w:rsidR="00F54464">
        <w:t xml:space="preserve"> </w:t>
      </w:r>
    </w:p>
    <w:p w14:paraId="10312F88" w14:textId="2D9919FF" w:rsidR="0040434A" w:rsidRPr="00AD2E4D" w:rsidRDefault="0040434A" w:rsidP="00F60F5C">
      <w:pPr>
        <w:pStyle w:val="Heading3"/>
      </w:pPr>
      <w:bookmarkStart w:id="15" w:name="_Toc139295528"/>
      <w:r w:rsidRPr="00AD2E4D">
        <w:t xml:space="preserve">Question 2: What </w:t>
      </w:r>
      <w:r w:rsidR="00D639FD" w:rsidRPr="00AD2E4D">
        <w:t>are the objectives, why is government intervention needed to achieve them, and how will success be measured</w:t>
      </w:r>
      <w:r w:rsidRPr="00AD2E4D">
        <w:t>?</w:t>
      </w:r>
      <w:bookmarkEnd w:id="15"/>
      <w:r w:rsidRPr="00AD2E4D">
        <w:t xml:space="preserve"> </w:t>
      </w:r>
    </w:p>
    <w:p w14:paraId="625ABAA6" w14:textId="7C8B398F" w:rsidR="00895C1B" w:rsidRDefault="006C0CE7" w:rsidP="000D087F">
      <w:pPr>
        <w:rPr>
          <w:bCs/>
        </w:rPr>
      </w:pPr>
      <w:r>
        <w:rPr>
          <w:bCs/>
        </w:rPr>
        <w:t xml:space="preserve">Introducing minimum standards for more workers and improving external dispute resolution </w:t>
      </w:r>
      <w:r w:rsidR="003851CA">
        <w:rPr>
          <w:bCs/>
        </w:rPr>
        <w:t xml:space="preserve">processes are measures only government intervention can achieve. </w:t>
      </w:r>
      <w:r w:rsidR="00895C1B">
        <w:rPr>
          <w:bCs/>
        </w:rPr>
        <w:t xml:space="preserve">Each of the reviews identified a need for </w:t>
      </w:r>
      <w:r w:rsidR="003851CA">
        <w:rPr>
          <w:bCs/>
        </w:rPr>
        <w:t>further regulation, for example</w:t>
      </w:r>
      <w:r w:rsidR="007B6573">
        <w:rPr>
          <w:bCs/>
        </w:rPr>
        <w:t>:</w:t>
      </w:r>
    </w:p>
    <w:p w14:paraId="69A568B4" w14:textId="5DD5AD46" w:rsidR="007B6573" w:rsidRDefault="002727E3" w:rsidP="006C7654">
      <w:pPr>
        <w:pStyle w:val="ListParagraph"/>
        <w:numPr>
          <w:ilvl w:val="0"/>
          <w:numId w:val="63"/>
        </w:numPr>
        <w:spacing w:line="276" w:lineRule="auto"/>
        <w:ind w:left="714" w:hanging="357"/>
        <w:contextualSpacing w:val="0"/>
        <w:rPr>
          <w:bCs/>
        </w:rPr>
      </w:pPr>
      <w:r w:rsidRPr="00932A24">
        <w:rPr>
          <w:bCs/>
        </w:rPr>
        <w:t>The Victorian Government Inquiry identified a ‘compelling case for change’</w:t>
      </w:r>
      <w:r w:rsidR="00FE6EEC" w:rsidRPr="00932A24">
        <w:rPr>
          <w:bCs/>
        </w:rPr>
        <w:t xml:space="preserve">, noting that the growth </w:t>
      </w:r>
      <w:r w:rsidR="00FE6EEC" w:rsidRPr="00C24CD7">
        <w:t>of</w:t>
      </w:r>
      <w:r w:rsidR="00FE6EEC" w:rsidRPr="00932A24">
        <w:rPr>
          <w:bCs/>
        </w:rPr>
        <w:t xml:space="preserve"> digital platforms in Australia has ‘intensified the imperative to ensure our labour market regulation meets the needs of modern ways of working’.</w:t>
      </w:r>
      <w:r w:rsidR="00FE6EEC">
        <w:rPr>
          <w:rStyle w:val="FootnoteReference"/>
          <w:bCs/>
        </w:rPr>
        <w:footnoteReference w:id="37"/>
      </w:r>
      <w:r w:rsidR="00FE6EEC" w:rsidRPr="00932A24">
        <w:rPr>
          <w:bCs/>
        </w:rPr>
        <w:t xml:space="preserve"> </w:t>
      </w:r>
      <w:r w:rsidR="00B30073" w:rsidRPr="00932A24">
        <w:rPr>
          <w:bCs/>
        </w:rPr>
        <w:t>It</w:t>
      </w:r>
      <w:r w:rsidR="007F4FFF" w:rsidRPr="00932A24">
        <w:rPr>
          <w:bCs/>
        </w:rPr>
        <w:t xml:space="preserve"> identified ‘six reasons to act now to revise our current system’: the inherent uncertainty of the work status test, the fragmented and limited nature of advice and support </w:t>
      </w:r>
      <w:r w:rsidR="00110D31" w:rsidRPr="00932A24">
        <w:rPr>
          <w:bCs/>
        </w:rPr>
        <w:t>about work status, inaccessible resolution pathways to determine work status, the emergence and conduct of platforms, high incidences of low-leveraged workers accessing work via platforms and working under ‘borderline’ work status</w:t>
      </w:r>
      <w:r w:rsidR="00287140" w:rsidRPr="00932A24">
        <w:rPr>
          <w:bCs/>
        </w:rPr>
        <w:t>,</w:t>
      </w:r>
      <w:r w:rsidR="00110D31" w:rsidRPr="00932A24">
        <w:rPr>
          <w:bCs/>
        </w:rPr>
        <w:t xml:space="preserve"> and </w:t>
      </w:r>
      <w:r w:rsidR="00287140" w:rsidRPr="00932A24">
        <w:rPr>
          <w:bCs/>
        </w:rPr>
        <w:t>inadequate protections for non-employee ‘small-business’ platform workers.</w:t>
      </w:r>
      <w:r w:rsidR="00287140">
        <w:rPr>
          <w:rStyle w:val="FootnoteReference"/>
          <w:bCs/>
        </w:rPr>
        <w:footnoteReference w:id="38"/>
      </w:r>
      <w:r w:rsidR="00287140" w:rsidRPr="00932A24">
        <w:rPr>
          <w:bCs/>
        </w:rPr>
        <w:t xml:space="preserve"> </w:t>
      </w:r>
    </w:p>
    <w:p w14:paraId="3D962967" w14:textId="436DCC1B" w:rsidR="007765A9" w:rsidRDefault="00183720" w:rsidP="006C7654">
      <w:pPr>
        <w:pStyle w:val="ListParagraph"/>
        <w:numPr>
          <w:ilvl w:val="0"/>
          <w:numId w:val="63"/>
        </w:numPr>
        <w:spacing w:line="276" w:lineRule="auto"/>
        <w:ind w:left="714" w:hanging="357"/>
        <w:contextualSpacing w:val="0"/>
        <w:rPr>
          <w:bCs/>
        </w:rPr>
      </w:pPr>
      <w:r>
        <w:rPr>
          <w:bCs/>
        </w:rPr>
        <w:t xml:space="preserve">The Productivity </w:t>
      </w:r>
      <w:r w:rsidR="009E5134">
        <w:rPr>
          <w:bCs/>
        </w:rPr>
        <w:t xml:space="preserve">Commission Inquiry found that ‘given the gaps in, and barriers to using, dispute processes, </w:t>
      </w:r>
      <w:r w:rsidR="009E5134" w:rsidRPr="00C24CD7">
        <w:t>there</w:t>
      </w:r>
      <w:r w:rsidR="009E5134">
        <w:rPr>
          <w:bCs/>
        </w:rPr>
        <w:t xml:space="preserve"> are grounds to create </w:t>
      </w:r>
      <w:r w:rsidR="00655871">
        <w:rPr>
          <w:bCs/>
        </w:rPr>
        <w:t>more systematic, low-cost and accessible means for parties to seek to resolve problems</w:t>
      </w:r>
      <w:r w:rsidR="00F612EB">
        <w:rPr>
          <w:bCs/>
        </w:rPr>
        <w:t>’</w:t>
      </w:r>
      <w:r w:rsidR="00655871">
        <w:rPr>
          <w:bCs/>
        </w:rPr>
        <w:t>.</w:t>
      </w:r>
      <w:r w:rsidR="001D3406">
        <w:rPr>
          <w:rStyle w:val="FootnoteReference"/>
          <w:bCs/>
        </w:rPr>
        <w:footnoteReference w:id="39"/>
      </w:r>
      <w:r w:rsidR="001D3406">
        <w:rPr>
          <w:bCs/>
        </w:rPr>
        <w:t xml:space="preserve"> </w:t>
      </w:r>
      <w:r w:rsidR="00D57143">
        <w:rPr>
          <w:bCs/>
        </w:rPr>
        <w:t xml:space="preserve">It recommended that the Government </w:t>
      </w:r>
      <w:r w:rsidR="00AB47A1">
        <w:rPr>
          <w:bCs/>
        </w:rPr>
        <w:t xml:space="preserve">empower the Fair Work Commission to resolve disputes </w:t>
      </w:r>
      <w:r w:rsidR="003E7FAF">
        <w:rPr>
          <w:bCs/>
        </w:rPr>
        <w:t>including over suspension or termination from a platform,</w:t>
      </w:r>
      <w:r w:rsidR="00FD0E1A">
        <w:rPr>
          <w:bCs/>
        </w:rPr>
        <w:t xml:space="preserve"> as ‘existing avenues for dispute settlemen</w:t>
      </w:r>
      <w:r w:rsidR="00F5498E">
        <w:rPr>
          <w:bCs/>
        </w:rPr>
        <w:t>t… do not provide an accessible or systemic solution’, and ‘there is rationale for a new institutional arrangement to serve that role’.</w:t>
      </w:r>
      <w:r w:rsidR="00C206AF">
        <w:rPr>
          <w:rStyle w:val="FootnoteReference"/>
          <w:bCs/>
        </w:rPr>
        <w:footnoteReference w:id="40"/>
      </w:r>
      <w:r w:rsidR="00F5498E">
        <w:rPr>
          <w:bCs/>
        </w:rPr>
        <w:t xml:space="preserve"> </w:t>
      </w:r>
    </w:p>
    <w:p w14:paraId="0C82AC2D" w14:textId="2D3A0B06" w:rsidR="00562367" w:rsidRDefault="00562367" w:rsidP="006C7654">
      <w:pPr>
        <w:pStyle w:val="ListParagraph"/>
        <w:numPr>
          <w:ilvl w:val="0"/>
          <w:numId w:val="63"/>
        </w:numPr>
        <w:spacing w:line="276" w:lineRule="auto"/>
        <w:ind w:left="714" w:hanging="357"/>
        <w:contextualSpacing w:val="0"/>
        <w:rPr>
          <w:bCs/>
        </w:rPr>
      </w:pPr>
      <w:r>
        <w:rPr>
          <w:bCs/>
        </w:rPr>
        <w:t>The Job Security Inquiry identified a need to regulate</w:t>
      </w:r>
      <w:r w:rsidR="00923207">
        <w:rPr>
          <w:bCs/>
        </w:rPr>
        <w:t xml:space="preserve"> digital platform work, finding that ‘</w:t>
      </w:r>
      <w:r w:rsidR="00565731" w:rsidRPr="00C24CD7">
        <w:t>Governments</w:t>
      </w:r>
      <w:r w:rsidR="002C119C">
        <w:rPr>
          <w:bCs/>
        </w:rPr>
        <w:t xml:space="preserve"> cannot continue to rely on courts and tribunals to resolve the current issues in on-demand platform work’, </w:t>
      </w:r>
      <w:r w:rsidR="00565731">
        <w:rPr>
          <w:bCs/>
        </w:rPr>
        <w:t>particularly given the growth of these forms of work</w:t>
      </w:r>
      <w:r w:rsidR="0056657D">
        <w:rPr>
          <w:bCs/>
        </w:rPr>
        <w:t xml:space="preserve"> and likely future expansion.</w:t>
      </w:r>
      <w:r w:rsidR="00931126">
        <w:rPr>
          <w:rStyle w:val="FootnoteReference"/>
          <w:bCs/>
        </w:rPr>
        <w:footnoteReference w:id="41"/>
      </w:r>
      <w:r w:rsidR="0056657D">
        <w:rPr>
          <w:bCs/>
        </w:rPr>
        <w:t xml:space="preserve"> </w:t>
      </w:r>
    </w:p>
    <w:p w14:paraId="359A5D5C" w14:textId="0A400E6E" w:rsidR="007765A9" w:rsidRDefault="009C1B9D" w:rsidP="006C7654">
      <w:pPr>
        <w:pStyle w:val="ListParagraph"/>
        <w:numPr>
          <w:ilvl w:val="0"/>
          <w:numId w:val="63"/>
        </w:numPr>
        <w:spacing w:line="276" w:lineRule="auto"/>
        <w:ind w:left="714" w:hanging="357"/>
        <w:contextualSpacing w:val="0"/>
        <w:rPr>
          <w:bCs/>
        </w:rPr>
      </w:pPr>
      <w:r w:rsidRPr="00297C18">
        <w:rPr>
          <w:bCs/>
        </w:rPr>
        <w:t xml:space="preserve">Finding that underlying economic and contracting pressures drive poor safety outcomes for road </w:t>
      </w:r>
      <w:r w:rsidRPr="00C24CD7">
        <w:t>transport</w:t>
      </w:r>
      <w:r w:rsidRPr="00297C18">
        <w:rPr>
          <w:bCs/>
        </w:rPr>
        <w:t xml:space="preserve"> workers, the</w:t>
      </w:r>
      <w:r w:rsidR="00931126" w:rsidRPr="00297C18">
        <w:rPr>
          <w:bCs/>
        </w:rPr>
        <w:t xml:space="preserve"> Road Transport Inquiry </w:t>
      </w:r>
      <w:r w:rsidR="00812AFC" w:rsidRPr="00297C18">
        <w:rPr>
          <w:bCs/>
        </w:rPr>
        <w:t xml:space="preserve">noted that without addressing </w:t>
      </w:r>
      <w:r w:rsidR="00297C18" w:rsidRPr="00297C18">
        <w:rPr>
          <w:bCs/>
        </w:rPr>
        <w:t>these</w:t>
      </w:r>
      <w:r w:rsidRPr="00297C18">
        <w:rPr>
          <w:bCs/>
        </w:rPr>
        <w:t xml:space="preserve"> </w:t>
      </w:r>
      <w:r w:rsidR="00812AFC" w:rsidRPr="00297C18">
        <w:rPr>
          <w:bCs/>
        </w:rPr>
        <w:t>structural issues</w:t>
      </w:r>
      <w:r w:rsidR="00297C18">
        <w:rPr>
          <w:bCs/>
        </w:rPr>
        <w:t>, ‘efforts by governments, regulators and the road transport sector to improve safety will be in vain</w:t>
      </w:r>
      <w:r w:rsidR="00AD6DBA">
        <w:rPr>
          <w:bCs/>
        </w:rPr>
        <w:t>.’</w:t>
      </w:r>
      <w:r w:rsidR="00AD6DBA">
        <w:rPr>
          <w:rStyle w:val="FootnoteReference"/>
          <w:bCs/>
        </w:rPr>
        <w:footnoteReference w:id="42"/>
      </w:r>
      <w:r w:rsidR="005E66AD">
        <w:rPr>
          <w:bCs/>
        </w:rPr>
        <w:t xml:space="preserve"> </w:t>
      </w:r>
    </w:p>
    <w:p w14:paraId="15AF082A" w14:textId="716A605C" w:rsidR="005E66AD" w:rsidRPr="00297C18" w:rsidRDefault="005E66AD" w:rsidP="006C7654">
      <w:pPr>
        <w:pStyle w:val="ListParagraph"/>
        <w:numPr>
          <w:ilvl w:val="0"/>
          <w:numId w:val="63"/>
        </w:numPr>
        <w:spacing w:line="276" w:lineRule="auto"/>
        <w:ind w:left="714" w:hanging="357"/>
        <w:contextualSpacing w:val="0"/>
        <w:rPr>
          <w:bCs/>
        </w:rPr>
      </w:pPr>
      <w:r>
        <w:rPr>
          <w:bCs/>
        </w:rPr>
        <w:t xml:space="preserve">The </w:t>
      </w:r>
      <w:r w:rsidR="00B05962">
        <w:rPr>
          <w:bCs/>
        </w:rPr>
        <w:t>New South Wales Government Inquiry considered the need for regulatory intervention</w:t>
      </w:r>
      <w:r w:rsidR="001279D5">
        <w:rPr>
          <w:bCs/>
        </w:rPr>
        <w:t xml:space="preserve">, </w:t>
      </w:r>
      <w:r w:rsidR="006D5069">
        <w:rPr>
          <w:bCs/>
        </w:rPr>
        <w:t xml:space="preserve">finding </w:t>
      </w:r>
      <w:r w:rsidR="006D5069" w:rsidRPr="00C24CD7">
        <w:t>that</w:t>
      </w:r>
      <w:r w:rsidR="006D5069">
        <w:rPr>
          <w:bCs/>
        </w:rPr>
        <w:t xml:space="preserve"> international </w:t>
      </w:r>
      <w:r w:rsidR="004A0DD5">
        <w:rPr>
          <w:bCs/>
        </w:rPr>
        <w:t xml:space="preserve">initiatives to regulate the digital platform economy, as well as the findings of </w:t>
      </w:r>
      <w:r w:rsidR="00660E31">
        <w:rPr>
          <w:bCs/>
        </w:rPr>
        <w:t xml:space="preserve">the Victorian Government Inquiry and Job Security Inquiry </w:t>
      </w:r>
      <w:r w:rsidR="006960E5">
        <w:rPr>
          <w:bCs/>
        </w:rPr>
        <w:t xml:space="preserve">highlight that government </w:t>
      </w:r>
      <w:r w:rsidR="00FB0A15">
        <w:rPr>
          <w:bCs/>
        </w:rPr>
        <w:t>action</w:t>
      </w:r>
      <w:r w:rsidR="006960E5">
        <w:rPr>
          <w:bCs/>
        </w:rPr>
        <w:t xml:space="preserve"> is needed.</w:t>
      </w:r>
      <w:r w:rsidR="00712094">
        <w:rPr>
          <w:rStyle w:val="FootnoteReference"/>
          <w:bCs/>
        </w:rPr>
        <w:footnoteReference w:id="43"/>
      </w:r>
      <w:r w:rsidR="006960E5">
        <w:rPr>
          <w:bCs/>
        </w:rPr>
        <w:t xml:space="preserve"> </w:t>
      </w:r>
    </w:p>
    <w:p w14:paraId="257E434C" w14:textId="3AB3905C" w:rsidR="00EF20AC" w:rsidRDefault="000D087F" w:rsidP="000D087F">
      <w:pPr>
        <w:rPr>
          <w:bCs/>
        </w:rPr>
      </w:pPr>
      <w:r>
        <w:rPr>
          <w:bCs/>
        </w:rPr>
        <w:t xml:space="preserve">Together, </w:t>
      </w:r>
      <w:r w:rsidR="00925A26">
        <w:rPr>
          <w:bCs/>
        </w:rPr>
        <w:t>the reviews</w:t>
      </w:r>
      <w:r>
        <w:rPr>
          <w:bCs/>
        </w:rPr>
        <w:t xml:space="preserve"> consider all three </w:t>
      </w:r>
      <w:r w:rsidR="001210AE">
        <w:rPr>
          <w:bCs/>
        </w:rPr>
        <w:t>proposals</w:t>
      </w:r>
      <w:r>
        <w:rPr>
          <w:bCs/>
        </w:rPr>
        <w:t xml:space="preserve"> assessed by this Impact Analysis</w:t>
      </w:r>
      <w:r w:rsidR="001210AE">
        <w:rPr>
          <w:bCs/>
        </w:rPr>
        <w:t xml:space="preserve"> </w:t>
      </w:r>
      <w:r w:rsidR="007D304F">
        <w:rPr>
          <w:bCs/>
        </w:rPr>
        <w:t>E</w:t>
      </w:r>
      <w:r w:rsidR="00C95BEF">
        <w:rPr>
          <w:bCs/>
        </w:rPr>
        <w:t xml:space="preserve">quivalent process </w:t>
      </w:r>
      <w:r w:rsidRPr="004B4F63">
        <w:t>and</w:t>
      </w:r>
      <w:r>
        <w:rPr>
          <w:bCs/>
        </w:rPr>
        <w:t xml:space="preserve"> made recommendations </w:t>
      </w:r>
      <w:r w:rsidR="00655871">
        <w:rPr>
          <w:bCs/>
        </w:rPr>
        <w:t>for government intervention</w:t>
      </w:r>
      <w:r w:rsidR="00DD6CC7">
        <w:rPr>
          <w:bCs/>
        </w:rPr>
        <w:t xml:space="preserve"> (at either the Commonwealth or state and territory level)</w:t>
      </w:r>
      <w:r>
        <w:rPr>
          <w:bCs/>
        </w:rPr>
        <w:t xml:space="preserve">, presented in </w:t>
      </w:r>
      <w:r>
        <w:t xml:space="preserve">Table </w:t>
      </w:r>
      <w:r w:rsidR="4B4DAD00">
        <w:t>1</w:t>
      </w:r>
      <w:r w:rsidR="00D177A6">
        <w:t>.</w:t>
      </w:r>
    </w:p>
    <w:p w14:paraId="03E84937" w14:textId="504EF298" w:rsidR="00827805" w:rsidRDefault="00D803B8" w:rsidP="000D087F">
      <w:pPr>
        <w:rPr>
          <w:bCs/>
        </w:rPr>
      </w:pPr>
      <w:r>
        <w:rPr>
          <w:bCs/>
        </w:rPr>
        <w:t>Legislating to empower the Fair Work Commission</w:t>
      </w:r>
      <w:r w:rsidR="004D10BE">
        <w:rPr>
          <w:bCs/>
        </w:rPr>
        <w:t xml:space="preserve"> to </w:t>
      </w:r>
      <w:r>
        <w:rPr>
          <w:bCs/>
        </w:rPr>
        <w:t>set</w:t>
      </w:r>
      <w:r w:rsidR="004D10BE">
        <w:rPr>
          <w:bCs/>
        </w:rPr>
        <w:t xml:space="preserve"> minimum standards </w:t>
      </w:r>
      <w:r>
        <w:rPr>
          <w:bCs/>
        </w:rPr>
        <w:t xml:space="preserve">for ‘employee-like’ workers, including those in the </w:t>
      </w:r>
      <w:r w:rsidR="00C43A2F">
        <w:rPr>
          <w:bCs/>
        </w:rPr>
        <w:t xml:space="preserve">digital platform or ‘gig’ economy </w:t>
      </w:r>
      <w:r w:rsidR="004D10BE">
        <w:rPr>
          <w:bCs/>
        </w:rPr>
        <w:t xml:space="preserve">was an election commitment </w:t>
      </w:r>
      <w:r w:rsidR="00C43A2F">
        <w:rPr>
          <w:bCs/>
        </w:rPr>
        <w:t>made by</w:t>
      </w:r>
      <w:r w:rsidR="004D10BE">
        <w:rPr>
          <w:bCs/>
        </w:rPr>
        <w:t xml:space="preserve"> the </w:t>
      </w:r>
      <w:r w:rsidR="004D10BE" w:rsidRPr="004B4F63">
        <w:t>Government</w:t>
      </w:r>
      <w:r w:rsidR="004D10BE">
        <w:rPr>
          <w:bCs/>
        </w:rPr>
        <w:t xml:space="preserve"> </w:t>
      </w:r>
      <w:r w:rsidR="00C43A2F">
        <w:rPr>
          <w:bCs/>
        </w:rPr>
        <w:t>in</w:t>
      </w:r>
      <w:r w:rsidR="004D10BE">
        <w:rPr>
          <w:bCs/>
        </w:rPr>
        <w:t xml:space="preserve"> its Secure Australian Jobs Plan. </w:t>
      </w:r>
      <w:r w:rsidR="00C43A2F">
        <w:rPr>
          <w:bCs/>
        </w:rPr>
        <w:t xml:space="preserve">The Government further committed, as outcomes of the Jobs and Skills Summit, to consider minimum standards for road transport workers and to amend laws to </w:t>
      </w:r>
      <w:r w:rsidR="00613B58">
        <w:rPr>
          <w:bCs/>
        </w:rPr>
        <w:t xml:space="preserve">allow workers to challenge </w:t>
      </w:r>
      <w:r w:rsidR="00DE314C">
        <w:rPr>
          <w:bCs/>
        </w:rPr>
        <w:t xml:space="preserve">unfair contracts. </w:t>
      </w:r>
    </w:p>
    <w:p w14:paraId="30127745" w14:textId="77777777" w:rsidR="00EF20AC" w:rsidRDefault="00EF20AC" w:rsidP="000D087F">
      <w:pPr>
        <w:rPr>
          <w:bCs/>
        </w:rPr>
      </w:pPr>
    </w:p>
    <w:p w14:paraId="2953AF79" w14:textId="77777777" w:rsidR="00A36CC2" w:rsidRDefault="00A36CC2" w:rsidP="000D087F">
      <w:pPr>
        <w:rPr>
          <w:bCs/>
        </w:rPr>
        <w:sectPr w:rsidR="00A36CC2" w:rsidSect="00BE737E">
          <w:headerReference w:type="default" r:id="rId20"/>
          <w:footerReference w:type="default" r:id="rId21"/>
          <w:type w:val="continuous"/>
          <w:pgSz w:w="11906" w:h="16838"/>
          <w:pgMar w:top="1418" w:right="1418" w:bottom="1418" w:left="1418" w:header="0" w:footer="454" w:gutter="0"/>
          <w:cols w:space="708"/>
          <w:docGrid w:linePitch="360"/>
        </w:sectPr>
      </w:pPr>
    </w:p>
    <w:p w14:paraId="4519B84C" w14:textId="4D3DC77C" w:rsidR="00C3237E" w:rsidRPr="00520A33" w:rsidRDefault="00C3237E" w:rsidP="00C3237E">
      <w:pPr>
        <w:pStyle w:val="Caption"/>
      </w:pPr>
      <w:r w:rsidRPr="006D5A16">
        <w:rPr>
          <w:highlight w:val="yellow"/>
        </w:rPr>
        <w:fldChar w:fldCharType="begin"/>
      </w:r>
      <w:r w:rsidRPr="006D5A16">
        <w:rPr>
          <w:highlight w:val="yellow"/>
        </w:rPr>
        <w:instrText xml:space="preserve"> TOC \o "1-3" \h \z \u </w:instrText>
      </w:r>
      <w:r w:rsidRPr="006D5A16">
        <w:rPr>
          <w:highlight w:val="yellow"/>
        </w:rPr>
        <w:fldChar w:fldCharType="end"/>
      </w:r>
      <w:r>
        <w:t xml:space="preserve">Table </w:t>
      </w:r>
      <w:r w:rsidR="5A2A016F">
        <w:t>1</w:t>
      </w:r>
      <w:r w:rsidRPr="00520A33">
        <w:t xml:space="preserve"> </w:t>
      </w:r>
      <w:r w:rsidR="4D0238FF">
        <w:t>-</w:t>
      </w:r>
      <w:r w:rsidR="7CA3EBD6">
        <w:t xml:space="preserve"> </w:t>
      </w:r>
      <w:r w:rsidR="79FF9AD3">
        <w:t>Relevant</w:t>
      </w:r>
      <w:r w:rsidR="004824DE">
        <w:t xml:space="preserve"> review recommendations </w:t>
      </w:r>
    </w:p>
    <w:tbl>
      <w:tblPr>
        <w:tblStyle w:val="DESE"/>
        <w:tblW w:w="0" w:type="auto"/>
        <w:tblLook w:val="04A0" w:firstRow="1" w:lastRow="0" w:firstColumn="1" w:lastColumn="0" w:noHBand="0" w:noVBand="1"/>
      </w:tblPr>
      <w:tblGrid>
        <w:gridCol w:w="1696"/>
        <w:gridCol w:w="1418"/>
        <w:gridCol w:w="10773"/>
      </w:tblGrid>
      <w:tr w:rsidR="003F0837" w14:paraId="3D7F8143" w14:textId="77777777" w:rsidTr="003F083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96" w:type="dxa"/>
            <w:tcBorders>
              <w:top w:val="single" w:sz="4" w:space="0" w:color="002D3F" w:themeColor="accent1"/>
            </w:tcBorders>
          </w:tcPr>
          <w:p w14:paraId="06C0106F" w14:textId="0992EE01" w:rsidR="00C3237E" w:rsidRPr="00A54C6D" w:rsidRDefault="00C3237E" w:rsidP="00A36CC2">
            <w:pPr>
              <w:spacing w:after="100"/>
              <w:jc w:val="center"/>
              <w:rPr>
                <w:b/>
              </w:rPr>
            </w:pPr>
            <w:r w:rsidRPr="00A54C6D">
              <w:rPr>
                <w:b/>
              </w:rPr>
              <w:t>Measure</w:t>
            </w:r>
          </w:p>
        </w:tc>
        <w:tc>
          <w:tcPr>
            <w:tcW w:w="1418" w:type="dxa"/>
            <w:tcBorders>
              <w:top w:val="single" w:sz="4" w:space="0" w:color="002D3F" w:themeColor="accent1"/>
            </w:tcBorders>
          </w:tcPr>
          <w:p w14:paraId="1143171E" w14:textId="1946980D" w:rsidR="00C3237E" w:rsidRPr="00A54C6D" w:rsidRDefault="00184723" w:rsidP="00A36CC2">
            <w:pPr>
              <w:spacing w:after="100"/>
              <w:jc w:val="center"/>
              <w:cnfStyle w:val="100000000000" w:firstRow="1" w:lastRow="0" w:firstColumn="0" w:lastColumn="0" w:oddVBand="0" w:evenVBand="0" w:oddHBand="0" w:evenHBand="0" w:firstRowFirstColumn="0" w:firstRowLastColumn="0" w:lastRowFirstColumn="0" w:lastRowLastColumn="0"/>
              <w:rPr>
                <w:b/>
              </w:rPr>
            </w:pPr>
            <w:r w:rsidRPr="00A54C6D">
              <w:rPr>
                <w:b/>
              </w:rPr>
              <w:t>Review</w:t>
            </w:r>
          </w:p>
        </w:tc>
        <w:tc>
          <w:tcPr>
            <w:tcW w:w="10773" w:type="dxa"/>
          </w:tcPr>
          <w:p w14:paraId="55DA947E" w14:textId="635E31DF" w:rsidR="00C3237E" w:rsidRPr="00A54C6D" w:rsidRDefault="00184723" w:rsidP="00A36CC2">
            <w:pPr>
              <w:spacing w:after="100"/>
              <w:jc w:val="center"/>
              <w:cnfStyle w:val="100000000000" w:firstRow="1" w:lastRow="0" w:firstColumn="0" w:lastColumn="0" w:oddVBand="0" w:evenVBand="0" w:oddHBand="0" w:evenHBand="0" w:firstRowFirstColumn="0" w:firstRowLastColumn="0" w:lastRowFirstColumn="0" w:lastRowLastColumn="0"/>
              <w:rPr>
                <w:b/>
              </w:rPr>
            </w:pPr>
            <w:r w:rsidRPr="00A54C6D">
              <w:rPr>
                <w:b/>
              </w:rPr>
              <w:t>Relevant recommendation(s)</w:t>
            </w:r>
          </w:p>
        </w:tc>
      </w:tr>
      <w:tr w:rsidR="00C32887" w14:paraId="2DB62AFE" w14:textId="77777777" w:rsidTr="00890BB0">
        <w:trPr>
          <w:trHeight w:val="478"/>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F2F2F2" w:themeFill="background1" w:themeFillShade="F2"/>
          </w:tcPr>
          <w:p w14:paraId="5F8EB8DC" w14:textId="485FA6B4" w:rsidR="00C32887" w:rsidRPr="00A36CC2" w:rsidRDefault="00C32887" w:rsidP="00A36CC2">
            <w:pPr>
              <w:spacing w:after="100"/>
              <w:jc w:val="center"/>
              <w:rPr>
                <w:b/>
              </w:rPr>
            </w:pPr>
            <w:r w:rsidRPr="00A36CC2">
              <w:rPr>
                <w:b/>
              </w:rPr>
              <w:t>Minimum standards for ‘employee-like’ digital platform workers</w:t>
            </w:r>
          </w:p>
        </w:tc>
        <w:tc>
          <w:tcPr>
            <w:tcW w:w="1418" w:type="dxa"/>
            <w:vMerge w:val="restart"/>
          </w:tcPr>
          <w:p w14:paraId="0156C1BE" w14:textId="5B71B276" w:rsidR="00C32887" w:rsidRPr="00A36CC2" w:rsidRDefault="00C32887" w:rsidP="00A36CC2">
            <w:pPr>
              <w:spacing w:after="100"/>
              <w:jc w:val="center"/>
              <w:cnfStyle w:val="000000000000" w:firstRow="0" w:lastRow="0" w:firstColumn="0" w:lastColumn="0" w:oddVBand="0" w:evenVBand="0" w:oddHBand="0" w:evenHBand="0" w:firstRowFirstColumn="0" w:firstRowLastColumn="0" w:lastRowFirstColumn="0" w:lastRowLastColumn="0"/>
              <w:rPr>
                <w:b/>
                <w:bCs/>
              </w:rPr>
            </w:pPr>
            <w:r w:rsidRPr="00A36CC2">
              <w:rPr>
                <w:b/>
                <w:bCs/>
              </w:rPr>
              <w:t>Victorian</w:t>
            </w:r>
            <w:r>
              <w:rPr>
                <w:b/>
                <w:bCs/>
              </w:rPr>
              <w:t xml:space="preserve"> Government </w:t>
            </w:r>
            <w:r w:rsidRPr="00A36CC2">
              <w:rPr>
                <w:b/>
                <w:bCs/>
              </w:rPr>
              <w:t xml:space="preserve"> Inquiry</w:t>
            </w:r>
          </w:p>
        </w:tc>
        <w:tc>
          <w:tcPr>
            <w:tcW w:w="10773" w:type="dxa"/>
          </w:tcPr>
          <w:p w14:paraId="78534620" w14:textId="23C6FB68" w:rsidR="00C32887" w:rsidRPr="003E5E95" w:rsidRDefault="00C32887" w:rsidP="00C61E7E">
            <w:pPr>
              <w:spacing w:after="100"/>
              <w:cnfStyle w:val="000000000000" w:firstRow="0" w:lastRow="0" w:firstColumn="0" w:lastColumn="0" w:oddVBand="0" w:evenVBand="0" w:oddHBand="0" w:evenHBand="0" w:firstRowFirstColumn="0" w:firstRowLastColumn="0" w:lastRowFirstColumn="0" w:lastRowLastColumn="0"/>
              <w:rPr>
                <w:b/>
                <w:bCs/>
              </w:rPr>
            </w:pPr>
            <w:r>
              <w:rPr>
                <w:b/>
                <w:bCs/>
              </w:rPr>
              <w:t xml:space="preserve">Recommendation 1 - </w:t>
            </w:r>
            <w:r>
              <w:t>That the Commonwealth Government, in collaboration with state governments and other key stakeholders, lead the delivery of the recommendations in this report regarding the national workplace system.</w:t>
            </w:r>
          </w:p>
        </w:tc>
      </w:tr>
      <w:tr w:rsidR="00C32887" w14:paraId="0EA4CF31" w14:textId="77777777" w:rsidTr="00890BB0">
        <w:trPr>
          <w:trHeight w:val="2941"/>
        </w:trPr>
        <w:tc>
          <w:tcPr>
            <w:cnfStyle w:val="001000000000" w:firstRow="0" w:lastRow="0" w:firstColumn="1" w:lastColumn="0" w:oddVBand="0" w:evenVBand="0" w:oddHBand="0" w:evenHBand="0" w:firstRowFirstColumn="0" w:firstRowLastColumn="0" w:lastRowFirstColumn="0" w:lastRowLastColumn="0"/>
            <w:tcW w:w="1696" w:type="dxa"/>
            <w:vMerge/>
          </w:tcPr>
          <w:p w14:paraId="309D13F8" w14:textId="77777777" w:rsidR="00C32887" w:rsidRPr="00477EED" w:rsidRDefault="00C32887" w:rsidP="00C61E7E">
            <w:pPr>
              <w:spacing w:after="100"/>
              <w:rPr>
                <w:bCs/>
              </w:rPr>
            </w:pPr>
          </w:p>
        </w:tc>
        <w:tc>
          <w:tcPr>
            <w:tcW w:w="1418" w:type="dxa"/>
            <w:vMerge/>
          </w:tcPr>
          <w:p w14:paraId="1513D7FB" w14:textId="77777777" w:rsidR="00C32887" w:rsidRDefault="00C32887" w:rsidP="00C61E7E">
            <w:pPr>
              <w:spacing w:after="100"/>
              <w:cnfStyle w:val="000000000000" w:firstRow="0" w:lastRow="0" w:firstColumn="0" w:lastColumn="0" w:oddVBand="0" w:evenVBand="0" w:oddHBand="0" w:evenHBand="0" w:firstRowFirstColumn="0" w:firstRowLastColumn="0" w:lastRowFirstColumn="0" w:lastRowLastColumn="0"/>
            </w:pPr>
          </w:p>
        </w:tc>
        <w:tc>
          <w:tcPr>
            <w:tcW w:w="10773" w:type="dxa"/>
          </w:tcPr>
          <w:p w14:paraId="0B15E87E" w14:textId="2BCA3819" w:rsidR="00C32887" w:rsidRDefault="00C32887" w:rsidP="00890BB0">
            <w:pPr>
              <w:spacing w:beforeAutospacing="0" w:after="0" w:afterAutospacing="0"/>
              <w:cnfStyle w:val="000000000000" w:firstRow="0" w:lastRow="0" w:firstColumn="0" w:lastColumn="0" w:oddVBand="0" w:evenVBand="0" w:oddHBand="0" w:evenHBand="0" w:firstRowFirstColumn="0" w:firstRowLastColumn="0" w:lastRowFirstColumn="0" w:lastRowLastColumn="0"/>
            </w:pPr>
            <w:r>
              <w:rPr>
                <w:b/>
                <w:bCs/>
              </w:rPr>
              <w:t xml:space="preserve">Recommendation 6 - </w:t>
            </w:r>
            <w:r>
              <w:t>That the FW (Fair Work) Act be amended to:</w:t>
            </w:r>
          </w:p>
          <w:p w14:paraId="1AE93F4D" w14:textId="77777777" w:rsidR="00C32887" w:rsidRDefault="00C32887" w:rsidP="003807D2">
            <w:pPr>
              <w:pStyle w:val="ListParagraph"/>
              <w:numPr>
                <w:ilvl w:val="0"/>
                <w:numId w:val="67"/>
              </w:numPr>
              <w:spacing w:before="0" w:beforeAutospacing="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codify work status on the face of relevant legislation (rather than relying on indistinct common law tests)</w:t>
            </w:r>
          </w:p>
          <w:p w14:paraId="1F50B3C9" w14:textId="77777777" w:rsidR="00C32887" w:rsidRDefault="00C32887" w:rsidP="003807D2">
            <w:pPr>
              <w:pStyle w:val="ListParagraph"/>
              <w:numPr>
                <w:ilvl w:val="0"/>
                <w:numId w:val="67"/>
              </w:numPr>
              <w:spacing w:before="0" w:beforeAutospacing="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 xml:space="preserve">clarify the work status test including by adopting the ‘entrepreneurial worker’ approach, so that those who work as part of another’s enterprise or business are ‘employees’ and autonomous, ‘self-employed’ small business workers are covered by commercial laws. </w:t>
            </w:r>
          </w:p>
          <w:p w14:paraId="096223EE" w14:textId="77777777" w:rsidR="00C32887" w:rsidRDefault="00C32887" w:rsidP="003807D2">
            <w:pPr>
              <w:pStyle w:val="ListParagraph"/>
              <w:numPr>
                <w:ilvl w:val="0"/>
                <w:numId w:val="67"/>
              </w:numPr>
              <w:spacing w:before="0" w:beforeAutospacing="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 xml:space="preserve">provide that the: </w:t>
            </w:r>
          </w:p>
          <w:p w14:paraId="7C0E0162" w14:textId="40580FE0" w:rsidR="00C32887" w:rsidRDefault="00C32887" w:rsidP="003807D2">
            <w:pPr>
              <w:pStyle w:val="ListParagraph"/>
              <w:numPr>
                <w:ilvl w:val="0"/>
                <w:numId w:val="68"/>
              </w:numPr>
              <w:spacing w:before="0" w:beforeAutospacing="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provision of safety protections and entitlements such as superannuation, training, occupational health and safety and worker consultation is not disincentivised because of the potential impact on work status</w:t>
            </w:r>
          </w:p>
          <w:p w14:paraId="2790F4F5" w14:textId="77777777" w:rsidR="00C32887" w:rsidRDefault="00C32887" w:rsidP="003807D2">
            <w:pPr>
              <w:pStyle w:val="ListParagraph"/>
              <w:numPr>
                <w:ilvl w:val="0"/>
                <w:numId w:val="68"/>
              </w:numPr>
              <w:spacing w:before="0" w:beforeAutospacing="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party asserting a worker is not an employee, bears the onus of proving work status, and</w:t>
            </w:r>
          </w:p>
          <w:p w14:paraId="35516537" w14:textId="79D36ED7" w:rsidR="00C32887" w:rsidRPr="00A36CC2" w:rsidRDefault="00C32887" w:rsidP="003807D2">
            <w:pPr>
              <w:pStyle w:val="ListParagraph"/>
              <w:numPr>
                <w:ilvl w:val="0"/>
                <w:numId w:val="68"/>
              </w:numPr>
              <w:spacing w:before="0" w:beforeAutospacing="0" w:afterAutospacing="0" w:line="276" w:lineRule="auto"/>
              <w:contextualSpacing w:val="0"/>
              <w:cnfStyle w:val="000000000000" w:firstRow="0" w:lastRow="0" w:firstColumn="0" w:lastColumn="0" w:oddVBand="0" w:evenVBand="0" w:oddHBand="0" w:evenHBand="0" w:firstRowFirstColumn="0" w:firstRowLastColumn="0" w:lastRowFirstColumn="0" w:lastRowLastColumn="0"/>
            </w:pPr>
            <w:r>
              <w:t>the relative bargaining positions of each party are expressly considered when determining work status</w:t>
            </w:r>
          </w:p>
        </w:tc>
      </w:tr>
      <w:tr w:rsidR="00C32887" w14:paraId="48504282" w14:textId="77777777" w:rsidTr="26D4FD32">
        <w:trPr>
          <w:trHeight w:val="700"/>
        </w:trPr>
        <w:tc>
          <w:tcPr>
            <w:cnfStyle w:val="001000000000" w:firstRow="0" w:lastRow="0" w:firstColumn="1" w:lastColumn="0" w:oddVBand="0" w:evenVBand="0" w:oddHBand="0" w:evenHBand="0" w:firstRowFirstColumn="0" w:firstRowLastColumn="0" w:lastRowFirstColumn="0" w:lastRowLastColumn="0"/>
            <w:tcW w:w="1696" w:type="dxa"/>
            <w:vMerge/>
          </w:tcPr>
          <w:p w14:paraId="63AD46F7" w14:textId="77777777" w:rsidR="00C32887" w:rsidRPr="00477EED" w:rsidRDefault="00C32887" w:rsidP="00C61E7E">
            <w:pPr>
              <w:spacing w:after="100"/>
              <w:rPr>
                <w:bCs/>
              </w:rPr>
            </w:pPr>
          </w:p>
        </w:tc>
        <w:tc>
          <w:tcPr>
            <w:tcW w:w="1418" w:type="dxa"/>
            <w:vMerge/>
          </w:tcPr>
          <w:p w14:paraId="09886C77" w14:textId="77777777" w:rsidR="00C32887" w:rsidRDefault="00C32887" w:rsidP="00C61E7E">
            <w:pPr>
              <w:spacing w:after="100"/>
              <w:cnfStyle w:val="000000000000" w:firstRow="0" w:lastRow="0" w:firstColumn="0" w:lastColumn="0" w:oddVBand="0" w:evenVBand="0" w:oddHBand="0" w:evenHBand="0" w:firstRowFirstColumn="0" w:firstRowLastColumn="0" w:lastRowFirstColumn="0" w:lastRowLastColumn="0"/>
            </w:pPr>
          </w:p>
        </w:tc>
        <w:tc>
          <w:tcPr>
            <w:tcW w:w="10773" w:type="dxa"/>
          </w:tcPr>
          <w:p w14:paraId="51B5D8F0" w14:textId="76EFFE37" w:rsidR="00C32887" w:rsidRDefault="00C32887" w:rsidP="00C61E7E">
            <w:pPr>
              <w:spacing w:after="100"/>
              <w:cnfStyle w:val="000000000000" w:firstRow="0" w:lastRow="0" w:firstColumn="0" w:lastColumn="0" w:oddVBand="0" w:evenVBand="0" w:oddHBand="0" w:evenHBand="0" w:firstRowFirstColumn="0" w:firstRowLastColumn="0" w:lastRowFirstColumn="0" w:lastRowLastColumn="0"/>
            </w:pPr>
            <w:r>
              <w:rPr>
                <w:b/>
                <w:bCs/>
              </w:rPr>
              <w:t xml:space="preserve">Recommendation 16 – </w:t>
            </w:r>
            <w:r>
              <w:t>‘That the FWC [Fair Work Commission] work with relevant stakeholders, including platforms and representatives of workers and industry, about the application of modern awards to platform workers, with a view to ensuring fit-for-purpose, fair arrangements that are compatible with work enabled by technology’.</w:t>
            </w:r>
          </w:p>
        </w:tc>
      </w:tr>
      <w:tr w:rsidR="00C32887" w14:paraId="0EB87AF6" w14:textId="77777777" w:rsidTr="00F9171A">
        <w:trPr>
          <w:trHeight w:val="558"/>
        </w:trPr>
        <w:tc>
          <w:tcPr>
            <w:cnfStyle w:val="001000000000" w:firstRow="0" w:lastRow="0" w:firstColumn="1" w:lastColumn="0" w:oddVBand="0" w:evenVBand="0" w:oddHBand="0" w:evenHBand="0" w:firstRowFirstColumn="0" w:firstRowLastColumn="0" w:lastRowFirstColumn="0" w:lastRowLastColumn="0"/>
            <w:tcW w:w="1696" w:type="dxa"/>
            <w:vMerge/>
          </w:tcPr>
          <w:p w14:paraId="28567BCC" w14:textId="77777777" w:rsidR="00C32887" w:rsidRPr="00477EED" w:rsidRDefault="00C32887" w:rsidP="00C61E7E">
            <w:pPr>
              <w:spacing w:after="100"/>
              <w:rPr>
                <w:bCs/>
              </w:rPr>
            </w:pPr>
          </w:p>
        </w:tc>
        <w:tc>
          <w:tcPr>
            <w:tcW w:w="1418" w:type="dxa"/>
            <w:vMerge w:val="restart"/>
          </w:tcPr>
          <w:p w14:paraId="18D80FC9" w14:textId="7643BDDF" w:rsidR="00C32887" w:rsidRPr="00CC2E4E" w:rsidRDefault="00C32887" w:rsidP="00CC2E4E">
            <w:pPr>
              <w:spacing w:after="100"/>
              <w:jc w:val="center"/>
              <w:cnfStyle w:val="000000000000" w:firstRow="0" w:lastRow="0" w:firstColumn="0" w:lastColumn="0" w:oddVBand="0" w:evenVBand="0" w:oddHBand="0" w:evenHBand="0" w:firstRowFirstColumn="0" w:firstRowLastColumn="0" w:lastRowFirstColumn="0" w:lastRowLastColumn="0"/>
              <w:rPr>
                <w:b/>
                <w:bCs/>
              </w:rPr>
            </w:pPr>
            <w:r w:rsidRPr="00CC2E4E">
              <w:rPr>
                <w:b/>
                <w:bCs/>
              </w:rPr>
              <w:t>Job Security Inquiry</w:t>
            </w:r>
          </w:p>
        </w:tc>
        <w:tc>
          <w:tcPr>
            <w:tcW w:w="10773" w:type="dxa"/>
          </w:tcPr>
          <w:p w14:paraId="33E26138" w14:textId="7506ED81" w:rsidR="00C32887" w:rsidRPr="003F0837" w:rsidRDefault="0063042F" w:rsidP="008B793A">
            <w:pPr>
              <w:cnfStyle w:val="000000000000" w:firstRow="0" w:lastRow="0" w:firstColumn="0" w:lastColumn="0" w:oddVBand="0" w:evenVBand="0" w:oddHBand="0" w:evenHBand="0" w:firstRowFirstColumn="0" w:firstRowLastColumn="0" w:lastRowFirstColumn="0" w:lastRowLastColumn="0"/>
            </w:pPr>
            <w:r>
              <w:rPr>
                <w:b/>
                <w:bCs/>
              </w:rPr>
              <w:t xml:space="preserve">First interim report, </w:t>
            </w:r>
            <w:r w:rsidR="00C32887">
              <w:rPr>
                <w:b/>
                <w:bCs/>
              </w:rPr>
              <w:t xml:space="preserve">Recommendation </w:t>
            </w:r>
            <w:r w:rsidR="00937F72">
              <w:rPr>
                <w:b/>
                <w:bCs/>
              </w:rPr>
              <w:t xml:space="preserve">7 – </w:t>
            </w:r>
            <w:r w:rsidR="00C32887">
              <w:t xml:space="preserve">The committee recommends that the Australian Government </w:t>
            </w:r>
            <w:r>
              <w:t>expands the definitions of 'employment' and 'employee' in</w:t>
            </w:r>
            <w:r w:rsidR="00C32887">
              <w:t xml:space="preserve"> the </w:t>
            </w:r>
            <w:r w:rsidR="00C32887" w:rsidRPr="00573634">
              <w:rPr>
                <w:i/>
                <w:iCs/>
              </w:rPr>
              <w:t>Fair Work Act 2009</w:t>
            </w:r>
            <w:r w:rsidR="00C32887">
              <w:t xml:space="preserve"> to </w:t>
            </w:r>
            <w:r>
              <w:t>capture new and evolving</w:t>
            </w:r>
            <w:r w:rsidR="00C32887">
              <w:t xml:space="preserve"> forms of work</w:t>
            </w:r>
            <w:r>
              <w:t>. In addition to an expanded definition of 'employment' and 'employee' under the Fair Work Act, there should be a mechanism by which</w:t>
            </w:r>
            <w:r w:rsidR="00C32887">
              <w:t xml:space="preserve"> the Fair Work Commission </w:t>
            </w:r>
            <w:r>
              <w:t>can extend coverage of those rights when necessary to workers falling outside the expanded definition of employment, including low-leveraged and highly dependent workers so they can be provided with standards and protections under the Act</w:t>
            </w:r>
          </w:p>
        </w:tc>
      </w:tr>
      <w:tr w:rsidR="0063042F" w14:paraId="6C501F87" w14:textId="77777777" w:rsidTr="008B793A">
        <w:trPr>
          <w:trHeight w:val="3834"/>
        </w:trPr>
        <w:tc>
          <w:tcPr>
            <w:cnfStyle w:val="001000000000" w:firstRow="0" w:lastRow="0" w:firstColumn="1" w:lastColumn="0" w:oddVBand="0" w:evenVBand="0" w:oddHBand="0" w:evenHBand="0" w:firstRowFirstColumn="0" w:firstRowLastColumn="0" w:lastRowFirstColumn="0" w:lastRowLastColumn="0"/>
            <w:tcW w:w="0" w:type="dxa"/>
            <w:vMerge/>
          </w:tcPr>
          <w:p w14:paraId="7DCA8000" w14:textId="77777777" w:rsidR="0063042F" w:rsidRPr="00477EED" w:rsidRDefault="0063042F" w:rsidP="00C61E7E">
            <w:pPr>
              <w:spacing w:after="100"/>
              <w:rPr>
                <w:bCs/>
              </w:rPr>
            </w:pPr>
          </w:p>
        </w:tc>
        <w:tc>
          <w:tcPr>
            <w:tcW w:w="0" w:type="dxa"/>
            <w:vMerge/>
          </w:tcPr>
          <w:p w14:paraId="5C9D7D94" w14:textId="77777777" w:rsidR="0063042F" w:rsidRPr="00CC2E4E" w:rsidRDefault="0063042F" w:rsidP="00CC2E4E">
            <w:pPr>
              <w:spacing w:after="100"/>
              <w:jc w:val="center"/>
              <w:cnfStyle w:val="000000000000" w:firstRow="0" w:lastRow="0" w:firstColumn="0" w:lastColumn="0" w:oddVBand="0" w:evenVBand="0" w:oddHBand="0" w:evenHBand="0" w:firstRowFirstColumn="0" w:firstRowLastColumn="0" w:lastRowFirstColumn="0" w:lastRowLastColumn="0"/>
              <w:rPr>
                <w:b/>
                <w:bCs/>
              </w:rPr>
            </w:pPr>
          </w:p>
        </w:tc>
        <w:tc>
          <w:tcPr>
            <w:tcW w:w="0" w:type="dxa"/>
          </w:tcPr>
          <w:p w14:paraId="1E5155D3" w14:textId="77777777" w:rsidR="006964D5" w:rsidRDefault="00D65087" w:rsidP="00890BB0">
            <w:pPr>
              <w:spacing w:after="0"/>
              <w:cnfStyle w:val="000000000000" w:firstRow="0" w:lastRow="0" w:firstColumn="0" w:lastColumn="0" w:oddVBand="0" w:evenVBand="0" w:oddHBand="0" w:evenHBand="0" w:firstRowFirstColumn="0" w:firstRowLastColumn="0" w:lastRowFirstColumn="0" w:lastRowLastColumn="0"/>
            </w:pPr>
            <w:r>
              <w:rPr>
                <w:b/>
                <w:bCs/>
              </w:rPr>
              <w:t xml:space="preserve">First interim report, Recommendation 9 </w:t>
            </w:r>
            <w:r>
              <w:t>- The committee recommends that the Australian Government gives the Fair Work Commission (FWC) broad powers to resolve disputes and make orders for minimum standards and conditions in relation to all forms of work. The expanded remit of the FWC would include:</w:t>
            </w:r>
          </w:p>
          <w:p w14:paraId="0486F44C" w14:textId="1A7F3BE0" w:rsidR="00D65087" w:rsidRDefault="00D65087" w:rsidP="00D84FE2">
            <w:pPr>
              <w:pStyle w:val="ListParagraph"/>
              <w:numPr>
                <w:ilvl w:val="0"/>
                <w:numId w:val="69"/>
              </w:numPr>
              <w:spacing w:before="0" w:beforeAutospacing="0" w:afterAutospacing="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t>adjudicating in cases where there is a dispute in relation to the appropriate status of workers;</w:t>
            </w:r>
          </w:p>
          <w:p w14:paraId="322142E5" w14:textId="77777777" w:rsidR="00D65087" w:rsidRDefault="00D65087" w:rsidP="00D84FE2">
            <w:pPr>
              <w:pStyle w:val="ListParagraph"/>
              <w:numPr>
                <w:ilvl w:val="0"/>
                <w:numId w:val="69"/>
              </w:numPr>
              <w:spacing w:before="0" w:beforeAutospacing="0" w:afterAutospacing="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t>setting binding minimum standards and conditions in relation to non-standard forms of work, regardless of employment status; and</w:t>
            </w:r>
          </w:p>
          <w:p w14:paraId="3D962CB5" w14:textId="77777777" w:rsidR="006964D5" w:rsidRDefault="00D65087" w:rsidP="00D84FE2">
            <w:pPr>
              <w:pStyle w:val="ListParagraph"/>
              <w:numPr>
                <w:ilvl w:val="0"/>
                <w:numId w:val="69"/>
              </w:numPr>
              <w:spacing w:before="0" w:beforeAutospacing="0" w:afterAutospacing="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t xml:space="preserve">the capacity to resolve disputes (including where necessary through binding decisions) in a low-cost and effective manner. </w:t>
            </w:r>
          </w:p>
          <w:p w14:paraId="20E78117" w14:textId="6942AA8F" w:rsidR="0063042F" w:rsidRPr="008B793A" w:rsidRDefault="00D65087" w:rsidP="008B793A">
            <w:pPr>
              <w:spacing w:beforeAutospacing="0" w:after="0"/>
              <w:cnfStyle w:val="000000000000" w:firstRow="0" w:lastRow="0" w:firstColumn="0" w:lastColumn="0" w:oddVBand="0" w:evenVBand="0" w:oddHBand="0" w:evenHBand="0" w:firstRowFirstColumn="0" w:firstRowLastColumn="0" w:lastRowFirstColumn="0" w:lastRowLastColumn="0"/>
            </w:pPr>
            <w:r>
              <w:t>The FWC should be empowered to make determinations and orders for groups and categories of workers, not just individuals.</w:t>
            </w:r>
          </w:p>
        </w:tc>
      </w:tr>
      <w:tr w:rsidR="0063042F" w14:paraId="54D2F1CF" w14:textId="77777777" w:rsidTr="26D4FD32">
        <w:trPr>
          <w:trHeight w:val="909"/>
        </w:trPr>
        <w:tc>
          <w:tcPr>
            <w:cnfStyle w:val="001000000000" w:firstRow="0" w:lastRow="0" w:firstColumn="1" w:lastColumn="0" w:oddVBand="0" w:evenVBand="0" w:oddHBand="0" w:evenHBand="0" w:firstRowFirstColumn="0" w:firstRowLastColumn="0" w:lastRowFirstColumn="0" w:lastRowLastColumn="0"/>
            <w:tcW w:w="1696" w:type="dxa"/>
            <w:vMerge/>
          </w:tcPr>
          <w:p w14:paraId="58D66585" w14:textId="77777777" w:rsidR="0063042F" w:rsidRPr="00477EED" w:rsidRDefault="0063042F" w:rsidP="00C61E7E">
            <w:pPr>
              <w:spacing w:after="100"/>
              <w:rPr>
                <w:bCs/>
              </w:rPr>
            </w:pPr>
          </w:p>
        </w:tc>
        <w:tc>
          <w:tcPr>
            <w:tcW w:w="1418" w:type="dxa"/>
            <w:vMerge/>
          </w:tcPr>
          <w:p w14:paraId="34017350" w14:textId="77777777" w:rsidR="0063042F" w:rsidRPr="00CC2E4E" w:rsidRDefault="0063042F" w:rsidP="00CC2E4E">
            <w:pPr>
              <w:spacing w:after="100"/>
              <w:jc w:val="center"/>
              <w:cnfStyle w:val="000000000000" w:firstRow="0" w:lastRow="0" w:firstColumn="0" w:lastColumn="0" w:oddVBand="0" w:evenVBand="0" w:oddHBand="0" w:evenHBand="0" w:firstRowFirstColumn="0" w:firstRowLastColumn="0" w:lastRowFirstColumn="0" w:lastRowLastColumn="0"/>
              <w:rPr>
                <w:b/>
                <w:bCs/>
              </w:rPr>
            </w:pPr>
          </w:p>
        </w:tc>
        <w:tc>
          <w:tcPr>
            <w:tcW w:w="10773" w:type="dxa"/>
          </w:tcPr>
          <w:p w14:paraId="6AF40D4E" w14:textId="561AAF18" w:rsidR="0063042F" w:rsidRDefault="009A1B1D" w:rsidP="0063042F">
            <w:pPr>
              <w:spacing w:after="0"/>
              <w:cnfStyle w:val="000000000000" w:firstRow="0" w:lastRow="0" w:firstColumn="0" w:lastColumn="0" w:oddVBand="0" w:evenVBand="0" w:oddHBand="0" w:evenHBand="0" w:firstRowFirstColumn="0" w:firstRowLastColumn="0" w:lastRowFirstColumn="0" w:lastRowLastColumn="0"/>
            </w:pPr>
            <w:r>
              <w:rPr>
                <w:b/>
                <w:bCs/>
              </w:rPr>
              <w:t xml:space="preserve">Fourth </w:t>
            </w:r>
            <w:r w:rsidR="0063042F">
              <w:rPr>
                <w:b/>
                <w:bCs/>
              </w:rPr>
              <w:t xml:space="preserve">Report, Recommendation 10 – </w:t>
            </w:r>
            <w:r w:rsidR="0063042F">
              <w:t xml:space="preserve">The committee recommends that the Australian Government amends the </w:t>
            </w:r>
            <w:r w:rsidR="0063042F" w:rsidRPr="003807D2">
              <w:rPr>
                <w:i/>
                <w:iCs/>
              </w:rPr>
              <w:t>Fair Work Act 2009</w:t>
            </w:r>
            <w:r w:rsidR="0063042F">
              <w:t>, expanding the scope of the Act to encompass all forms of work, and empowering the Fair Work Commission to:</w:t>
            </w:r>
          </w:p>
          <w:p w14:paraId="2FAF5323" w14:textId="77777777" w:rsidR="0063042F" w:rsidRDefault="0063042F" w:rsidP="00D84FE2">
            <w:pPr>
              <w:pStyle w:val="ListParagraph"/>
              <w:numPr>
                <w:ilvl w:val="0"/>
                <w:numId w:val="69"/>
              </w:numPr>
              <w:spacing w:before="0" w:beforeAutospacing="0" w:afterAutospacing="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t>determine fair rates and conditions for all categories of workers, including contractors;</w:t>
            </w:r>
          </w:p>
          <w:p w14:paraId="74152B78" w14:textId="77777777" w:rsidR="0063042F" w:rsidRDefault="0063042F" w:rsidP="00D84FE2">
            <w:pPr>
              <w:pStyle w:val="ListParagraph"/>
              <w:numPr>
                <w:ilvl w:val="0"/>
                <w:numId w:val="69"/>
              </w:numPr>
              <w:spacing w:before="0" w:beforeAutospacing="0" w:afterAutospacing="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t>arbitrate on contracts with independent contractors that are unfair or harsh; and</w:t>
            </w:r>
          </w:p>
          <w:p w14:paraId="36B18F4B" w14:textId="08C5228C" w:rsidR="0063042F" w:rsidRPr="0063042F" w:rsidRDefault="0063042F" w:rsidP="00D84FE2">
            <w:pPr>
              <w:pStyle w:val="ListParagraph"/>
              <w:numPr>
                <w:ilvl w:val="0"/>
                <w:numId w:val="69"/>
              </w:numPr>
              <w:spacing w:before="0" w:beforeAutospacing="0" w:afterAutospacing="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t>make orders and determinations for groups or classes of workers.</w:t>
            </w:r>
          </w:p>
        </w:tc>
      </w:tr>
      <w:tr w:rsidR="00C32887" w14:paraId="46687872" w14:textId="77777777" w:rsidTr="001179F3">
        <w:trPr>
          <w:trHeight w:val="309"/>
        </w:trPr>
        <w:tc>
          <w:tcPr>
            <w:cnfStyle w:val="001000000000" w:firstRow="0" w:lastRow="0" w:firstColumn="1" w:lastColumn="0" w:oddVBand="0" w:evenVBand="0" w:oddHBand="0" w:evenHBand="0" w:firstRowFirstColumn="0" w:firstRowLastColumn="0" w:lastRowFirstColumn="0" w:lastRowLastColumn="0"/>
            <w:tcW w:w="1696" w:type="dxa"/>
            <w:vMerge/>
          </w:tcPr>
          <w:p w14:paraId="432BCFBA" w14:textId="77777777" w:rsidR="00C32887" w:rsidRPr="00477EED" w:rsidRDefault="00C32887" w:rsidP="00C61E7E">
            <w:pPr>
              <w:spacing w:after="100"/>
              <w:rPr>
                <w:bCs/>
              </w:rPr>
            </w:pPr>
          </w:p>
        </w:tc>
        <w:tc>
          <w:tcPr>
            <w:tcW w:w="1418" w:type="dxa"/>
            <w:vMerge w:val="restart"/>
          </w:tcPr>
          <w:p w14:paraId="02CCF1CF" w14:textId="6167DFFE" w:rsidR="00C32887" w:rsidRPr="00980B45" w:rsidRDefault="00C32887" w:rsidP="00CC2E4E">
            <w:pPr>
              <w:spacing w:after="100"/>
              <w:jc w:val="center"/>
              <w:cnfStyle w:val="000000000000" w:firstRow="0" w:lastRow="0" w:firstColumn="0" w:lastColumn="0" w:oddVBand="0" w:evenVBand="0" w:oddHBand="0" w:evenHBand="0" w:firstRowFirstColumn="0" w:firstRowLastColumn="0" w:lastRowFirstColumn="0" w:lastRowLastColumn="0"/>
              <w:rPr>
                <w:b/>
                <w:bCs/>
                <w:color w:val="FF0000"/>
              </w:rPr>
            </w:pPr>
            <w:r w:rsidRPr="008B793A">
              <w:rPr>
                <w:b/>
              </w:rPr>
              <w:t xml:space="preserve">New South Wales Government Inquiry </w:t>
            </w:r>
          </w:p>
        </w:tc>
        <w:tc>
          <w:tcPr>
            <w:tcW w:w="10773" w:type="dxa"/>
          </w:tcPr>
          <w:p w14:paraId="0B654082" w14:textId="1220932B" w:rsidR="00C32887" w:rsidRPr="008B793A" w:rsidRDefault="00C32887" w:rsidP="007053AF">
            <w:pPr>
              <w:spacing w:after="100"/>
              <w:cnfStyle w:val="000000000000" w:firstRow="0" w:lastRow="0" w:firstColumn="0" w:lastColumn="0" w:oddVBand="0" w:evenVBand="0" w:oddHBand="0" w:evenHBand="0" w:firstRowFirstColumn="0" w:firstRowLastColumn="0" w:lastRowFirstColumn="0" w:lastRowLastColumn="0"/>
            </w:pPr>
            <w:r w:rsidRPr="008B793A">
              <w:rPr>
                <w:b/>
              </w:rPr>
              <w:t xml:space="preserve">Recommendation 1 </w:t>
            </w:r>
            <w:r w:rsidRPr="00573634">
              <w:rPr>
                <w:bCs/>
              </w:rPr>
              <w:t>–</w:t>
            </w:r>
            <w:r w:rsidRPr="008B793A">
              <w:rPr>
                <w:b/>
              </w:rPr>
              <w:t xml:space="preserve"> </w:t>
            </w:r>
            <w:r w:rsidRPr="008B793A">
              <w:t>That the NSW Government commit to greater protections for gig economy workers, regardless of work status.</w:t>
            </w:r>
          </w:p>
        </w:tc>
      </w:tr>
      <w:tr w:rsidR="00C32887" w14:paraId="13ABA627" w14:textId="77777777" w:rsidTr="26D4FD32">
        <w:trPr>
          <w:trHeight w:val="307"/>
        </w:trPr>
        <w:tc>
          <w:tcPr>
            <w:cnfStyle w:val="001000000000" w:firstRow="0" w:lastRow="0" w:firstColumn="1" w:lastColumn="0" w:oddVBand="0" w:evenVBand="0" w:oddHBand="0" w:evenHBand="0" w:firstRowFirstColumn="0" w:firstRowLastColumn="0" w:lastRowFirstColumn="0" w:lastRowLastColumn="0"/>
            <w:tcW w:w="1696" w:type="dxa"/>
            <w:vMerge/>
          </w:tcPr>
          <w:p w14:paraId="165F5A8D" w14:textId="77777777" w:rsidR="00C32887" w:rsidRPr="00477EED" w:rsidRDefault="00C32887" w:rsidP="00C61E7E">
            <w:pPr>
              <w:spacing w:after="100"/>
              <w:rPr>
                <w:bCs/>
              </w:rPr>
            </w:pPr>
          </w:p>
        </w:tc>
        <w:tc>
          <w:tcPr>
            <w:tcW w:w="1418" w:type="dxa"/>
            <w:vMerge/>
          </w:tcPr>
          <w:p w14:paraId="63218007" w14:textId="77777777" w:rsidR="00C32887" w:rsidRPr="00980B45" w:rsidRDefault="00C32887" w:rsidP="00CC2E4E">
            <w:pPr>
              <w:spacing w:after="100"/>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10773" w:type="dxa"/>
          </w:tcPr>
          <w:p w14:paraId="17397E36" w14:textId="24A6DA9E" w:rsidR="00C32887" w:rsidRPr="008B793A" w:rsidRDefault="00C32887" w:rsidP="00B12DB3">
            <w:pPr>
              <w:spacing w:after="100"/>
              <w:cnfStyle w:val="000000000000" w:firstRow="0" w:lastRow="0" w:firstColumn="0" w:lastColumn="0" w:oddVBand="0" w:evenVBand="0" w:oddHBand="0" w:evenHBand="0" w:firstRowFirstColumn="0" w:firstRowLastColumn="0" w:lastRowFirstColumn="0" w:lastRowLastColumn="0"/>
            </w:pPr>
            <w:r w:rsidRPr="008B793A">
              <w:rPr>
                <w:b/>
              </w:rPr>
              <w:t xml:space="preserve">Recommendation 2 </w:t>
            </w:r>
            <w:r w:rsidRPr="00573634">
              <w:rPr>
                <w:bCs/>
              </w:rPr>
              <w:t xml:space="preserve">– </w:t>
            </w:r>
            <w:r w:rsidRPr="008B793A">
              <w:t xml:space="preserve">That the NSW Government establish a tribunal or extend the jurisdiction of the existing tribunal, with the power to set minimum pay and conditions for gig workers that provide labour to </w:t>
            </w:r>
            <w:r w:rsidR="0063042F" w:rsidRPr="008B793A">
              <w:t>on</w:t>
            </w:r>
            <w:r w:rsidR="00514A82">
              <w:t>-</w:t>
            </w:r>
            <w:r w:rsidR="0063042F" w:rsidRPr="008B793A">
              <w:t>demand</w:t>
            </w:r>
            <w:r w:rsidRPr="008B793A">
              <w:t xml:space="preserve"> platforms regardless of work status, to the extent permitted by the state’s constitutional authority.</w:t>
            </w:r>
          </w:p>
        </w:tc>
      </w:tr>
      <w:tr w:rsidR="00C32887" w14:paraId="6C52D1FA" w14:textId="77777777" w:rsidTr="00890BB0">
        <w:trPr>
          <w:trHeight w:val="343"/>
        </w:trPr>
        <w:tc>
          <w:tcPr>
            <w:cnfStyle w:val="001000000000" w:firstRow="0" w:lastRow="0" w:firstColumn="1" w:lastColumn="0" w:oddVBand="0" w:evenVBand="0" w:oddHBand="0" w:evenHBand="0" w:firstRowFirstColumn="0" w:firstRowLastColumn="0" w:lastRowFirstColumn="0" w:lastRowLastColumn="0"/>
            <w:tcW w:w="1696" w:type="dxa"/>
            <w:vMerge/>
          </w:tcPr>
          <w:p w14:paraId="3B11D30D" w14:textId="77777777" w:rsidR="00C32887" w:rsidRPr="00477EED" w:rsidRDefault="00C32887" w:rsidP="00C61E7E">
            <w:pPr>
              <w:spacing w:after="100"/>
              <w:rPr>
                <w:bCs/>
              </w:rPr>
            </w:pPr>
          </w:p>
        </w:tc>
        <w:tc>
          <w:tcPr>
            <w:tcW w:w="1418" w:type="dxa"/>
            <w:vMerge/>
          </w:tcPr>
          <w:p w14:paraId="35DA6BFF" w14:textId="77777777" w:rsidR="00C32887" w:rsidRPr="00980B45" w:rsidRDefault="00C32887" w:rsidP="00CC2E4E">
            <w:pPr>
              <w:spacing w:after="100"/>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10773" w:type="dxa"/>
          </w:tcPr>
          <w:p w14:paraId="176DDA0D" w14:textId="5736E20E" w:rsidR="00C32887" w:rsidRPr="008B793A" w:rsidRDefault="00C32887" w:rsidP="007A59EE">
            <w:pPr>
              <w:spacing w:after="100"/>
              <w:cnfStyle w:val="000000000000" w:firstRow="0" w:lastRow="0" w:firstColumn="0" w:lastColumn="0" w:oddVBand="0" w:evenVBand="0" w:oddHBand="0" w:evenHBand="0" w:firstRowFirstColumn="0" w:firstRowLastColumn="0" w:lastRowFirstColumn="0" w:lastRowLastColumn="0"/>
            </w:pPr>
            <w:r w:rsidRPr="008B793A">
              <w:rPr>
                <w:b/>
              </w:rPr>
              <w:t xml:space="preserve">Recommendation 3 </w:t>
            </w:r>
            <w:r w:rsidRPr="00573634">
              <w:rPr>
                <w:bCs/>
              </w:rPr>
              <w:t>–</w:t>
            </w:r>
            <w:r w:rsidRPr="008B793A">
              <w:rPr>
                <w:b/>
              </w:rPr>
              <w:t xml:space="preserve"> </w:t>
            </w:r>
            <w:r w:rsidRPr="008B793A">
              <w:t xml:space="preserve">That the NSW Government introduce legislation to extend Chapter 6 of the Industrial Relations Act 1996 to include at least rideshare and food delivery workers as well as those engaged to deliver bread, milk and </w:t>
            </w:r>
            <w:r w:rsidR="0063042F" w:rsidRPr="008B793A">
              <w:t>cream</w:t>
            </w:r>
            <w:r w:rsidRPr="008B793A">
              <w:t xml:space="preserve">. </w:t>
            </w:r>
          </w:p>
        </w:tc>
      </w:tr>
      <w:tr w:rsidR="00C32887" w14:paraId="14F3EB9A" w14:textId="77777777" w:rsidTr="007573B3">
        <w:trPr>
          <w:trHeight w:val="105"/>
        </w:trPr>
        <w:tc>
          <w:tcPr>
            <w:cnfStyle w:val="001000000000" w:firstRow="0" w:lastRow="0" w:firstColumn="1" w:lastColumn="0" w:oddVBand="0" w:evenVBand="0" w:oddHBand="0" w:evenHBand="0" w:firstRowFirstColumn="0" w:firstRowLastColumn="0" w:lastRowFirstColumn="0" w:lastRowLastColumn="0"/>
            <w:tcW w:w="1696" w:type="dxa"/>
            <w:vMerge/>
          </w:tcPr>
          <w:p w14:paraId="404E58EF" w14:textId="77777777" w:rsidR="00C32887" w:rsidRPr="00477EED" w:rsidRDefault="00C32887" w:rsidP="00C61E7E">
            <w:pPr>
              <w:spacing w:after="100"/>
              <w:rPr>
                <w:bCs/>
              </w:rPr>
            </w:pPr>
          </w:p>
        </w:tc>
        <w:tc>
          <w:tcPr>
            <w:tcW w:w="1418" w:type="dxa"/>
            <w:vMerge/>
          </w:tcPr>
          <w:p w14:paraId="18B69F12" w14:textId="77777777" w:rsidR="00C32887" w:rsidRPr="00980B45" w:rsidRDefault="00C32887" w:rsidP="00CC2E4E">
            <w:pPr>
              <w:spacing w:after="100"/>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10773" w:type="dxa"/>
          </w:tcPr>
          <w:p w14:paraId="31012BA3" w14:textId="6A929AEC" w:rsidR="00C32887" w:rsidRPr="008B793A" w:rsidRDefault="00C32887" w:rsidP="007A59EE">
            <w:pPr>
              <w:spacing w:after="100"/>
              <w:cnfStyle w:val="000000000000" w:firstRow="0" w:lastRow="0" w:firstColumn="0" w:lastColumn="0" w:oddVBand="0" w:evenVBand="0" w:oddHBand="0" w:evenHBand="0" w:firstRowFirstColumn="0" w:firstRowLastColumn="0" w:lastRowFirstColumn="0" w:lastRowLastColumn="0"/>
            </w:pPr>
            <w:r w:rsidRPr="008B793A">
              <w:rPr>
                <w:b/>
              </w:rPr>
              <w:t xml:space="preserve">Recommendation 6 </w:t>
            </w:r>
            <w:r w:rsidRPr="00573634">
              <w:rPr>
                <w:b/>
                <w:bCs/>
              </w:rPr>
              <w:t xml:space="preserve">– </w:t>
            </w:r>
            <w:r w:rsidRPr="008B793A">
              <w:t>‘That the NSW Government mandate improved transparency between platforms and workers concerning average earnings, most profitable times to work, real time use of the platform, data collection and utilisation, and performance management systems.’</w:t>
            </w:r>
          </w:p>
        </w:tc>
      </w:tr>
      <w:tr w:rsidR="00C32887" w14:paraId="584F512B" w14:textId="77777777" w:rsidTr="26D4FD32">
        <w:trPr>
          <w:trHeight w:val="105"/>
        </w:trPr>
        <w:tc>
          <w:tcPr>
            <w:cnfStyle w:val="001000000000" w:firstRow="0" w:lastRow="0" w:firstColumn="1" w:lastColumn="0" w:oddVBand="0" w:evenVBand="0" w:oddHBand="0" w:evenHBand="0" w:firstRowFirstColumn="0" w:firstRowLastColumn="0" w:lastRowFirstColumn="0" w:lastRowLastColumn="0"/>
            <w:tcW w:w="1696" w:type="dxa"/>
            <w:vMerge/>
          </w:tcPr>
          <w:p w14:paraId="707E151C" w14:textId="77777777" w:rsidR="00C32887" w:rsidRPr="00477EED" w:rsidRDefault="00C32887" w:rsidP="00C61E7E">
            <w:pPr>
              <w:spacing w:after="100"/>
              <w:rPr>
                <w:bCs/>
              </w:rPr>
            </w:pPr>
          </w:p>
        </w:tc>
        <w:tc>
          <w:tcPr>
            <w:tcW w:w="1418" w:type="dxa"/>
            <w:vMerge/>
          </w:tcPr>
          <w:p w14:paraId="2FFCB94D" w14:textId="77777777" w:rsidR="00C32887" w:rsidRPr="00980B45" w:rsidRDefault="00C32887" w:rsidP="00CC2E4E">
            <w:pPr>
              <w:spacing w:after="100"/>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10773" w:type="dxa"/>
          </w:tcPr>
          <w:p w14:paraId="0D5D88A1" w14:textId="6173F22A" w:rsidR="00C32887" w:rsidRPr="008B793A" w:rsidRDefault="00C32887" w:rsidP="007A59EE">
            <w:pPr>
              <w:spacing w:after="100"/>
              <w:cnfStyle w:val="000000000000" w:firstRow="0" w:lastRow="0" w:firstColumn="0" w:lastColumn="0" w:oddVBand="0" w:evenVBand="0" w:oddHBand="0" w:evenHBand="0" w:firstRowFirstColumn="0" w:firstRowLastColumn="0" w:lastRowFirstColumn="0" w:lastRowLastColumn="0"/>
            </w:pPr>
            <w:r w:rsidRPr="008B793A">
              <w:rPr>
                <w:b/>
              </w:rPr>
              <w:t>Recommendation 8</w:t>
            </w:r>
            <w:r w:rsidRPr="008B793A">
              <w:t xml:space="preserve"> – ‘That the NSW Government publicly affirm the right of gig workers to freely associate by joining (or not joining) a union.’</w:t>
            </w:r>
          </w:p>
        </w:tc>
      </w:tr>
      <w:tr w:rsidR="00C32887" w14:paraId="1052B9C7" w14:textId="77777777" w:rsidTr="00C32887">
        <w:trPr>
          <w:trHeight w:val="156"/>
        </w:trPr>
        <w:tc>
          <w:tcPr>
            <w:cnfStyle w:val="001000000000" w:firstRow="0" w:lastRow="0" w:firstColumn="1" w:lastColumn="0" w:oddVBand="0" w:evenVBand="0" w:oddHBand="0" w:evenHBand="0" w:firstRowFirstColumn="0" w:firstRowLastColumn="0" w:lastRowFirstColumn="0" w:lastRowLastColumn="0"/>
            <w:tcW w:w="1696" w:type="dxa"/>
            <w:vMerge/>
          </w:tcPr>
          <w:p w14:paraId="75E9BFCD" w14:textId="77777777" w:rsidR="00C32887" w:rsidRPr="00477EED" w:rsidRDefault="00C32887" w:rsidP="00C61E7E">
            <w:pPr>
              <w:spacing w:after="100"/>
              <w:rPr>
                <w:bCs/>
              </w:rPr>
            </w:pPr>
          </w:p>
        </w:tc>
        <w:tc>
          <w:tcPr>
            <w:tcW w:w="1418" w:type="dxa"/>
            <w:vMerge/>
          </w:tcPr>
          <w:p w14:paraId="23700BDE" w14:textId="77777777" w:rsidR="00C32887" w:rsidRPr="00980B45" w:rsidRDefault="00C32887" w:rsidP="00CC2E4E">
            <w:pPr>
              <w:spacing w:after="100"/>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10773" w:type="dxa"/>
          </w:tcPr>
          <w:p w14:paraId="1C8408CF" w14:textId="01D46F4F" w:rsidR="00C32887" w:rsidRPr="008B793A" w:rsidRDefault="00C32887" w:rsidP="007A59EE">
            <w:pPr>
              <w:spacing w:after="100"/>
              <w:cnfStyle w:val="000000000000" w:firstRow="0" w:lastRow="0" w:firstColumn="0" w:lastColumn="0" w:oddVBand="0" w:evenVBand="0" w:oddHBand="0" w:evenHBand="0" w:firstRowFirstColumn="0" w:firstRowLastColumn="0" w:lastRowFirstColumn="0" w:lastRowLastColumn="0"/>
              <w:rPr>
                <w:b/>
              </w:rPr>
            </w:pPr>
            <w:r w:rsidRPr="008B793A">
              <w:rPr>
                <w:b/>
              </w:rPr>
              <w:t xml:space="preserve">Recommendation 9 </w:t>
            </w:r>
            <w:r w:rsidRPr="00573634">
              <w:rPr>
                <w:bCs/>
              </w:rPr>
              <w:t>–</w:t>
            </w:r>
            <w:r w:rsidRPr="008B793A">
              <w:rPr>
                <w:b/>
              </w:rPr>
              <w:t xml:space="preserve"> </w:t>
            </w:r>
            <w:r w:rsidRPr="008B793A">
              <w:t xml:space="preserve">‘That the NSW Government legislate to establish a system of collective bargaining for workers providing labour to on-demand platforms, to the extent permitted by the state’s constitutional authority.’ </w:t>
            </w:r>
          </w:p>
        </w:tc>
      </w:tr>
      <w:tr w:rsidR="00C32887" w14:paraId="12A53238" w14:textId="77777777" w:rsidTr="26D4FD32">
        <w:trPr>
          <w:trHeight w:val="153"/>
        </w:trPr>
        <w:tc>
          <w:tcPr>
            <w:cnfStyle w:val="001000000000" w:firstRow="0" w:lastRow="0" w:firstColumn="1" w:lastColumn="0" w:oddVBand="0" w:evenVBand="0" w:oddHBand="0" w:evenHBand="0" w:firstRowFirstColumn="0" w:firstRowLastColumn="0" w:lastRowFirstColumn="0" w:lastRowLastColumn="0"/>
            <w:tcW w:w="1696" w:type="dxa"/>
            <w:vMerge/>
          </w:tcPr>
          <w:p w14:paraId="7EC66CA6" w14:textId="77777777" w:rsidR="00C32887" w:rsidRPr="00477EED" w:rsidRDefault="00C32887" w:rsidP="00C61E7E">
            <w:pPr>
              <w:spacing w:after="100"/>
              <w:rPr>
                <w:bCs/>
              </w:rPr>
            </w:pPr>
          </w:p>
        </w:tc>
        <w:tc>
          <w:tcPr>
            <w:tcW w:w="1418" w:type="dxa"/>
            <w:vMerge/>
          </w:tcPr>
          <w:p w14:paraId="1D4327F9" w14:textId="77777777" w:rsidR="00C32887" w:rsidRPr="00980B45" w:rsidRDefault="00C32887" w:rsidP="00CC2E4E">
            <w:pPr>
              <w:spacing w:after="100"/>
              <w:jc w:val="center"/>
              <w:cnfStyle w:val="000000000000" w:firstRow="0" w:lastRow="0" w:firstColumn="0" w:lastColumn="0" w:oddVBand="0" w:evenVBand="0" w:oddHBand="0" w:evenHBand="0" w:firstRowFirstColumn="0" w:firstRowLastColumn="0" w:lastRowFirstColumn="0" w:lastRowLastColumn="0"/>
              <w:rPr>
                <w:b/>
                <w:bCs/>
                <w:color w:val="FF0000"/>
              </w:rPr>
            </w:pPr>
          </w:p>
        </w:tc>
        <w:tc>
          <w:tcPr>
            <w:tcW w:w="10773" w:type="dxa"/>
          </w:tcPr>
          <w:p w14:paraId="3461451D" w14:textId="51CC89D7" w:rsidR="00C32887" w:rsidRPr="008B793A" w:rsidRDefault="00C32887" w:rsidP="007A59EE">
            <w:pPr>
              <w:spacing w:after="100"/>
              <w:cnfStyle w:val="000000000000" w:firstRow="0" w:lastRow="0" w:firstColumn="0" w:lastColumn="0" w:oddVBand="0" w:evenVBand="0" w:oddHBand="0" w:evenHBand="0" w:firstRowFirstColumn="0" w:firstRowLastColumn="0" w:lastRowFirstColumn="0" w:lastRowLastColumn="0"/>
            </w:pPr>
            <w:r w:rsidRPr="008B793A">
              <w:rPr>
                <w:b/>
              </w:rPr>
              <w:t>Recommendation 10</w:t>
            </w:r>
            <w:r w:rsidRPr="008B793A">
              <w:t xml:space="preserve"> </w:t>
            </w:r>
            <w:r w:rsidR="00EC7A2C" w:rsidRPr="008B793A">
              <w:t>– ‘That the NSW Government amend Chapter 6 of the Industrial Relations Act 1996 to establish a collective bargaining system that includes rideshare, food delivery and parcel delivery workers.’</w:t>
            </w:r>
          </w:p>
        </w:tc>
      </w:tr>
      <w:tr w:rsidR="00C32887" w14:paraId="057B48A7" w14:textId="77777777" w:rsidTr="26D4FD32">
        <w:trPr>
          <w:trHeight w:val="153"/>
        </w:trPr>
        <w:tc>
          <w:tcPr>
            <w:cnfStyle w:val="001000000000" w:firstRow="0" w:lastRow="0" w:firstColumn="1" w:lastColumn="0" w:oddVBand="0" w:evenVBand="0" w:oddHBand="0" w:evenHBand="0" w:firstRowFirstColumn="0" w:firstRowLastColumn="0" w:lastRowFirstColumn="0" w:lastRowLastColumn="0"/>
            <w:tcW w:w="1696" w:type="dxa"/>
            <w:vMerge/>
          </w:tcPr>
          <w:p w14:paraId="66844929" w14:textId="77777777" w:rsidR="00C32887" w:rsidRPr="00477EED" w:rsidRDefault="00C32887" w:rsidP="00C61E7E">
            <w:pPr>
              <w:spacing w:after="100"/>
              <w:rPr>
                <w:bCs/>
              </w:rPr>
            </w:pPr>
          </w:p>
        </w:tc>
        <w:tc>
          <w:tcPr>
            <w:tcW w:w="1418" w:type="dxa"/>
            <w:vMerge/>
          </w:tcPr>
          <w:p w14:paraId="7BF79A49" w14:textId="77777777" w:rsidR="00C32887" w:rsidRDefault="00C32887" w:rsidP="00CC2E4E">
            <w:pPr>
              <w:spacing w:after="100"/>
              <w:jc w:val="center"/>
              <w:cnfStyle w:val="000000000000" w:firstRow="0" w:lastRow="0" w:firstColumn="0" w:lastColumn="0" w:oddVBand="0" w:evenVBand="0" w:oddHBand="0" w:evenHBand="0" w:firstRowFirstColumn="0" w:firstRowLastColumn="0" w:lastRowFirstColumn="0" w:lastRowLastColumn="0"/>
              <w:rPr>
                <w:b/>
                <w:bCs/>
              </w:rPr>
            </w:pPr>
          </w:p>
        </w:tc>
        <w:tc>
          <w:tcPr>
            <w:tcW w:w="10773" w:type="dxa"/>
          </w:tcPr>
          <w:p w14:paraId="64E6CE0A" w14:textId="7C751930" w:rsidR="00C32887" w:rsidRPr="008B793A" w:rsidRDefault="007350BC" w:rsidP="007A59EE">
            <w:pPr>
              <w:spacing w:after="100"/>
              <w:cnfStyle w:val="000000000000" w:firstRow="0" w:lastRow="0" w:firstColumn="0" w:lastColumn="0" w:oddVBand="0" w:evenVBand="0" w:oddHBand="0" w:evenHBand="0" w:firstRowFirstColumn="0" w:firstRowLastColumn="0" w:lastRowFirstColumn="0" w:lastRowLastColumn="0"/>
              <w:rPr>
                <w:b/>
              </w:rPr>
            </w:pPr>
            <w:r w:rsidRPr="008B793A">
              <w:rPr>
                <w:b/>
              </w:rPr>
              <w:t xml:space="preserve">Recommendation 11 </w:t>
            </w:r>
            <w:r w:rsidRPr="00573634">
              <w:rPr>
                <w:bCs/>
              </w:rPr>
              <w:t xml:space="preserve">– </w:t>
            </w:r>
            <w:r w:rsidRPr="008B793A">
              <w:rPr>
                <w:b/>
              </w:rPr>
              <w:t>‘</w:t>
            </w:r>
            <w:r w:rsidRPr="008B793A">
              <w:t>That the NSW Government give the tribunal envisaged in recommendation 2 the power to recognise an agreement reached by an on-demand platform and its workers (or their representatives) that improves the minimum conditions a worker is otherwise entitled to.</w:t>
            </w:r>
            <w:r w:rsidR="007513DA" w:rsidRPr="008B793A">
              <w:t>’</w:t>
            </w:r>
          </w:p>
        </w:tc>
      </w:tr>
      <w:tr w:rsidR="00C32887" w14:paraId="60BA6B77" w14:textId="77777777" w:rsidTr="00890BB0">
        <w:trPr>
          <w:trHeight w:val="417"/>
        </w:trPr>
        <w:tc>
          <w:tcPr>
            <w:cnfStyle w:val="001000000000" w:firstRow="0" w:lastRow="0" w:firstColumn="1" w:lastColumn="0" w:oddVBand="0" w:evenVBand="0" w:oddHBand="0" w:evenHBand="0" w:firstRowFirstColumn="0" w:firstRowLastColumn="0" w:lastRowFirstColumn="0" w:lastRowLastColumn="0"/>
            <w:tcW w:w="1696" w:type="dxa"/>
            <w:vMerge/>
          </w:tcPr>
          <w:p w14:paraId="659EDB2C" w14:textId="77777777" w:rsidR="00C32887" w:rsidRPr="00477EED" w:rsidRDefault="00C32887" w:rsidP="00C61E7E">
            <w:pPr>
              <w:spacing w:after="100"/>
              <w:rPr>
                <w:bCs/>
              </w:rPr>
            </w:pPr>
          </w:p>
        </w:tc>
        <w:tc>
          <w:tcPr>
            <w:tcW w:w="1418" w:type="dxa"/>
            <w:vMerge/>
          </w:tcPr>
          <w:p w14:paraId="1A4B2325" w14:textId="77777777" w:rsidR="00C32887" w:rsidRDefault="00C32887" w:rsidP="00CC2E4E">
            <w:pPr>
              <w:spacing w:after="100"/>
              <w:jc w:val="center"/>
              <w:cnfStyle w:val="000000000000" w:firstRow="0" w:lastRow="0" w:firstColumn="0" w:lastColumn="0" w:oddVBand="0" w:evenVBand="0" w:oddHBand="0" w:evenHBand="0" w:firstRowFirstColumn="0" w:firstRowLastColumn="0" w:lastRowFirstColumn="0" w:lastRowLastColumn="0"/>
              <w:rPr>
                <w:b/>
                <w:bCs/>
              </w:rPr>
            </w:pPr>
          </w:p>
        </w:tc>
        <w:tc>
          <w:tcPr>
            <w:tcW w:w="10773" w:type="dxa"/>
          </w:tcPr>
          <w:p w14:paraId="4F8FF518" w14:textId="0F43F779" w:rsidR="00C32887" w:rsidRPr="008B793A" w:rsidRDefault="00DF4B5A" w:rsidP="007A59EE">
            <w:pPr>
              <w:spacing w:after="100"/>
              <w:cnfStyle w:val="000000000000" w:firstRow="0" w:lastRow="0" w:firstColumn="0" w:lastColumn="0" w:oddVBand="0" w:evenVBand="0" w:oddHBand="0" w:evenHBand="0" w:firstRowFirstColumn="0" w:firstRowLastColumn="0" w:lastRowFirstColumn="0" w:lastRowLastColumn="0"/>
            </w:pPr>
            <w:r w:rsidRPr="008B793A">
              <w:rPr>
                <w:b/>
              </w:rPr>
              <w:t xml:space="preserve">Recommendation 15 </w:t>
            </w:r>
            <w:r w:rsidRPr="008B793A">
              <w:t>– ‘That the NSW Government introduce discrete and enforceable codes of conduct for work performed by on-demand platforms in the rideshare, food delivery, parcel delivery and disability care sectors of the gig economy.’</w:t>
            </w:r>
          </w:p>
        </w:tc>
      </w:tr>
      <w:tr w:rsidR="008A0FC4" w14:paraId="26ABCD25" w14:textId="77777777" w:rsidTr="008A0FC4">
        <w:trPr>
          <w:trHeight w:val="773"/>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409C30E8" w14:textId="31E00ABB" w:rsidR="008A0FC4" w:rsidRPr="003F0837" w:rsidRDefault="008A0FC4" w:rsidP="003F0837">
            <w:pPr>
              <w:spacing w:after="100"/>
              <w:jc w:val="center"/>
              <w:rPr>
                <w:b/>
              </w:rPr>
            </w:pPr>
            <w:r w:rsidRPr="003F0837">
              <w:rPr>
                <w:b/>
              </w:rPr>
              <w:t>Minimum standards for workers in the road transport industry</w:t>
            </w:r>
          </w:p>
        </w:tc>
        <w:tc>
          <w:tcPr>
            <w:tcW w:w="1418" w:type="dxa"/>
            <w:vMerge w:val="restart"/>
          </w:tcPr>
          <w:p w14:paraId="430D1DEE" w14:textId="6BAE5BB8" w:rsidR="008A0FC4" w:rsidRPr="008A0FC4" w:rsidRDefault="008A0FC4" w:rsidP="008A0FC4">
            <w:pPr>
              <w:spacing w:after="100"/>
              <w:jc w:val="center"/>
              <w:cnfStyle w:val="000000000000" w:firstRow="0" w:lastRow="0" w:firstColumn="0" w:lastColumn="0" w:oddVBand="0" w:evenVBand="0" w:oddHBand="0" w:evenHBand="0" w:firstRowFirstColumn="0" w:firstRowLastColumn="0" w:lastRowFirstColumn="0" w:lastRowLastColumn="0"/>
              <w:rPr>
                <w:b/>
                <w:bCs/>
              </w:rPr>
            </w:pPr>
            <w:r>
              <w:rPr>
                <w:b/>
                <w:bCs/>
              </w:rPr>
              <w:t>Road Transport Inquiry</w:t>
            </w:r>
          </w:p>
        </w:tc>
        <w:tc>
          <w:tcPr>
            <w:tcW w:w="10773" w:type="dxa"/>
          </w:tcPr>
          <w:p w14:paraId="2ABADFB6" w14:textId="77777777" w:rsidR="00FF7498" w:rsidRDefault="008A0FC4" w:rsidP="00D84FE2">
            <w:pPr>
              <w:spacing w:before="0" w:beforeAutospacing="0" w:afterAutospacing="0"/>
              <w:cnfStyle w:val="000000000000" w:firstRow="0" w:lastRow="0" w:firstColumn="0" w:lastColumn="0" w:oddVBand="0" w:evenVBand="0" w:oddHBand="0" w:evenHBand="0" w:firstRowFirstColumn="0" w:firstRowLastColumn="0" w:lastRowFirstColumn="0" w:lastRowLastColumn="0"/>
            </w:pPr>
            <w:r>
              <w:rPr>
                <w:b/>
                <w:bCs/>
              </w:rPr>
              <w:t xml:space="preserve">Recommendation 1 – </w:t>
            </w:r>
            <w:r>
              <w:t>‘</w:t>
            </w:r>
            <w:r w:rsidR="00FF7498">
              <w:t xml:space="preserve">The committee recommends that the government establishes or empowers an independent body that will, in consultation with industry, set universal and binding standards (including binding standards with respect to pay) which: </w:t>
            </w:r>
          </w:p>
          <w:p w14:paraId="5E252401" w14:textId="77777777" w:rsidR="00FF7498" w:rsidRDefault="00FF7498" w:rsidP="00D84FE2">
            <w:pPr>
              <w:pStyle w:val="ListParagraph"/>
              <w:numPr>
                <w:ilvl w:val="0"/>
                <w:numId w:val="69"/>
              </w:numPr>
              <w:spacing w:before="0" w:beforeAutospacing="0" w:afterAutospacing="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t>ensure the safe performance of work and eliminate unsafe economic and contracting practices; and</w:t>
            </w:r>
          </w:p>
          <w:p w14:paraId="51E320DD" w14:textId="77777777" w:rsidR="00FF7498" w:rsidRDefault="00FF7498" w:rsidP="00D84FE2">
            <w:pPr>
              <w:pStyle w:val="ListParagraph"/>
              <w:numPr>
                <w:ilvl w:val="0"/>
                <w:numId w:val="69"/>
              </w:numPr>
              <w:spacing w:before="0" w:beforeAutospacing="0" w:afterAutospacing="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t>apply to all road transport supply chain participants, including transport operators, online/on demand operations, and workers (regardless of their employment or work status), and throughout supply chains.</w:t>
            </w:r>
          </w:p>
          <w:p w14:paraId="694211A5" w14:textId="1170AAB6" w:rsidR="008A0FC4" w:rsidRPr="008A0FC4" w:rsidRDefault="00FF7498" w:rsidP="00890BB0">
            <w:pPr>
              <w:spacing w:beforeAutospacing="0" w:after="100"/>
              <w:cnfStyle w:val="000000000000" w:firstRow="0" w:lastRow="0" w:firstColumn="0" w:lastColumn="0" w:oddVBand="0" w:evenVBand="0" w:oddHBand="0" w:evenHBand="0" w:firstRowFirstColumn="0" w:firstRowLastColumn="0" w:lastRowFirstColumn="0" w:lastRowLastColumn="0"/>
            </w:pPr>
            <w:r>
              <w:t>The independent body shall also act as a dispute resolution body providing all road transport industry participants access to comprehensive binding dispute resolution capable of addressing all issues associated with, and general powers to resolve, disputes between some or all supply chain participants.’</w:t>
            </w:r>
          </w:p>
        </w:tc>
      </w:tr>
      <w:tr w:rsidR="008A0FC4" w14:paraId="1C1C430E" w14:textId="77777777" w:rsidTr="00890BB0">
        <w:trPr>
          <w:trHeight w:val="133"/>
        </w:trPr>
        <w:tc>
          <w:tcPr>
            <w:cnfStyle w:val="001000000000" w:firstRow="0" w:lastRow="0" w:firstColumn="1" w:lastColumn="0" w:oddVBand="0" w:evenVBand="0" w:oddHBand="0" w:evenHBand="0" w:firstRowFirstColumn="0" w:firstRowLastColumn="0" w:lastRowFirstColumn="0" w:lastRowLastColumn="0"/>
            <w:tcW w:w="1696" w:type="dxa"/>
            <w:vMerge/>
          </w:tcPr>
          <w:p w14:paraId="1D8E5655" w14:textId="77777777" w:rsidR="008A0FC4" w:rsidRPr="003F0837" w:rsidRDefault="008A0FC4" w:rsidP="003F0837">
            <w:pPr>
              <w:spacing w:after="100"/>
              <w:jc w:val="center"/>
              <w:rPr>
                <w:b/>
              </w:rPr>
            </w:pPr>
          </w:p>
        </w:tc>
        <w:tc>
          <w:tcPr>
            <w:tcW w:w="1418" w:type="dxa"/>
            <w:vMerge/>
          </w:tcPr>
          <w:p w14:paraId="7892CA00" w14:textId="77777777" w:rsidR="008A0FC4" w:rsidRDefault="008A0FC4" w:rsidP="00C61E7E">
            <w:pPr>
              <w:spacing w:after="100"/>
              <w:cnfStyle w:val="000000000000" w:firstRow="0" w:lastRow="0" w:firstColumn="0" w:lastColumn="0" w:oddVBand="0" w:evenVBand="0" w:oddHBand="0" w:evenHBand="0" w:firstRowFirstColumn="0" w:firstRowLastColumn="0" w:lastRowFirstColumn="0" w:lastRowLastColumn="0"/>
            </w:pPr>
          </w:p>
        </w:tc>
        <w:tc>
          <w:tcPr>
            <w:tcW w:w="10773" w:type="dxa"/>
          </w:tcPr>
          <w:p w14:paraId="08984718" w14:textId="77777777" w:rsidR="000103D6" w:rsidRDefault="000103D6" w:rsidP="00D84FE2">
            <w:pPr>
              <w:spacing w:before="0" w:beforeAutospacing="0" w:afterAutospacing="0"/>
              <w:cnfStyle w:val="000000000000" w:firstRow="0" w:lastRow="0" w:firstColumn="0" w:lastColumn="0" w:oddVBand="0" w:evenVBand="0" w:oddHBand="0" w:evenHBand="0" w:firstRowFirstColumn="0" w:firstRowLastColumn="0" w:lastRowFirstColumn="0" w:lastRowLastColumn="0"/>
            </w:pPr>
            <w:r>
              <w:rPr>
                <w:b/>
                <w:bCs/>
              </w:rPr>
              <w:t xml:space="preserve">Recommendation 2 – </w:t>
            </w:r>
            <w:r w:rsidRPr="000103D6">
              <w:t>‘</w:t>
            </w:r>
            <w:r>
              <w:t xml:space="preserve">The committee recommends that the proposed initial priorities of the independent body should include to: </w:t>
            </w:r>
          </w:p>
          <w:p w14:paraId="54EC15B2" w14:textId="77777777" w:rsidR="000103D6" w:rsidRDefault="000103D6" w:rsidP="00D84FE2">
            <w:pPr>
              <w:pStyle w:val="ListParagraph"/>
              <w:numPr>
                <w:ilvl w:val="0"/>
                <w:numId w:val="69"/>
              </w:numPr>
              <w:spacing w:before="0" w:beforeAutospacing="0" w:afterAutospacing="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t>ensure that all workers, whether owner drivers or employee drivers, are paid for all work time, including driving and non-driving time, and that any costs or efficiency dividends associated with this change are allocated fairly throughout the supply chain;</w:t>
            </w:r>
          </w:p>
          <w:p w14:paraId="00092D6D" w14:textId="77777777" w:rsidR="00890BB0" w:rsidRDefault="000103D6" w:rsidP="00D84FE2">
            <w:pPr>
              <w:pStyle w:val="ListParagraph"/>
              <w:numPr>
                <w:ilvl w:val="0"/>
                <w:numId w:val="69"/>
              </w:numPr>
              <w:spacing w:before="0" w:beforeAutospacing="0" w:afterAutospacing="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t>institute a system of demurrage rates to help drivers and operators recoup costs for waiting and loading times, and that any costs or efficiency dividends associated with this change are fairly distributed through the supply chain; and</w:t>
            </w:r>
          </w:p>
          <w:p w14:paraId="325C5B03" w14:textId="7B206751" w:rsidR="008A0FC4" w:rsidRPr="00890BB0" w:rsidRDefault="000103D6" w:rsidP="00D84FE2">
            <w:pPr>
              <w:pStyle w:val="ListParagraph"/>
              <w:numPr>
                <w:ilvl w:val="0"/>
                <w:numId w:val="69"/>
              </w:numPr>
              <w:spacing w:before="0" w:beforeAutospacing="0" w:afterAutospacing="0" w:line="276" w:lineRule="auto"/>
              <w:ind w:left="357" w:hanging="357"/>
              <w:contextualSpacing w:val="0"/>
              <w:cnfStyle w:val="000000000000" w:firstRow="0" w:lastRow="0" w:firstColumn="0" w:lastColumn="0" w:oddVBand="0" w:evenVBand="0" w:oddHBand="0" w:evenHBand="0" w:firstRowFirstColumn="0" w:firstRowLastColumn="0" w:lastRowFirstColumn="0" w:lastRowLastColumn="0"/>
            </w:pPr>
            <w:r>
              <w:t>establish binding industry payment terms ensuring that all road transport workers and operators are paid in full upon-delivery.’</w:t>
            </w:r>
          </w:p>
        </w:tc>
      </w:tr>
      <w:tr w:rsidR="002A7451" w14:paraId="4FC7F9DD" w14:textId="77777777" w:rsidTr="00890BB0">
        <w:trPr>
          <w:trHeight w:val="2362"/>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F2F2F2" w:themeFill="background1" w:themeFillShade="F2"/>
          </w:tcPr>
          <w:p w14:paraId="27E9D4FE" w14:textId="00BFA2E3" w:rsidR="002A7451" w:rsidRPr="003F0837" w:rsidRDefault="002A7451" w:rsidP="003F0837">
            <w:pPr>
              <w:spacing w:after="100"/>
              <w:jc w:val="center"/>
              <w:rPr>
                <w:b/>
              </w:rPr>
            </w:pPr>
            <w:r w:rsidRPr="003F0837">
              <w:rPr>
                <w:b/>
              </w:rPr>
              <w:t>Improving access to unfair contracts dispute resolution</w:t>
            </w:r>
          </w:p>
        </w:tc>
        <w:tc>
          <w:tcPr>
            <w:tcW w:w="1418" w:type="dxa"/>
          </w:tcPr>
          <w:p w14:paraId="509CD1DD" w14:textId="6D7583C5" w:rsidR="002A7451" w:rsidRPr="003F0837" w:rsidRDefault="002A7451" w:rsidP="003F0837">
            <w:pPr>
              <w:spacing w:after="100"/>
              <w:jc w:val="center"/>
              <w:cnfStyle w:val="000000000000" w:firstRow="0" w:lastRow="0" w:firstColumn="0" w:lastColumn="0" w:oddVBand="0" w:evenVBand="0" w:oddHBand="0" w:evenHBand="0" w:firstRowFirstColumn="0" w:firstRowLastColumn="0" w:lastRowFirstColumn="0" w:lastRowLastColumn="0"/>
              <w:rPr>
                <w:b/>
                <w:bCs/>
              </w:rPr>
            </w:pPr>
            <w:r w:rsidRPr="003F0837">
              <w:rPr>
                <w:b/>
                <w:bCs/>
              </w:rPr>
              <w:t xml:space="preserve">Victorian </w:t>
            </w:r>
            <w:r>
              <w:rPr>
                <w:b/>
                <w:bCs/>
              </w:rPr>
              <w:t xml:space="preserve">Government </w:t>
            </w:r>
            <w:r w:rsidRPr="003F0837">
              <w:rPr>
                <w:b/>
                <w:bCs/>
              </w:rPr>
              <w:t>Inquiry</w:t>
            </w:r>
          </w:p>
        </w:tc>
        <w:tc>
          <w:tcPr>
            <w:tcW w:w="10773" w:type="dxa"/>
          </w:tcPr>
          <w:p w14:paraId="71419675" w14:textId="77777777" w:rsidR="002A7451" w:rsidRDefault="002A7451" w:rsidP="00B030A8">
            <w:pPr>
              <w:spacing w:after="0" w:afterAutospacing="0"/>
              <w:cnfStyle w:val="000000000000" w:firstRow="0" w:lastRow="0" w:firstColumn="0" w:lastColumn="0" w:oddVBand="0" w:evenVBand="0" w:oddHBand="0" w:evenHBand="0" w:firstRowFirstColumn="0" w:firstRowLastColumn="0" w:lastRowFirstColumn="0" w:lastRowLastColumn="0"/>
            </w:pPr>
            <w:r>
              <w:rPr>
                <w:b/>
                <w:bCs/>
              </w:rPr>
              <w:t xml:space="preserve">Recommendation 17 </w:t>
            </w:r>
            <w:r>
              <w:t>– ‘that governments clarify, enhance and streamline existing unfair contracts remedies so that they:</w:t>
            </w:r>
          </w:p>
          <w:p w14:paraId="7C35EC2E" w14:textId="77777777" w:rsidR="002A7451" w:rsidRDefault="002A7451" w:rsidP="00D84FE2">
            <w:pPr>
              <w:pStyle w:val="ListParagraph"/>
              <w:numPr>
                <w:ilvl w:val="0"/>
                <w:numId w:val="44"/>
              </w:numPr>
              <w:spacing w:before="0" w:beforeAutospacing="0" w:afterAutospacing="0" w:line="276" w:lineRule="auto"/>
              <w:ind w:left="320" w:hanging="283"/>
              <w:contextualSpacing w:val="0"/>
              <w:cnfStyle w:val="000000000000" w:firstRow="0" w:lastRow="0" w:firstColumn="0" w:lastColumn="0" w:oddVBand="0" w:evenVBand="0" w:oddHBand="0" w:evenHBand="0" w:firstRowFirstColumn="0" w:firstRowLastColumn="0" w:lastRowFirstColumn="0" w:lastRowLastColumn="0"/>
            </w:pPr>
            <w:r>
              <w:t>are accessible to low-leveraged workers</w:t>
            </w:r>
          </w:p>
          <w:p w14:paraId="3BB28D48" w14:textId="6F8B0907" w:rsidR="002A7451" w:rsidRDefault="002A7451" w:rsidP="00D84FE2">
            <w:pPr>
              <w:pStyle w:val="ListParagraph"/>
              <w:numPr>
                <w:ilvl w:val="0"/>
                <w:numId w:val="44"/>
              </w:numPr>
              <w:spacing w:before="0" w:beforeAutospacing="0" w:afterAutospacing="0" w:line="276" w:lineRule="auto"/>
              <w:ind w:left="320" w:hanging="283"/>
              <w:contextualSpacing w:val="0"/>
              <w:cnfStyle w:val="000000000000" w:firstRow="0" w:lastRow="0" w:firstColumn="0" w:lastColumn="0" w:oddVBand="0" w:evenVBand="0" w:oddHBand="0" w:evenHBand="0" w:firstRowFirstColumn="0" w:firstRowLastColumn="0" w:lastRowFirstColumn="0" w:lastRowLastColumn="0"/>
            </w:pPr>
            <w:r>
              <w:t>enable system-wide scrutiny of platforms’ arrangements</w:t>
            </w:r>
            <w:r w:rsidR="001626AE">
              <w:t>.</w:t>
            </w:r>
          </w:p>
          <w:p w14:paraId="4BE2E4A3" w14:textId="77777777" w:rsidR="00890BB0" w:rsidRDefault="002A7451" w:rsidP="00D84FE2">
            <w:pPr>
              <w:pStyle w:val="ListParagraph"/>
              <w:numPr>
                <w:ilvl w:val="0"/>
                <w:numId w:val="44"/>
              </w:numPr>
              <w:spacing w:before="0" w:beforeAutospacing="0" w:afterAutospacing="0" w:line="276" w:lineRule="auto"/>
              <w:ind w:left="320" w:hanging="283"/>
              <w:contextualSpacing w:val="0"/>
              <w:cnfStyle w:val="000000000000" w:firstRow="0" w:lastRow="0" w:firstColumn="0" w:lastColumn="0" w:oddVBand="0" w:evenVBand="0" w:oddHBand="0" w:evenHBand="0" w:firstRowFirstColumn="0" w:firstRowLastColumn="0" w:lastRowFirstColumn="0" w:lastRowLastColumn="0"/>
            </w:pPr>
            <w:r>
              <w:t>introduce penalties and compensation to effectively deter unfair contracts</w:t>
            </w:r>
          </w:p>
          <w:p w14:paraId="2B2BF0F7" w14:textId="5A6A271E" w:rsidR="002A7451" w:rsidRDefault="002A7451" w:rsidP="00D84FE2">
            <w:pPr>
              <w:pStyle w:val="ListParagraph"/>
              <w:numPr>
                <w:ilvl w:val="0"/>
                <w:numId w:val="44"/>
              </w:numPr>
              <w:spacing w:before="0" w:beforeAutospacing="0" w:afterAutospacing="0" w:line="276" w:lineRule="auto"/>
              <w:ind w:left="320" w:hanging="283"/>
              <w:contextualSpacing w:val="0"/>
              <w:cnfStyle w:val="000000000000" w:firstRow="0" w:lastRow="0" w:firstColumn="0" w:lastColumn="0" w:oddVBand="0" w:evenVBand="0" w:oddHBand="0" w:evenHBand="0" w:firstRowFirstColumn="0" w:firstRowLastColumn="0" w:lastRowFirstColumn="0" w:lastRowLastColumn="0"/>
            </w:pPr>
            <w:r>
              <w:t>allow materially similar contracts to be considered together and orders made with respect to current and future arrangements.’</w:t>
            </w:r>
          </w:p>
        </w:tc>
      </w:tr>
      <w:tr w:rsidR="002A7451" w14:paraId="7797D25B" w14:textId="77777777" w:rsidTr="00890BB0">
        <w:trPr>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4178DA83" w14:textId="77777777" w:rsidR="002A7451" w:rsidRDefault="002A7451" w:rsidP="00C61E7E">
            <w:pPr>
              <w:spacing w:after="100"/>
              <w:rPr>
                <w:bCs/>
              </w:rPr>
            </w:pPr>
          </w:p>
        </w:tc>
        <w:tc>
          <w:tcPr>
            <w:tcW w:w="1418" w:type="dxa"/>
          </w:tcPr>
          <w:p w14:paraId="54639FA4" w14:textId="4D3C5025" w:rsidR="002A7451" w:rsidRPr="00317643" w:rsidRDefault="002A7451" w:rsidP="00317643">
            <w:pPr>
              <w:spacing w:after="100"/>
              <w:jc w:val="center"/>
              <w:cnfStyle w:val="000000000000" w:firstRow="0" w:lastRow="0" w:firstColumn="0" w:lastColumn="0" w:oddVBand="0" w:evenVBand="0" w:oddHBand="0" w:evenHBand="0" w:firstRowFirstColumn="0" w:firstRowLastColumn="0" w:lastRowFirstColumn="0" w:lastRowLastColumn="0"/>
              <w:rPr>
                <w:b/>
                <w:bCs/>
              </w:rPr>
            </w:pPr>
            <w:r w:rsidRPr="00317643">
              <w:rPr>
                <w:b/>
                <w:bCs/>
              </w:rPr>
              <w:t>Productivity Commission Inquiry</w:t>
            </w:r>
          </w:p>
        </w:tc>
        <w:tc>
          <w:tcPr>
            <w:tcW w:w="10773" w:type="dxa"/>
          </w:tcPr>
          <w:p w14:paraId="0CF03E6F" w14:textId="12934B61" w:rsidR="002A7451" w:rsidRPr="00C1096A" w:rsidRDefault="002A7451" w:rsidP="009E6A5D">
            <w:pPr>
              <w:cnfStyle w:val="000000000000" w:firstRow="0" w:lastRow="0" w:firstColumn="0" w:lastColumn="0" w:oddVBand="0" w:evenVBand="0" w:oddHBand="0" w:evenHBand="0" w:firstRowFirstColumn="0" w:firstRowLastColumn="0" w:lastRowFirstColumn="0" w:lastRowLastColumn="0"/>
            </w:pPr>
            <w:r>
              <w:rPr>
                <w:b/>
                <w:bCs/>
              </w:rPr>
              <w:t xml:space="preserve">Recommendation 7.18 </w:t>
            </w:r>
            <w:r>
              <w:t>– ‘The Australian Government should introduce an external, independent dispute resolution function within the Fair Work Commission that can provide conciliation and arbitration services relating to suspension or termination disputes or non-payment of earnings.’</w:t>
            </w:r>
          </w:p>
        </w:tc>
      </w:tr>
      <w:tr w:rsidR="002A7451" w14:paraId="31B43B92" w14:textId="77777777" w:rsidTr="00890BB0">
        <w:trPr>
          <w:trHeight w:val="20"/>
        </w:trPr>
        <w:tc>
          <w:tcPr>
            <w:cnfStyle w:val="001000000000" w:firstRow="0" w:lastRow="0" w:firstColumn="1" w:lastColumn="0" w:oddVBand="0" w:evenVBand="0" w:oddHBand="0" w:evenHBand="0" w:firstRowFirstColumn="0" w:firstRowLastColumn="0" w:lastRowFirstColumn="0" w:lastRowLastColumn="0"/>
            <w:tcW w:w="1696" w:type="dxa"/>
            <w:vMerge/>
          </w:tcPr>
          <w:p w14:paraId="166DE971" w14:textId="77777777" w:rsidR="002A7451" w:rsidRDefault="002A7451" w:rsidP="00C61E7E">
            <w:pPr>
              <w:spacing w:after="100"/>
              <w:rPr>
                <w:bCs/>
              </w:rPr>
            </w:pPr>
          </w:p>
        </w:tc>
        <w:tc>
          <w:tcPr>
            <w:tcW w:w="1418" w:type="dxa"/>
          </w:tcPr>
          <w:p w14:paraId="11A15B9C" w14:textId="3E22B11C" w:rsidR="002A7451" w:rsidRPr="00317643" w:rsidRDefault="002A7451" w:rsidP="00317643">
            <w:pPr>
              <w:spacing w:after="100"/>
              <w:jc w:val="center"/>
              <w:cnfStyle w:val="000000000000" w:firstRow="0" w:lastRow="0" w:firstColumn="0" w:lastColumn="0" w:oddVBand="0" w:evenVBand="0" w:oddHBand="0" w:evenHBand="0" w:firstRowFirstColumn="0" w:firstRowLastColumn="0" w:lastRowFirstColumn="0" w:lastRowLastColumn="0"/>
              <w:rPr>
                <w:b/>
                <w:bCs/>
              </w:rPr>
            </w:pPr>
            <w:r w:rsidRPr="00317643">
              <w:rPr>
                <w:b/>
                <w:bCs/>
              </w:rPr>
              <w:t>Job Security Inquiry</w:t>
            </w:r>
          </w:p>
        </w:tc>
        <w:tc>
          <w:tcPr>
            <w:tcW w:w="10773" w:type="dxa"/>
          </w:tcPr>
          <w:p w14:paraId="7644350D" w14:textId="58BC1DC2" w:rsidR="002A7451" w:rsidRDefault="009A1B1D" w:rsidP="00A54C6D">
            <w:pPr>
              <w:spacing w:after="100"/>
              <w:cnfStyle w:val="000000000000" w:firstRow="0" w:lastRow="0" w:firstColumn="0" w:lastColumn="0" w:oddVBand="0" w:evenVBand="0" w:oddHBand="0" w:evenHBand="0" w:firstRowFirstColumn="0" w:firstRowLastColumn="0" w:lastRowFirstColumn="0" w:lastRowLastColumn="0"/>
              <w:rPr>
                <w:b/>
                <w:bCs/>
              </w:rPr>
            </w:pPr>
            <w:r>
              <w:rPr>
                <w:b/>
                <w:bCs/>
              </w:rPr>
              <w:t>Fourth</w:t>
            </w:r>
            <w:r w:rsidR="00E8370C">
              <w:rPr>
                <w:b/>
                <w:bCs/>
              </w:rPr>
              <w:t xml:space="preserve"> Report, </w:t>
            </w:r>
            <w:r w:rsidR="002A7451">
              <w:rPr>
                <w:b/>
                <w:bCs/>
              </w:rPr>
              <w:t>Recommendation 11 – ‘</w:t>
            </w:r>
            <w:r w:rsidR="002A7451">
              <w:t xml:space="preserve">The committee recommends that the Australian Government support independent contractors who are sole traders by establishing and promoting accessible low-cost pathways for dispute resolution.’ </w:t>
            </w:r>
          </w:p>
        </w:tc>
      </w:tr>
      <w:tr w:rsidR="002A7451" w14:paraId="6DEB0176" w14:textId="77777777" w:rsidTr="00890BB0">
        <w:trPr>
          <w:trHeight w:val="351"/>
        </w:trPr>
        <w:tc>
          <w:tcPr>
            <w:cnfStyle w:val="001000000000" w:firstRow="0" w:lastRow="0" w:firstColumn="1" w:lastColumn="0" w:oddVBand="0" w:evenVBand="0" w:oddHBand="0" w:evenHBand="0" w:firstRowFirstColumn="0" w:firstRowLastColumn="0" w:lastRowFirstColumn="0" w:lastRowLastColumn="0"/>
            <w:tcW w:w="1696" w:type="dxa"/>
            <w:vMerge/>
          </w:tcPr>
          <w:p w14:paraId="6C420EEB" w14:textId="77777777" w:rsidR="002A7451" w:rsidRDefault="002A7451" w:rsidP="00C61E7E">
            <w:pPr>
              <w:spacing w:after="100"/>
              <w:rPr>
                <w:bCs/>
              </w:rPr>
            </w:pPr>
          </w:p>
        </w:tc>
        <w:tc>
          <w:tcPr>
            <w:tcW w:w="1418" w:type="dxa"/>
          </w:tcPr>
          <w:p w14:paraId="3D43397E" w14:textId="4BEA9AF3" w:rsidR="002A7451" w:rsidRPr="008B793A" w:rsidRDefault="002A7451" w:rsidP="00317643">
            <w:pPr>
              <w:spacing w:after="100"/>
              <w:jc w:val="center"/>
              <w:cnfStyle w:val="000000000000" w:firstRow="0" w:lastRow="0" w:firstColumn="0" w:lastColumn="0" w:oddVBand="0" w:evenVBand="0" w:oddHBand="0" w:evenHBand="0" w:firstRowFirstColumn="0" w:firstRowLastColumn="0" w:lastRowFirstColumn="0" w:lastRowLastColumn="0"/>
              <w:rPr>
                <w:b/>
              </w:rPr>
            </w:pPr>
            <w:r w:rsidRPr="008B793A">
              <w:rPr>
                <w:b/>
              </w:rPr>
              <w:t>New South Wales Government Inquiry</w:t>
            </w:r>
          </w:p>
        </w:tc>
        <w:tc>
          <w:tcPr>
            <w:tcW w:w="10773" w:type="dxa"/>
          </w:tcPr>
          <w:p w14:paraId="570174CF" w14:textId="118FB11D" w:rsidR="002A7451" w:rsidRPr="008B793A" w:rsidRDefault="002A7451" w:rsidP="009E6A5D">
            <w:pPr>
              <w:cnfStyle w:val="000000000000" w:firstRow="0" w:lastRow="0" w:firstColumn="0" w:lastColumn="0" w:oddVBand="0" w:evenVBand="0" w:oddHBand="0" w:evenHBand="0" w:firstRowFirstColumn="0" w:firstRowLastColumn="0" w:lastRowFirstColumn="0" w:lastRowLastColumn="0"/>
            </w:pPr>
            <w:r w:rsidRPr="008B793A">
              <w:rPr>
                <w:b/>
              </w:rPr>
              <w:t xml:space="preserve">Recommendation 5 – </w:t>
            </w:r>
            <w:r w:rsidRPr="008B793A">
              <w:t>‘</w:t>
            </w:r>
            <w:r w:rsidR="00EB680E" w:rsidRPr="008B793A">
              <w:t xml:space="preserve">That the NSW Government give the tribunal envisaged in recommendation 2 the power to advise on, oversee and make binding rulings on disputes between gig workers and on-demand platforms, to the extent permitted by the state’s constitutional authority.’ </w:t>
            </w:r>
          </w:p>
        </w:tc>
      </w:tr>
    </w:tbl>
    <w:p w14:paraId="2A557B30" w14:textId="77777777" w:rsidR="0040434A" w:rsidRDefault="0040434A" w:rsidP="00883EF2"/>
    <w:p w14:paraId="23E57B08" w14:textId="77777777" w:rsidR="00A36CC2" w:rsidRDefault="00A36CC2" w:rsidP="00883EF2">
      <w:pPr>
        <w:sectPr w:rsidR="00A36CC2" w:rsidSect="00A36CC2">
          <w:pgSz w:w="16838" w:h="11906" w:orient="landscape"/>
          <w:pgMar w:top="1418" w:right="1418" w:bottom="1418" w:left="1418" w:header="0" w:footer="454" w:gutter="0"/>
          <w:cols w:space="708"/>
          <w:docGrid w:linePitch="360"/>
        </w:sectPr>
      </w:pPr>
    </w:p>
    <w:p w14:paraId="29FCFE79" w14:textId="5FE60947" w:rsidR="000B0EDC" w:rsidRPr="00AD57AC" w:rsidRDefault="00F6073B" w:rsidP="00D41E0D">
      <w:pPr>
        <w:pStyle w:val="Heading2"/>
        <w:spacing w:after="200"/>
      </w:pPr>
      <w:bookmarkStart w:id="16" w:name="_Toc138156121"/>
      <w:bookmarkStart w:id="17" w:name="_Toc138174921"/>
      <w:bookmarkStart w:id="18" w:name="_Toc139295529"/>
      <w:bookmarkEnd w:id="16"/>
      <w:bookmarkEnd w:id="17"/>
      <w:r>
        <w:t xml:space="preserve">Principles </w:t>
      </w:r>
      <w:r w:rsidR="000B0EDC">
        <w:t xml:space="preserve">for </w:t>
      </w:r>
      <w:r w:rsidR="008F3BA4">
        <w:t xml:space="preserve">measuring </w:t>
      </w:r>
      <w:r w:rsidR="000B0EDC">
        <w:t>success</w:t>
      </w:r>
      <w:bookmarkEnd w:id="18"/>
    </w:p>
    <w:p w14:paraId="69BB3F3F" w14:textId="27DC3B17" w:rsidR="000B0EDC" w:rsidRDefault="000B0EDC" w:rsidP="000B0EDC">
      <w:pPr>
        <w:rPr>
          <w:lang w:val="en-GB"/>
        </w:rPr>
      </w:pPr>
      <w:r>
        <w:rPr>
          <w:lang w:val="en-GB"/>
        </w:rPr>
        <w:t>To implement its election commitment and outcomes of the Jobs and Skills Summit, t</w:t>
      </w:r>
      <w:r w:rsidRPr="008C1BAB">
        <w:rPr>
          <w:lang w:val="en-GB"/>
        </w:rPr>
        <w:t xml:space="preserve">he Government set </w:t>
      </w:r>
      <w:r w:rsidRPr="004B4F63">
        <w:t>five</w:t>
      </w:r>
      <w:r w:rsidRPr="008C1BAB">
        <w:rPr>
          <w:lang w:val="en-GB"/>
        </w:rPr>
        <w:t xml:space="preserve"> Guiding Principles for reform</w:t>
      </w:r>
      <w:r>
        <w:rPr>
          <w:lang w:val="en-GB"/>
        </w:rPr>
        <w:t xml:space="preserve">. </w:t>
      </w:r>
      <w:r w:rsidR="00B6272B">
        <w:rPr>
          <w:lang w:val="en-GB"/>
        </w:rPr>
        <w:t>The</w:t>
      </w:r>
      <w:r w:rsidR="00FE6FC0">
        <w:rPr>
          <w:lang w:val="en-GB"/>
        </w:rPr>
        <w:t xml:space="preserve"> Guiding Principles have been informed by the election commitment </w:t>
      </w:r>
      <w:r w:rsidR="00265226">
        <w:rPr>
          <w:lang w:val="en-GB"/>
        </w:rPr>
        <w:t xml:space="preserve">and were </w:t>
      </w:r>
      <w:r w:rsidR="00562430">
        <w:rPr>
          <w:lang w:val="en-GB"/>
        </w:rPr>
        <w:t xml:space="preserve">developed following </w:t>
      </w:r>
      <w:r w:rsidR="00AF0797">
        <w:rPr>
          <w:lang w:val="en-GB"/>
        </w:rPr>
        <w:t xml:space="preserve">initial stakeholder roundtable </w:t>
      </w:r>
      <w:r w:rsidR="00AF0797" w:rsidRPr="2B5D54DA">
        <w:rPr>
          <w:lang w:val="en-GB"/>
        </w:rPr>
        <w:t>meeting</w:t>
      </w:r>
      <w:r w:rsidR="425231FE" w:rsidRPr="2B5D54DA">
        <w:rPr>
          <w:lang w:val="en-GB"/>
        </w:rPr>
        <w:t>s</w:t>
      </w:r>
      <w:r w:rsidR="00AF0797">
        <w:rPr>
          <w:lang w:val="en-GB"/>
        </w:rPr>
        <w:t xml:space="preserve"> </w:t>
      </w:r>
      <w:r w:rsidR="00E16BF2">
        <w:rPr>
          <w:lang w:val="en-GB"/>
        </w:rPr>
        <w:t xml:space="preserve">in </w:t>
      </w:r>
      <w:r w:rsidR="001F3982">
        <w:rPr>
          <w:lang w:val="en-GB"/>
        </w:rPr>
        <w:t>August 2022.</w:t>
      </w:r>
    </w:p>
    <w:p w14:paraId="78DA8B68" w14:textId="6A30D506" w:rsidR="00ED672D" w:rsidRDefault="00ED672D" w:rsidP="00ED672D">
      <w:pPr>
        <w:rPr>
          <w:lang w:val="en-GB"/>
        </w:rPr>
      </w:pPr>
      <w:r>
        <w:rPr>
          <w:lang w:val="en-GB"/>
        </w:rPr>
        <w:t xml:space="preserve">These Guiding Principles have formed a basis for subsequent stakeholder consultation (see Section 4) and have </w:t>
      </w:r>
      <w:r w:rsidRPr="004B4F63">
        <w:t>remained</w:t>
      </w:r>
      <w:r>
        <w:rPr>
          <w:lang w:val="en-GB"/>
        </w:rPr>
        <w:t xml:space="preserve"> consistent throughout this period. This includes their inclusion in a public consultation paper on the proposed measures.</w:t>
      </w:r>
      <w:r>
        <w:rPr>
          <w:rStyle w:val="FootnoteReference"/>
          <w:lang w:val="en-GB"/>
        </w:rPr>
        <w:footnoteReference w:id="44"/>
      </w:r>
      <w:r>
        <w:rPr>
          <w:lang w:val="en-GB"/>
        </w:rPr>
        <w:t xml:space="preserve"> The supplementary analysis taken as part of the Impact Analysis Equivalent process </w:t>
      </w:r>
      <w:r w:rsidRPr="008C1BAB">
        <w:rPr>
          <w:lang w:val="en-GB"/>
        </w:rPr>
        <w:t>will assess</w:t>
      </w:r>
      <w:r>
        <w:rPr>
          <w:lang w:val="en-GB"/>
        </w:rPr>
        <w:t xml:space="preserve"> </w:t>
      </w:r>
      <w:r w:rsidRPr="008C1BAB">
        <w:rPr>
          <w:lang w:val="en-GB"/>
        </w:rPr>
        <w:t>options against these Guiding Principles</w:t>
      </w:r>
      <w:r>
        <w:rPr>
          <w:lang w:val="en-GB"/>
        </w:rPr>
        <w:t xml:space="preserve"> in addition to considering their regulatory burden. </w:t>
      </w:r>
    </w:p>
    <w:p w14:paraId="67907F03" w14:textId="50AD5332" w:rsidR="00ED672D" w:rsidRDefault="00DE4827" w:rsidP="000B0EDC">
      <w:r>
        <w:rPr>
          <w:noProof/>
          <w:lang w:eastAsia="en-AU"/>
        </w:rPr>
        <mc:AlternateContent>
          <mc:Choice Requires="wps">
            <w:drawing>
              <wp:anchor distT="45720" distB="45720" distL="114300" distR="114300" simplePos="0" relativeHeight="251658241" behindDoc="0" locked="0" layoutInCell="1" allowOverlap="1" wp14:anchorId="0D3E3DB2" wp14:editId="6E9F759F">
                <wp:simplePos x="0" y="0"/>
                <wp:positionH relativeFrom="column">
                  <wp:posOffset>24765</wp:posOffset>
                </wp:positionH>
                <wp:positionV relativeFrom="paragraph">
                  <wp:posOffset>414655</wp:posOffset>
                </wp:positionV>
                <wp:extent cx="5670550" cy="4448810"/>
                <wp:effectExtent l="0" t="0" r="6350" b="889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4448810"/>
                        </a:xfrm>
                        <a:prstGeom prst="rect">
                          <a:avLst/>
                        </a:prstGeom>
                        <a:solidFill>
                          <a:srgbClr val="789B4A">
                            <a:alpha val="30196"/>
                          </a:srgbClr>
                        </a:solidFill>
                        <a:ln w="9525">
                          <a:noFill/>
                          <a:miter lim="800000"/>
                          <a:headEnd/>
                          <a:tailEnd/>
                        </a:ln>
                      </wps:spPr>
                      <wps:txbx>
                        <w:txbxContent>
                          <w:p w14:paraId="64DEF755" w14:textId="77777777" w:rsidR="000B0EDC" w:rsidRPr="0075540C" w:rsidRDefault="000B0EDC" w:rsidP="000B0EDC">
                            <w:pPr>
                              <w:rPr>
                                <w:b/>
                                <w:bCs/>
                              </w:rPr>
                            </w:pPr>
                            <w:r>
                              <w:rPr>
                                <w:b/>
                                <w:bCs/>
                              </w:rPr>
                              <w:t xml:space="preserve">Guiding Principles </w:t>
                            </w:r>
                          </w:p>
                          <w:p w14:paraId="58C360F7" w14:textId="77777777" w:rsidR="000B0EDC" w:rsidRPr="008C1BAB" w:rsidRDefault="000B0EDC" w:rsidP="000B0EDC">
                            <w:pPr>
                              <w:numPr>
                                <w:ilvl w:val="0"/>
                                <w:numId w:val="45"/>
                              </w:numPr>
                              <w:tabs>
                                <w:tab w:val="clear" w:pos="720"/>
                                <w:tab w:val="num" w:pos="360"/>
                              </w:tabs>
                              <w:ind w:left="360"/>
                            </w:pPr>
                            <w:r w:rsidRPr="008C1BAB">
                              <w:rPr>
                                <w:lang w:val="en-GB"/>
                              </w:rPr>
                              <w:t>Australia’s workplace relations system must reflect modern working arrangements and be capable of evolving with emerging forms of work and business practices.</w:t>
                            </w:r>
                            <w:r w:rsidRPr="008C1BAB">
                              <w:t> </w:t>
                            </w:r>
                          </w:p>
                          <w:p w14:paraId="5A6BC73C" w14:textId="77777777" w:rsidR="000B0EDC" w:rsidRPr="008C1BAB" w:rsidRDefault="000B0EDC" w:rsidP="000B0EDC">
                            <w:pPr>
                              <w:numPr>
                                <w:ilvl w:val="0"/>
                                <w:numId w:val="46"/>
                              </w:numPr>
                              <w:tabs>
                                <w:tab w:val="clear" w:pos="720"/>
                                <w:tab w:val="num" w:pos="360"/>
                              </w:tabs>
                              <w:ind w:left="360"/>
                            </w:pPr>
                            <w:r w:rsidRPr="008C1BAB">
                              <w:rPr>
                                <w:lang w:val="en-GB"/>
                              </w:rPr>
                              <w:t>All workers should have access to minimum rights and protections regardless of whether they are characterised as an employee or an independent contractor, including access to freedom of association and dispute resolution.</w:t>
                            </w:r>
                            <w:r w:rsidRPr="008C1BAB">
                              <w:t> </w:t>
                            </w:r>
                          </w:p>
                          <w:p w14:paraId="73C72B06" w14:textId="77777777" w:rsidR="000B0EDC" w:rsidRPr="008C1BAB" w:rsidRDefault="000B0EDC" w:rsidP="000B0EDC">
                            <w:pPr>
                              <w:numPr>
                                <w:ilvl w:val="0"/>
                                <w:numId w:val="47"/>
                              </w:numPr>
                              <w:tabs>
                                <w:tab w:val="clear" w:pos="720"/>
                                <w:tab w:val="num" w:pos="360"/>
                              </w:tabs>
                              <w:ind w:left="360"/>
                            </w:pPr>
                            <w:r w:rsidRPr="008C1BAB">
                              <w:rPr>
                                <w:lang w:val="en-GB"/>
                              </w:rPr>
                              <w:t>Businesses should benefit from a level playing field among industry participants while promoting competition and innovation.</w:t>
                            </w:r>
                            <w:r w:rsidRPr="008C1BAB">
                              <w:t> </w:t>
                            </w:r>
                          </w:p>
                          <w:p w14:paraId="3ACA8A67" w14:textId="77777777" w:rsidR="000B0EDC" w:rsidRPr="008C1BAB" w:rsidRDefault="000B0EDC" w:rsidP="000B0EDC">
                            <w:pPr>
                              <w:numPr>
                                <w:ilvl w:val="0"/>
                                <w:numId w:val="48"/>
                              </w:numPr>
                              <w:tabs>
                                <w:tab w:val="clear" w:pos="720"/>
                                <w:tab w:val="num" w:pos="360"/>
                              </w:tabs>
                              <w:ind w:left="360"/>
                            </w:pPr>
                            <w:r w:rsidRPr="008C1BAB">
                              <w:rPr>
                                <w:lang w:val="en-GB"/>
                              </w:rPr>
                              <w:t>The Fair Work Commission should set minimum standards that:</w:t>
                            </w:r>
                            <w:r w:rsidRPr="008C1BAB">
                              <w:t> </w:t>
                            </w:r>
                          </w:p>
                          <w:p w14:paraId="072C69C3" w14:textId="77777777" w:rsidR="000B0EDC" w:rsidRPr="008C1BAB" w:rsidRDefault="000B0EDC" w:rsidP="000B0EDC">
                            <w:pPr>
                              <w:numPr>
                                <w:ilvl w:val="0"/>
                                <w:numId w:val="49"/>
                              </w:numPr>
                            </w:pPr>
                            <w:r w:rsidRPr="008C1BAB">
                              <w:rPr>
                                <w:lang w:val="en-GB"/>
                              </w:rPr>
                              <w:t>are fair, relevant, proportionate, sustainable and responsive</w:t>
                            </w:r>
                            <w:r w:rsidRPr="008C1BAB">
                              <w:t> </w:t>
                            </w:r>
                          </w:p>
                          <w:p w14:paraId="4DE2173C" w14:textId="77777777" w:rsidR="000B0EDC" w:rsidRPr="008C1BAB" w:rsidRDefault="000B0EDC" w:rsidP="000B0EDC">
                            <w:pPr>
                              <w:numPr>
                                <w:ilvl w:val="0"/>
                                <w:numId w:val="49"/>
                              </w:numPr>
                            </w:pPr>
                            <w:r w:rsidRPr="008C1BAB">
                              <w:rPr>
                                <w:lang w:val="en-GB"/>
                              </w:rPr>
                              <w:t>reflect workers’ independence and flexible working arrangements, for example choosing which tasks to accept and refuse, how to undertake their work, where and when they work, and which businesses to contract with</w:t>
                            </w:r>
                            <w:r w:rsidRPr="008C1BAB">
                              <w:t> </w:t>
                            </w:r>
                          </w:p>
                          <w:p w14:paraId="75A237E1" w14:textId="77777777" w:rsidR="000B0EDC" w:rsidRPr="008C1BAB" w:rsidRDefault="000B0EDC" w:rsidP="000B0EDC">
                            <w:pPr>
                              <w:numPr>
                                <w:ilvl w:val="0"/>
                                <w:numId w:val="49"/>
                              </w:numPr>
                            </w:pPr>
                            <w:r w:rsidRPr="008C1BAB">
                              <w:rPr>
                                <w:lang w:val="en-GB"/>
                              </w:rPr>
                              <w:t>mitigate to the greatest extent possible unintended consequences for workers, businesses, consumers and other aspects of the labour market </w:t>
                            </w:r>
                            <w:r w:rsidRPr="008C1BAB">
                              <w:t> </w:t>
                            </w:r>
                          </w:p>
                          <w:p w14:paraId="6B469FD5" w14:textId="77777777" w:rsidR="000B0EDC" w:rsidRPr="008C1BAB" w:rsidRDefault="000B0EDC" w:rsidP="008B793A">
                            <w:pPr>
                              <w:numPr>
                                <w:ilvl w:val="0"/>
                                <w:numId w:val="50"/>
                              </w:numPr>
                              <w:tabs>
                                <w:tab w:val="clear" w:pos="720"/>
                                <w:tab w:val="num" w:pos="993"/>
                              </w:tabs>
                              <w:ind w:left="426" w:hanging="426"/>
                            </w:pPr>
                            <w:r w:rsidRPr="008C1BAB">
                              <w:rPr>
                                <w:lang w:val="en-GB"/>
                              </w:rPr>
                              <w:t>The standard-setting framework should be accessible, transparent, fair and offer a high degree of certainty to affected parties.</w:t>
                            </w:r>
                            <w:r w:rsidRPr="008C1BAB">
                              <w:t> </w:t>
                            </w:r>
                          </w:p>
                          <w:p w14:paraId="0F6E9A34" w14:textId="77777777" w:rsidR="000B0EDC" w:rsidRPr="0026036B" w:rsidRDefault="000B0EDC" w:rsidP="000B0EDC"/>
                          <w:p w14:paraId="211E7F0E" w14:textId="77777777" w:rsidR="000B0EDC" w:rsidRPr="00A723FE" w:rsidRDefault="000B0EDC" w:rsidP="000B0E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3E3DB2" id="_x0000_t202" coordsize="21600,21600" o:spt="202" path="m,l,21600r21600,l21600,xe">
                <v:stroke joinstyle="miter"/>
                <v:path gradientshapeok="t" o:connecttype="rect"/>
              </v:shapetype>
              <v:shape id="Text Box 6" o:spid="_x0000_s1026" type="#_x0000_t202" style="position:absolute;margin-left:1.95pt;margin-top:32.65pt;width:446.5pt;height:350.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" fillcolor="#789b4a" stroked="f">
                <v:fill opacity="19789f"/>
                <v:textbox>
                  <w:txbxContent>
                    <w:p w14:paraId="64DEF755" w14:textId="77777777" w:rsidR="000B0EDC" w:rsidRPr="0075540C" w:rsidRDefault="000B0EDC" w:rsidP="000B0EDC">
                      <w:pPr>
                        <w:rPr>
                          <w:b/>
                          <w:bCs/>
                        </w:rPr>
                      </w:pPr>
                      <w:r>
                        <w:rPr>
                          <w:b/>
                          <w:bCs/>
                        </w:rPr>
                        <w:t xml:space="preserve">Guiding Principles </w:t>
                      </w:r>
                    </w:p>
                    <w:p w14:paraId="58C360F7" w14:textId="77777777" w:rsidR="000B0EDC" w:rsidRPr="008C1BAB" w:rsidRDefault="000B0EDC" w:rsidP="000B0EDC">
                      <w:pPr>
                        <w:numPr>
                          <w:ilvl w:val="0"/>
                          <w:numId w:val="45"/>
                        </w:numPr>
                        <w:tabs>
                          <w:tab w:val="clear" w:pos="720"/>
                          <w:tab w:val="num" w:pos="360"/>
                        </w:tabs>
                        <w:ind w:left="360"/>
                      </w:pPr>
                      <w:r w:rsidRPr="008C1BAB">
                        <w:rPr>
                          <w:lang w:val="en-GB"/>
                        </w:rPr>
                        <w:t>Australia’s workplace relations system must reflect modern working arrangements and be capable of evolving with emerging forms of work and business practices.</w:t>
                      </w:r>
                      <w:r w:rsidRPr="008C1BAB">
                        <w:t> </w:t>
                      </w:r>
                    </w:p>
                    <w:p w14:paraId="5A6BC73C" w14:textId="77777777" w:rsidR="000B0EDC" w:rsidRPr="008C1BAB" w:rsidRDefault="000B0EDC" w:rsidP="000B0EDC">
                      <w:pPr>
                        <w:numPr>
                          <w:ilvl w:val="0"/>
                          <w:numId w:val="46"/>
                        </w:numPr>
                        <w:tabs>
                          <w:tab w:val="clear" w:pos="720"/>
                          <w:tab w:val="num" w:pos="360"/>
                        </w:tabs>
                        <w:ind w:left="360"/>
                      </w:pPr>
                      <w:r w:rsidRPr="008C1BAB">
                        <w:rPr>
                          <w:lang w:val="en-GB"/>
                        </w:rPr>
                        <w:t>All workers should have access to minimum rights and protections regardless of whether they are characterised as an employee or an independent contractor, including access to freedom of association and dispute resolution.</w:t>
                      </w:r>
                      <w:r w:rsidRPr="008C1BAB">
                        <w:t> </w:t>
                      </w:r>
                    </w:p>
                    <w:p w14:paraId="73C72B06" w14:textId="77777777" w:rsidR="000B0EDC" w:rsidRPr="008C1BAB" w:rsidRDefault="000B0EDC" w:rsidP="000B0EDC">
                      <w:pPr>
                        <w:numPr>
                          <w:ilvl w:val="0"/>
                          <w:numId w:val="47"/>
                        </w:numPr>
                        <w:tabs>
                          <w:tab w:val="clear" w:pos="720"/>
                          <w:tab w:val="num" w:pos="360"/>
                        </w:tabs>
                        <w:ind w:left="360"/>
                      </w:pPr>
                      <w:r w:rsidRPr="008C1BAB">
                        <w:rPr>
                          <w:lang w:val="en-GB"/>
                        </w:rPr>
                        <w:t>Businesses should benefit from a level playing field among industry participants while promoting competition and innovation.</w:t>
                      </w:r>
                      <w:r w:rsidRPr="008C1BAB">
                        <w:t> </w:t>
                      </w:r>
                    </w:p>
                    <w:p w14:paraId="3ACA8A67" w14:textId="77777777" w:rsidR="000B0EDC" w:rsidRPr="008C1BAB" w:rsidRDefault="000B0EDC" w:rsidP="000B0EDC">
                      <w:pPr>
                        <w:numPr>
                          <w:ilvl w:val="0"/>
                          <w:numId w:val="48"/>
                        </w:numPr>
                        <w:tabs>
                          <w:tab w:val="clear" w:pos="720"/>
                          <w:tab w:val="num" w:pos="360"/>
                        </w:tabs>
                        <w:ind w:left="360"/>
                      </w:pPr>
                      <w:r w:rsidRPr="008C1BAB">
                        <w:rPr>
                          <w:lang w:val="en-GB"/>
                        </w:rPr>
                        <w:t>The Fair Work Commission should set minimum standards that:</w:t>
                      </w:r>
                      <w:r w:rsidRPr="008C1BAB">
                        <w:t> </w:t>
                      </w:r>
                    </w:p>
                    <w:p w14:paraId="072C69C3" w14:textId="77777777" w:rsidR="000B0EDC" w:rsidRPr="008C1BAB" w:rsidRDefault="000B0EDC" w:rsidP="000B0EDC">
                      <w:pPr>
                        <w:numPr>
                          <w:ilvl w:val="0"/>
                          <w:numId w:val="49"/>
                        </w:numPr>
                      </w:pPr>
                      <w:r w:rsidRPr="008C1BAB">
                        <w:rPr>
                          <w:lang w:val="en-GB"/>
                        </w:rPr>
                        <w:t>are fair, relevant, proportionate, sustainable and responsive</w:t>
                      </w:r>
                      <w:r w:rsidRPr="008C1BAB">
                        <w:t> </w:t>
                      </w:r>
                    </w:p>
                    <w:p w14:paraId="4DE2173C" w14:textId="77777777" w:rsidR="000B0EDC" w:rsidRPr="008C1BAB" w:rsidRDefault="000B0EDC" w:rsidP="000B0EDC">
                      <w:pPr>
                        <w:numPr>
                          <w:ilvl w:val="0"/>
                          <w:numId w:val="49"/>
                        </w:numPr>
                      </w:pPr>
                      <w:r w:rsidRPr="008C1BAB">
                        <w:rPr>
                          <w:lang w:val="en-GB"/>
                        </w:rPr>
                        <w:t>reflect workers’ independence and flexible working arrangements, for example choosing which tasks to accept and refuse, how to undertake their work, where and when they work, and which businesses to contract with</w:t>
                      </w:r>
                      <w:r w:rsidRPr="008C1BAB">
                        <w:t> </w:t>
                      </w:r>
                    </w:p>
                    <w:p w14:paraId="75A237E1" w14:textId="77777777" w:rsidR="000B0EDC" w:rsidRPr="008C1BAB" w:rsidRDefault="000B0EDC" w:rsidP="000B0EDC">
                      <w:pPr>
                        <w:numPr>
                          <w:ilvl w:val="0"/>
                          <w:numId w:val="49"/>
                        </w:numPr>
                      </w:pPr>
                      <w:r w:rsidRPr="008C1BAB">
                        <w:rPr>
                          <w:lang w:val="en-GB"/>
                        </w:rPr>
                        <w:t>mitigate to the greatest extent possible unintended consequences for workers, businesses, consumers and other aspects of the labour market </w:t>
                      </w:r>
                      <w:r w:rsidRPr="008C1BAB">
                        <w:t> </w:t>
                      </w:r>
                    </w:p>
                    <w:p w14:paraId="6B469FD5" w14:textId="77777777" w:rsidR="000B0EDC" w:rsidRPr="008C1BAB" w:rsidRDefault="000B0EDC" w:rsidP="008B793A">
                      <w:pPr>
                        <w:numPr>
                          <w:ilvl w:val="0"/>
                          <w:numId w:val="50"/>
                        </w:numPr>
                        <w:tabs>
                          <w:tab w:val="clear" w:pos="720"/>
                          <w:tab w:val="num" w:pos="993"/>
                        </w:tabs>
                        <w:ind w:left="426" w:hanging="426"/>
                      </w:pPr>
                      <w:r w:rsidRPr="008C1BAB">
                        <w:rPr>
                          <w:lang w:val="en-GB"/>
                        </w:rPr>
                        <w:t>The standard-setting framework should be accessible, transparent, fair and offer a high degree of certainty to affected parties.</w:t>
                      </w:r>
                      <w:r w:rsidRPr="008C1BAB">
                        <w:t> </w:t>
                      </w:r>
                    </w:p>
                    <w:p w14:paraId="0F6E9A34" w14:textId="77777777" w:rsidR="000B0EDC" w:rsidRPr="0026036B" w:rsidRDefault="000B0EDC" w:rsidP="000B0EDC"/>
                    <w:p w14:paraId="211E7F0E" w14:textId="77777777" w:rsidR="000B0EDC" w:rsidRPr="00A723FE" w:rsidRDefault="000B0EDC" w:rsidP="000B0EDC"/>
                  </w:txbxContent>
                </v:textbox>
                <w10:wrap type="square"/>
              </v:shape>
            </w:pict>
          </mc:Fallback>
        </mc:AlternateContent>
      </w:r>
      <w:r w:rsidR="00ED672D">
        <w:t xml:space="preserve">The proposed changes will </w:t>
      </w:r>
      <w:r w:rsidR="418E2016">
        <w:t xml:space="preserve">be </w:t>
      </w:r>
      <w:r w:rsidR="00ED672D">
        <w:t xml:space="preserve">considered effective if they advance </w:t>
      </w:r>
      <w:r w:rsidR="008366CB">
        <w:t>each of</w:t>
      </w:r>
      <w:r w:rsidR="00ED672D">
        <w:t xml:space="preserve"> these guiding principles. </w:t>
      </w:r>
    </w:p>
    <w:p w14:paraId="52B2E5EE" w14:textId="2CCEC38F" w:rsidR="00DE314C" w:rsidRPr="006C432C" w:rsidRDefault="00DE314C" w:rsidP="000B0EDC">
      <w:pPr>
        <w:rPr>
          <w:lang w:val="en-GB"/>
        </w:rPr>
      </w:pPr>
    </w:p>
    <w:p w14:paraId="1B0C832A" w14:textId="5258EB35" w:rsidR="008D3081" w:rsidRDefault="00A671E6" w:rsidP="00AE0265">
      <w:pPr>
        <w:pStyle w:val="Heading1"/>
        <w:numPr>
          <w:ilvl w:val="0"/>
          <w:numId w:val="1"/>
        </w:numPr>
        <w:spacing w:before="120" w:after="120" w:line="240" w:lineRule="auto"/>
      </w:pPr>
      <w:bookmarkStart w:id="19" w:name="_Toc139295530"/>
      <w:r>
        <w:t>Background</w:t>
      </w:r>
      <w:bookmarkEnd w:id="19"/>
    </w:p>
    <w:p w14:paraId="491A9321" w14:textId="7714AD2D" w:rsidR="00742EF7" w:rsidRPr="007876EE" w:rsidRDefault="00742EF7" w:rsidP="007876EE">
      <w:pPr>
        <w:pStyle w:val="Heading2"/>
      </w:pPr>
      <w:bookmarkStart w:id="20" w:name="_Toc139295531"/>
      <w:r w:rsidRPr="007876EE">
        <w:t>Legislative framework applying to independent contractors</w:t>
      </w:r>
      <w:bookmarkEnd w:id="20"/>
    </w:p>
    <w:p w14:paraId="345DDE39" w14:textId="5823896D" w:rsidR="005C3061" w:rsidRPr="00BA72B4" w:rsidRDefault="00A3508E" w:rsidP="00F60F5C">
      <w:pPr>
        <w:pStyle w:val="Heading3"/>
      </w:pPr>
      <w:bookmarkStart w:id="21" w:name="_Toc139295532"/>
      <w:r w:rsidRPr="00BA72B4">
        <w:t>A worker’s</w:t>
      </w:r>
      <w:r w:rsidR="003F26B2" w:rsidRPr="00BA72B4">
        <w:t xml:space="preserve"> </w:t>
      </w:r>
      <w:r w:rsidRPr="00BA72B4">
        <w:t>status</w:t>
      </w:r>
      <w:r w:rsidR="003F26B2" w:rsidRPr="00BA72B4">
        <w:t xml:space="preserve"> as an independent contractor or employee is </w:t>
      </w:r>
      <w:r w:rsidR="00142CC6">
        <w:t xml:space="preserve">currently </w:t>
      </w:r>
      <w:r w:rsidR="00377200">
        <w:t xml:space="preserve">determined </w:t>
      </w:r>
      <w:r w:rsidR="003F26B2" w:rsidRPr="00BA72B4">
        <w:t>at common law</w:t>
      </w:r>
      <w:bookmarkEnd w:id="21"/>
    </w:p>
    <w:p w14:paraId="330E4B48" w14:textId="542600E3" w:rsidR="00ED5D6F" w:rsidRDefault="000A7A70" w:rsidP="00B76A34">
      <w:r>
        <w:t>The</w:t>
      </w:r>
      <w:r w:rsidDel="009C6EFF">
        <w:t xml:space="preserve"> </w:t>
      </w:r>
      <w:r>
        <w:t xml:space="preserve">common law test </w:t>
      </w:r>
      <w:r w:rsidR="009C6EFF">
        <w:t xml:space="preserve">to determine an individual’s work status </w:t>
      </w:r>
      <w:r w:rsidR="00877B01">
        <w:t>is</w:t>
      </w:r>
      <w:r w:rsidR="009C6EFF">
        <w:t xml:space="preserve"> set out </w:t>
      </w:r>
      <w:r w:rsidR="00DD0314">
        <w:t>in</w:t>
      </w:r>
      <w:r w:rsidR="008B07E9">
        <w:t xml:space="preserve"> the High Court’s decisions in </w:t>
      </w:r>
      <w:r w:rsidR="008B07E9" w:rsidRPr="00A32397">
        <w:rPr>
          <w:rFonts w:ascii="Calibri" w:eastAsia="Calibri" w:hAnsi="Calibri" w:cs="Calibri"/>
          <w:i/>
          <w:iCs/>
          <w:lang w:val="en-GB"/>
        </w:rPr>
        <w:t>ZG Operations v Jamsek</w:t>
      </w:r>
      <w:r w:rsidR="008B07E9">
        <w:rPr>
          <w:rFonts w:ascii="Calibri" w:eastAsia="Calibri" w:hAnsi="Calibri" w:cs="Calibri"/>
          <w:lang w:val="en-GB"/>
        </w:rPr>
        <w:t xml:space="preserve"> (</w:t>
      </w:r>
      <w:r w:rsidR="008B07E9" w:rsidRPr="00290E32">
        <w:rPr>
          <w:rFonts w:ascii="Calibri" w:eastAsia="Calibri" w:hAnsi="Calibri" w:cs="Calibri"/>
          <w:i/>
          <w:iCs/>
          <w:lang w:val="en-GB"/>
        </w:rPr>
        <w:t>Jamsek</w:t>
      </w:r>
      <w:r w:rsidR="008B07E9">
        <w:rPr>
          <w:rFonts w:ascii="Calibri" w:eastAsia="Calibri" w:hAnsi="Calibri" w:cs="Calibri"/>
          <w:lang w:val="en-GB"/>
        </w:rPr>
        <w:t>)</w:t>
      </w:r>
      <w:r w:rsidR="008B07E9">
        <w:rPr>
          <w:rStyle w:val="FootnoteReference"/>
          <w:rFonts w:ascii="Calibri" w:eastAsia="Calibri" w:hAnsi="Calibri" w:cs="Calibri"/>
          <w:lang w:val="en-GB"/>
        </w:rPr>
        <w:footnoteReference w:id="45"/>
      </w:r>
      <w:r w:rsidR="008B07E9">
        <w:rPr>
          <w:rFonts w:ascii="Calibri" w:eastAsia="Calibri" w:hAnsi="Calibri" w:cs="Calibri"/>
          <w:lang w:val="en-GB"/>
        </w:rPr>
        <w:t xml:space="preserve"> and </w:t>
      </w:r>
      <w:r w:rsidR="008B07E9">
        <w:rPr>
          <w:rFonts w:ascii="Calibri" w:eastAsia="Calibri" w:hAnsi="Calibri" w:cs="Calibri"/>
          <w:i/>
          <w:iCs/>
          <w:lang w:val="en-GB"/>
        </w:rPr>
        <w:t>CFMMEU v Personnel Contracting</w:t>
      </w:r>
      <w:r w:rsidR="008B07E9">
        <w:rPr>
          <w:rFonts w:ascii="Calibri" w:eastAsia="Calibri" w:hAnsi="Calibri" w:cs="Calibri"/>
          <w:lang w:val="en-GB"/>
        </w:rPr>
        <w:t xml:space="preserve"> </w:t>
      </w:r>
      <w:r w:rsidR="008B07E9" w:rsidRPr="00AA1B04">
        <w:rPr>
          <w:rFonts w:ascii="Calibri" w:eastAsia="Calibri" w:hAnsi="Calibri" w:cs="Calibri"/>
          <w:i/>
          <w:iCs/>
          <w:lang w:val="en-GB"/>
        </w:rPr>
        <w:t>(Personnel</w:t>
      </w:r>
      <w:r w:rsidR="008B07E9">
        <w:rPr>
          <w:rFonts w:ascii="Calibri" w:eastAsia="Calibri" w:hAnsi="Calibri" w:cs="Calibri"/>
          <w:i/>
          <w:iCs/>
          <w:lang w:val="en-GB"/>
        </w:rPr>
        <w:t xml:space="preserve"> Contracting</w:t>
      </w:r>
      <w:r w:rsidR="008B07E9" w:rsidRPr="00AA1B04">
        <w:rPr>
          <w:rFonts w:ascii="Calibri" w:eastAsia="Calibri" w:hAnsi="Calibri" w:cs="Calibri"/>
          <w:i/>
          <w:iCs/>
          <w:lang w:val="en-GB"/>
        </w:rPr>
        <w:t>)</w:t>
      </w:r>
      <w:r w:rsidR="00877B01">
        <w:rPr>
          <w:rFonts w:ascii="Calibri" w:eastAsia="Calibri" w:hAnsi="Calibri" w:cs="Calibri"/>
          <w:i/>
          <w:iCs/>
          <w:lang w:val="en-GB"/>
        </w:rPr>
        <w:t>.</w:t>
      </w:r>
      <w:r w:rsidR="008B07E9">
        <w:rPr>
          <w:rStyle w:val="FootnoteReference"/>
          <w:rFonts w:ascii="Calibri" w:eastAsia="Calibri" w:hAnsi="Calibri" w:cs="Calibri"/>
          <w:i/>
          <w:iCs/>
          <w:lang w:val="en-GB"/>
        </w:rPr>
        <w:footnoteReference w:id="46"/>
      </w:r>
      <w:r w:rsidR="008B07E9">
        <w:rPr>
          <w:rFonts w:ascii="Calibri" w:eastAsia="Calibri" w:hAnsi="Calibri" w:cs="Calibri"/>
          <w:lang w:val="en-GB"/>
        </w:rPr>
        <w:t xml:space="preserve"> </w:t>
      </w:r>
      <w:r w:rsidR="00C82A12">
        <w:rPr>
          <w:rFonts w:ascii="Calibri" w:eastAsia="Calibri" w:hAnsi="Calibri" w:cs="Calibri"/>
          <w:lang w:val="en-GB"/>
        </w:rPr>
        <w:t>The test</w:t>
      </w:r>
      <w:r w:rsidR="008B07E9">
        <w:rPr>
          <w:rFonts w:ascii="Calibri" w:eastAsia="Calibri" w:hAnsi="Calibri" w:cs="Calibri"/>
          <w:lang w:val="en-GB"/>
        </w:rPr>
        <w:t xml:space="preserve"> </w:t>
      </w:r>
      <w:r w:rsidR="00A87E77">
        <w:rPr>
          <w:rFonts w:ascii="Calibri" w:eastAsia="Calibri" w:hAnsi="Calibri" w:cs="Calibri"/>
          <w:lang w:val="en-GB"/>
        </w:rPr>
        <w:t>provides that where the terms of a working relationship are comprehensively provided for in a written contract, and the</w:t>
      </w:r>
      <w:r w:rsidR="006154FC">
        <w:rPr>
          <w:rFonts w:ascii="Calibri" w:eastAsia="Calibri" w:hAnsi="Calibri" w:cs="Calibri"/>
          <w:lang w:val="en-GB"/>
        </w:rPr>
        <w:t xml:space="preserve"> contract is not a sham or otherwise varied or waived by subsequent conduct, the nature of the relationship is determined </w:t>
      </w:r>
      <w:r w:rsidR="00246670">
        <w:rPr>
          <w:rFonts w:ascii="Calibri" w:eastAsia="Calibri" w:hAnsi="Calibri" w:cs="Calibri"/>
          <w:lang w:val="en-GB"/>
        </w:rPr>
        <w:t xml:space="preserve">by </w:t>
      </w:r>
      <w:r w:rsidR="006154FC">
        <w:rPr>
          <w:rFonts w:ascii="Calibri" w:eastAsia="Calibri" w:hAnsi="Calibri" w:cs="Calibri"/>
          <w:lang w:val="en-GB"/>
        </w:rPr>
        <w:t xml:space="preserve">reference to the rights and obligations </w:t>
      </w:r>
      <w:r w:rsidR="00246670">
        <w:rPr>
          <w:rFonts w:ascii="Calibri" w:eastAsia="Calibri" w:hAnsi="Calibri" w:cs="Calibri"/>
          <w:lang w:val="en-GB"/>
        </w:rPr>
        <w:t>established by the contract.</w:t>
      </w:r>
      <w:r>
        <w:t xml:space="preserve"> </w:t>
      </w:r>
      <w:r w:rsidR="000B38E2">
        <w:t>If the contractual terms illustrate that the parties have entered into a relationship of independent contracting rather than employment, no further inquiry, including into the parties’ subsequent practices, is relevant</w:t>
      </w:r>
      <w:r w:rsidR="00246670">
        <w:t xml:space="preserve"> or required</w:t>
      </w:r>
      <w:r w:rsidR="000B38E2">
        <w:t xml:space="preserve">. </w:t>
      </w:r>
    </w:p>
    <w:p w14:paraId="587A6733" w14:textId="715CD9BE" w:rsidR="00B76A34" w:rsidRPr="00B76A34" w:rsidRDefault="000A7A70" w:rsidP="00B76A34">
      <w:pPr>
        <w:rPr>
          <w:rFonts w:ascii="Calibri" w:eastAsia="Calibri" w:hAnsi="Calibri" w:cs="Calibri"/>
          <w:color w:val="262626" w:themeColor="text1" w:themeTint="D9"/>
          <w:lang w:val="en-GB"/>
        </w:rPr>
      </w:pPr>
      <w:r>
        <w:t xml:space="preserve">This is in contrast to the </w:t>
      </w:r>
      <w:r w:rsidR="002B41FD">
        <w:t xml:space="preserve">‘multi-factorial’ test set out in a considerable body of case law </w:t>
      </w:r>
      <w:r w:rsidR="007B53D3">
        <w:t xml:space="preserve">(including </w:t>
      </w:r>
      <w:r w:rsidDel="007B53D3">
        <w:t xml:space="preserve"> </w:t>
      </w:r>
      <w:r w:rsidR="462241E1" w:rsidRPr="2B766792">
        <w:rPr>
          <w:rFonts w:ascii="Calibri" w:eastAsia="Calibri" w:hAnsi="Calibri" w:cs="Calibri"/>
          <w:i/>
          <w:iCs/>
          <w:color w:val="000000" w:themeColor="text1"/>
        </w:rPr>
        <w:t>Stevens v Brodribb Sawmilling Co Pty Ltd</w:t>
      </w:r>
      <w:r w:rsidRPr="006D72CD">
        <w:rPr>
          <w:rFonts w:ascii="Calibri" w:eastAsia="Calibri" w:hAnsi="Calibri" w:cs="Calibri"/>
          <w:color w:val="000000" w:themeColor="text1"/>
          <w:vertAlign w:val="superscript"/>
        </w:rPr>
        <w:footnoteReference w:id="47"/>
      </w:r>
      <w:r w:rsidR="462241E1" w:rsidRPr="6B473E83">
        <w:rPr>
          <w:rFonts w:ascii="Calibri" w:eastAsia="Calibri" w:hAnsi="Calibri" w:cs="Calibri"/>
          <w:color w:val="000000" w:themeColor="text1"/>
        </w:rPr>
        <w:t xml:space="preserve"> and</w:t>
      </w:r>
      <w:r w:rsidR="462241E1" w:rsidRPr="2B766792">
        <w:rPr>
          <w:rFonts w:ascii="Calibri" w:eastAsia="Calibri" w:hAnsi="Calibri" w:cs="Calibri"/>
          <w:color w:val="000000" w:themeColor="text1"/>
        </w:rPr>
        <w:t xml:space="preserve"> </w:t>
      </w:r>
      <w:r>
        <w:rPr>
          <w:i/>
          <w:iCs/>
        </w:rPr>
        <w:t>Hollis v Vabu</w:t>
      </w:r>
      <w:r w:rsidR="00FF6D43" w:rsidRPr="006D72CD">
        <w:rPr>
          <w:rStyle w:val="FootnoteReference"/>
        </w:rPr>
        <w:footnoteReference w:id="48"/>
      </w:r>
      <w:r w:rsidR="007B53D3" w:rsidRPr="00F9171A">
        <w:t>)</w:t>
      </w:r>
      <w:r w:rsidR="007B53D3">
        <w:rPr>
          <w:i/>
          <w:iCs/>
        </w:rPr>
        <w:t xml:space="preserve"> </w:t>
      </w:r>
      <w:r w:rsidR="007B53D3" w:rsidRPr="00F9171A">
        <w:t>and previously thought by many to be the correct test in determining whether a relationship was one of employment or of principal and contractor</w:t>
      </w:r>
      <w:r w:rsidR="00414D0B" w:rsidRPr="00F9171A">
        <w:t>.</w:t>
      </w:r>
      <w:r w:rsidR="00563574">
        <w:t xml:space="preserve"> </w:t>
      </w:r>
      <w:r w:rsidR="00FB263A">
        <w:t>W</w:t>
      </w:r>
      <w:r w:rsidR="00ED5D6F">
        <w:t xml:space="preserve">here </w:t>
      </w:r>
      <w:r w:rsidR="00B24456" w:rsidRPr="01A1A83A">
        <w:rPr>
          <w:rFonts w:ascii="Calibri" w:eastAsia="Calibri" w:hAnsi="Calibri" w:cs="Calibri"/>
          <w:color w:val="262626" w:themeColor="text1" w:themeTint="D9"/>
          <w:lang w:val="en-GB"/>
        </w:rPr>
        <w:t>courts applied a multifactorial test</w:t>
      </w:r>
      <w:r w:rsidR="00FB263A">
        <w:rPr>
          <w:rFonts w:ascii="Calibri" w:eastAsia="Calibri" w:hAnsi="Calibri" w:cs="Calibri"/>
          <w:color w:val="262626" w:themeColor="text1" w:themeTint="D9"/>
          <w:lang w:val="en-GB"/>
        </w:rPr>
        <w:t>,</w:t>
      </w:r>
      <w:r w:rsidR="00B24456" w:rsidRPr="01A1A83A" w:rsidDel="00FB263A">
        <w:rPr>
          <w:rFonts w:ascii="Calibri" w:eastAsia="Calibri" w:hAnsi="Calibri" w:cs="Calibri"/>
          <w:color w:val="262626" w:themeColor="text1" w:themeTint="D9"/>
          <w:lang w:val="en-GB"/>
        </w:rPr>
        <w:t xml:space="preserve"> </w:t>
      </w:r>
      <w:r w:rsidR="00B24456" w:rsidRPr="01A1A83A">
        <w:rPr>
          <w:rFonts w:ascii="Calibri" w:eastAsia="Calibri" w:hAnsi="Calibri" w:cs="Calibri"/>
          <w:color w:val="262626" w:themeColor="text1" w:themeTint="D9"/>
          <w:lang w:val="en-GB"/>
        </w:rPr>
        <w:t xml:space="preserve">a worker’s status was </w:t>
      </w:r>
      <w:r w:rsidR="00A95179">
        <w:rPr>
          <w:rFonts w:ascii="Calibri" w:eastAsia="Calibri" w:hAnsi="Calibri" w:cs="Calibri"/>
          <w:color w:val="262626" w:themeColor="text1" w:themeTint="D9"/>
          <w:lang w:val="en-GB"/>
        </w:rPr>
        <w:t>determined</w:t>
      </w:r>
      <w:r w:rsidR="00B24456" w:rsidRPr="01A1A83A">
        <w:rPr>
          <w:rFonts w:ascii="Calibri" w:eastAsia="Calibri" w:hAnsi="Calibri" w:cs="Calibri"/>
          <w:color w:val="262626" w:themeColor="text1" w:themeTint="D9"/>
          <w:lang w:val="en-GB"/>
        </w:rPr>
        <w:t xml:space="preserve"> having regard to the ‘totality of the relationship’ after considering multiple factors</w:t>
      </w:r>
      <w:r w:rsidR="1132C534" w:rsidRPr="01A1A83A">
        <w:rPr>
          <w:rFonts w:ascii="Calibri" w:eastAsia="Calibri" w:hAnsi="Calibri" w:cs="Calibri"/>
          <w:color w:val="262626" w:themeColor="text1" w:themeTint="D9"/>
          <w:lang w:val="en-GB"/>
        </w:rPr>
        <w:t xml:space="preserve"> including, but not limited to, the terms of their contract</w:t>
      </w:r>
      <w:r w:rsidR="00B24456" w:rsidRPr="01A1A83A">
        <w:rPr>
          <w:rFonts w:ascii="Calibri" w:eastAsia="Calibri" w:hAnsi="Calibri" w:cs="Calibri"/>
          <w:color w:val="262626" w:themeColor="text1" w:themeTint="D9"/>
          <w:lang w:val="en-GB"/>
        </w:rPr>
        <w:t>.</w:t>
      </w:r>
      <w:r w:rsidR="00C04B36">
        <w:rPr>
          <w:rFonts w:ascii="Calibri" w:eastAsia="Calibri" w:hAnsi="Calibri" w:cs="Calibri"/>
          <w:color w:val="262626" w:themeColor="text1" w:themeTint="D9"/>
          <w:lang w:val="en-GB"/>
        </w:rPr>
        <w:t xml:space="preserve"> No criterion was decisive.</w:t>
      </w:r>
      <w:r w:rsidR="00B24456" w:rsidRPr="01A1A83A">
        <w:rPr>
          <w:rFonts w:ascii="Calibri" w:eastAsia="Calibri" w:hAnsi="Calibri" w:cs="Calibri"/>
          <w:color w:val="262626" w:themeColor="text1" w:themeTint="D9"/>
          <w:lang w:val="en-GB"/>
        </w:rPr>
        <w:t xml:space="preserve"> This ‘multi-factor</w:t>
      </w:r>
      <w:r w:rsidR="00A574D7">
        <w:rPr>
          <w:rFonts w:ascii="Calibri" w:eastAsia="Calibri" w:hAnsi="Calibri" w:cs="Calibri"/>
          <w:color w:val="262626" w:themeColor="text1" w:themeTint="D9"/>
          <w:lang w:val="en-GB"/>
        </w:rPr>
        <w:t>ial</w:t>
      </w:r>
      <w:r w:rsidR="00B24456" w:rsidRPr="01A1A83A">
        <w:rPr>
          <w:rFonts w:ascii="Calibri" w:eastAsia="Calibri" w:hAnsi="Calibri" w:cs="Calibri"/>
          <w:color w:val="262626" w:themeColor="text1" w:themeTint="D9"/>
          <w:lang w:val="en-GB"/>
        </w:rPr>
        <w:t xml:space="preserve"> test’ evolved over time and included</w:t>
      </w:r>
      <w:r w:rsidR="00B30C72">
        <w:rPr>
          <w:rFonts w:ascii="Calibri" w:eastAsia="Calibri" w:hAnsi="Calibri" w:cs="Calibri"/>
          <w:color w:val="262626" w:themeColor="text1" w:themeTint="D9"/>
          <w:lang w:val="en-GB"/>
        </w:rPr>
        <w:t xml:space="preserve"> consideration of various indica including</w:t>
      </w:r>
      <w:r w:rsidR="00B24456" w:rsidRPr="01A1A83A">
        <w:rPr>
          <w:rFonts w:ascii="Calibri" w:eastAsia="Calibri" w:hAnsi="Calibri" w:cs="Calibri"/>
          <w:color w:val="262626" w:themeColor="text1" w:themeTint="D9"/>
          <w:lang w:val="en-GB"/>
        </w:rPr>
        <w:t xml:space="preserve"> things like control and authority over work, and whether the worker could delegate work, </w:t>
      </w:r>
      <w:r w:rsidR="00024E13">
        <w:rPr>
          <w:rFonts w:ascii="Calibri" w:eastAsia="Calibri" w:hAnsi="Calibri" w:cs="Calibri"/>
          <w:color w:val="262626" w:themeColor="text1" w:themeTint="D9"/>
          <w:lang w:val="en-GB"/>
        </w:rPr>
        <w:t xml:space="preserve">was required to </w:t>
      </w:r>
      <w:r w:rsidR="00B24456" w:rsidRPr="01A1A83A">
        <w:rPr>
          <w:rFonts w:ascii="Calibri" w:eastAsia="Calibri" w:hAnsi="Calibri" w:cs="Calibri"/>
          <w:color w:val="262626" w:themeColor="text1" w:themeTint="D9"/>
          <w:lang w:val="en-GB"/>
        </w:rPr>
        <w:t>wear a uniform or be responsible for</w:t>
      </w:r>
      <w:r w:rsidR="00024E13">
        <w:rPr>
          <w:rFonts w:ascii="Calibri" w:eastAsia="Calibri" w:hAnsi="Calibri" w:cs="Calibri"/>
          <w:color w:val="262626" w:themeColor="text1" w:themeTint="D9"/>
          <w:lang w:val="en-GB"/>
        </w:rPr>
        <w:t xml:space="preserve"> providing and maintaining</w:t>
      </w:r>
      <w:r w:rsidR="00B24456" w:rsidRPr="01A1A83A">
        <w:rPr>
          <w:rFonts w:ascii="Calibri" w:eastAsia="Calibri" w:hAnsi="Calibri" w:cs="Calibri"/>
          <w:color w:val="262626" w:themeColor="text1" w:themeTint="D9"/>
          <w:lang w:val="en-GB"/>
        </w:rPr>
        <w:t xml:space="preserve"> their own tools and equipment</w:t>
      </w:r>
      <w:r w:rsidR="00B76A34">
        <w:rPr>
          <w:rStyle w:val="normaltextrun"/>
          <w:rFonts w:cs="Calibri"/>
        </w:rPr>
        <w:t xml:space="preserve"> (see </w:t>
      </w:r>
      <w:r w:rsidR="00B76A34" w:rsidRPr="45FFF53F">
        <w:rPr>
          <w:rStyle w:val="normaltextrun"/>
          <w:rFonts w:cs="Calibri"/>
        </w:rPr>
        <w:t xml:space="preserve">Figure </w:t>
      </w:r>
      <w:r w:rsidR="09310ABA" w:rsidRPr="45FFF53F">
        <w:rPr>
          <w:rStyle w:val="normaltextrun"/>
          <w:rFonts w:cs="Calibri"/>
        </w:rPr>
        <w:t>1</w:t>
      </w:r>
      <w:r w:rsidR="0049052E" w:rsidRPr="45FFF53F">
        <w:rPr>
          <w:rStyle w:val="normaltextrun"/>
          <w:rFonts w:cs="Calibri"/>
        </w:rPr>
        <w:t xml:space="preserve"> </w:t>
      </w:r>
      <w:r w:rsidR="00B76A34">
        <w:rPr>
          <w:rStyle w:val="normaltextrun"/>
          <w:rFonts w:cs="Calibri"/>
        </w:rPr>
        <w:t>for a non-exhaustive list).</w:t>
      </w:r>
      <w:r w:rsidR="00B76A34">
        <w:rPr>
          <w:rStyle w:val="eop"/>
          <w:rFonts w:cs="Calibri"/>
        </w:rPr>
        <w:t> </w:t>
      </w:r>
    </w:p>
    <w:p w14:paraId="7599922F" w14:textId="0D07AEA2" w:rsidR="28AB538D" w:rsidRDefault="00D03DAC" w:rsidP="0706E3B8">
      <w:pPr>
        <w:rPr>
          <w:rStyle w:val="eop"/>
          <w:rFonts w:cs="Calibri"/>
          <w:i/>
          <w:iCs/>
        </w:rPr>
      </w:pPr>
      <w:r>
        <w:rPr>
          <w:rStyle w:val="eop"/>
          <w:rFonts w:cs="Calibri"/>
          <w:i/>
          <w:iCs/>
        </w:rPr>
        <w:br/>
      </w:r>
      <w:r>
        <w:rPr>
          <w:rStyle w:val="eop"/>
          <w:rFonts w:cs="Calibri"/>
          <w:i/>
          <w:iCs/>
        </w:rPr>
        <w:br/>
      </w:r>
      <w:r>
        <w:rPr>
          <w:rStyle w:val="eop"/>
          <w:rFonts w:cs="Calibri"/>
          <w:i/>
          <w:iCs/>
        </w:rPr>
        <w:br/>
      </w:r>
      <w:r>
        <w:rPr>
          <w:rStyle w:val="eop"/>
          <w:rFonts w:cs="Calibri"/>
          <w:i/>
          <w:iCs/>
        </w:rPr>
        <w:br/>
      </w:r>
      <w:r>
        <w:rPr>
          <w:rStyle w:val="eop"/>
          <w:rFonts w:cs="Calibri"/>
          <w:i/>
          <w:iCs/>
        </w:rPr>
        <w:br/>
      </w:r>
      <w:r>
        <w:rPr>
          <w:rStyle w:val="eop"/>
          <w:rFonts w:cs="Calibri"/>
          <w:i/>
          <w:iCs/>
        </w:rPr>
        <w:br/>
      </w:r>
      <w:r>
        <w:rPr>
          <w:rStyle w:val="eop"/>
          <w:rFonts w:cs="Calibri"/>
          <w:i/>
          <w:iCs/>
        </w:rPr>
        <w:br/>
      </w:r>
      <w:r>
        <w:rPr>
          <w:rStyle w:val="eop"/>
          <w:rFonts w:cs="Calibri"/>
          <w:i/>
          <w:iCs/>
        </w:rPr>
        <w:br/>
      </w:r>
      <w:r>
        <w:rPr>
          <w:rStyle w:val="eop"/>
          <w:rFonts w:cs="Calibri"/>
          <w:i/>
          <w:iCs/>
        </w:rPr>
        <w:br/>
      </w:r>
      <w:r>
        <w:rPr>
          <w:rStyle w:val="eop"/>
          <w:rFonts w:cs="Calibri"/>
          <w:i/>
          <w:iCs/>
        </w:rPr>
        <w:br/>
      </w:r>
      <w:r>
        <w:rPr>
          <w:rStyle w:val="eop"/>
          <w:rFonts w:cs="Calibri"/>
          <w:i/>
          <w:iCs/>
        </w:rPr>
        <w:br/>
      </w:r>
      <w:r>
        <w:rPr>
          <w:rStyle w:val="eop"/>
          <w:rFonts w:cs="Calibri"/>
          <w:i/>
          <w:iCs/>
        </w:rPr>
        <w:br/>
      </w:r>
      <w:r>
        <w:rPr>
          <w:rStyle w:val="eop"/>
          <w:rFonts w:cs="Calibri"/>
          <w:i/>
          <w:iCs/>
        </w:rPr>
        <w:br/>
      </w:r>
      <w:r>
        <w:rPr>
          <w:rStyle w:val="eop"/>
          <w:rFonts w:cs="Calibri"/>
          <w:i/>
          <w:iCs/>
        </w:rPr>
        <w:br/>
      </w:r>
      <w:r w:rsidR="28AB538D" w:rsidRPr="0706E3B8">
        <w:rPr>
          <w:rStyle w:val="eop"/>
          <w:rFonts w:cs="Calibri"/>
          <w:i/>
          <w:iCs/>
        </w:rPr>
        <w:t xml:space="preserve">Figure 1 – </w:t>
      </w:r>
      <w:r w:rsidR="28AB538D" w:rsidRPr="454C5BD1">
        <w:rPr>
          <w:rStyle w:val="eop"/>
          <w:rFonts w:cs="Calibri"/>
          <w:i/>
          <w:iCs/>
        </w:rPr>
        <w:t>Non</w:t>
      </w:r>
      <w:r w:rsidR="28AB538D" w:rsidRPr="0706E3B8">
        <w:rPr>
          <w:rStyle w:val="eop"/>
          <w:rFonts w:cs="Calibri"/>
          <w:i/>
          <w:iCs/>
        </w:rPr>
        <w:t>-exhaustive list – multi-factor test</w:t>
      </w:r>
    </w:p>
    <w:p w14:paraId="2A7AD76D" w14:textId="16D9B976" w:rsidR="00B76A34" w:rsidRDefault="00B76A34" w:rsidP="00B76A34">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24291E41" wp14:editId="64BF3824">
            <wp:extent cx="5759450" cy="2997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2997835"/>
                    </a:xfrm>
                    <a:prstGeom prst="rect">
                      <a:avLst/>
                    </a:prstGeom>
                    <a:noFill/>
                    <a:ln>
                      <a:noFill/>
                    </a:ln>
                  </pic:spPr>
                </pic:pic>
              </a:graphicData>
            </a:graphic>
          </wp:inline>
        </w:drawing>
      </w:r>
      <w:r>
        <w:rPr>
          <w:rStyle w:val="eop"/>
          <w:rFonts w:eastAsiaTheme="majorEastAsia" w:cs="Calibri"/>
          <w:sz w:val="22"/>
          <w:szCs w:val="22"/>
        </w:rPr>
        <w:t> </w:t>
      </w:r>
    </w:p>
    <w:p w14:paraId="3AF27B58" w14:textId="7C6F2B75" w:rsidR="00333065" w:rsidRPr="00135773" w:rsidRDefault="008412ED" w:rsidP="00B24456">
      <w:pPr>
        <w:rPr>
          <w:i/>
          <w:iCs/>
        </w:rPr>
      </w:pPr>
      <w:r>
        <w:t>Th</w:t>
      </w:r>
      <w:r w:rsidR="00543021">
        <w:t xml:space="preserve">e </w:t>
      </w:r>
      <w:r w:rsidR="00684B3F">
        <w:t xml:space="preserve">decisions in </w:t>
      </w:r>
      <w:r w:rsidR="00B91061">
        <w:rPr>
          <w:i/>
          <w:iCs/>
        </w:rPr>
        <w:t xml:space="preserve">Jamsek </w:t>
      </w:r>
      <w:r w:rsidR="00B91061">
        <w:t xml:space="preserve">and </w:t>
      </w:r>
      <w:r w:rsidR="00B91061">
        <w:rPr>
          <w:i/>
          <w:iCs/>
        </w:rPr>
        <w:t xml:space="preserve">Personnel Contracting </w:t>
      </w:r>
      <w:r w:rsidR="00DA36CE" w:rsidRPr="00F9171A">
        <w:t>most significantly impact</w:t>
      </w:r>
      <w:r w:rsidR="009A28D7" w:rsidRPr="00F9171A">
        <w:t xml:space="preserve"> those workers who, prior to these two decisions,</w:t>
      </w:r>
      <w:r w:rsidR="009A28D7">
        <w:rPr>
          <w:i/>
          <w:iCs/>
        </w:rPr>
        <w:t xml:space="preserve"> </w:t>
      </w:r>
      <w:r w:rsidR="00B91061">
        <w:t xml:space="preserve">were </w:t>
      </w:r>
      <w:r w:rsidR="00990782">
        <w:t xml:space="preserve">on the </w:t>
      </w:r>
      <w:r w:rsidR="693F6A76">
        <w:t>border</w:t>
      </w:r>
      <w:r w:rsidR="00990782">
        <w:t xml:space="preserve"> </w:t>
      </w:r>
      <w:r w:rsidR="00333065">
        <w:t>between employment and independent contracting</w:t>
      </w:r>
      <w:r w:rsidR="007F7830">
        <w:t>. These workers are more likely to be those</w:t>
      </w:r>
      <w:r w:rsidR="003D3F62">
        <w:t xml:space="preserve"> w</w:t>
      </w:r>
      <w:r w:rsidR="00C72938">
        <w:t>ith low bargaining power</w:t>
      </w:r>
      <w:r w:rsidR="00333065">
        <w:t xml:space="preserve"> who do not genuinely run their own business</w:t>
      </w:r>
      <w:r w:rsidR="00F96143">
        <w:t xml:space="preserve">. </w:t>
      </w:r>
      <w:r w:rsidR="00F33D13">
        <w:t xml:space="preserve">As a result of the contract-centric approach espoused in </w:t>
      </w:r>
      <w:r w:rsidR="00F33D13" w:rsidRPr="00F9171A">
        <w:rPr>
          <w:i/>
        </w:rPr>
        <w:t>Jamsek</w:t>
      </w:r>
      <w:r w:rsidR="00F33D13">
        <w:t xml:space="preserve"> an</w:t>
      </w:r>
      <w:r w:rsidR="00137587">
        <w:t>d</w:t>
      </w:r>
      <w:r w:rsidR="00F33D13">
        <w:t xml:space="preserve"> </w:t>
      </w:r>
      <w:r w:rsidR="00F33D13" w:rsidRPr="00F9171A">
        <w:rPr>
          <w:i/>
        </w:rPr>
        <w:t>Personnel</w:t>
      </w:r>
      <w:r w:rsidR="00F33D13">
        <w:t xml:space="preserve"> </w:t>
      </w:r>
      <w:r w:rsidR="00F33D13" w:rsidRPr="00F9171A">
        <w:rPr>
          <w:i/>
        </w:rPr>
        <w:t>Contracting</w:t>
      </w:r>
      <w:r w:rsidR="00F33D13">
        <w:t>, these workers</w:t>
      </w:r>
      <w:r w:rsidR="00333065" w:rsidDel="00F33D13">
        <w:t xml:space="preserve"> </w:t>
      </w:r>
      <w:r w:rsidR="00333065">
        <w:t xml:space="preserve">are </w:t>
      </w:r>
      <w:r w:rsidR="00EE1B75">
        <w:t xml:space="preserve">now </w:t>
      </w:r>
      <w:r w:rsidR="00333065">
        <w:t xml:space="preserve">more likely to be found to be independent contractors than under the </w:t>
      </w:r>
      <w:r w:rsidR="00F33D13">
        <w:t xml:space="preserve">multi-factorial test </w:t>
      </w:r>
      <w:r w:rsidR="00333065">
        <w:t>previous</w:t>
      </w:r>
      <w:r w:rsidR="00F33D13">
        <w:t xml:space="preserve">ly </w:t>
      </w:r>
      <w:r w:rsidR="005B260A">
        <w:t>applied</w:t>
      </w:r>
      <w:r w:rsidR="00135773">
        <w:rPr>
          <w:i/>
          <w:iCs/>
        </w:rPr>
        <w:t xml:space="preserve">. </w:t>
      </w:r>
    </w:p>
    <w:p w14:paraId="3D7C06A6" w14:textId="22AD89CD" w:rsidR="00973C6D" w:rsidRPr="00BA72B4" w:rsidRDefault="00973C6D" w:rsidP="00F60F5C">
      <w:pPr>
        <w:pStyle w:val="Heading3"/>
      </w:pPr>
      <w:bookmarkStart w:id="22" w:name="_Toc139295533"/>
      <w:r w:rsidRPr="00BA72B4">
        <w:t xml:space="preserve">The Independent </w:t>
      </w:r>
      <w:r w:rsidRPr="00D41E0D">
        <w:rPr>
          <w:szCs w:val="20"/>
        </w:rPr>
        <w:t>Contractors</w:t>
      </w:r>
      <w:r w:rsidRPr="00BA72B4">
        <w:t xml:space="preserve"> Act</w:t>
      </w:r>
      <w:r w:rsidR="00E939A5" w:rsidRPr="00BA72B4">
        <w:t xml:space="preserve"> regulates </w:t>
      </w:r>
      <w:r w:rsidR="007053B2" w:rsidRPr="00BA72B4">
        <w:t>independent contractors</w:t>
      </w:r>
      <w:bookmarkEnd w:id="22"/>
      <w:r w:rsidR="00AA4043" w:rsidRPr="00BA72B4">
        <w:t xml:space="preserve"> </w:t>
      </w:r>
    </w:p>
    <w:p w14:paraId="0C296B29" w14:textId="4D49989C" w:rsidR="00932A1D" w:rsidRDefault="00103095" w:rsidP="0045178F">
      <w:pPr>
        <w:rPr>
          <w:rStyle w:val="normaltextrun"/>
          <w:rFonts w:ascii="Calibri" w:hAnsi="Calibri" w:cs="Calibri"/>
          <w:color w:val="000000"/>
          <w:shd w:val="clear" w:color="auto" w:fill="FFFFFF"/>
        </w:rPr>
      </w:pPr>
      <w:r>
        <w:t xml:space="preserve">The Independent Contractors Act applies to </w:t>
      </w:r>
      <w:r w:rsidRPr="00A51A7F">
        <w:t>services contracts</w:t>
      </w:r>
      <w:r>
        <w:t xml:space="preserve"> to which an independent contractor is a party, if the </w:t>
      </w:r>
      <w:r w:rsidRPr="00A51A7F">
        <w:t>contract relates to the performance of work by the independent contractor</w:t>
      </w:r>
      <w:r>
        <w:t>.</w:t>
      </w:r>
      <w:r w:rsidR="00497874">
        <w:t xml:space="preserve"> </w:t>
      </w:r>
      <w:r w:rsidR="00F61E3B">
        <w:rPr>
          <w:rStyle w:val="normaltextrun"/>
          <w:rFonts w:ascii="Calibri" w:hAnsi="Calibri" w:cs="Calibri"/>
          <w:color w:val="000000"/>
          <w:shd w:val="clear" w:color="auto" w:fill="FFFFFF"/>
        </w:rPr>
        <w:t>The Act broadly operates to:</w:t>
      </w:r>
    </w:p>
    <w:p w14:paraId="6E1AECBD" w14:textId="758ACBE7" w:rsidR="00F61E3B" w:rsidRDefault="00BF2F39" w:rsidP="00E5309D">
      <w:pPr>
        <w:pStyle w:val="ListParagraph"/>
        <w:numPr>
          <w:ilvl w:val="0"/>
          <w:numId w:val="85"/>
        </w:numPr>
        <w:spacing w:line="276" w:lineRule="auto"/>
        <w:ind w:left="714" w:hanging="357"/>
        <w:contextualSpacing w:val="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e</w:t>
      </w:r>
      <w:r w:rsidR="00F61E3B">
        <w:rPr>
          <w:rStyle w:val="normaltextrun"/>
          <w:rFonts w:ascii="Calibri" w:hAnsi="Calibri" w:cs="Calibri"/>
          <w:color w:val="000000"/>
          <w:shd w:val="clear" w:color="auto" w:fill="FFFFFF"/>
        </w:rPr>
        <w:t xml:space="preserve">xclude </w:t>
      </w:r>
      <w:r w:rsidR="00F61E3B" w:rsidRPr="00D84FE2">
        <w:rPr>
          <w:rStyle w:val="normaltextrun"/>
          <w:color w:val="262626" w:themeColor="text1" w:themeTint="D9"/>
        </w:rPr>
        <w:t>certain</w:t>
      </w:r>
      <w:r w:rsidR="00F61E3B">
        <w:rPr>
          <w:rStyle w:val="normaltextrun"/>
          <w:rFonts w:ascii="Calibri" w:hAnsi="Calibri" w:cs="Calibri"/>
          <w:color w:val="000000"/>
          <w:shd w:val="clear" w:color="auto" w:fill="FFFFFF"/>
        </w:rPr>
        <w:t xml:space="preserve"> state and </w:t>
      </w:r>
      <w:r w:rsidR="00F61E3B" w:rsidRPr="00D84FE2">
        <w:rPr>
          <w:rStyle w:val="normaltextrun"/>
          <w:color w:val="262626" w:themeColor="text1" w:themeTint="D9"/>
        </w:rPr>
        <w:t>territory</w:t>
      </w:r>
      <w:r w:rsidR="00F61E3B">
        <w:rPr>
          <w:rStyle w:val="normaltextrun"/>
          <w:rFonts w:ascii="Calibri" w:hAnsi="Calibri" w:cs="Calibri"/>
          <w:color w:val="000000"/>
          <w:shd w:val="clear" w:color="auto" w:fill="FFFFFF"/>
        </w:rPr>
        <w:t xml:space="preserve"> laws (Part 2)</w:t>
      </w:r>
    </w:p>
    <w:p w14:paraId="40665E3D" w14:textId="4057664A" w:rsidR="00F61E3B" w:rsidRPr="00F61E3B" w:rsidRDefault="00BF2F39" w:rsidP="00E5309D">
      <w:pPr>
        <w:pStyle w:val="ListParagraph"/>
        <w:numPr>
          <w:ilvl w:val="0"/>
          <w:numId w:val="85"/>
        </w:numPr>
        <w:spacing w:line="276" w:lineRule="auto"/>
        <w:ind w:left="714" w:hanging="357"/>
        <w:contextualSpacing w:val="0"/>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s</w:t>
      </w:r>
      <w:r w:rsidR="00B7344E">
        <w:rPr>
          <w:rStyle w:val="normaltextrun"/>
          <w:rFonts w:ascii="Calibri" w:hAnsi="Calibri" w:cs="Calibri"/>
          <w:color w:val="000000"/>
          <w:shd w:val="clear" w:color="auto" w:fill="FFFFFF"/>
        </w:rPr>
        <w:t xml:space="preserve">et out protections from </w:t>
      </w:r>
      <w:r w:rsidR="00B7344E" w:rsidRPr="00D84FE2">
        <w:rPr>
          <w:rStyle w:val="normaltextrun"/>
          <w:color w:val="262626" w:themeColor="text1" w:themeTint="D9"/>
        </w:rPr>
        <w:t>unfair</w:t>
      </w:r>
      <w:r w:rsidR="00B7344E">
        <w:rPr>
          <w:rStyle w:val="normaltextrun"/>
          <w:rFonts w:ascii="Calibri" w:hAnsi="Calibri" w:cs="Calibri"/>
          <w:color w:val="000000"/>
          <w:shd w:val="clear" w:color="auto" w:fill="FFFFFF"/>
        </w:rPr>
        <w:t xml:space="preserve"> contracts (Part 3). </w:t>
      </w:r>
    </w:p>
    <w:p w14:paraId="163406E0" w14:textId="702909CE" w:rsidR="00310F11" w:rsidRDefault="00310F11" w:rsidP="00310F11">
      <w:r>
        <w:t xml:space="preserve">The remaining provisions of the Act set out preliminary matters (Part 1), transitional </w:t>
      </w:r>
      <w:r w:rsidR="000F75A2">
        <w:t xml:space="preserve">provisions </w:t>
      </w:r>
      <w:r w:rsidR="00266FE5">
        <w:br/>
      </w:r>
      <w:r w:rsidR="000F75A2">
        <w:t>(Part 5)</w:t>
      </w:r>
      <w:r>
        <w:t xml:space="preserve"> and regulation-making powers</w:t>
      </w:r>
      <w:r w:rsidR="000F75A2">
        <w:t xml:space="preserve"> (Part 6)</w:t>
      </w:r>
      <w:r w:rsidR="00B4691D">
        <w:t xml:space="preserve">. </w:t>
      </w:r>
    </w:p>
    <w:p w14:paraId="159255C4" w14:textId="20221BC0" w:rsidR="0045178F" w:rsidRDefault="00623F58" w:rsidP="0045178F">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Explanatory Memorandum to the Independent Contractors Bill 2006 states that the legislation aims to </w:t>
      </w:r>
      <w:r w:rsidR="005478A6">
        <w:rPr>
          <w:rStyle w:val="normaltextrun"/>
          <w:rFonts w:ascii="Calibri" w:hAnsi="Calibri" w:cs="Calibri"/>
          <w:color w:val="000000"/>
          <w:shd w:val="clear" w:color="auto" w:fill="FFFFFF"/>
        </w:rPr>
        <w:t>‘</w:t>
      </w:r>
      <w:r w:rsidRPr="004B4F63">
        <w:t>enshrine</w:t>
      </w:r>
      <w:r>
        <w:rPr>
          <w:rStyle w:val="normaltextrun"/>
          <w:rFonts w:ascii="Calibri" w:hAnsi="Calibri" w:cs="Calibri"/>
          <w:color w:val="000000"/>
          <w:shd w:val="clear" w:color="auto" w:fill="FFFFFF"/>
        </w:rPr>
        <w:t xml:space="preserve"> the freedom of independent contractors to enter into arrangements that are primarily commercial relationships, free from prescriptive workplace relations regulation</w:t>
      </w:r>
      <w:r w:rsidR="00BB00A2">
        <w:rPr>
          <w:rStyle w:val="normaltextrun"/>
          <w:rFonts w:ascii="Calibri" w:hAnsi="Calibri" w:cs="Calibri"/>
          <w:color w:val="000000"/>
          <w:shd w:val="clear" w:color="auto" w:fill="FFFFFF"/>
        </w:rPr>
        <w:t>.</w:t>
      </w:r>
      <w:r w:rsidR="005478A6">
        <w:rPr>
          <w:rStyle w:val="normaltextrun"/>
          <w:rFonts w:ascii="Calibri" w:hAnsi="Calibri" w:cs="Calibri"/>
          <w:color w:val="000000"/>
          <w:shd w:val="clear" w:color="auto" w:fill="FFFFFF"/>
        </w:rPr>
        <w:t>’</w:t>
      </w:r>
      <w:r w:rsidR="00BB00A2">
        <w:rPr>
          <w:rStyle w:val="FootnoteReference"/>
          <w:rFonts w:ascii="Calibri" w:hAnsi="Calibri" w:cs="Calibri"/>
          <w:color w:val="000000"/>
          <w:shd w:val="clear" w:color="auto" w:fill="FFFFFF"/>
        </w:rPr>
        <w:footnoteReference w:id="49"/>
      </w:r>
      <w:r>
        <w:rPr>
          <w:rStyle w:val="normaltextrun"/>
          <w:rFonts w:ascii="Calibri" w:hAnsi="Calibri" w:cs="Calibri"/>
          <w:color w:val="000000"/>
          <w:shd w:val="clear" w:color="auto" w:fill="FFFFFF"/>
        </w:rPr>
        <w:t xml:space="preserve"> This was a departure from previous federal and state arrangements</w:t>
      </w:r>
      <w:r w:rsidR="04A13583" w:rsidRPr="576DC382">
        <w:rPr>
          <w:rStyle w:val="normaltextrun"/>
          <w:rFonts w:ascii="Calibri" w:hAnsi="Calibri" w:cs="Calibri"/>
          <w:color w:val="000000" w:themeColor="text1"/>
        </w:rPr>
        <w:t>,</w:t>
      </w:r>
      <w:r>
        <w:rPr>
          <w:rStyle w:val="normaltextrun"/>
          <w:rFonts w:ascii="Calibri" w:hAnsi="Calibri" w:cs="Calibri"/>
          <w:color w:val="000000"/>
          <w:shd w:val="clear" w:color="auto" w:fill="FFFFFF"/>
        </w:rPr>
        <w:t xml:space="preserve"> which provided unfair contract protections to independent contractors within workplace relations legislation.</w:t>
      </w:r>
    </w:p>
    <w:p w14:paraId="236988B0" w14:textId="05CCA25A" w:rsidR="00B96B82" w:rsidRDefault="00912D35" w:rsidP="00F60F5C">
      <w:pPr>
        <w:pStyle w:val="Heading3"/>
        <w:rPr>
          <w:lang w:val="en-GB"/>
        </w:rPr>
      </w:pPr>
      <w:bookmarkStart w:id="23" w:name="_Toc139295534"/>
      <w:r>
        <w:rPr>
          <w:lang w:val="en-GB"/>
        </w:rPr>
        <w:t>Independent contractors can access limited dispute resolution about workplace issues</w:t>
      </w:r>
      <w:bookmarkEnd w:id="23"/>
      <w:r>
        <w:rPr>
          <w:lang w:val="en-GB"/>
        </w:rPr>
        <w:t xml:space="preserve"> </w:t>
      </w:r>
    </w:p>
    <w:p w14:paraId="65D24E56" w14:textId="437772D7" w:rsidR="00AF69CD" w:rsidRPr="00BF4820" w:rsidRDefault="00A913BF" w:rsidP="00AF69CD">
      <w:pPr>
        <w:rPr>
          <w:lang w:val="en-GB"/>
        </w:rPr>
      </w:pPr>
      <w:r>
        <w:t xml:space="preserve">Disputes can arise between independent contractors and </w:t>
      </w:r>
      <w:r w:rsidR="00894FA4">
        <w:t xml:space="preserve">the entities that engage them </w:t>
      </w:r>
      <w:r w:rsidR="00572EC0">
        <w:t xml:space="preserve">over workplace matters. </w:t>
      </w:r>
      <w:r w:rsidR="00B67656">
        <w:t xml:space="preserve">For disputes about unfair contractual terms </w:t>
      </w:r>
      <w:r w:rsidR="00AF69CD">
        <w:t xml:space="preserve">in </w:t>
      </w:r>
      <w:r w:rsidR="4B6F47B4">
        <w:t>a</w:t>
      </w:r>
      <w:r w:rsidR="00AF69CD">
        <w:t xml:space="preserve"> services contract, </w:t>
      </w:r>
      <w:r w:rsidR="000355DF">
        <w:t>independent</w:t>
      </w:r>
      <w:r w:rsidR="00AF69CD">
        <w:rPr>
          <w:lang w:val="en-GB"/>
        </w:rPr>
        <w:t xml:space="preserve"> contractors </w:t>
      </w:r>
      <w:r w:rsidR="2109195E" w:rsidRPr="0351E3F5">
        <w:rPr>
          <w:lang w:val="en-GB"/>
        </w:rPr>
        <w:t xml:space="preserve">currently </w:t>
      </w:r>
      <w:r w:rsidR="00AF69CD">
        <w:rPr>
          <w:lang w:val="en-GB"/>
        </w:rPr>
        <w:t xml:space="preserve">have access to two Commonwealth unfair contracts jurisdictions under the Independent Contractors Act and the Australian Consumer Law. </w:t>
      </w:r>
      <w:r w:rsidR="00F44D0C">
        <w:rPr>
          <w:lang w:val="en-GB"/>
        </w:rPr>
        <w:t>Common law contractual remedies</w:t>
      </w:r>
      <w:r w:rsidR="00AF69CD">
        <w:rPr>
          <w:lang w:val="en-GB"/>
        </w:rPr>
        <w:t xml:space="preserve"> </w:t>
      </w:r>
      <w:r w:rsidR="00F44D0C">
        <w:rPr>
          <w:lang w:val="en-GB"/>
        </w:rPr>
        <w:t>and equitable remedies may also apply.</w:t>
      </w:r>
    </w:p>
    <w:p w14:paraId="1705710B" w14:textId="41E120DA" w:rsidR="00E57250" w:rsidRPr="00BA72B4" w:rsidRDefault="00E57250" w:rsidP="00D41E0D">
      <w:pPr>
        <w:pStyle w:val="Heading4"/>
        <w:spacing w:after="200"/>
        <w:rPr>
          <w:sz w:val="22"/>
          <w:szCs w:val="18"/>
          <w:lang w:val="en-GB"/>
        </w:rPr>
      </w:pPr>
      <w:r w:rsidRPr="00BA72B4">
        <w:rPr>
          <w:sz w:val="22"/>
          <w:szCs w:val="18"/>
          <w:lang w:val="en-GB"/>
        </w:rPr>
        <w:t>Independent Contractors Act</w:t>
      </w:r>
    </w:p>
    <w:p w14:paraId="5D78D6CF" w14:textId="61538139" w:rsidR="007053B2" w:rsidRDefault="00662631" w:rsidP="007053B2">
      <w:pPr>
        <w:rPr>
          <w:rFonts w:ascii="Calibri" w:eastAsia="Calibri" w:hAnsi="Calibri" w:cs="Calibri"/>
          <w:lang w:val="en-GB"/>
        </w:rPr>
      </w:pPr>
      <w:r>
        <w:rPr>
          <w:rFonts w:ascii="Calibri" w:eastAsia="Calibri" w:hAnsi="Calibri" w:cs="Calibri"/>
          <w:lang w:val="en-GB"/>
        </w:rPr>
        <w:t xml:space="preserve">Under </w:t>
      </w:r>
      <w:r w:rsidR="005653E5">
        <w:rPr>
          <w:rFonts w:ascii="Calibri" w:eastAsia="Calibri" w:hAnsi="Calibri" w:cs="Calibri"/>
          <w:lang w:val="en-GB"/>
        </w:rPr>
        <w:t>Part 3 of the Independent Contractors Act</w:t>
      </w:r>
      <w:r>
        <w:rPr>
          <w:rFonts w:ascii="Calibri" w:eastAsia="Calibri" w:hAnsi="Calibri" w:cs="Calibri"/>
          <w:lang w:val="en-GB"/>
        </w:rPr>
        <w:t xml:space="preserve">, </w:t>
      </w:r>
      <w:r w:rsidR="0045178F" w:rsidRPr="0045178F">
        <w:rPr>
          <w:rFonts w:ascii="Calibri" w:eastAsia="Calibri" w:hAnsi="Calibri" w:cs="Calibri"/>
          <w:lang w:val="en-GB"/>
        </w:rPr>
        <w:t xml:space="preserve">independent contractors </w:t>
      </w:r>
      <w:r>
        <w:rPr>
          <w:rFonts w:ascii="Calibri" w:eastAsia="Calibri" w:hAnsi="Calibri" w:cs="Calibri"/>
          <w:lang w:val="en-GB"/>
        </w:rPr>
        <w:t>can</w:t>
      </w:r>
      <w:r w:rsidR="0045178F" w:rsidRPr="0045178F">
        <w:rPr>
          <w:rFonts w:ascii="Calibri" w:eastAsia="Calibri" w:hAnsi="Calibri" w:cs="Calibri"/>
          <w:lang w:val="en-GB"/>
        </w:rPr>
        <w:t xml:space="preserve"> apply to the </w:t>
      </w:r>
      <w:r w:rsidR="00F262D3">
        <w:rPr>
          <w:rFonts w:ascii="Calibri" w:eastAsia="Calibri" w:hAnsi="Calibri" w:cs="Calibri"/>
          <w:lang w:val="en-GB"/>
        </w:rPr>
        <w:t>c</w:t>
      </w:r>
      <w:r w:rsidR="0045178F" w:rsidRPr="0045178F">
        <w:rPr>
          <w:rFonts w:ascii="Calibri" w:eastAsia="Calibri" w:hAnsi="Calibri" w:cs="Calibri"/>
          <w:lang w:val="en-GB"/>
        </w:rPr>
        <w:t xml:space="preserve">ourt to review a </w:t>
      </w:r>
      <w:r w:rsidR="0045178F" w:rsidRPr="004B4F63">
        <w:t>contract</w:t>
      </w:r>
      <w:r w:rsidR="0045178F" w:rsidRPr="0045178F">
        <w:rPr>
          <w:rFonts w:ascii="Calibri" w:eastAsia="Calibri" w:hAnsi="Calibri" w:cs="Calibri"/>
          <w:lang w:val="en-GB"/>
        </w:rPr>
        <w:t xml:space="preserve"> for services on the grounds that it is ‘unfair’ or ‘harsh’. If the court determines that a term is unfair</w:t>
      </w:r>
      <w:r w:rsidR="00125688">
        <w:rPr>
          <w:rFonts w:ascii="Calibri" w:eastAsia="Calibri" w:hAnsi="Calibri" w:cs="Calibri"/>
          <w:lang w:val="en-GB"/>
        </w:rPr>
        <w:t xml:space="preserve"> or harsh</w:t>
      </w:r>
      <w:r w:rsidR="0045178F" w:rsidRPr="0045178F">
        <w:rPr>
          <w:rFonts w:ascii="Calibri" w:eastAsia="Calibri" w:hAnsi="Calibri" w:cs="Calibri"/>
          <w:lang w:val="en-GB"/>
        </w:rPr>
        <w:t xml:space="preserve">, </w:t>
      </w:r>
      <w:r w:rsidR="00FC662F">
        <w:rPr>
          <w:rFonts w:ascii="Calibri" w:eastAsia="Calibri" w:hAnsi="Calibri" w:cs="Calibri"/>
          <w:lang w:val="en-GB"/>
        </w:rPr>
        <w:t xml:space="preserve">it can </w:t>
      </w:r>
      <w:r w:rsidR="006379BA">
        <w:rPr>
          <w:rFonts w:ascii="Calibri" w:eastAsia="Calibri" w:hAnsi="Calibri" w:cs="Calibri"/>
          <w:lang w:val="en-GB"/>
        </w:rPr>
        <w:t>make an order setting</w:t>
      </w:r>
      <w:r w:rsidR="0045178F" w:rsidRPr="0045178F">
        <w:rPr>
          <w:rFonts w:ascii="Calibri" w:eastAsia="Calibri" w:hAnsi="Calibri" w:cs="Calibri"/>
          <w:lang w:val="en-GB"/>
        </w:rPr>
        <w:t xml:space="preserve"> aside or varying the contract. </w:t>
      </w:r>
    </w:p>
    <w:p w14:paraId="4BEEB542" w14:textId="5581B018" w:rsidR="00B801B9" w:rsidRDefault="00631E4F" w:rsidP="007053B2">
      <w:pPr>
        <w:rPr>
          <w:rFonts w:ascii="Calibri" w:eastAsia="Calibri" w:hAnsi="Calibri" w:cs="Calibri"/>
          <w:lang w:val="en-GB"/>
        </w:rPr>
      </w:pPr>
      <w:r>
        <w:rPr>
          <w:rFonts w:ascii="Calibri" w:eastAsia="Calibri" w:hAnsi="Calibri" w:cs="Calibri"/>
          <w:lang w:val="en-GB"/>
        </w:rPr>
        <w:t>T</w:t>
      </w:r>
      <w:r w:rsidR="005039C1">
        <w:rPr>
          <w:rFonts w:ascii="Calibri" w:eastAsia="Calibri" w:hAnsi="Calibri" w:cs="Calibri"/>
          <w:lang w:val="en-GB"/>
        </w:rPr>
        <w:t xml:space="preserve">he </w:t>
      </w:r>
      <w:r w:rsidR="005039C1" w:rsidRPr="004B4F63">
        <w:t>Independent</w:t>
      </w:r>
      <w:r w:rsidR="005039C1">
        <w:rPr>
          <w:rFonts w:ascii="Calibri" w:eastAsia="Calibri" w:hAnsi="Calibri" w:cs="Calibri"/>
          <w:lang w:val="en-GB"/>
        </w:rPr>
        <w:t xml:space="preserve"> Contractors Act provides that an ‘unfairness ground’ in relation to a services contrac</w:t>
      </w:r>
      <w:r>
        <w:rPr>
          <w:rFonts w:ascii="Calibri" w:eastAsia="Calibri" w:hAnsi="Calibri" w:cs="Calibri"/>
          <w:lang w:val="en-GB"/>
        </w:rPr>
        <w:t xml:space="preserve">t includes circumstances where ‘the contract provides for remuneration at a rate that is, or is likely to be, less than the rate of remuneration for an employee performing similar work’. </w:t>
      </w:r>
      <w:r w:rsidR="002028C5">
        <w:rPr>
          <w:rFonts w:ascii="Calibri" w:eastAsia="Calibri" w:hAnsi="Calibri" w:cs="Calibri"/>
          <w:lang w:val="en-GB"/>
        </w:rPr>
        <w:t>However, these provisions have n</w:t>
      </w:r>
      <w:r w:rsidR="00F73F1B">
        <w:rPr>
          <w:rFonts w:ascii="Calibri" w:eastAsia="Calibri" w:hAnsi="Calibri" w:cs="Calibri"/>
          <w:lang w:val="en-GB"/>
        </w:rPr>
        <w:t xml:space="preserve">ot been successful in ensuring that </w:t>
      </w:r>
      <w:r w:rsidR="005637D4">
        <w:rPr>
          <w:rFonts w:ascii="Calibri" w:eastAsia="Calibri" w:hAnsi="Calibri" w:cs="Calibri"/>
          <w:lang w:val="en-GB"/>
        </w:rPr>
        <w:t xml:space="preserve">employee-like workers within the scope of the </w:t>
      </w:r>
      <w:r w:rsidR="005637D4" w:rsidRPr="004B4F63">
        <w:t>proposed</w:t>
      </w:r>
      <w:r w:rsidR="005637D4">
        <w:rPr>
          <w:rFonts w:ascii="Calibri" w:eastAsia="Calibri" w:hAnsi="Calibri" w:cs="Calibri"/>
          <w:lang w:val="en-GB"/>
        </w:rPr>
        <w:t xml:space="preserve"> measures receive </w:t>
      </w:r>
      <w:r w:rsidR="00A848D7">
        <w:rPr>
          <w:rFonts w:ascii="Calibri" w:eastAsia="Calibri" w:hAnsi="Calibri" w:cs="Calibri"/>
          <w:lang w:val="en-GB"/>
        </w:rPr>
        <w:t xml:space="preserve">remuneration at rates that an employee performing similar work would receive. </w:t>
      </w:r>
    </w:p>
    <w:p w14:paraId="5DE463B4" w14:textId="4B524AA8" w:rsidR="00D117E8" w:rsidRPr="00F9171A" w:rsidRDefault="00D117E8" w:rsidP="007053B2">
      <w:pPr>
        <w:rPr>
          <w:rFonts w:ascii="Calibri" w:hAnsi="Calibri" w:cs="Calibri"/>
          <w:color w:val="000000"/>
          <w:shd w:val="clear" w:color="auto" w:fill="FFFFFF"/>
        </w:rPr>
      </w:pPr>
      <w:r w:rsidRPr="000D0DB7">
        <w:rPr>
          <w:rStyle w:val="normaltextrun"/>
          <w:rFonts w:ascii="Calibri" w:hAnsi="Calibri" w:cs="Calibri"/>
          <w:color w:val="000000"/>
          <w:shd w:val="clear" w:color="auto" w:fill="FFFFFF"/>
        </w:rPr>
        <w:t xml:space="preserve">Recent </w:t>
      </w:r>
      <w:r w:rsidRPr="004B4F63">
        <w:t>data</w:t>
      </w:r>
      <w:r w:rsidRPr="000D0DB7">
        <w:rPr>
          <w:rStyle w:val="normaltextrun"/>
          <w:rFonts w:ascii="Calibri" w:hAnsi="Calibri" w:cs="Calibri"/>
          <w:color w:val="000000"/>
          <w:shd w:val="clear" w:color="auto" w:fill="FFFFFF"/>
        </w:rPr>
        <w:t xml:space="preserve"> from the Federal Court of Australia indicates that, as at 27 April 2023, there have been 6</w:t>
      </w:r>
      <w:r>
        <w:rPr>
          <w:rStyle w:val="normaltextrun"/>
          <w:rFonts w:ascii="Calibri" w:hAnsi="Calibri" w:cs="Calibri"/>
          <w:color w:val="000000"/>
          <w:shd w:val="clear" w:color="auto" w:fill="FFFFFF"/>
        </w:rPr>
        <w:t>8</w:t>
      </w:r>
      <w:r w:rsidRPr="000D0DB7">
        <w:rPr>
          <w:rStyle w:val="normaltextrun"/>
          <w:rFonts w:ascii="Calibri" w:hAnsi="Calibri" w:cs="Calibri"/>
          <w:color w:val="000000"/>
          <w:shd w:val="clear" w:color="auto" w:fill="FFFFFF"/>
        </w:rPr>
        <w:t xml:space="preserve"> applications </w:t>
      </w:r>
      <w:r w:rsidR="00EF3E2F">
        <w:rPr>
          <w:rStyle w:val="normaltextrun"/>
          <w:rFonts w:ascii="Calibri" w:hAnsi="Calibri" w:cs="Calibri"/>
          <w:color w:val="000000"/>
          <w:shd w:val="clear" w:color="auto" w:fill="FFFFFF"/>
        </w:rPr>
        <w:t xml:space="preserve">to dispute an unfair contract term </w:t>
      </w:r>
      <w:r w:rsidRPr="000D0DB7">
        <w:rPr>
          <w:rStyle w:val="normaltextrun"/>
          <w:rFonts w:ascii="Calibri" w:hAnsi="Calibri" w:cs="Calibri"/>
          <w:color w:val="000000"/>
          <w:shd w:val="clear" w:color="auto" w:fill="FFFFFF"/>
        </w:rPr>
        <w:t>made under section 12 of the I</w:t>
      </w:r>
      <w:r w:rsidR="00913C4D">
        <w:rPr>
          <w:rStyle w:val="normaltextrun"/>
          <w:rFonts w:ascii="Calibri" w:hAnsi="Calibri" w:cs="Calibri"/>
          <w:color w:val="000000"/>
          <w:shd w:val="clear" w:color="auto" w:fill="FFFFFF"/>
        </w:rPr>
        <w:t>ndependent Contractors</w:t>
      </w:r>
      <w:r w:rsidRPr="000D0DB7">
        <w:rPr>
          <w:rStyle w:val="normaltextrun"/>
          <w:rFonts w:ascii="Calibri" w:hAnsi="Calibri" w:cs="Calibri"/>
          <w:color w:val="000000"/>
          <w:shd w:val="clear" w:color="auto" w:fill="FFFFFF"/>
        </w:rPr>
        <w:t xml:space="preserve"> Act since the commencement of that Ac</w:t>
      </w:r>
      <w:r>
        <w:rPr>
          <w:rStyle w:val="normaltextrun"/>
          <w:rFonts w:ascii="Calibri" w:hAnsi="Calibri" w:cs="Calibri"/>
          <w:color w:val="000000"/>
          <w:shd w:val="clear" w:color="auto" w:fill="FFFFFF"/>
        </w:rPr>
        <w:t>t. Only three applications have been successful or partially successful.</w:t>
      </w:r>
    </w:p>
    <w:p w14:paraId="494AE6FD" w14:textId="1A44D677" w:rsidR="00B76C2C" w:rsidRDefault="00B76C2C" w:rsidP="007053B2">
      <w:pPr>
        <w:rPr>
          <w:rFonts w:ascii="Calibri" w:eastAsia="Calibri" w:hAnsi="Calibri" w:cs="Calibri"/>
          <w:lang w:val="en-GB"/>
        </w:rPr>
      </w:pPr>
      <w:r>
        <w:rPr>
          <w:rFonts w:ascii="Calibri" w:eastAsia="Calibri" w:hAnsi="Calibri" w:cs="Calibri"/>
          <w:lang w:val="en-GB"/>
        </w:rPr>
        <w:t xml:space="preserve">In relation to digital platform workers, the Productivity Commission Inquiry noted that applicants to this </w:t>
      </w:r>
      <w:r w:rsidRPr="004B4F63">
        <w:t>jurisdiction</w:t>
      </w:r>
      <w:r>
        <w:rPr>
          <w:rFonts w:ascii="Calibri" w:eastAsia="Calibri" w:hAnsi="Calibri" w:cs="Calibri"/>
          <w:lang w:val="en-GB"/>
        </w:rPr>
        <w:t xml:space="preserve"> incur their own costs, and that digital platform workers are unlikely to have the financial resources or knowledge to access these provisions.</w:t>
      </w:r>
      <w:r>
        <w:rPr>
          <w:rStyle w:val="FootnoteReference"/>
          <w:rFonts w:ascii="Calibri" w:eastAsia="Calibri" w:hAnsi="Calibri" w:cs="Calibri"/>
          <w:lang w:val="en-GB"/>
        </w:rPr>
        <w:footnoteReference w:id="50"/>
      </w:r>
      <w:r>
        <w:rPr>
          <w:rFonts w:ascii="Calibri" w:eastAsia="Calibri" w:hAnsi="Calibri" w:cs="Calibri"/>
          <w:lang w:val="en-GB"/>
        </w:rPr>
        <w:t xml:space="preserve">  </w:t>
      </w:r>
    </w:p>
    <w:p w14:paraId="79B27751" w14:textId="5EFF1772" w:rsidR="00E57250" w:rsidRPr="006379BA" w:rsidRDefault="00E57250" w:rsidP="00D41E0D">
      <w:pPr>
        <w:pStyle w:val="Heading4"/>
        <w:spacing w:after="200"/>
        <w:rPr>
          <w:sz w:val="22"/>
          <w:szCs w:val="18"/>
          <w:lang w:val="en-GB"/>
        </w:rPr>
      </w:pPr>
      <w:r w:rsidRPr="006379BA">
        <w:rPr>
          <w:sz w:val="22"/>
          <w:szCs w:val="18"/>
          <w:lang w:val="en-GB"/>
        </w:rPr>
        <w:t>Australian Consumer Law</w:t>
      </w:r>
    </w:p>
    <w:p w14:paraId="2ADB3DC5" w14:textId="50D6F775" w:rsidR="00194CBD" w:rsidRDefault="00284107" w:rsidP="007A5D60">
      <w:pPr>
        <w:rPr>
          <w:rFonts w:ascii="Calibri" w:eastAsia="Calibri" w:hAnsi="Calibri" w:cs="Calibri"/>
          <w:lang w:val="en-GB"/>
        </w:rPr>
      </w:pPr>
      <w:r>
        <w:rPr>
          <w:rStyle w:val="normaltextrun"/>
          <w:rFonts w:ascii="Calibri" w:hAnsi="Calibri" w:cs="Calibri"/>
          <w:color w:val="000000"/>
          <w:shd w:val="clear" w:color="auto" w:fill="FFFFFF"/>
        </w:rPr>
        <w:t xml:space="preserve">The </w:t>
      </w:r>
      <w:r w:rsidR="00047FBE">
        <w:rPr>
          <w:rStyle w:val="normaltextrun"/>
          <w:rFonts w:ascii="Calibri" w:hAnsi="Calibri" w:cs="Calibri"/>
          <w:color w:val="000000"/>
          <w:shd w:val="clear" w:color="auto" w:fill="FFFFFF"/>
        </w:rPr>
        <w:t xml:space="preserve">Australian Consumer Law (Schedule 2, </w:t>
      </w:r>
      <w:r w:rsidR="00047FBE">
        <w:rPr>
          <w:rStyle w:val="normaltextrun"/>
          <w:rFonts w:ascii="Calibri" w:hAnsi="Calibri" w:cs="Calibri"/>
          <w:i/>
          <w:iCs/>
          <w:color w:val="000000"/>
          <w:shd w:val="clear" w:color="auto" w:fill="FFFFFF"/>
        </w:rPr>
        <w:t xml:space="preserve">Competition and Consumer Act 2010) </w:t>
      </w:r>
      <w:r w:rsidR="00047FBE">
        <w:rPr>
          <w:rStyle w:val="normaltextrun"/>
          <w:rFonts w:ascii="Calibri" w:hAnsi="Calibri" w:cs="Calibri"/>
          <w:color w:val="000000"/>
          <w:shd w:val="clear" w:color="auto" w:fill="FFFFFF"/>
        </w:rPr>
        <w:t>enable</w:t>
      </w:r>
      <w:r>
        <w:rPr>
          <w:rStyle w:val="normaltextrun"/>
          <w:rFonts w:ascii="Calibri" w:hAnsi="Calibri" w:cs="Calibri"/>
          <w:color w:val="000000"/>
          <w:shd w:val="clear" w:color="auto" w:fill="FFFFFF"/>
        </w:rPr>
        <w:t>s</w:t>
      </w:r>
      <w:r w:rsidR="00047FBE">
        <w:rPr>
          <w:rStyle w:val="normaltextrun"/>
          <w:rFonts w:ascii="Calibri" w:hAnsi="Calibri" w:cs="Calibri"/>
          <w:color w:val="000000"/>
          <w:shd w:val="clear" w:color="auto" w:fill="FFFFFF"/>
        </w:rPr>
        <w:t xml:space="preserve"> </w:t>
      </w:r>
      <w:r w:rsidR="00496FBD">
        <w:rPr>
          <w:rStyle w:val="normaltextrun"/>
          <w:rFonts w:ascii="Calibri" w:hAnsi="Calibri" w:cs="Calibri"/>
          <w:color w:val="000000"/>
          <w:shd w:val="clear" w:color="auto" w:fill="FFFFFF"/>
        </w:rPr>
        <w:t xml:space="preserve">small businesses (including </w:t>
      </w:r>
      <w:r w:rsidR="00047FBE">
        <w:rPr>
          <w:rStyle w:val="normaltextrun"/>
          <w:rFonts w:ascii="Calibri" w:hAnsi="Calibri" w:cs="Calibri"/>
          <w:color w:val="000000"/>
          <w:shd w:val="clear" w:color="auto" w:fill="FFFFFF"/>
        </w:rPr>
        <w:t>independent contractors</w:t>
      </w:r>
      <w:r w:rsidR="00496FBD">
        <w:rPr>
          <w:rStyle w:val="normaltextrun"/>
          <w:rFonts w:ascii="Calibri" w:hAnsi="Calibri" w:cs="Calibri"/>
          <w:color w:val="000000"/>
          <w:shd w:val="clear" w:color="auto" w:fill="FFFFFF"/>
        </w:rPr>
        <w:t>)</w:t>
      </w:r>
      <w:r w:rsidR="00047FBE">
        <w:rPr>
          <w:rStyle w:val="normaltextrun"/>
          <w:rFonts w:ascii="Calibri" w:hAnsi="Calibri" w:cs="Calibri"/>
          <w:color w:val="000000"/>
          <w:shd w:val="clear" w:color="auto" w:fill="FFFFFF"/>
        </w:rPr>
        <w:t xml:space="preserve"> to dispute unfair terms</w:t>
      </w:r>
      <w:r w:rsidR="00124FF5">
        <w:rPr>
          <w:rStyle w:val="normaltextrun"/>
          <w:rFonts w:ascii="Calibri" w:hAnsi="Calibri" w:cs="Calibri"/>
          <w:color w:val="000000"/>
          <w:shd w:val="clear" w:color="auto" w:fill="FFFFFF"/>
        </w:rPr>
        <w:t xml:space="preserve"> in standard form contracts</w:t>
      </w:r>
      <w:r w:rsidR="00047FBE">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w:t>
      </w:r>
      <w:r w:rsidR="001E1B0F">
        <w:rPr>
          <w:rStyle w:val="normaltextrun"/>
          <w:rFonts w:ascii="Calibri" w:hAnsi="Calibri" w:cs="Calibri"/>
          <w:color w:val="000000"/>
          <w:shd w:val="clear" w:color="auto" w:fill="FFFFFF"/>
        </w:rPr>
        <w:t>Unlike Part 3 of the Independent Contractors Act, t</w:t>
      </w:r>
      <w:r w:rsidR="00DE1B9E">
        <w:rPr>
          <w:rStyle w:val="normaltextrun"/>
          <w:rFonts w:ascii="Calibri" w:hAnsi="Calibri" w:cs="Calibri"/>
          <w:color w:val="000000"/>
          <w:shd w:val="clear" w:color="auto" w:fill="FFFFFF"/>
        </w:rPr>
        <w:t xml:space="preserve">hese provisions do not deal with the price payable under the contract. </w:t>
      </w:r>
    </w:p>
    <w:p w14:paraId="38462AE6" w14:textId="62049EB7" w:rsidR="00C27699" w:rsidRDefault="00DE1B9E" w:rsidP="007A5D60">
      <w:pPr>
        <w:rPr>
          <w:rStyle w:val="normaltextrun"/>
          <w:rFonts w:cs="Calibri"/>
          <w:color w:val="262626"/>
          <w:shd w:val="clear" w:color="auto" w:fill="FFFFFF"/>
        </w:rPr>
      </w:pPr>
      <w:r>
        <w:rPr>
          <w:rFonts w:ascii="Calibri" w:eastAsia="Calibri" w:hAnsi="Calibri" w:cs="Calibri"/>
          <w:lang w:val="en-GB"/>
        </w:rPr>
        <w:t xml:space="preserve">The Government recently </w:t>
      </w:r>
      <w:r w:rsidR="00594641">
        <w:rPr>
          <w:rFonts w:ascii="Calibri" w:eastAsia="Calibri" w:hAnsi="Calibri" w:cs="Calibri"/>
          <w:lang w:val="en-GB"/>
        </w:rPr>
        <w:t>passed</w:t>
      </w:r>
      <w:r w:rsidR="007A5D60" w:rsidRPr="01A1A83A">
        <w:rPr>
          <w:rFonts w:ascii="Calibri" w:eastAsia="Calibri" w:hAnsi="Calibri" w:cs="Calibri"/>
          <w:color w:val="262626" w:themeColor="text1" w:themeTint="D9"/>
          <w:lang w:val="en-GB"/>
        </w:rPr>
        <w:t xml:space="preserve"> the </w:t>
      </w:r>
      <w:r w:rsidR="007A5D60" w:rsidRPr="01A1A83A">
        <w:rPr>
          <w:rFonts w:ascii="Calibri" w:eastAsia="Calibri" w:hAnsi="Calibri" w:cs="Calibri"/>
          <w:i/>
          <w:iCs/>
          <w:color w:val="262626" w:themeColor="text1" w:themeTint="D9"/>
          <w:lang w:val="en-GB"/>
        </w:rPr>
        <w:t>Treasury Laws Amendment (More Competition, Better Prices) Act 2022</w:t>
      </w:r>
      <w:r w:rsidR="00594641">
        <w:rPr>
          <w:rFonts w:ascii="Calibri" w:eastAsia="Calibri" w:hAnsi="Calibri" w:cs="Calibri"/>
          <w:i/>
          <w:iCs/>
          <w:color w:val="262626" w:themeColor="text1" w:themeTint="D9"/>
          <w:lang w:val="en-GB"/>
        </w:rPr>
        <w:t xml:space="preserve"> </w:t>
      </w:r>
      <w:r w:rsidR="00594641">
        <w:rPr>
          <w:rFonts w:ascii="Calibri" w:eastAsia="Calibri" w:hAnsi="Calibri" w:cs="Calibri"/>
          <w:color w:val="262626" w:themeColor="text1" w:themeTint="D9"/>
          <w:lang w:val="en-GB"/>
        </w:rPr>
        <w:t xml:space="preserve">which </w:t>
      </w:r>
      <w:r w:rsidR="003D59CD" w:rsidRPr="004B4F63">
        <w:t>made</w:t>
      </w:r>
      <w:r w:rsidR="00124FF5">
        <w:rPr>
          <w:rStyle w:val="normaltextrun"/>
          <w:rFonts w:cs="Calibri"/>
          <w:color w:val="262626"/>
          <w:shd w:val="clear" w:color="auto" w:fill="FFFFFF"/>
        </w:rPr>
        <w:t xml:space="preserve"> unfair contractual terms </w:t>
      </w:r>
      <w:r w:rsidR="003D59CD">
        <w:rPr>
          <w:rStyle w:val="normaltextrun"/>
          <w:rFonts w:cs="Calibri"/>
          <w:color w:val="262626"/>
          <w:shd w:val="clear" w:color="auto" w:fill="FFFFFF"/>
        </w:rPr>
        <w:t xml:space="preserve">unlawful </w:t>
      </w:r>
      <w:r w:rsidR="00124FF5">
        <w:rPr>
          <w:rStyle w:val="normaltextrun"/>
          <w:rFonts w:cs="Calibri"/>
          <w:color w:val="262626"/>
          <w:shd w:val="clear" w:color="auto" w:fill="FFFFFF"/>
        </w:rPr>
        <w:t>and introduc</w:t>
      </w:r>
      <w:r w:rsidR="00280542">
        <w:rPr>
          <w:rStyle w:val="normaltextrun"/>
          <w:rFonts w:cs="Calibri"/>
          <w:color w:val="262626"/>
          <w:shd w:val="clear" w:color="auto" w:fill="FFFFFF"/>
        </w:rPr>
        <w:t>ed</w:t>
      </w:r>
      <w:r w:rsidR="00124FF5">
        <w:rPr>
          <w:rStyle w:val="normaltextrun"/>
          <w:rFonts w:cs="Calibri"/>
          <w:color w:val="262626"/>
          <w:shd w:val="clear" w:color="auto" w:fill="FFFFFF"/>
        </w:rPr>
        <w:t xml:space="preserve"> a civil penalties regime.</w:t>
      </w:r>
    </w:p>
    <w:p w14:paraId="50FEF901" w14:textId="77777777" w:rsidR="003B394A" w:rsidRPr="008F509F" w:rsidRDefault="003B394A" w:rsidP="00D41E0D">
      <w:pPr>
        <w:pStyle w:val="Heading4"/>
        <w:spacing w:after="200"/>
        <w:rPr>
          <w:sz w:val="22"/>
          <w:szCs w:val="18"/>
          <w:lang w:val="en-GB"/>
        </w:rPr>
      </w:pPr>
      <w:r>
        <w:rPr>
          <w:sz w:val="22"/>
          <w:szCs w:val="18"/>
          <w:lang w:val="en-GB"/>
        </w:rPr>
        <w:t>A lack of</w:t>
      </w:r>
      <w:r w:rsidRPr="008F509F">
        <w:rPr>
          <w:sz w:val="22"/>
          <w:szCs w:val="18"/>
          <w:lang w:val="en-GB"/>
        </w:rPr>
        <w:t xml:space="preserve"> clear avenues to dispute an unfair contract termination</w:t>
      </w:r>
    </w:p>
    <w:p w14:paraId="0C02E3FD" w14:textId="4FDE7B28" w:rsidR="008624E6" w:rsidRDefault="001A0B53" w:rsidP="008624E6">
      <w:r>
        <w:t>T</w:t>
      </w:r>
      <w:r w:rsidR="0053784A">
        <w:t>he Productivity Commission</w:t>
      </w:r>
      <w:r>
        <w:t xml:space="preserve"> </w:t>
      </w:r>
      <w:r w:rsidR="0053784A">
        <w:t>Inquiry noted that workplace disputes between platforms and workers may relate to suspension or termination decisions</w:t>
      </w:r>
      <w:r w:rsidR="00E46F89">
        <w:t xml:space="preserve">. </w:t>
      </w:r>
      <w:r w:rsidR="0038042D">
        <w:t xml:space="preserve">Stakeholder consultation (see Section 3) </w:t>
      </w:r>
      <w:r w:rsidR="00D277E5">
        <w:t xml:space="preserve">also indicated that this is a common dispute category. However, it is unclear if the court can </w:t>
      </w:r>
      <w:r w:rsidR="003A2FDD">
        <w:t xml:space="preserve">generally </w:t>
      </w:r>
      <w:r w:rsidR="00D277E5">
        <w:t xml:space="preserve">order remedies in relation to unfair termination disputes </w:t>
      </w:r>
      <w:r w:rsidR="00DE7325">
        <w:t>under the existing unfair contracts provisions.</w:t>
      </w:r>
      <w:r w:rsidR="00DE7325">
        <w:rPr>
          <w:rStyle w:val="FootnoteReference"/>
        </w:rPr>
        <w:footnoteReference w:id="51"/>
      </w:r>
      <w:r w:rsidR="00DE7325">
        <w:t xml:space="preserve"> </w:t>
      </w:r>
    </w:p>
    <w:p w14:paraId="5DDB9D02" w14:textId="58274EDC" w:rsidR="00BD0D38" w:rsidRPr="008B793A" w:rsidRDefault="00FE61B7" w:rsidP="00F9171A">
      <w:pPr>
        <w:pStyle w:val="Heading3"/>
        <w:rPr>
          <w:lang w:val="en-GB"/>
        </w:rPr>
      </w:pPr>
      <w:bookmarkStart w:id="24" w:name="_Toc139295535"/>
      <w:r>
        <w:rPr>
          <w:lang w:val="en-GB"/>
        </w:rPr>
        <w:t xml:space="preserve">There </w:t>
      </w:r>
      <w:r w:rsidR="007D6BB1" w:rsidRPr="4108442C">
        <w:rPr>
          <w:lang w:val="en-GB"/>
        </w:rPr>
        <w:t xml:space="preserve">is </w:t>
      </w:r>
      <w:r w:rsidR="007D6BB1" w:rsidRPr="15E8587A">
        <w:rPr>
          <w:lang w:val="en-GB"/>
        </w:rPr>
        <w:t>some</w:t>
      </w:r>
      <w:r w:rsidR="00613F9B" w:rsidRPr="15E8587A">
        <w:rPr>
          <w:lang w:val="en-GB"/>
        </w:rPr>
        <w:t xml:space="preserve"> existing</w:t>
      </w:r>
      <w:r w:rsidR="003C20A8" w:rsidRPr="4108442C">
        <w:rPr>
          <w:lang w:val="en-GB"/>
        </w:rPr>
        <w:t xml:space="preserve"> regulation of </w:t>
      </w:r>
      <w:r w:rsidR="00097773" w:rsidRPr="4108442C">
        <w:rPr>
          <w:lang w:val="en-GB"/>
        </w:rPr>
        <w:t xml:space="preserve">road transport </w:t>
      </w:r>
      <w:r w:rsidR="003C20A8" w:rsidRPr="4108442C">
        <w:rPr>
          <w:lang w:val="en-GB"/>
        </w:rPr>
        <w:t>wor</w:t>
      </w:r>
      <w:r w:rsidR="00097773" w:rsidRPr="4108442C">
        <w:rPr>
          <w:lang w:val="en-GB"/>
        </w:rPr>
        <w:t>k</w:t>
      </w:r>
      <w:bookmarkEnd w:id="24"/>
    </w:p>
    <w:p w14:paraId="52876FD9" w14:textId="270364B1" w:rsidR="005D56F6" w:rsidRDefault="005D56F6" w:rsidP="005D56F6">
      <w:pPr>
        <w:rPr>
          <w:rFonts w:cstheme="minorHAnsi"/>
        </w:rPr>
      </w:pPr>
      <w:r w:rsidRPr="685F6081">
        <w:t xml:space="preserve">At the </w:t>
      </w:r>
      <w:r w:rsidR="001F59CA">
        <w:t>national</w:t>
      </w:r>
      <w:r w:rsidR="001F59CA" w:rsidRPr="685F6081">
        <w:t xml:space="preserve"> </w:t>
      </w:r>
      <w:r w:rsidRPr="685F6081">
        <w:t xml:space="preserve">level, the </w:t>
      </w:r>
      <w:r w:rsidRPr="685F6081">
        <w:rPr>
          <w:i/>
        </w:rPr>
        <w:t xml:space="preserve">Heavy Vehicle National Law </w:t>
      </w:r>
      <w:r w:rsidRPr="685F6081">
        <w:t>and regulations regulate heavy vehicles over 4.5 tonnes gross vehicle mass and apply in the Australian Capital Territory, New South Wales, Queensland, South Australia, Tasmania and Victoria.</w:t>
      </w:r>
      <w:r w:rsidRPr="6B473E83">
        <w:rPr>
          <w:rStyle w:val="FootnoteReference"/>
        </w:rPr>
        <w:footnoteReference w:id="52"/>
      </w:r>
      <w:r w:rsidRPr="685F6081">
        <w:t xml:space="preserve"> The objects of the Heavy Vehicle National Law include that it should facilitate and regulate the use of heavy vehicles to promote public safety, manage impacts on the environment, roads and public amenities, promote industry productivity and efficiency, and encourage and promote productive, efficient, innovative and safe business practices.</w:t>
      </w:r>
      <w:r w:rsidRPr="6B473E83">
        <w:rPr>
          <w:rStyle w:val="FootnoteReference"/>
        </w:rPr>
        <w:footnoteReference w:id="53"/>
      </w:r>
      <w:r w:rsidRPr="685F6081">
        <w:t xml:space="preserve"> Workplace matters within the scope of this regulation include rest time, work hours and work diary requirements, however do not include minimum pay rates. </w:t>
      </w:r>
    </w:p>
    <w:p w14:paraId="0AF5B625" w14:textId="00BAAC74" w:rsidR="005D56F6" w:rsidRPr="00C61868" w:rsidRDefault="0019201C" w:rsidP="005D56F6">
      <w:pPr>
        <w:rPr>
          <w:rFonts w:cstheme="minorHAnsi"/>
        </w:rPr>
      </w:pPr>
      <w:r>
        <w:rPr>
          <w:rFonts w:cstheme="minorHAnsi"/>
        </w:rPr>
        <w:t xml:space="preserve">Until its abolition in 2016, the Road Safety Remuneration Tribunal </w:t>
      </w:r>
      <w:r w:rsidR="001B68EE">
        <w:rPr>
          <w:rFonts w:cstheme="minorHAnsi"/>
        </w:rPr>
        <w:t>could set enforceable road safety remuneration orders</w:t>
      </w:r>
      <w:r w:rsidR="00FC4916">
        <w:rPr>
          <w:rFonts w:cstheme="minorHAnsi"/>
        </w:rPr>
        <w:t xml:space="preserve"> covering matters including minimum </w:t>
      </w:r>
      <w:r w:rsidR="00605969">
        <w:rPr>
          <w:rFonts w:cstheme="minorHAnsi"/>
        </w:rPr>
        <w:t>pay and conditions</w:t>
      </w:r>
      <w:r w:rsidR="000F0DC7">
        <w:rPr>
          <w:rFonts w:cstheme="minorHAnsi"/>
        </w:rPr>
        <w:t xml:space="preserve"> for road transport workers</w:t>
      </w:r>
      <w:r w:rsidR="00C06670">
        <w:rPr>
          <w:rFonts w:cstheme="minorHAnsi"/>
        </w:rPr>
        <w:t xml:space="preserve"> (including independent contractors)</w:t>
      </w:r>
      <w:r w:rsidR="000F0DC7">
        <w:rPr>
          <w:rFonts w:cstheme="minorHAnsi"/>
        </w:rPr>
        <w:t xml:space="preserve">, </w:t>
      </w:r>
      <w:r w:rsidR="00660F5E">
        <w:rPr>
          <w:rFonts w:cstheme="minorHAnsi"/>
        </w:rPr>
        <w:t>approve collective agreements and resolve disputes</w:t>
      </w:r>
      <w:r w:rsidR="00C06670">
        <w:rPr>
          <w:rFonts w:cstheme="minorHAnsi"/>
        </w:rPr>
        <w:t>.</w:t>
      </w:r>
      <w:r w:rsidR="00404AC5">
        <w:rPr>
          <w:rFonts w:cstheme="minorHAnsi"/>
        </w:rPr>
        <w:t xml:space="preserve"> </w:t>
      </w:r>
      <w:r w:rsidR="00276DE0">
        <w:rPr>
          <w:rFonts w:cstheme="minorHAnsi"/>
        </w:rPr>
        <w:t xml:space="preserve">The system </w:t>
      </w:r>
      <w:r w:rsidR="003243D1">
        <w:rPr>
          <w:rFonts w:cstheme="minorHAnsi"/>
        </w:rPr>
        <w:t xml:space="preserve">covered </w:t>
      </w:r>
      <w:r w:rsidR="009C3CEE">
        <w:rPr>
          <w:rFonts w:cstheme="minorHAnsi"/>
        </w:rPr>
        <w:t xml:space="preserve">road transport drivers, employers, hirers and supply chain participants in the road transport </w:t>
      </w:r>
      <w:r w:rsidR="009C3CEE" w:rsidRPr="004B4F63">
        <w:t>industry</w:t>
      </w:r>
      <w:r w:rsidR="009C3CEE">
        <w:rPr>
          <w:rFonts w:cstheme="minorHAnsi"/>
        </w:rPr>
        <w:t xml:space="preserve"> and operated from 2012 to 2016.</w:t>
      </w:r>
    </w:p>
    <w:p w14:paraId="50E8211A" w14:textId="749E6544" w:rsidR="00BD0D38" w:rsidRDefault="007C45E6" w:rsidP="00BD0D38">
      <w:pPr>
        <w:rPr>
          <w:rFonts w:cstheme="minorHAnsi"/>
        </w:rPr>
      </w:pPr>
      <w:r>
        <w:rPr>
          <w:rFonts w:cstheme="minorHAnsi"/>
        </w:rPr>
        <w:t xml:space="preserve">While federal </w:t>
      </w:r>
      <w:r w:rsidRPr="004B4F63">
        <w:t>minimum</w:t>
      </w:r>
      <w:r>
        <w:rPr>
          <w:rFonts w:cstheme="minorHAnsi"/>
        </w:rPr>
        <w:t xml:space="preserve"> standards-setting mechanisms no longer exist, there</w:t>
      </w:r>
      <w:r w:rsidR="00BD0D38">
        <w:rPr>
          <w:rFonts w:cstheme="minorHAnsi"/>
        </w:rPr>
        <w:t xml:space="preserve"> is some </w:t>
      </w:r>
      <w:r w:rsidR="00BD0D38" w:rsidRPr="00C77CB8">
        <w:rPr>
          <w:rFonts w:cstheme="minorHAnsi"/>
        </w:rPr>
        <w:t>state-based regul</w:t>
      </w:r>
      <w:r w:rsidR="00BD0D38">
        <w:rPr>
          <w:rFonts w:cstheme="minorHAnsi"/>
        </w:rPr>
        <w:t xml:space="preserve">ation of minimum standards: </w:t>
      </w:r>
    </w:p>
    <w:p w14:paraId="744AC2F3" w14:textId="4D10CB83" w:rsidR="00BD0D38" w:rsidRPr="00B421DD" w:rsidRDefault="00BD0D38" w:rsidP="00D84FE2">
      <w:pPr>
        <w:pStyle w:val="ListParagraph"/>
        <w:numPr>
          <w:ilvl w:val="0"/>
          <w:numId w:val="85"/>
        </w:numPr>
        <w:spacing w:line="276" w:lineRule="auto"/>
        <w:ind w:left="714" w:hanging="357"/>
        <w:contextualSpacing w:val="0"/>
      </w:pPr>
      <w:r w:rsidRPr="740D677E">
        <w:t>Chapter</w:t>
      </w:r>
      <w:r w:rsidRPr="00B421DD">
        <w:t xml:space="preserve"> 6 of the</w:t>
      </w:r>
      <w:r w:rsidRPr="00B421DD">
        <w:rPr>
          <w:i/>
          <w:iCs/>
        </w:rPr>
        <w:t xml:space="preserve"> Industrial Relations Act 1996</w:t>
      </w:r>
      <w:r w:rsidRPr="00B421DD">
        <w:t xml:space="preserve"> (NSW)</w:t>
      </w:r>
      <w:r>
        <w:t xml:space="preserve"> </w:t>
      </w:r>
      <w:r w:rsidRPr="740D677E">
        <w:t xml:space="preserve">allows the New South Wales Industrial Relations Commission to set binding minimum terms and conditions under a contract determination for contracts of carriage (i.e. for the transportation of goods by means of a motor </w:t>
      </w:r>
      <w:r w:rsidRPr="00D84FE2">
        <w:rPr>
          <w:rStyle w:val="normaltextrun"/>
          <w:color w:val="262626" w:themeColor="text1" w:themeTint="D9"/>
        </w:rPr>
        <w:t>vehicle</w:t>
      </w:r>
      <w:r w:rsidRPr="740D677E">
        <w:t xml:space="preserve"> or bicycle in the course of a business of transporting goods) and contracts of bailment (generally covering public taxis an</w:t>
      </w:r>
      <w:r w:rsidR="7E265A34" w:rsidRPr="740D677E">
        <w:t>d</w:t>
      </w:r>
      <w:r w:rsidRPr="740D677E">
        <w:t xml:space="preserve"> public hire vehicles). </w:t>
      </w:r>
    </w:p>
    <w:p w14:paraId="7325E2AE" w14:textId="7B6C37AF" w:rsidR="00BD0D38" w:rsidRDefault="00BD0D38" w:rsidP="00D84FE2">
      <w:pPr>
        <w:pStyle w:val="ListParagraph"/>
        <w:numPr>
          <w:ilvl w:val="0"/>
          <w:numId w:val="85"/>
        </w:numPr>
        <w:spacing w:line="276" w:lineRule="auto"/>
        <w:ind w:left="714" w:hanging="357"/>
        <w:contextualSpacing w:val="0"/>
        <w:rPr>
          <w:rFonts w:cstheme="minorHAnsi"/>
        </w:rPr>
      </w:pPr>
      <w:r w:rsidRPr="685F6081">
        <w:t>Victoria publishes</w:t>
      </w:r>
      <w:r w:rsidR="002C6675">
        <w:t xml:space="preserve"> guidance</w:t>
      </w:r>
      <w:r w:rsidRPr="685F6081">
        <w:t xml:space="preserve"> rates and costs schedules for certain groups of owner drivers, including courier or messenger owner drivers who supply a 1 tonne van,</w:t>
      </w:r>
      <w:r w:rsidRPr="685F6081">
        <w:rPr>
          <w:rStyle w:val="FootnoteReference"/>
        </w:rPr>
        <w:footnoteReference w:id="54"/>
      </w:r>
      <w:r w:rsidRPr="685F6081">
        <w:t xml:space="preserve"> under the </w:t>
      </w:r>
      <w:r w:rsidRPr="685F6081">
        <w:rPr>
          <w:i/>
        </w:rPr>
        <w:t xml:space="preserve">Owner Drivers </w:t>
      </w:r>
      <w:r w:rsidRPr="00D84FE2">
        <w:rPr>
          <w:rStyle w:val="normaltextrun"/>
          <w:color w:val="262626" w:themeColor="text1" w:themeTint="D9"/>
        </w:rPr>
        <w:t>and</w:t>
      </w:r>
      <w:r w:rsidRPr="685F6081">
        <w:rPr>
          <w:i/>
        </w:rPr>
        <w:t xml:space="preserve"> Forestry Contractors Act 2005</w:t>
      </w:r>
      <w:r w:rsidR="008D74D7">
        <w:rPr>
          <w:iCs/>
        </w:rPr>
        <w:t xml:space="preserve"> (Vic)</w:t>
      </w:r>
      <w:r w:rsidRPr="685F6081">
        <w:rPr>
          <w:i/>
        </w:rPr>
        <w:t>.</w:t>
      </w:r>
      <w:r w:rsidR="00EC0CAB">
        <w:rPr>
          <w:i/>
        </w:rPr>
        <w:t xml:space="preserve"> </w:t>
      </w:r>
      <w:r w:rsidR="00EC0CAB">
        <w:rPr>
          <w:iCs/>
        </w:rPr>
        <w:t xml:space="preserve">Victoria also </w:t>
      </w:r>
      <w:r w:rsidRPr="685F6081">
        <w:t>require</w:t>
      </w:r>
      <w:r w:rsidR="00EC0CAB">
        <w:t>s</w:t>
      </w:r>
      <w:r w:rsidRPr="685F6081">
        <w:t xml:space="preserve"> hirers that engage an owner driver for 30 days or more to provide the owner driver with the relevant rates and costs schedule. </w:t>
      </w:r>
    </w:p>
    <w:p w14:paraId="0F76178A" w14:textId="6496E55A" w:rsidR="00BD0D38" w:rsidRDefault="00BD0D38" w:rsidP="00D84FE2">
      <w:pPr>
        <w:pStyle w:val="ListParagraph"/>
        <w:numPr>
          <w:ilvl w:val="0"/>
          <w:numId w:val="85"/>
        </w:numPr>
        <w:spacing w:line="276" w:lineRule="auto"/>
        <w:ind w:left="714" w:hanging="357"/>
        <w:contextualSpacing w:val="0"/>
      </w:pPr>
      <w:r w:rsidRPr="32635121">
        <w:t xml:space="preserve">In Western Australia, the </w:t>
      </w:r>
      <w:r w:rsidRPr="32635121">
        <w:rPr>
          <w:i/>
        </w:rPr>
        <w:t>Owner-Drivers (Contracts and Disputes Act 2007)</w:t>
      </w:r>
      <w:r w:rsidRPr="32635121">
        <w:t xml:space="preserve"> (WA) applies to owner-</w:t>
      </w:r>
      <w:r w:rsidRPr="00D84FE2">
        <w:rPr>
          <w:rStyle w:val="normaltextrun"/>
          <w:color w:val="262626" w:themeColor="text1" w:themeTint="D9"/>
        </w:rPr>
        <w:t>drivers</w:t>
      </w:r>
      <w:r w:rsidRPr="32635121">
        <w:t xml:space="preserve"> of freight vehicles over 4.5 tonnes. It </w:t>
      </w:r>
      <w:r w:rsidR="00CF2FD3">
        <w:t>sets out</w:t>
      </w:r>
      <w:r w:rsidRPr="32635121">
        <w:t xml:space="preserve"> guidelines </w:t>
      </w:r>
      <w:r w:rsidR="00CF2FD3">
        <w:t>for</w:t>
      </w:r>
      <w:r w:rsidRPr="32635121">
        <w:t xml:space="preserve"> setting appropriate pay rates and </w:t>
      </w:r>
      <w:r w:rsidR="00E143B8">
        <w:t>allows for</w:t>
      </w:r>
      <w:r w:rsidRPr="32635121">
        <w:t xml:space="preserve"> collective bargaining between </w:t>
      </w:r>
      <w:r w:rsidR="004D3FFB">
        <w:t xml:space="preserve">a group of </w:t>
      </w:r>
      <w:r w:rsidRPr="32635121">
        <w:t xml:space="preserve">owner-drivers and hirers in certain circumstances. </w:t>
      </w:r>
    </w:p>
    <w:p w14:paraId="28F2FE87" w14:textId="43829286" w:rsidR="00CF1E84" w:rsidRDefault="00CF1E84" w:rsidP="00D84FE2">
      <w:pPr>
        <w:pStyle w:val="ListParagraph"/>
        <w:numPr>
          <w:ilvl w:val="0"/>
          <w:numId w:val="85"/>
        </w:numPr>
        <w:spacing w:line="276" w:lineRule="auto"/>
        <w:ind w:left="714" w:hanging="357"/>
        <w:contextualSpacing w:val="0"/>
      </w:pPr>
      <w:r>
        <w:t xml:space="preserve">Under Queensland’s </w:t>
      </w:r>
      <w:r w:rsidRPr="002514F4">
        <w:rPr>
          <w:i/>
          <w:iCs/>
        </w:rPr>
        <w:t xml:space="preserve">Industrial Relations and Other Legislation Amendment Act 2022 (Qld), </w:t>
      </w:r>
      <w:r>
        <w:t xml:space="preserve">Chapter 10A would allow </w:t>
      </w:r>
      <w:r w:rsidR="00DC733D">
        <w:t>the Queensland</w:t>
      </w:r>
      <w:r>
        <w:t xml:space="preserve"> Industrial Relations Commission to set minimum standards for ‘independent courier drivers’. </w:t>
      </w:r>
      <w:r w:rsidR="00003433">
        <w:t xml:space="preserve">Chapter 10A would commence on proclamation, which has not yet occurred. </w:t>
      </w:r>
    </w:p>
    <w:p w14:paraId="3C390C92" w14:textId="0A713499" w:rsidR="00AA29A9" w:rsidRDefault="00AA29A9" w:rsidP="00F9171A">
      <w:pPr>
        <w:pStyle w:val="Heading3"/>
        <w:rPr>
          <w:lang w:val="en-GB"/>
        </w:rPr>
      </w:pPr>
      <w:bookmarkStart w:id="25" w:name="_Toc139295536"/>
      <w:r w:rsidRPr="008B793A">
        <w:rPr>
          <w:lang w:val="en-GB"/>
        </w:rPr>
        <w:t>Emerging state-based regulation of the digital platform economy</w:t>
      </w:r>
      <w:bookmarkEnd w:id="25"/>
    </w:p>
    <w:p w14:paraId="2DE30E53" w14:textId="1ADE74FC" w:rsidR="002C2A31" w:rsidRPr="008B793A" w:rsidRDefault="00707F03" w:rsidP="002C2A31">
      <w:pPr>
        <w:rPr>
          <w:lang w:val="en-GB"/>
        </w:rPr>
      </w:pPr>
      <w:r>
        <w:rPr>
          <w:lang w:val="en-GB"/>
        </w:rPr>
        <w:t xml:space="preserve">Some states and </w:t>
      </w:r>
      <w:r w:rsidRPr="004B4F63">
        <w:t>territories</w:t>
      </w:r>
      <w:r>
        <w:rPr>
          <w:lang w:val="en-GB"/>
        </w:rPr>
        <w:t xml:space="preserve"> </w:t>
      </w:r>
      <w:r w:rsidR="009412F3">
        <w:rPr>
          <w:lang w:val="en-GB"/>
        </w:rPr>
        <w:t xml:space="preserve">are moving towards regulation of </w:t>
      </w:r>
      <w:r w:rsidR="005C483F">
        <w:rPr>
          <w:lang w:val="en-GB"/>
        </w:rPr>
        <w:t xml:space="preserve">digital platform work: </w:t>
      </w:r>
    </w:p>
    <w:p w14:paraId="03E50B74" w14:textId="77777777" w:rsidR="00AA29A9" w:rsidRPr="008B793A" w:rsidRDefault="00AA29A9" w:rsidP="002855C2">
      <w:pPr>
        <w:pStyle w:val="ListParagraph"/>
        <w:numPr>
          <w:ilvl w:val="0"/>
          <w:numId w:val="85"/>
        </w:numPr>
        <w:spacing w:line="276" w:lineRule="auto"/>
        <w:contextualSpacing w:val="0"/>
      </w:pPr>
      <w:r>
        <w:t>V</w:t>
      </w:r>
      <w:r w:rsidRPr="00D01175">
        <w:t xml:space="preserve">ictoria </w:t>
      </w:r>
      <w:r>
        <w:t>introduced its</w:t>
      </w:r>
      <w:r w:rsidRPr="00D01175">
        <w:t xml:space="preserve"> </w:t>
      </w:r>
      <w:r>
        <w:t>V</w:t>
      </w:r>
      <w:r w:rsidRPr="00D01175">
        <w:t xml:space="preserve">oluntary </w:t>
      </w:r>
      <w:r>
        <w:t>F</w:t>
      </w:r>
      <w:r w:rsidRPr="00D01175">
        <w:t xml:space="preserve">air </w:t>
      </w:r>
      <w:r>
        <w:t>Conduct</w:t>
      </w:r>
      <w:r w:rsidRPr="00D01175">
        <w:t xml:space="preserve"> and </w:t>
      </w:r>
      <w:r>
        <w:t>A</w:t>
      </w:r>
      <w:r w:rsidRPr="00D01175">
        <w:t xml:space="preserve">ccountability </w:t>
      </w:r>
      <w:r>
        <w:t>S</w:t>
      </w:r>
      <w:r w:rsidRPr="00D01175">
        <w:t>tandards</w:t>
      </w:r>
      <w:r>
        <w:rPr>
          <w:rStyle w:val="FootnoteReference"/>
        </w:rPr>
        <w:footnoteReference w:id="55"/>
      </w:r>
      <w:r w:rsidRPr="00D01175">
        <w:t xml:space="preserve"> for </w:t>
      </w:r>
      <w:r>
        <w:t xml:space="preserve">on-demand </w:t>
      </w:r>
      <w:r w:rsidRPr="00D01175">
        <w:t>platforms</w:t>
      </w:r>
      <w:r>
        <w:t xml:space="preserve">, which </w:t>
      </w:r>
      <w:r w:rsidRPr="00D84FE2">
        <w:rPr>
          <w:rStyle w:val="normaltextrun"/>
          <w:color w:val="262626" w:themeColor="text1" w:themeTint="D9"/>
        </w:rPr>
        <w:t>commenced</w:t>
      </w:r>
      <w:r>
        <w:t xml:space="preserve"> operating on 1 May 2023</w:t>
      </w:r>
      <w:r w:rsidRPr="00D01175">
        <w:t>.</w:t>
      </w:r>
      <w:r>
        <w:t xml:space="preserve"> </w:t>
      </w:r>
      <w:r w:rsidRPr="002514F4">
        <w:rPr>
          <w:rFonts w:eastAsia="Times New Roman"/>
        </w:rPr>
        <w:t xml:space="preserve">The Victorian Government indicates that ‘Phase 2’ of this process will include introducing legislation to implement the </w:t>
      </w:r>
      <w:r w:rsidRPr="00E5309D">
        <w:t>standards</w:t>
      </w:r>
      <w:r w:rsidRPr="002514F4">
        <w:rPr>
          <w:rFonts w:eastAsia="Times New Roman"/>
        </w:rPr>
        <w:t>.</w:t>
      </w:r>
      <w:r>
        <w:rPr>
          <w:rStyle w:val="FootnoteReference"/>
          <w:rFonts w:eastAsia="Times New Roman"/>
        </w:rPr>
        <w:footnoteReference w:id="56"/>
      </w:r>
    </w:p>
    <w:p w14:paraId="12C64C50" w14:textId="06440B80" w:rsidR="00CF1E84" w:rsidRPr="002514F4" w:rsidRDefault="00CF1E84" w:rsidP="002855C2">
      <w:pPr>
        <w:pStyle w:val="ListParagraph"/>
        <w:numPr>
          <w:ilvl w:val="0"/>
          <w:numId w:val="85"/>
        </w:numPr>
        <w:spacing w:line="276" w:lineRule="auto"/>
        <w:contextualSpacing w:val="0"/>
      </w:pPr>
      <w:r w:rsidRPr="00E5309D">
        <w:t>Queensland’s</w:t>
      </w:r>
      <w:r>
        <w:rPr>
          <w:rFonts w:eastAsia="Times New Roman"/>
        </w:rPr>
        <w:t xml:space="preserve"> proposed regulation of independent courier drivers </w:t>
      </w:r>
      <w:r w:rsidR="00230E45">
        <w:rPr>
          <w:rFonts w:eastAsia="Times New Roman"/>
        </w:rPr>
        <w:t xml:space="preserve">could include digital platform workers providing </w:t>
      </w:r>
      <w:r w:rsidR="00D77F67">
        <w:rPr>
          <w:rFonts w:eastAsia="Times New Roman"/>
        </w:rPr>
        <w:t>food delivery or other couriering services.</w:t>
      </w:r>
    </w:p>
    <w:p w14:paraId="4AB45118" w14:textId="77777777" w:rsidR="00AA29A9" w:rsidRDefault="00AA29A9" w:rsidP="002855C2">
      <w:pPr>
        <w:pStyle w:val="ListParagraph"/>
        <w:numPr>
          <w:ilvl w:val="0"/>
          <w:numId w:val="85"/>
        </w:numPr>
        <w:spacing w:line="276" w:lineRule="auto"/>
        <w:contextualSpacing w:val="0"/>
      </w:pPr>
      <w:r>
        <w:t xml:space="preserve">The New South Wales Government </w:t>
      </w:r>
      <w:r w:rsidRPr="00D84FE2">
        <w:rPr>
          <w:rStyle w:val="normaltextrun"/>
          <w:color w:val="262626" w:themeColor="text1" w:themeTint="D9"/>
        </w:rPr>
        <w:t>committed</w:t>
      </w:r>
      <w:r>
        <w:t xml:space="preserve"> to ‘modernise laws to respond to the gig economy’. This includes extending Chapter 6 of </w:t>
      </w:r>
      <w:r w:rsidRPr="000579FD">
        <w:t>the</w:t>
      </w:r>
      <w:r w:rsidRPr="009D3923">
        <w:rPr>
          <w:i/>
          <w:iCs/>
        </w:rPr>
        <w:t xml:space="preserve"> Industrial Relations Act 1996</w:t>
      </w:r>
      <w:r>
        <w:t xml:space="preserve"> (NSW) to include gig economy workers in the transport industry, introduce workers compensation benefits for gig workers and establish a portable entitlements scheme.</w:t>
      </w:r>
      <w:r>
        <w:rPr>
          <w:rStyle w:val="FootnoteReference"/>
        </w:rPr>
        <w:footnoteReference w:id="57"/>
      </w:r>
    </w:p>
    <w:p w14:paraId="2431E3B3" w14:textId="2C7F58D3" w:rsidR="007B3359" w:rsidRPr="001F7957" w:rsidRDefault="007B3359" w:rsidP="001F7957">
      <w:pPr>
        <w:pStyle w:val="Heading2"/>
      </w:pPr>
      <w:bookmarkStart w:id="26" w:name="_Toc139295537"/>
      <w:r w:rsidRPr="001F7957">
        <w:t>Available data</w:t>
      </w:r>
      <w:bookmarkEnd w:id="26"/>
    </w:p>
    <w:p w14:paraId="5E5002B5" w14:textId="6DCB02AC" w:rsidR="004326A8" w:rsidRPr="004326A8" w:rsidRDefault="004326A8" w:rsidP="00F60F5C">
      <w:pPr>
        <w:pStyle w:val="Heading3"/>
        <w:rPr>
          <w:rStyle w:val="normaltextrun"/>
          <w:b w:val="0"/>
          <w:color w:val="262626"/>
          <w:sz w:val="30"/>
          <w:szCs w:val="26"/>
          <w:shd w:val="clear" w:color="auto" w:fill="FFFFFF"/>
        </w:rPr>
      </w:pPr>
      <w:bookmarkStart w:id="27" w:name="_Toc139295538"/>
      <w:r w:rsidRPr="004326A8">
        <w:rPr>
          <w:rStyle w:val="normaltextrun"/>
          <w:b w:val="0"/>
          <w:color w:val="262626"/>
          <w:shd w:val="clear" w:color="auto" w:fill="FFFFFF"/>
        </w:rPr>
        <w:t>Digital platform</w:t>
      </w:r>
      <w:r w:rsidR="00D84592">
        <w:rPr>
          <w:rStyle w:val="normaltextrun"/>
          <w:b w:val="0"/>
          <w:color w:val="262626"/>
          <w:shd w:val="clear" w:color="auto" w:fill="FFFFFF"/>
        </w:rPr>
        <w:t>s</w:t>
      </w:r>
      <w:bookmarkEnd w:id="27"/>
    </w:p>
    <w:p w14:paraId="3E84D563" w14:textId="4C65DE2A" w:rsidR="004326A8" w:rsidRPr="004326A8" w:rsidRDefault="004326A8" w:rsidP="004326A8">
      <w:r w:rsidRPr="004326A8">
        <w:rPr>
          <w:rStyle w:val="normaltextrun"/>
          <w:color w:val="262626"/>
          <w:shd w:val="clear" w:color="auto" w:fill="FFFFFF"/>
        </w:rPr>
        <w:t>Data on the digital platform workforce in Australia is sparse. The ABS has begun work on the collection of this data, however the initial findings will not be released until the end of 2023</w:t>
      </w:r>
      <w:r w:rsidRPr="004326A8">
        <w:t>.</w:t>
      </w:r>
      <w:r w:rsidRPr="004326A8">
        <w:rPr>
          <w:rStyle w:val="FootnoteReference"/>
        </w:rPr>
        <w:footnoteReference w:id="58"/>
      </w:r>
    </w:p>
    <w:p w14:paraId="08FB0591" w14:textId="7853D604" w:rsidR="004326A8" w:rsidRPr="004326A8" w:rsidRDefault="004326A8" w:rsidP="004326A8">
      <w:r w:rsidRPr="004326A8">
        <w:rPr>
          <w:rStyle w:val="normaltextrun"/>
          <w:color w:val="262626"/>
          <w:shd w:val="clear" w:color="auto" w:fill="FFFFFF"/>
        </w:rPr>
        <w:t>The ABS publishes data on the number of workers and independent contractors in Australia, with recent estimates showing that there are 13.6 million workers in Australia and 1.1 million independent contractors (8.3 per cent of all employed persons)</w:t>
      </w:r>
      <w:r w:rsidR="007A569D">
        <w:rPr>
          <w:rStyle w:val="normaltextrun"/>
          <w:color w:val="262626"/>
          <w:shd w:val="clear" w:color="auto" w:fill="FFFFFF"/>
        </w:rPr>
        <w:t>.</w:t>
      </w:r>
      <w:r w:rsidRPr="004326A8">
        <w:rPr>
          <w:rStyle w:val="FootnoteReference"/>
          <w:color w:val="262626"/>
          <w:shd w:val="clear" w:color="auto" w:fill="FFFFFF"/>
        </w:rPr>
        <w:footnoteReference w:id="59"/>
      </w:r>
      <w:r w:rsidRPr="004326A8">
        <w:rPr>
          <w:rStyle w:val="normaltextrun"/>
          <w:color w:val="262626"/>
          <w:shd w:val="clear" w:color="auto" w:fill="FFFFFF"/>
        </w:rPr>
        <w:t xml:space="preserve"> However, this estimate of 1.1 million independent contractors refers to people who are independent contractors in their </w:t>
      </w:r>
      <w:r w:rsidRPr="004326A8">
        <w:rPr>
          <w:rStyle w:val="normaltextrun"/>
          <w:i/>
          <w:iCs/>
          <w:color w:val="262626"/>
          <w:shd w:val="clear" w:color="auto" w:fill="FFFFFF"/>
        </w:rPr>
        <w:t xml:space="preserve">main job </w:t>
      </w:r>
      <w:r w:rsidRPr="004326A8">
        <w:rPr>
          <w:rStyle w:val="normaltextrun"/>
          <w:color w:val="262626"/>
          <w:shd w:val="clear" w:color="auto" w:fill="FFFFFF"/>
        </w:rPr>
        <w:t xml:space="preserve">(job in which most hours are usually worked). By contrast, evidence suggests that the majority of digital platform workers engage in digital platform work as a second job. </w:t>
      </w:r>
      <w:r w:rsidRPr="6B473E83">
        <w:rPr>
          <w:rStyle w:val="normaltextrun"/>
          <w:color w:val="262626"/>
          <w:shd w:val="clear" w:color="auto" w:fill="FFFFFF"/>
        </w:rPr>
        <w:t>T</w:t>
      </w:r>
      <w:r w:rsidRPr="00F9171A">
        <w:rPr>
          <w:rStyle w:val="normaltextrun"/>
          <w:color w:val="262626"/>
          <w:shd w:val="clear" w:color="auto" w:fill="FFFFFF"/>
        </w:rPr>
        <w:t>he Vi</w:t>
      </w:r>
      <w:r w:rsidR="004724E4" w:rsidRPr="00F9171A">
        <w:rPr>
          <w:rStyle w:val="normaltextrun"/>
          <w:color w:val="262626"/>
          <w:shd w:val="clear" w:color="auto" w:fill="FFFFFF"/>
        </w:rPr>
        <w:t>c</w:t>
      </w:r>
      <w:r w:rsidRPr="00F9171A">
        <w:rPr>
          <w:rStyle w:val="normaltextrun"/>
          <w:color w:val="262626"/>
          <w:shd w:val="clear" w:color="auto" w:fill="FFFFFF"/>
        </w:rPr>
        <w:t xml:space="preserve">torian </w:t>
      </w:r>
      <w:r w:rsidR="00024953" w:rsidRPr="00F9171A">
        <w:rPr>
          <w:rStyle w:val="normaltextrun"/>
          <w:color w:val="262626"/>
          <w:shd w:val="clear" w:color="auto" w:fill="FFFFFF"/>
        </w:rPr>
        <w:t>National Survey</w:t>
      </w:r>
      <w:r w:rsidRPr="00F9171A">
        <w:rPr>
          <w:rStyle w:val="normaltextrun"/>
          <w:color w:val="262626"/>
          <w:shd w:val="clear" w:color="auto" w:fill="FFFFFF"/>
        </w:rPr>
        <w:t xml:space="preserve"> found that only 2.7 per cent of current platform workers derive all of their income from their digital platform work, with the vast majority (80.7 per cent) reporting that digital platform work makes up less than half of their total annual income.</w:t>
      </w:r>
      <w:r w:rsidRPr="00F9171A">
        <w:rPr>
          <w:rStyle w:val="normaltextrun"/>
          <w:color w:val="262626"/>
          <w:shd w:val="clear" w:color="auto" w:fill="FFFFFF"/>
          <w:vertAlign w:val="superscript"/>
        </w:rPr>
        <w:footnoteReference w:id="60"/>
      </w:r>
      <w:r w:rsidRPr="00F9171A">
        <w:rPr>
          <w:rStyle w:val="normaltextrun"/>
          <w:color w:val="262626"/>
          <w:shd w:val="clear" w:color="auto" w:fill="FFFFFF"/>
        </w:rPr>
        <w:t xml:space="preserve"> The ABS measure of independent contractors, which refers to people who are independent contractors in their main job, is therefore problematic to use to estimate the digital platform economy.</w:t>
      </w:r>
      <w:r w:rsidRPr="004326A8">
        <w:t xml:space="preserve"> </w:t>
      </w:r>
    </w:p>
    <w:p w14:paraId="211153E9" w14:textId="1AF8D893" w:rsidR="004326A8" w:rsidRPr="004326A8" w:rsidRDefault="004326A8" w:rsidP="004326A8">
      <w:pPr>
        <w:rPr>
          <w:rStyle w:val="normaltextrun"/>
          <w:color w:val="262626"/>
          <w:shd w:val="clear" w:color="auto" w:fill="FFFFFF"/>
        </w:rPr>
      </w:pPr>
      <w:r w:rsidRPr="004326A8">
        <w:rPr>
          <w:rStyle w:val="normaltextrun"/>
          <w:color w:val="262626"/>
          <w:shd w:val="clear" w:color="auto" w:fill="FFFFFF"/>
        </w:rPr>
        <w:t xml:space="preserve">In the </w:t>
      </w:r>
      <w:r w:rsidRPr="004B4F63">
        <w:t>absence</w:t>
      </w:r>
      <w:r w:rsidRPr="004326A8">
        <w:rPr>
          <w:rStyle w:val="normaltextrun"/>
          <w:color w:val="262626"/>
          <w:shd w:val="clear" w:color="auto" w:fill="FFFFFF"/>
        </w:rPr>
        <w:t xml:space="preserve"> of ABS data on the digital platform economy, a number of groups have made their own estimates of the size of the digital platform economy. These are summarised in Table </w:t>
      </w:r>
      <w:r w:rsidR="3B873619" w:rsidRPr="004326A8">
        <w:rPr>
          <w:rStyle w:val="normaltextrun"/>
          <w:color w:val="262626"/>
          <w:shd w:val="clear" w:color="auto" w:fill="FFFFFF"/>
        </w:rPr>
        <w:t>2</w:t>
      </w:r>
      <w:r w:rsidRPr="004326A8">
        <w:rPr>
          <w:rStyle w:val="normaltextrun"/>
          <w:color w:val="262626"/>
          <w:shd w:val="clear" w:color="auto" w:fill="FFFFFF"/>
        </w:rPr>
        <w:t xml:space="preserve"> below.</w:t>
      </w:r>
    </w:p>
    <w:p w14:paraId="30CCC905" w14:textId="77777777" w:rsidR="004326A8" w:rsidRPr="004326A8" w:rsidRDefault="004326A8" w:rsidP="004326A8">
      <w:pPr>
        <w:sectPr w:rsidR="004326A8" w:rsidRPr="004326A8" w:rsidSect="00A36CC2">
          <w:pgSz w:w="11906" w:h="16838"/>
          <w:pgMar w:top="1418" w:right="1418" w:bottom="1418" w:left="1418" w:header="0" w:footer="454" w:gutter="0"/>
          <w:cols w:space="708"/>
          <w:docGrid w:linePitch="360"/>
        </w:sectPr>
      </w:pPr>
    </w:p>
    <w:p w14:paraId="3B488136" w14:textId="06BA892D" w:rsidR="004326A8" w:rsidRPr="004326A8" w:rsidRDefault="004326A8" w:rsidP="004326A8">
      <w:pPr>
        <w:rPr>
          <w:rStyle w:val="normaltextrun"/>
          <w:b/>
          <w:bCs/>
          <w:color w:val="262626"/>
          <w:shd w:val="clear" w:color="auto" w:fill="FFFFFF"/>
        </w:rPr>
      </w:pPr>
      <w:r w:rsidRPr="4825B37E">
        <w:rPr>
          <w:rStyle w:val="normaltextrun"/>
          <w:b/>
          <w:color w:val="262626"/>
          <w:shd w:val="clear" w:color="auto" w:fill="FFFFFF"/>
        </w:rPr>
        <w:t xml:space="preserve">Table </w:t>
      </w:r>
      <w:r w:rsidR="6DBC3F0B" w:rsidRPr="4825B37E">
        <w:rPr>
          <w:rStyle w:val="normaltextrun"/>
          <w:b/>
          <w:color w:val="262626"/>
          <w:shd w:val="clear" w:color="auto" w:fill="FFFFFF"/>
        </w:rPr>
        <w:t>2</w:t>
      </w:r>
      <w:r w:rsidRPr="004326A8">
        <w:rPr>
          <w:rStyle w:val="normaltextrun"/>
          <w:b/>
          <w:bCs/>
          <w:color w:val="262626"/>
          <w:shd w:val="clear" w:color="auto" w:fill="FFFFFF"/>
        </w:rPr>
        <w:t xml:space="preserve"> </w:t>
      </w:r>
      <w:r w:rsidR="2F3A0C53" w:rsidRPr="5118C985">
        <w:rPr>
          <w:rStyle w:val="normaltextrun"/>
          <w:b/>
          <w:bCs/>
          <w:color w:val="262626"/>
          <w:shd w:val="clear" w:color="auto" w:fill="FFFFFF"/>
        </w:rPr>
        <w:t>-</w:t>
      </w:r>
      <w:r w:rsidR="1B1DAD00" w:rsidRPr="004326A8">
        <w:rPr>
          <w:rStyle w:val="normaltextrun"/>
          <w:b/>
          <w:bCs/>
          <w:color w:val="262626"/>
          <w:shd w:val="clear" w:color="auto" w:fill="FFFFFF"/>
        </w:rPr>
        <w:t xml:space="preserve"> </w:t>
      </w:r>
      <w:r w:rsidR="000563B8">
        <w:rPr>
          <w:rStyle w:val="normaltextrun"/>
          <w:b/>
          <w:bCs/>
          <w:color w:val="262626"/>
          <w:shd w:val="clear" w:color="auto" w:fill="FFFFFF"/>
        </w:rPr>
        <w:t>S</w:t>
      </w:r>
      <w:r w:rsidRPr="004326A8">
        <w:rPr>
          <w:rStyle w:val="normaltextrun"/>
          <w:b/>
          <w:bCs/>
          <w:color w:val="262626"/>
          <w:shd w:val="clear" w:color="auto" w:fill="FFFFFF"/>
        </w:rPr>
        <w:t>ummary of different estimates of size of the digital platform economy</w:t>
      </w:r>
    </w:p>
    <w:tbl>
      <w:tblPr>
        <w:tblStyle w:val="DESE"/>
        <w:tblW w:w="14056" w:type="dxa"/>
        <w:tblInd w:w="-3" w:type="dxa"/>
        <w:tblCellMar>
          <w:left w:w="0" w:type="dxa"/>
          <w:right w:w="0" w:type="dxa"/>
        </w:tblCellMar>
        <w:tblLook w:val="04A0" w:firstRow="1" w:lastRow="0" w:firstColumn="1" w:lastColumn="0" w:noHBand="0" w:noVBand="1"/>
      </w:tblPr>
      <w:tblGrid>
        <w:gridCol w:w="3162"/>
        <w:gridCol w:w="2179"/>
        <w:gridCol w:w="2075"/>
        <w:gridCol w:w="2570"/>
        <w:gridCol w:w="4070"/>
      </w:tblGrid>
      <w:tr w:rsidR="004326A8" w:rsidRPr="004326A8" w14:paraId="51400A06" w14:textId="77777777" w:rsidTr="00A54C6D">
        <w:trPr>
          <w:cnfStyle w:val="100000000000" w:firstRow="1" w:lastRow="0" w:firstColumn="0" w:lastColumn="0" w:oddVBand="0" w:evenVBand="0" w:oddHBand="0" w:evenHBand="0" w:firstRowFirstColumn="0" w:firstRowLastColumn="0" w:lastRowFirstColumn="0" w:lastRowLastColumn="0"/>
          <w:trHeight w:val="543"/>
        </w:trPr>
        <w:tc>
          <w:tcPr>
            <w:cnfStyle w:val="001000000100" w:firstRow="0" w:lastRow="0" w:firstColumn="1" w:lastColumn="0" w:oddVBand="0" w:evenVBand="0" w:oddHBand="0" w:evenHBand="0" w:firstRowFirstColumn="1" w:firstRowLastColumn="0" w:lastRowFirstColumn="0" w:lastRowLastColumn="0"/>
            <w:tcW w:w="0" w:type="dxa"/>
            <w:noWrap/>
            <w:tcMar>
              <w:top w:w="0" w:type="dxa"/>
              <w:left w:w="108" w:type="dxa"/>
              <w:bottom w:w="0" w:type="dxa"/>
              <w:right w:w="108" w:type="dxa"/>
            </w:tcMar>
            <w:hideMark/>
          </w:tcPr>
          <w:p w14:paraId="6791B787" w14:textId="378FA026" w:rsidR="004326A8" w:rsidRPr="007A569D" w:rsidRDefault="004326A8">
            <w:pPr>
              <w:spacing w:after="0" w:line="240" w:lineRule="auto"/>
              <w:rPr>
                <w:b/>
                <w:sz w:val="20"/>
                <w:szCs w:val="20"/>
                <w:lang w:eastAsia="en-AU"/>
              </w:rPr>
            </w:pPr>
            <w:r w:rsidRPr="007A569D">
              <w:rPr>
                <w:b/>
                <w:sz w:val="20"/>
                <w:szCs w:val="20"/>
                <w:lang w:eastAsia="en-AU"/>
              </w:rPr>
              <w:t>Source</w:t>
            </w:r>
          </w:p>
        </w:tc>
        <w:tc>
          <w:tcPr>
            <w:tcW w:w="0" w:type="dxa"/>
            <w:noWrap/>
            <w:tcMar>
              <w:top w:w="0" w:type="dxa"/>
              <w:left w:w="108" w:type="dxa"/>
              <w:bottom w:w="0" w:type="dxa"/>
              <w:right w:w="108" w:type="dxa"/>
            </w:tcMar>
            <w:hideMark/>
          </w:tcPr>
          <w:p w14:paraId="5C3A97C0" w14:textId="089A8576" w:rsidR="004326A8" w:rsidRPr="007A569D" w:rsidRDefault="004326A8">
            <w:pPr>
              <w:spacing w:after="0" w:line="240" w:lineRule="auto"/>
              <w:jc w:val="center"/>
              <w:cnfStyle w:val="100000000000" w:firstRow="1" w:lastRow="0" w:firstColumn="0" w:lastColumn="0" w:oddVBand="0" w:evenVBand="0" w:oddHBand="0" w:evenHBand="0" w:firstRowFirstColumn="0" w:firstRowLastColumn="0" w:lastRowFirstColumn="0" w:lastRowLastColumn="0"/>
              <w:rPr>
                <w:b/>
                <w:sz w:val="20"/>
                <w:szCs w:val="20"/>
                <w:lang w:eastAsia="en-AU"/>
              </w:rPr>
            </w:pPr>
            <w:r w:rsidRPr="007A569D">
              <w:rPr>
                <w:b/>
                <w:sz w:val="20"/>
                <w:szCs w:val="20"/>
                <w:lang w:eastAsia="en-AU"/>
              </w:rPr>
              <w:t>Estimate</w:t>
            </w:r>
            <w:r w:rsidR="008F5C59" w:rsidRPr="00573634">
              <w:rPr>
                <w:b/>
                <w:bCs/>
                <w:color w:val="auto"/>
                <w:sz w:val="20"/>
                <w:szCs w:val="20"/>
                <w:lang w:eastAsia="en-AU"/>
              </w:rPr>
              <w:softHyphen/>
            </w:r>
          </w:p>
        </w:tc>
        <w:tc>
          <w:tcPr>
            <w:tcW w:w="0" w:type="dxa"/>
          </w:tcPr>
          <w:p w14:paraId="4EDC7532" w14:textId="0E956949" w:rsidR="004326A8" w:rsidRPr="007A569D" w:rsidRDefault="004326A8">
            <w:pPr>
              <w:spacing w:after="0" w:line="240" w:lineRule="auto"/>
              <w:jc w:val="center"/>
              <w:cnfStyle w:val="100000000000" w:firstRow="1" w:lastRow="0" w:firstColumn="0" w:lastColumn="0" w:oddVBand="0" w:evenVBand="0" w:oddHBand="0" w:evenHBand="0" w:firstRowFirstColumn="0" w:firstRowLastColumn="0" w:lastRowFirstColumn="0" w:lastRowLastColumn="0"/>
              <w:rPr>
                <w:b/>
                <w:sz w:val="20"/>
                <w:szCs w:val="20"/>
                <w:lang w:eastAsia="en-AU"/>
              </w:rPr>
            </w:pPr>
            <w:r w:rsidRPr="007A569D">
              <w:rPr>
                <w:b/>
                <w:sz w:val="20"/>
                <w:szCs w:val="20"/>
                <w:lang w:eastAsia="en-AU"/>
              </w:rPr>
              <w:t>Year of estimate</w:t>
            </w:r>
          </w:p>
        </w:tc>
        <w:tc>
          <w:tcPr>
            <w:tcW w:w="0" w:type="dxa"/>
            <w:noWrap/>
            <w:tcMar>
              <w:top w:w="0" w:type="dxa"/>
              <w:left w:w="108" w:type="dxa"/>
              <w:bottom w:w="0" w:type="dxa"/>
              <w:right w:w="108" w:type="dxa"/>
            </w:tcMar>
            <w:hideMark/>
          </w:tcPr>
          <w:p w14:paraId="7A88CDD6" w14:textId="03BE0D22" w:rsidR="004326A8" w:rsidRPr="007A569D" w:rsidRDefault="004326A8">
            <w:pPr>
              <w:spacing w:after="0" w:line="240" w:lineRule="auto"/>
              <w:jc w:val="center"/>
              <w:cnfStyle w:val="100000000000" w:firstRow="1" w:lastRow="0" w:firstColumn="0" w:lastColumn="0" w:oddVBand="0" w:evenVBand="0" w:oddHBand="0" w:evenHBand="0" w:firstRowFirstColumn="0" w:firstRowLastColumn="0" w:lastRowFirstColumn="0" w:lastRowLastColumn="0"/>
              <w:rPr>
                <w:b/>
                <w:sz w:val="20"/>
                <w:szCs w:val="20"/>
                <w:lang w:eastAsia="en-AU"/>
              </w:rPr>
            </w:pPr>
            <w:r w:rsidRPr="007A569D">
              <w:rPr>
                <w:b/>
                <w:sz w:val="20"/>
                <w:szCs w:val="20"/>
                <w:lang w:eastAsia="en-AU"/>
              </w:rPr>
              <w:t>Definition</w:t>
            </w:r>
          </w:p>
        </w:tc>
        <w:tc>
          <w:tcPr>
            <w:tcW w:w="0" w:type="dxa"/>
            <w:noWrap/>
            <w:tcMar>
              <w:top w:w="0" w:type="dxa"/>
              <w:left w:w="108" w:type="dxa"/>
              <w:bottom w:w="0" w:type="dxa"/>
              <w:right w:w="108" w:type="dxa"/>
            </w:tcMar>
            <w:hideMark/>
          </w:tcPr>
          <w:p w14:paraId="6D4D804D" w14:textId="40BD8D9B" w:rsidR="004326A8" w:rsidRPr="007A569D" w:rsidRDefault="004326A8">
            <w:pPr>
              <w:spacing w:after="0" w:line="240" w:lineRule="auto"/>
              <w:cnfStyle w:val="100000000000" w:firstRow="1" w:lastRow="0" w:firstColumn="0" w:lastColumn="0" w:oddVBand="0" w:evenVBand="0" w:oddHBand="0" w:evenHBand="0" w:firstRowFirstColumn="0" w:firstRowLastColumn="0" w:lastRowFirstColumn="0" w:lastRowLastColumn="0"/>
              <w:rPr>
                <w:b/>
                <w:sz w:val="20"/>
                <w:szCs w:val="20"/>
                <w:lang w:eastAsia="en-AU"/>
              </w:rPr>
            </w:pPr>
            <w:r w:rsidRPr="007A569D">
              <w:rPr>
                <w:b/>
                <w:sz w:val="20"/>
                <w:szCs w:val="20"/>
                <w:lang w:eastAsia="en-AU"/>
              </w:rPr>
              <w:t>Notes</w:t>
            </w:r>
          </w:p>
        </w:tc>
      </w:tr>
      <w:tr w:rsidR="004326A8" w:rsidRPr="004326A8" w14:paraId="04C30881" w14:textId="77777777" w:rsidTr="00A54C6D">
        <w:trPr>
          <w:trHeight w:val="931"/>
        </w:trPr>
        <w:tc>
          <w:tcPr>
            <w:cnfStyle w:val="001000000000" w:firstRow="0" w:lastRow="0" w:firstColumn="1" w:lastColumn="0" w:oddVBand="0" w:evenVBand="0" w:oddHBand="0" w:evenHBand="0" w:firstRowFirstColumn="0" w:firstRowLastColumn="0" w:lastRowFirstColumn="0" w:lastRowLastColumn="0"/>
            <w:tcW w:w="0" w:type="dxa"/>
            <w:noWrap/>
            <w:tcMar>
              <w:top w:w="0" w:type="dxa"/>
              <w:left w:w="108" w:type="dxa"/>
              <w:bottom w:w="0" w:type="dxa"/>
              <w:right w:w="108" w:type="dxa"/>
            </w:tcMar>
            <w:hideMark/>
          </w:tcPr>
          <w:p w14:paraId="20CD725B" w14:textId="03491B1D" w:rsidR="004326A8" w:rsidRPr="003F1E5C" w:rsidRDefault="004326A8">
            <w:pPr>
              <w:spacing w:after="0" w:line="240" w:lineRule="auto"/>
              <w:rPr>
                <w:color w:val="000000"/>
                <w:sz w:val="20"/>
                <w:szCs w:val="20"/>
                <w:lang w:eastAsia="en-AU"/>
              </w:rPr>
            </w:pPr>
            <w:r w:rsidRPr="0573812F">
              <w:rPr>
                <w:color w:val="000000"/>
                <w:sz w:val="20"/>
                <w:szCs w:val="20"/>
                <w:lang w:eastAsia="en-AU"/>
              </w:rPr>
              <w:t>Victorian National Survey</w:t>
            </w:r>
            <w:r w:rsidRPr="004326A8">
              <w:rPr>
                <w:rStyle w:val="FootnoteReference"/>
                <w:color w:val="262626" w:themeColor="text1" w:themeTint="D9"/>
                <w:sz w:val="20"/>
                <w:szCs w:val="20"/>
              </w:rPr>
              <w:footnoteReference w:id="61"/>
            </w:r>
          </w:p>
        </w:tc>
        <w:tc>
          <w:tcPr>
            <w:tcW w:w="0" w:type="dxa"/>
            <w:tcMar>
              <w:top w:w="0" w:type="dxa"/>
              <w:left w:w="108" w:type="dxa"/>
              <w:bottom w:w="0" w:type="dxa"/>
              <w:right w:w="108" w:type="dxa"/>
            </w:tcMar>
            <w:hideMark/>
          </w:tcPr>
          <w:p w14:paraId="04A8CF4D" w14:textId="6EE2EA66"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b/>
                <w:color w:val="000000" w:themeColor="text1"/>
                <w:sz w:val="20"/>
                <w:szCs w:val="20"/>
                <w:lang w:eastAsia="en-AU"/>
              </w:rPr>
              <w:t>7.1 per cent</w:t>
            </w:r>
          </w:p>
          <w:p w14:paraId="5B255FF6" w14:textId="7CA1581E"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48576E50">
              <w:rPr>
                <w:color w:val="000000" w:themeColor="text1"/>
                <w:sz w:val="20"/>
                <w:szCs w:val="20"/>
                <w:lang w:eastAsia="en-AU"/>
              </w:rPr>
              <w:t>Equates to 909,500 workers</w:t>
            </w:r>
          </w:p>
        </w:tc>
        <w:tc>
          <w:tcPr>
            <w:tcW w:w="0" w:type="dxa"/>
          </w:tcPr>
          <w:p w14:paraId="43DF59E7" w14:textId="324D4340"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March/April 2019</w:t>
            </w:r>
          </w:p>
        </w:tc>
        <w:tc>
          <w:tcPr>
            <w:tcW w:w="0" w:type="dxa"/>
            <w:tcMar>
              <w:top w:w="0" w:type="dxa"/>
              <w:left w:w="108" w:type="dxa"/>
              <w:bottom w:w="0" w:type="dxa"/>
              <w:right w:w="108" w:type="dxa"/>
            </w:tcMar>
            <w:hideMark/>
          </w:tcPr>
          <w:p w14:paraId="6A88BE38" w14:textId="5FEB296C"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Survey respondents who are currently working (or offering to work) through a digital platform or have done so within the last 12 months</w:t>
            </w:r>
            <w:r w:rsidR="0036600E">
              <w:rPr>
                <w:color w:val="000000" w:themeColor="text1"/>
                <w:sz w:val="20"/>
                <w:szCs w:val="20"/>
                <w:lang w:eastAsia="en-AU"/>
              </w:rPr>
              <w:t>.</w:t>
            </w:r>
          </w:p>
        </w:tc>
        <w:tc>
          <w:tcPr>
            <w:tcW w:w="0" w:type="dxa"/>
            <w:tcMar>
              <w:top w:w="0" w:type="dxa"/>
              <w:left w:w="108" w:type="dxa"/>
              <w:bottom w:w="0" w:type="dxa"/>
              <w:right w:w="108" w:type="dxa"/>
            </w:tcMar>
            <w:hideMark/>
          </w:tcPr>
          <w:p w14:paraId="1AF6593D" w14:textId="106E14B9" w:rsidR="004326A8" w:rsidRPr="004326A8" w:rsidRDefault="004326A8" w:rsidP="00E5309D">
            <w:pPr>
              <w:pStyle w:val="ListParagraph"/>
              <w:numPr>
                <w:ilvl w:val="0"/>
                <w:numId w:val="85"/>
              </w:numPr>
              <w:spacing w:after="0" w:line="240" w:lineRule="auto"/>
              <w:ind w:left="376"/>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This survey was informed by an extensive literature review and similar surveys undertaken in Europe. The sample of over 14,000 useable responses was representative of the Australian population in relation to gender, age, and State/Territory.</w:t>
            </w:r>
          </w:p>
          <w:p w14:paraId="77CA4C67" w14:textId="29C98490" w:rsidR="004326A8" w:rsidRPr="004326A8" w:rsidRDefault="004326A8" w:rsidP="00E5309D">
            <w:pPr>
              <w:pStyle w:val="ListParagraph"/>
              <w:numPr>
                <w:ilvl w:val="0"/>
                <w:numId w:val="85"/>
              </w:numPr>
              <w:spacing w:after="0" w:line="240" w:lineRule="auto"/>
              <w:ind w:left="376"/>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004326A8">
              <w:rPr>
                <w:color w:val="000000"/>
                <w:sz w:val="20"/>
                <w:szCs w:val="20"/>
                <w:lang w:eastAsia="en-AU"/>
              </w:rPr>
              <w:t xml:space="preserve">This estimate is likely an overestimate of people who are currently working in the </w:t>
            </w:r>
            <w:r w:rsidRPr="004326A8">
              <w:rPr>
                <w:rStyle w:val="normaltextrun"/>
                <w:color w:val="262626"/>
                <w:sz w:val="20"/>
                <w:szCs w:val="20"/>
                <w:shd w:val="clear" w:color="auto" w:fill="FFFFFF"/>
              </w:rPr>
              <w:t>digital platform</w:t>
            </w:r>
            <w:r w:rsidRPr="004326A8">
              <w:rPr>
                <w:color w:val="000000"/>
                <w:sz w:val="20"/>
                <w:szCs w:val="20"/>
                <w:lang w:eastAsia="en-AU"/>
              </w:rPr>
              <w:t xml:space="preserve"> economy because:</w:t>
            </w:r>
          </w:p>
          <w:p w14:paraId="26E2040E" w14:textId="33027115" w:rsidR="004326A8" w:rsidRPr="004326A8" w:rsidRDefault="004326A8" w:rsidP="00E5309D">
            <w:pPr>
              <w:pStyle w:val="ListParagraph"/>
              <w:numPr>
                <w:ilvl w:val="0"/>
                <w:numId w:val="96"/>
              </w:numPr>
              <w:spacing w:after="0"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it is based on those who had worked sometime in the last 12 months including many who are not currently working in the digital platform economy.</w:t>
            </w:r>
          </w:p>
          <w:p w14:paraId="47C251A5" w14:textId="77777777" w:rsidR="004326A8" w:rsidRPr="004326A8" w:rsidRDefault="004326A8" w:rsidP="00E5309D">
            <w:pPr>
              <w:pStyle w:val="ListParagraph"/>
              <w:numPr>
                <w:ilvl w:val="0"/>
                <w:numId w:val="96"/>
              </w:numPr>
              <w:spacing w:after="0"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004326A8">
              <w:rPr>
                <w:color w:val="000000"/>
                <w:sz w:val="20"/>
                <w:szCs w:val="20"/>
                <w:lang w:eastAsia="en-AU"/>
              </w:rPr>
              <w:t xml:space="preserve">the sample over-represented respondents with a university qualification and respondents living in major cities, both of which are groups that are more likely to work in the </w:t>
            </w:r>
            <w:r w:rsidRPr="004326A8">
              <w:rPr>
                <w:rStyle w:val="normaltextrun"/>
                <w:color w:val="262626"/>
                <w:sz w:val="20"/>
                <w:szCs w:val="20"/>
                <w:shd w:val="clear" w:color="auto" w:fill="FFFFFF"/>
              </w:rPr>
              <w:t>digital platform</w:t>
            </w:r>
            <w:r w:rsidRPr="004326A8">
              <w:rPr>
                <w:color w:val="000000"/>
                <w:sz w:val="20"/>
                <w:szCs w:val="20"/>
                <w:lang w:eastAsia="en-AU"/>
              </w:rPr>
              <w:t xml:space="preserve"> economy. </w:t>
            </w:r>
          </w:p>
        </w:tc>
      </w:tr>
      <w:tr w:rsidR="004326A8" w:rsidRPr="004326A8" w14:paraId="60C1EBAF" w14:textId="77777777" w:rsidTr="00A54C6D">
        <w:trPr>
          <w:trHeight w:val="1117"/>
        </w:trPr>
        <w:tc>
          <w:tcPr>
            <w:cnfStyle w:val="001000000000" w:firstRow="0" w:lastRow="0" w:firstColumn="1" w:lastColumn="0" w:oddVBand="0" w:evenVBand="0" w:oddHBand="0" w:evenHBand="0" w:firstRowFirstColumn="0" w:firstRowLastColumn="0" w:lastRowFirstColumn="0" w:lastRowLastColumn="0"/>
            <w:tcW w:w="0" w:type="dxa"/>
            <w:noWrap/>
            <w:tcMar>
              <w:top w:w="0" w:type="dxa"/>
              <w:left w:w="108" w:type="dxa"/>
              <w:bottom w:w="0" w:type="dxa"/>
              <w:right w:w="108" w:type="dxa"/>
            </w:tcMar>
          </w:tcPr>
          <w:p w14:paraId="4929DD02" w14:textId="77777777" w:rsidR="004326A8" w:rsidRPr="003F1E5C" w:rsidRDefault="004326A8">
            <w:pPr>
              <w:spacing w:after="0" w:line="240" w:lineRule="auto"/>
              <w:rPr>
                <w:color w:val="000000"/>
                <w:sz w:val="20"/>
                <w:szCs w:val="20"/>
                <w:lang w:eastAsia="en-AU"/>
              </w:rPr>
            </w:pPr>
            <w:r w:rsidRPr="0573812F">
              <w:rPr>
                <w:color w:val="000000"/>
                <w:sz w:val="20"/>
                <w:szCs w:val="20"/>
                <w:lang w:eastAsia="en-AU"/>
              </w:rPr>
              <w:t>Industry Super</w:t>
            </w:r>
            <w:r w:rsidRPr="003F1E5C">
              <w:rPr>
                <w:rStyle w:val="FootnoteReference"/>
                <w:color w:val="000000"/>
                <w:sz w:val="20"/>
                <w:szCs w:val="20"/>
                <w:lang w:eastAsia="en-AU"/>
              </w:rPr>
              <w:footnoteReference w:id="62"/>
            </w:r>
          </w:p>
        </w:tc>
        <w:tc>
          <w:tcPr>
            <w:tcW w:w="0" w:type="dxa"/>
            <w:noWrap/>
            <w:tcMar>
              <w:top w:w="0" w:type="dxa"/>
              <w:left w:w="108" w:type="dxa"/>
              <w:bottom w:w="0" w:type="dxa"/>
              <w:right w:w="108" w:type="dxa"/>
            </w:tcMar>
          </w:tcPr>
          <w:p w14:paraId="66106CA4" w14:textId="7F99E24D" w:rsidR="004326A8" w:rsidRPr="009641FF"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AU"/>
              </w:rPr>
            </w:pPr>
            <w:r w:rsidRPr="00573634">
              <w:rPr>
                <w:b/>
                <w:bCs/>
                <w:color w:val="000000" w:themeColor="text1"/>
                <w:sz w:val="20"/>
                <w:szCs w:val="20"/>
                <w:lang w:eastAsia="en-AU"/>
              </w:rPr>
              <w:t>275,000</w:t>
            </w:r>
          </w:p>
        </w:tc>
        <w:tc>
          <w:tcPr>
            <w:tcW w:w="0" w:type="dxa"/>
          </w:tcPr>
          <w:p w14:paraId="1F24C465" w14:textId="2E1DEAA5"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2019</w:t>
            </w:r>
          </w:p>
        </w:tc>
        <w:tc>
          <w:tcPr>
            <w:tcW w:w="0" w:type="dxa"/>
            <w:tcMar>
              <w:top w:w="0" w:type="dxa"/>
              <w:left w:w="108" w:type="dxa"/>
              <w:bottom w:w="0" w:type="dxa"/>
              <w:right w:w="108" w:type="dxa"/>
            </w:tcMar>
          </w:tcPr>
          <w:p w14:paraId="608F10FC" w14:textId="1607B9F4"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Unclear - appears to have been estimated using the Victorian National Survey, Uber estimates of their workforce and their own analysis</w:t>
            </w:r>
            <w:r w:rsidR="0036600E">
              <w:rPr>
                <w:color w:val="000000" w:themeColor="text1"/>
                <w:sz w:val="20"/>
                <w:szCs w:val="20"/>
                <w:lang w:eastAsia="en-AU"/>
              </w:rPr>
              <w:t>.</w:t>
            </w:r>
          </w:p>
        </w:tc>
        <w:tc>
          <w:tcPr>
            <w:tcW w:w="0" w:type="dxa"/>
            <w:noWrap/>
            <w:tcMar>
              <w:top w:w="0" w:type="dxa"/>
              <w:left w:w="108" w:type="dxa"/>
              <w:bottom w:w="0" w:type="dxa"/>
              <w:right w:w="108" w:type="dxa"/>
            </w:tcMar>
          </w:tcPr>
          <w:p w14:paraId="6B8B7986" w14:textId="429E3390" w:rsidR="004326A8" w:rsidRPr="00FE236F" w:rsidRDefault="004326A8">
            <w:pPr>
              <w:spacing w:after="0" w:line="240" w:lineRule="auto"/>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p>
        </w:tc>
      </w:tr>
      <w:tr w:rsidR="004326A8" w:rsidRPr="004326A8" w14:paraId="73BDEB08" w14:textId="77777777" w:rsidTr="00A54C6D">
        <w:trPr>
          <w:trHeight w:val="1117"/>
        </w:trPr>
        <w:tc>
          <w:tcPr>
            <w:cnfStyle w:val="001000000000" w:firstRow="0" w:lastRow="0" w:firstColumn="1" w:lastColumn="0" w:oddVBand="0" w:evenVBand="0" w:oddHBand="0" w:evenHBand="0" w:firstRowFirstColumn="0" w:firstRowLastColumn="0" w:lastRowFirstColumn="0" w:lastRowLastColumn="0"/>
            <w:tcW w:w="0" w:type="dxa"/>
            <w:noWrap/>
            <w:tcMar>
              <w:top w:w="0" w:type="dxa"/>
              <w:left w:w="108" w:type="dxa"/>
              <w:bottom w:w="0" w:type="dxa"/>
              <w:right w:w="108" w:type="dxa"/>
            </w:tcMar>
          </w:tcPr>
          <w:p w14:paraId="0A7B88E5" w14:textId="77777777" w:rsidR="004326A8" w:rsidRPr="003F1E5C" w:rsidRDefault="004326A8">
            <w:pPr>
              <w:spacing w:after="0" w:line="240" w:lineRule="auto"/>
              <w:rPr>
                <w:color w:val="000000"/>
                <w:sz w:val="20"/>
                <w:szCs w:val="20"/>
                <w:lang w:eastAsia="en-AU"/>
              </w:rPr>
            </w:pPr>
            <w:r w:rsidRPr="0573812F">
              <w:rPr>
                <w:color w:val="000000"/>
                <w:sz w:val="20"/>
                <w:szCs w:val="20"/>
                <w:lang w:eastAsia="en-AU"/>
              </w:rPr>
              <w:t>Actuaries Institute</w:t>
            </w:r>
            <w:r w:rsidRPr="004326A8">
              <w:rPr>
                <w:rStyle w:val="FootnoteReference"/>
                <w:color w:val="262626" w:themeColor="text1" w:themeTint="D9"/>
                <w:sz w:val="20"/>
                <w:szCs w:val="20"/>
              </w:rPr>
              <w:footnoteReference w:id="63"/>
            </w:r>
          </w:p>
        </w:tc>
        <w:tc>
          <w:tcPr>
            <w:tcW w:w="0" w:type="dxa"/>
            <w:noWrap/>
            <w:tcMar>
              <w:top w:w="0" w:type="dxa"/>
              <w:left w:w="108" w:type="dxa"/>
              <w:bottom w:w="0" w:type="dxa"/>
              <w:right w:w="108" w:type="dxa"/>
            </w:tcMar>
          </w:tcPr>
          <w:p w14:paraId="403F7762" w14:textId="6AB49886"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AU"/>
              </w:rPr>
            </w:pPr>
            <w:r w:rsidRPr="2B64D1CA">
              <w:rPr>
                <w:b/>
                <w:color w:val="000000" w:themeColor="text1"/>
                <w:sz w:val="20"/>
                <w:szCs w:val="20"/>
                <w:lang w:eastAsia="en-AU"/>
              </w:rPr>
              <w:t>250,000</w:t>
            </w:r>
          </w:p>
          <w:p w14:paraId="5DD3BB4C" w14:textId="6D8C22D8"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Equates to 2.0 per cent of workforce</w:t>
            </w:r>
          </w:p>
        </w:tc>
        <w:tc>
          <w:tcPr>
            <w:tcW w:w="0" w:type="dxa"/>
          </w:tcPr>
          <w:p w14:paraId="1EC54481" w14:textId="443E6E86"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2019</w:t>
            </w:r>
          </w:p>
        </w:tc>
        <w:tc>
          <w:tcPr>
            <w:tcW w:w="0" w:type="dxa"/>
            <w:tcMar>
              <w:top w:w="0" w:type="dxa"/>
              <w:left w:w="108" w:type="dxa"/>
              <w:bottom w:w="0" w:type="dxa"/>
              <w:right w:w="108" w:type="dxa"/>
            </w:tcMar>
          </w:tcPr>
          <w:p w14:paraId="10E1BFF0" w14:textId="7764A5BD"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Estimate is based on Uber’s self-reported estimate of 60,000 workers in 2019 and the market share of Uber from the Victorian National Survey of 22.7 per cent.</w:t>
            </w:r>
          </w:p>
        </w:tc>
        <w:tc>
          <w:tcPr>
            <w:tcW w:w="0" w:type="dxa"/>
            <w:noWrap/>
            <w:tcMar>
              <w:top w:w="0" w:type="dxa"/>
              <w:left w:w="108" w:type="dxa"/>
              <w:bottom w:w="0" w:type="dxa"/>
              <w:right w:w="108" w:type="dxa"/>
            </w:tcMar>
          </w:tcPr>
          <w:p w14:paraId="3F8D2112" w14:textId="7552AE8C" w:rsidR="004326A8" w:rsidRPr="004326A8" w:rsidRDefault="004326A8" w:rsidP="00E5309D">
            <w:pPr>
              <w:pStyle w:val="ListParagraph"/>
              <w:numPr>
                <w:ilvl w:val="0"/>
                <w:numId w:val="85"/>
              </w:numPr>
              <w:spacing w:after="0" w:line="240" w:lineRule="auto"/>
              <w:ind w:left="376"/>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004326A8">
              <w:rPr>
                <w:color w:val="000000"/>
                <w:sz w:val="20"/>
                <w:szCs w:val="20"/>
                <w:lang w:eastAsia="en-AU"/>
              </w:rPr>
              <w:t xml:space="preserve">This survey used transaction data from electronic bank transactions to identify a sample of 8,008 </w:t>
            </w:r>
            <w:r w:rsidRPr="004326A8">
              <w:rPr>
                <w:rStyle w:val="normaltextrun"/>
                <w:color w:val="262626"/>
                <w:sz w:val="20"/>
                <w:szCs w:val="20"/>
                <w:shd w:val="clear" w:color="auto" w:fill="FFFFFF"/>
              </w:rPr>
              <w:t>digital platform</w:t>
            </w:r>
            <w:r w:rsidRPr="004326A8">
              <w:rPr>
                <w:color w:val="000000"/>
                <w:sz w:val="20"/>
                <w:szCs w:val="20"/>
                <w:lang w:eastAsia="en-AU"/>
              </w:rPr>
              <w:t xml:space="preserve"> economy workers and 1 million </w:t>
            </w:r>
            <w:r w:rsidRPr="004326A8">
              <w:rPr>
                <w:rStyle w:val="normaltextrun"/>
                <w:color w:val="262626"/>
                <w:sz w:val="20"/>
                <w:szCs w:val="20"/>
                <w:shd w:val="clear" w:color="auto" w:fill="FFFFFF"/>
              </w:rPr>
              <w:t>digital platform</w:t>
            </w:r>
            <w:r w:rsidRPr="004326A8">
              <w:rPr>
                <w:color w:val="000000"/>
                <w:sz w:val="20"/>
                <w:szCs w:val="20"/>
                <w:lang w:eastAsia="en-AU"/>
              </w:rPr>
              <w:t xml:space="preserve"> consumers to quantify the </w:t>
            </w:r>
            <w:r w:rsidRPr="004326A8">
              <w:rPr>
                <w:rStyle w:val="normaltextrun"/>
                <w:color w:val="262626"/>
                <w:sz w:val="20"/>
                <w:szCs w:val="20"/>
                <w:shd w:val="clear" w:color="auto" w:fill="FFFFFF"/>
              </w:rPr>
              <w:t>digital platform</w:t>
            </w:r>
            <w:r w:rsidRPr="004326A8">
              <w:rPr>
                <w:color w:val="000000"/>
                <w:sz w:val="20"/>
                <w:szCs w:val="20"/>
                <w:lang w:eastAsia="en-AU"/>
              </w:rPr>
              <w:t xml:space="preserve"> economy’s rise in terms of growth.</w:t>
            </w:r>
          </w:p>
          <w:p w14:paraId="243A82F0" w14:textId="1AC1F332" w:rsidR="004326A8" w:rsidRPr="004326A8" w:rsidRDefault="004326A8" w:rsidP="00E5309D">
            <w:pPr>
              <w:pStyle w:val="ListParagraph"/>
              <w:numPr>
                <w:ilvl w:val="0"/>
                <w:numId w:val="85"/>
              </w:numPr>
              <w:spacing w:after="0" w:line="240" w:lineRule="auto"/>
              <w:ind w:left="376"/>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004326A8">
              <w:rPr>
                <w:color w:val="000000"/>
                <w:sz w:val="20"/>
                <w:szCs w:val="20"/>
                <w:lang w:eastAsia="en-AU"/>
              </w:rPr>
              <w:t xml:space="preserve">This data only looked at workers who engaged in </w:t>
            </w:r>
            <w:r w:rsidRPr="004326A8">
              <w:rPr>
                <w:rStyle w:val="normaltextrun"/>
                <w:color w:val="262626"/>
                <w:sz w:val="20"/>
                <w:szCs w:val="20"/>
                <w:shd w:val="clear" w:color="auto" w:fill="FFFFFF"/>
              </w:rPr>
              <w:t>digital platform</w:t>
            </w:r>
            <w:r w:rsidRPr="004326A8">
              <w:rPr>
                <w:color w:val="000000"/>
                <w:sz w:val="20"/>
                <w:szCs w:val="20"/>
                <w:lang w:eastAsia="en-AU"/>
              </w:rPr>
              <w:t xml:space="preserve"> economy work in 2018 or 2019 with at least one of the five following platforms: </w:t>
            </w:r>
            <w:r w:rsidR="00E74DD0">
              <w:rPr>
                <w:color w:val="000000"/>
                <w:sz w:val="20"/>
                <w:szCs w:val="20"/>
                <w:lang w:eastAsia="en-AU"/>
              </w:rPr>
              <w:t>D</w:t>
            </w:r>
            <w:r w:rsidRPr="004326A8">
              <w:rPr>
                <w:color w:val="000000"/>
                <w:sz w:val="20"/>
                <w:szCs w:val="20"/>
                <w:lang w:eastAsia="en-AU"/>
              </w:rPr>
              <w:t xml:space="preserve">idi, </w:t>
            </w:r>
            <w:r w:rsidR="00E74DD0">
              <w:rPr>
                <w:color w:val="000000"/>
                <w:sz w:val="20"/>
                <w:szCs w:val="20"/>
                <w:lang w:eastAsia="en-AU"/>
              </w:rPr>
              <w:t>F</w:t>
            </w:r>
            <w:r w:rsidRPr="004326A8">
              <w:rPr>
                <w:color w:val="000000"/>
                <w:sz w:val="20"/>
                <w:szCs w:val="20"/>
                <w:lang w:eastAsia="en-AU"/>
              </w:rPr>
              <w:t xml:space="preserve">reelancer, </w:t>
            </w:r>
            <w:r w:rsidR="00E74DD0">
              <w:rPr>
                <w:color w:val="000000"/>
                <w:sz w:val="20"/>
                <w:szCs w:val="20"/>
                <w:lang w:eastAsia="en-AU"/>
              </w:rPr>
              <w:t>O</w:t>
            </w:r>
            <w:r w:rsidRPr="004326A8">
              <w:rPr>
                <w:color w:val="000000"/>
                <w:sz w:val="20"/>
                <w:szCs w:val="20"/>
                <w:lang w:eastAsia="en-AU"/>
              </w:rPr>
              <w:t xml:space="preserve">la, </w:t>
            </w:r>
            <w:r w:rsidR="00E74DD0">
              <w:rPr>
                <w:color w:val="000000"/>
                <w:sz w:val="20"/>
                <w:szCs w:val="20"/>
                <w:lang w:eastAsia="en-AU"/>
              </w:rPr>
              <w:t>U</w:t>
            </w:r>
            <w:r w:rsidRPr="004326A8">
              <w:rPr>
                <w:color w:val="000000"/>
                <w:sz w:val="20"/>
                <w:szCs w:val="20"/>
                <w:lang w:eastAsia="en-AU"/>
              </w:rPr>
              <w:t xml:space="preserve">ber, and </w:t>
            </w:r>
            <w:r w:rsidR="00E74DD0">
              <w:rPr>
                <w:color w:val="000000"/>
                <w:sz w:val="20"/>
                <w:szCs w:val="20"/>
                <w:lang w:eastAsia="en-AU"/>
              </w:rPr>
              <w:t>Uber Eats</w:t>
            </w:r>
            <w:r w:rsidRPr="004326A8">
              <w:rPr>
                <w:color w:val="000000"/>
                <w:sz w:val="20"/>
                <w:szCs w:val="20"/>
                <w:lang w:eastAsia="en-AU"/>
              </w:rPr>
              <w:t>. As such, it is likely an underestimate and not a representative sample of all digital platform workers.</w:t>
            </w:r>
          </w:p>
        </w:tc>
      </w:tr>
      <w:tr w:rsidR="004326A8" w:rsidRPr="004326A8" w14:paraId="488ED4FF" w14:textId="77777777" w:rsidTr="00A54C6D">
        <w:trPr>
          <w:trHeight w:val="1117"/>
        </w:trPr>
        <w:tc>
          <w:tcPr>
            <w:cnfStyle w:val="001000000000" w:firstRow="0" w:lastRow="0" w:firstColumn="1" w:lastColumn="0" w:oddVBand="0" w:evenVBand="0" w:oddHBand="0" w:evenHBand="0" w:firstRowFirstColumn="0" w:firstRowLastColumn="0" w:lastRowFirstColumn="0" w:lastRowLastColumn="0"/>
            <w:tcW w:w="0" w:type="dxa"/>
            <w:noWrap/>
            <w:tcMar>
              <w:top w:w="0" w:type="dxa"/>
              <w:left w:w="108" w:type="dxa"/>
              <w:bottom w:w="0" w:type="dxa"/>
              <w:right w:w="108" w:type="dxa"/>
            </w:tcMar>
          </w:tcPr>
          <w:p w14:paraId="57EE7470" w14:textId="77777777" w:rsidR="004326A8" w:rsidRPr="003F1E5C" w:rsidRDefault="004326A8">
            <w:pPr>
              <w:spacing w:after="0" w:line="240" w:lineRule="auto"/>
              <w:rPr>
                <w:color w:val="000000"/>
                <w:sz w:val="20"/>
                <w:szCs w:val="20"/>
                <w:lang w:eastAsia="en-AU"/>
              </w:rPr>
            </w:pPr>
            <w:r w:rsidRPr="0573812F">
              <w:rPr>
                <w:color w:val="000000"/>
                <w:sz w:val="20"/>
                <w:szCs w:val="20"/>
                <w:lang w:eastAsia="en-AU"/>
              </w:rPr>
              <w:t>The Association of Superannuation Funds of Australia</w:t>
            </w:r>
            <w:r w:rsidRPr="0573812F">
              <w:rPr>
                <w:rStyle w:val="FootnoteReference"/>
                <w:color w:val="262626" w:themeColor="text1" w:themeTint="D9"/>
                <w:sz w:val="20"/>
                <w:szCs w:val="20"/>
              </w:rPr>
              <w:footnoteReference w:id="64"/>
            </w:r>
          </w:p>
        </w:tc>
        <w:tc>
          <w:tcPr>
            <w:tcW w:w="0" w:type="dxa"/>
            <w:noWrap/>
            <w:tcMar>
              <w:top w:w="0" w:type="dxa"/>
              <w:left w:w="108" w:type="dxa"/>
              <w:bottom w:w="0" w:type="dxa"/>
              <w:right w:w="108" w:type="dxa"/>
            </w:tcMar>
          </w:tcPr>
          <w:p w14:paraId="71F5C121" w14:textId="71F69BA2" w:rsidR="004326A8" w:rsidRPr="009641FF"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AU"/>
              </w:rPr>
            </w:pPr>
            <w:r w:rsidRPr="00573634">
              <w:rPr>
                <w:b/>
                <w:bCs/>
                <w:color w:val="000000" w:themeColor="text1"/>
                <w:sz w:val="20"/>
                <w:szCs w:val="20"/>
                <w:lang w:eastAsia="en-AU"/>
              </w:rPr>
              <w:t>150,000</w:t>
            </w:r>
          </w:p>
        </w:tc>
        <w:tc>
          <w:tcPr>
            <w:tcW w:w="0" w:type="dxa"/>
          </w:tcPr>
          <w:p w14:paraId="7BFF0406" w14:textId="04EF2E9F"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2018</w:t>
            </w:r>
          </w:p>
        </w:tc>
        <w:tc>
          <w:tcPr>
            <w:tcW w:w="0" w:type="dxa"/>
            <w:tcMar>
              <w:top w:w="0" w:type="dxa"/>
              <w:left w:w="108" w:type="dxa"/>
              <w:bottom w:w="0" w:type="dxa"/>
              <w:right w:w="108" w:type="dxa"/>
            </w:tcMar>
          </w:tcPr>
          <w:p w14:paraId="014A4FE5" w14:textId="636D4E2D"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Number of 'regular' gig workers. Estimate is derived from worker numbers from discrete platforms. Where regular workers cannot be identified, they have been derived from the data available.</w:t>
            </w:r>
          </w:p>
        </w:tc>
        <w:tc>
          <w:tcPr>
            <w:tcW w:w="0" w:type="dxa"/>
            <w:noWrap/>
            <w:tcMar>
              <w:top w:w="0" w:type="dxa"/>
              <w:left w:w="108" w:type="dxa"/>
              <w:bottom w:w="0" w:type="dxa"/>
              <w:right w:w="108" w:type="dxa"/>
            </w:tcMar>
          </w:tcPr>
          <w:p w14:paraId="1AE7C575" w14:textId="478D2A38" w:rsidR="004326A8" w:rsidRPr="004326A8" w:rsidRDefault="004326A8" w:rsidP="00E5309D">
            <w:pPr>
              <w:pStyle w:val="ListParagraph"/>
              <w:numPr>
                <w:ilvl w:val="0"/>
                <w:numId w:val="85"/>
              </w:numPr>
              <w:spacing w:after="0" w:line="240" w:lineRule="auto"/>
              <w:ind w:left="376"/>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 xml:space="preserve">This was an increase of 50 per cent </w:t>
            </w:r>
            <w:r w:rsidR="009C14FA">
              <w:rPr>
                <w:color w:val="000000" w:themeColor="text1"/>
                <w:sz w:val="20"/>
                <w:szCs w:val="20"/>
                <w:lang w:eastAsia="en-AU"/>
              </w:rPr>
              <w:t>from</w:t>
            </w:r>
            <w:r w:rsidRPr="2B64D1CA">
              <w:rPr>
                <w:color w:val="000000" w:themeColor="text1"/>
                <w:sz w:val="20"/>
                <w:szCs w:val="20"/>
                <w:lang w:eastAsia="en-AU"/>
              </w:rPr>
              <w:t xml:space="preserve"> </w:t>
            </w:r>
            <w:r w:rsidR="009C14FA">
              <w:rPr>
                <w:color w:val="000000" w:themeColor="text1"/>
                <w:sz w:val="20"/>
                <w:szCs w:val="20"/>
                <w:lang w:eastAsia="en-AU"/>
              </w:rPr>
              <w:t>its</w:t>
            </w:r>
            <w:r w:rsidR="009C14FA" w:rsidRPr="2B64D1CA">
              <w:rPr>
                <w:color w:val="000000" w:themeColor="text1"/>
                <w:sz w:val="20"/>
                <w:szCs w:val="20"/>
                <w:lang w:eastAsia="en-AU"/>
              </w:rPr>
              <w:t xml:space="preserve"> </w:t>
            </w:r>
            <w:r w:rsidRPr="2B64D1CA">
              <w:rPr>
                <w:color w:val="000000" w:themeColor="text1"/>
                <w:sz w:val="20"/>
                <w:szCs w:val="20"/>
                <w:lang w:eastAsia="en-AU"/>
              </w:rPr>
              <w:t>estimate in the previous year (of 100,000 workers).</w:t>
            </w:r>
          </w:p>
        </w:tc>
      </w:tr>
      <w:tr w:rsidR="004326A8" w:rsidRPr="004326A8" w14:paraId="2905D71C" w14:textId="77777777" w:rsidTr="00A54C6D">
        <w:trPr>
          <w:trHeight w:val="1117"/>
        </w:trPr>
        <w:tc>
          <w:tcPr>
            <w:cnfStyle w:val="001000000000" w:firstRow="0" w:lastRow="0" w:firstColumn="1" w:lastColumn="0" w:oddVBand="0" w:evenVBand="0" w:oddHBand="0" w:evenHBand="0" w:firstRowFirstColumn="0" w:firstRowLastColumn="0" w:lastRowFirstColumn="0" w:lastRowLastColumn="0"/>
            <w:tcW w:w="0" w:type="dxa"/>
            <w:noWrap/>
            <w:tcMar>
              <w:top w:w="0" w:type="dxa"/>
              <w:left w:w="108" w:type="dxa"/>
              <w:bottom w:w="0" w:type="dxa"/>
              <w:right w:w="108" w:type="dxa"/>
            </w:tcMar>
          </w:tcPr>
          <w:p w14:paraId="2A8E2885" w14:textId="77777777" w:rsidR="004326A8" w:rsidRPr="003F1E5C" w:rsidRDefault="004326A8">
            <w:pPr>
              <w:spacing w:after="0" w:line="240" w:lineRule="auto"/>
              <w:rPr>
                <w:color w:val="000000"/>
                <w:sz w:val="20"/>
                <w:szCs w:val="20"/>
                <w:lang w:eastAsia="en-AU"/>
              </w:rPr>
            </w:pPr>
            <w:r w:rsidRPr="0573812F">
              <w:rPr>
                <w:color w:val="000000"/>
                <w:sz w:val="20"/>
                <w:szCs w:val="20"/>
                <w:lang w:eastAsia="en-AU"/>
              </w:rPr>
              <w:t>Uber</w:t>
            </w:r>
            <w:r w:rsidRPr="0573812F">
              <w:rPr>
                <w:rStyle w:val="FootnoteReference"/>
                <w:sz w:val="20"/>
                <w:szCs w:val="20"/>
              </w:rPr>
              <w:footnoteReference w:id="65"/>
            </w:r>
          </w:p>
        </w:tc>
        <w:tc>
          <w:tcPr>
            <w:tcW w:w="0" w:type="dxa"/>
            <w:noWrap/>
            <w:tcMar>
              <w:top w:w="0" w:type="dxa"/>
              <w:left w:w="108" w:type="dxa"/>
              <w:bottom w:w="0" w:type="dxa"/>
              <w:right w:w="108" w:type="dxa"/>
            </w:tcMar>
          </w:tcPr>
          <w:p w14:paraId="2AB54B70" w14:textId="03AB6445" w:rsidR="004326A8" w:rsidRPr="00573634"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AU"/>
              </w:rPr>
            </w:pPr>
            <w:r w:rsidRPr="00573634">
              <w:rPr>
                <w:b/>
                <w:bCs/>
                <w:color w:val="000000" w:themeColor="text1"/>
                <w:sz w:val="20"/>
                <w:szCs w:val="20"/>
                <w:lang w:eastAsia="en-AU"/>
              </w:rPr>
              <w:t>150,000</w:t>
            </w:r>
          </w:p>
        </w:tc>
        <w:tc>
          <w:tcPr>
            <w:tcW w:w="0" w:type="dxa"/>
          </w:tcPr>
          <w:p w14:paraId="081BC85B" w14:textId="2AD54058"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2023</w:t>
            </w:r>
          </w:p>
        </w:tc>
        <w:tc>
          <w:tcPr>
            <w:tcW w:w="0" w:type="dxa"/>
            <w:tcMar>
              <w:top w:w="0" w:type="dxa"/>
              <w:left w:w="108" w:type="dxa"/>
              <w:bottom w:w="0" w:type="dxa"/>
              <w:right w:w="108" w:type="dxa"/>
            </w:tcMar>
          </w:tcPr>
          <w:p w14:paraId="2CE1F52B" w14:textId="43AEA84C"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 xml:space="preserve">Number of workers who work on Uber or </w:t>
            </w:r>
            <w:r w:rsidR="00342B58" w:rsidRPr="2B64D1CA">
              <w:rPr>
                <w:color w:val="000000" w:themeColor="text1"/>
                <w:sz w:val="20"/>
                <w:szCs w:val="20"/>
                <w:lang w:eastAsia="en-AU"/>
              </w:rPr>
              <w:t>Uber</w:t>
            </w:r>
            <w:r w:rsidR="008C4AF2">
              <w:rPr>
                <w:color w:val="000000" w:themeColor="text1"/>
                <w:sz w:val="20"/>
                <w:szCs w:val="20"/>
                <w:lang w:eastAsia="en-AU"/>
              </w:rPr>
              <w:t xml:space="preserve"> Eats</w:t>
            </w:r>
            <w:r w:rsidR="0036600E">
              <w:rPr>
                <w:color w:val="000000" w:themeColor="text1"/>
                <w:sz w:val="20"/>
                <w:szCs w:val="20"/>
                <w:lang w:eastAsia="en-AU"/>
              </w:rPr>
              <w:t>.</w:t>
            </w:r>
          </w:p>
        </w:tc>
        <w:tc>
          <w:tcPr>
            <w:tcW w:w="0" w:type="dxa"/>
            <w:noWrap/>
            <w:tcMar>
              <w:top w:w="0" w:type="dxa"/>
              <w:left w:w="108" w:type="dxa"/>
              <w:bottom w:w="0" w:type="dxa"/>
              <w:right w:w="108" w:type="dxa"/>
            </w:tcMar>
          </w:tcPr>
          <w:p w14:paraId="73874F9B" w14:textId="06E2E47E" w:rsidR="004326A8" w:rsidRPr="004326A8" w:rsidRDefault="004326A8" w:rsidP="00E5309D">
            <w:pPr>
              <w:pStyle w:val="ListParagraph"/>
              <w:numPr>
                <w:ilvl w:val="0"/>
                <w:numId w:val="85"/>
              </w:numPr>
              <w:spacing w:after="0" w:line="240" w:lineRule="auto"/>
              <w:ind w:left="376"/>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 xml:space="preserve">This is Uber’s own estimate of </w:t>
            </w:r>
            <w:r w:rsidR="00B90B4F">
              <w:rPr>
                <w:color w:val="000000" w:themeColor="text1"/>
                <w:sz w:val="20"/>
                <w:szCs w:val="20"/>
                <w:lang w:eastAsia="en-AU"/>
              </w:rPr>
              <w:t>its</w:t>
            </w:r>
            <w:r w:rsidR="00B90B4F" w:rsidRPr="2B64D1CA">
              <w:rPr>
                <w:color w:val="000000" w:themeColor="text1"/>
                <w:sz w:val="20"/>
                <w:szCs w:val="20"/>
                <w:lang w:eastAsia="en-AU"/>
              </w:rPr>
              <w:t xml:space="preserve"> </w:t>
            </w:r>
            <w:r w:rsidRPr="2B64D1CA">
              <w:rPr>
                <w:color w:val="000000" w:themeColor="text1"/>
                <w:sz w:val="20"/>
                <w:szCs w:val="20"/>
                <w:lang w:eastAsia="en-AU"/>
              </w:rPr>
              <w:t xml:space="preserve">workforce. </w:t>
            </w:r>
            <w:r w:rsidR="0077048F">
              <w:rPr>
                <w:color w:val="000000" w:themeColor="text1"/>
                <w:sz w:val="20"/>
                <w:szCs w:val="20"/>
                <w:lang w:eastAsia="en-AU"/>
              </w:rPr>
              <w:t>This has i</w:t>
            </w:r>
            <w:r w:rsidRPr="2B64D1CA">
              <w:rPr>
                <w:color w:val="000000" w:themeColor="text1"/>
                <w:sz w:val="20"/>
                <w:szCs w:val="20"/>
                <w:lang w:eastAsia="en-AU"/>
              </w:rPr>
              <w:t>ncreased from an estimate of 60,000 in 2019.</w:t>
            </w:r>
          </w:p>
        </w:tc>
      </w:tr>
      <w:tr w:rsidR="004326A8" w:rsidRPr="004326A8" w14:paraId="06343BEF" w14:textId="77777777" w:rsidTr="00A54C6D">
        <w:trPr>
          <w:trHeight w:val="1117"/>
        </w:trPr>
        <w:tc>
          <w:tcPr>
            <w:cnfStyle w:val="001000000000" w:firstRow="0" w:lastRow="0" w:firstColumn="1" w:lastColumn="0" w:oddVBand="0" w:evenVBand="0" w:oddHBand="0" w:evenHBand="0" w:firstRowFirstColumn="0" w:firstRowLastColumn="0" w:lastRowFirstColumn="0" w:lastRowLastColumn="0"/>
            <w:tcW w:w="0" w:type="dxa"/>
            <w:noWrap/>
            <w:tcMar>
              <w:top w:w="0" w:type="dxa"/>
              <w:left w:w="108" w:type="dxa"/>
              <w:bottom w:w="0" w:type="dxa"/>
              <w:right w:w="108" w:type="dxa"/>
            </w:tcMar>
          </w:tcPr>
          <w:p w14:paraId="601A12EE" w14:textId="77777777" w:rsidR="004326A8" w:rsidRPr="003F1E5C" w:rsidRDefault="004326A8">
            <w:pPr>
              <w:spacing w:after="0" w:line="240" w:lineRule="auto"/>
              <w:rPr>
                <w:color w:val="000000"/>
                <w:sz w:val="20"/>
                <w:szCs w:val="20"/>
                <w:lang w:eastAsia="en-AU"/>
              </w:rPr>
            </w:pPr>
            <w:r w:rsidRPr="0573812F">
              <w:rPr>
                <w:color w:val="000000"/>
                <w:sz w:val="20"/>
                <w:szCs w:val="20"/>
                <w:lang w:eastAsia="en-AU"/>
              </w:rPr>
              <w:t>Airtasker</w:t>
            </w:r>
            <w:r w:rsidRPr="003F1E5C">
              <w:rPr>
                <w:rStyle w:val="FootnoteReference"/>
                <w:color w:val="000000"/>
                <w:sz w:val="20"/>
                <w:szCs w:val="20"/>
                <w:lang w:eastAsia="en-AU"/>
              </w:rPr>
              <w:footnoteReference w:id="66"/>
            </w:r>
          </w:p>
        </w:tc>
        <w:tc>
          <w:tcPr>
            <w:tcW w:w="0" w:type="dxa"/>
            <w:noWrap/>
            <w:tcMar>
              <w:top w:w="0" w:type="dxa"/>
              <w:left w:w="108" w:type="dxa"/>
              <w:bottom w:w="0" w:type="dxa"/>
              <w:right w:w="108" w:type="dxa"/>
            </w:tcMar>
          </w:tcPr>
          <w:p w14:paraId="6355126B" w14:textId="1990CFDB" w:rsidR="004326A8" w:rsidRPr="00573634"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AU"/>
              </w:rPr>
            </w:pPr>
            <w:r w:rsidRPr="00573634">
              <w:rPr>
                <w:b/>
                <w:bCs/>
                <w:color w:val="000000" w:themeColor="text1"/>
                <w:sz w:val="20"/>
                <w:szCs w:val="20"/>
                <w:lang w:eastAsia="en-AU"/>
              </w:rPr>
              <w:t>148,000</w:t>
            </w:r>
          </w:p>
        </w:tc>
        <w:tc>
          <w:tcPr>
            <w:tcW w:w="0" w:type="dxa"/>
          </w:tcPr>
          <w:p w14:paraId="51B08A88" w14:textId="4D1720F8"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2022</w:t>
            </w:r>
          </w:p>
        </w:tc>
        <w:tc>
          <w:tcPr>
            <w:tcW w:w="0" w:type="dxa"/>
            <w:tcMar>
              <w:top w:w="0" w:type="dxa"/>
              <w:left w:w="108" w:type="dxa"/>
              <w:bottom w:w="0" w:type="dxa"/>
              <w:right w:w="108" w:type="dxa"/>
            </w:tcMar>
          </w:tcPr>
          <w:p w14:paraId="7CBF6050" w14:textId="3CEBE2E6"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Number of individual users who have completed a task</w:t>
            </w:r>
            <w:r w:rsidR="0036600E">
              <w:rPr>
                <w:color w:val="000000" w:themeColor="text1"/>
                <w:sz w:val="20"/>
                <w:szCs w:val="20"/>
                <w:lang w:eastAsia="en-AU"/>
              </w:rPr>
              <w:t>.</w:t>
            </w:r>
          </w:p>
        </w:tc>
        <w:tc>
          <w:tcPr>
            <w:tcW w:w="0" w:type="dxa"/>
            <w:noWrap/>
            <w:tcMar>
              <w:top w:w="0" w:type="dxa"/>
              <w:left w:w="108" w:type="dxa"/>
              <w:bottom w:w="0" w:type="dxa"/>
              <w:right w:w="108" w:type="dxa"/>
            </w:tcMar>
          </w:tcPr>
          <w:p w14:paraId="54DEE641" w14:textId="2E0D271C" w:rsidR="004326A8" w:rsidRPr="004326A8" w:rsidRDefault="004326A8" w:rsidP="00E5309D">
            <w:pPr>
              <w:pStyle w:val="ListParagraph"/>
              <w:numPr>
                <w:ilvl w:val="0"/>
                <w:numId w:val="85"/>
              </w:numPr>
              <w:spacing w:after="0" w:line="240" w:lineRule="auto"/>
              <w:ind w:left="376"/>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 xml:space="preserve">This is Airtasker’s own estimate of </w:t>
            </w:r>
            <w:r w:rsidR="00B90B4F">
              <w:rPr>
                <w:color w:val="000000" w:themeColor="text1"/>
                <w:sz w:val="20"/>
                <w:szCs w:val="20"/>
                <w:lang w:eastAsia="en-AU"/>
              </w:rPr>
              <w:t>its</w:t>
            </w:r>
            <w:r w:rsidR="00B90B4F" w:rsidRPr="2B64D1CA">
              <w:rPr>
                <w:color w:val="000000" w:themeColor="text1"/>
                <w:sz w:val="20"/>
                <w:szCs w:val="20"/>
                <w:lang w:eastAsia="en-AU"/>
              </w:rPr>
              <w:t xml:space="preserve"> </w:t>
            </w:r>
            <w:r w:rsidRPr="2B64D1CA">
              <w:rPr>
                <w:color w:val="000000" w:themeColor="text1"/>
                <w:sz w:val="20"/>
                <w:szCs w:val="20"/>
                <w:lang w:eastAsia="en-AU"/>
              </w:rPr>
              <w:t>workforce.</w:t>
            </w:r>
          </w:p>
        </w:tc>
      </w:tr>
      <w:tr w:rsidR="004326A8" w:rsidRPr="004326A8" w14:paraId="3824B0DA" w14:textId="77777777" w:rsidTr="00A54C6D">
        <w:trPr>
          <w:trHeight w:val="1117"/>
        </w:trPr>
        <w:tc>
          <w:tcPr>
            <w:cnfStyle w:val="001000000000" w:firstRow="0" w:lastRow="0" w:firstColumn="1" w:lastColumn="0" w:oddVBand="0" w:evenVBand="0" w:oddHBand="0" w:evenHBand="0" w:firstRowFirstColumn="0" w:firstRowLastColumn="0" w:lastRowFirstColumn="0" w:lastRowLastColumn="0"/>
            <w:tcW w:w="0" w:type="dxa"/>
            <w:noWrap/>
            <w:tcMar>
              <w:top w:w="0" w:type="dxa"/>
              <w:left w:w="108" w:type="dxa"/>
              <w:bottom w:w="0" w:type="dxa"/>
              <w:right w:w="108" w:type="dxa"/>
            </w:tcMar>
          </w:tcPr>
          <w:p w14:paraId="1CEBFE04" w14:textId="77777777" w:rsidR="004326A8" w:rsidRPr="003F1E5C" w:rsidRDefault="004326A8">
            <w:pPr>
              <w:spacing w:after="0" w:line="240" w:lineRule="auto"/>
              <w:rPr>
                <w:color w:val="000000"/>
                <w:sz w:val="20"/>
                <w:szCs w:val="20"/>
                <w:lang w:eastAsia="en-AU"/>
              </w:rPr>
            </w:pPr>
            <w:r w:rsidRPr="0573812F">
              <w:rPr>
                <w:color w:val="000000"/>
                <w:sz w:val="20"/>
                <w:szCs w:val="20"/>
                <w:lang w:eastAsia="en-AU"/>
              </w:rPr>
              <w:t>HILDA Report</w:t>
            </w:r>
            <w:r w:rsidRPr="004326A8">
              <w:rPr>
                <w:rStyle w:val="FootnoteReference"/>
                <w:color w:val="262626" w:themeColor="text1" w:themeTint="D9"/>
                <w:sz w:val="20"/>
                <w:szCs w:val="20"/>
              </w:rPr>
              <w:footnoteReference w:id="67"/>
            </w:r>
          </w:p>
        </w:tc>
        <w:tc>
          <w:tcPr>
            <w:tcW w:w="0" w:type="dxa"/>
            <w:noWrap/>
            <w:tcMar>
              <w:top w:w="0" w:type="dxa"/>
              <w:left w:w="108" w:type="dxa"/>
              <w:bottom w:w="0" w:type="dxa"/>
              <w:right w:w="108" w:type="dxa"/>
            </w:tcMar>
          </w:tcPr>
          <w:p w14:paraId="247CB027" w14:textId="0888A672"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AU"/>
              </w:rPr>
            </w:pPr>
            <w:r w:rsidRPr="2B64D1CA">
              <w:rPr>
                <w:b/>
                <w:color w:val="000000" w:themeColor="text1"/>
                <w:sz w:val="20"/>
                <w:szCs w:val="20"/>
                <w:lang w:eastAsia="en-AU"/>
              </w:rPr>
              <w:t>0.8 per cent</w:t>
            </w:r>
          </w:p>
          <w:p w14:paraId="5E7E93B2" w14:textId="4CB273B5"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Equates to roughly 100,000 workers</w:t>
            </w:r>
          </w:p>
        </w:tc>
        <w:tc>
          <w:tcPr>
            <w:tcW w:w="0" w:type="dxa"/>
          </w:tcPr>
          <w:p w14:paraId="38F4F11A" w14:textId="44170E00"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2020</w:t>
            </w:r>
          </w:p>
        </w:tc>
        <w:tc>
          <w:tcPr>
            <w:tcW w:w="0" w:type="dxa"/>
            <w:tcMar>
              <w:top w:w="0" w:type="dxa"/>
              <w:left w:w="108" w:type="dxa"/>
              <w:bottom w:w="0" w:type="dxa"/>
              <w:right w:w="108" w:type="dxa"/>
            </w:tcMar>
          </w:tcPr>
          <w:p w14:paraId="27D23954" w14:textId="1EA82AAF" w:rsidR="004326A8" w:rsidRPr="004326A8" w:rsidRDefault="004326A8">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2B64D1CA">
              <w:rPr>
                <w:color w:val="000000" w:themeColor="text1"/>
                <w:sz w:val="20"/>
                <w:szCs w:val="20"/>
                <w:lang w:eastAsia="en-AU"/>
              </w:rPr>
              <w:t>Number of people who worked via a digital platform in the last 4 weeks</w:t>
            </w:r>
            <w:r w:rsidR="0036600E">
              <w:rPr>
                <w:color w:val="000000" w:themeColor="text1"/>
                <w:sz w:val="20"/>
                <w:szCs w:val="20"/>
                <w:lang w:eastAsia="en-AU"/>
              </w:rPr>
              <w:t>.</w:t>
            </w:r>
          </w:p>
        </w:tc>
        <w:tc>
          <w:tcPr>
            <w:tcW w:w="0" w:type="dxa"/>
            <w:noWrap/>
            <w:tcMar>
              <w:top w:w="0" w:type="dxa"/>
              <w:left w:w="108" w:type="dxa"/>
              <w:bottom w:w="0" w:type="dxa"/>
              <w:right w:w="108" w:type="dxa"/>
            </w:tcMar>
          </w:tcPr>
          <w:p w14:paraId="46EE1EE9" w14:textId="3F6C942F" w:rsidR="004326A8" w:rsidRPr="003F1E5C" w:rsidRDefault="004326A8" w:rsidP="00E5309D">
            <w:pPr>
              <w:pStyle w:val="ListParagraph"/>
              <w:numPr>
                <w:ilvl w:val="0"/>
                <w:numId w:val="85"/>
              </w:numPr>
              <w:spacing w:after="0" w:line="240" w:lineRule="auto"/>
              <w:ind w:left="376"/>
              <w:cnfStyle w:val="000000000000" w:firstRow="0" w:lastRow="0" w:firstColumn="0" w:lastColumn="0" w:oddVBand="0" w:evenVBand="0" w:oddHBand="0" w:evenHBand="0" w:firstRowFirstColumn="0" w:firstRowLastColumn="0" w:lastRowFirstColumn="0" w:lastRowLastColumn="0"/>
              <w:rPr>
                <w:color w:val="000000"/>
                <w:sz w:val="20"/>
                <w:szCs w:val="20"/>
                <w:lang w:eastAsia="en-AU"/>
              </w:rPr>
            </w:pPr>
            <w:r w:rsidRPr="0573812F">
              <w:rPr>
                <w:color w:val="000000"/>
                <w:sz w:val="20"/>
                <w:szCs w:val="20"/>
                <w:lang w:eastAsia="en-AU"/>
              </w:rPr>
              <w:t xml:space="preserve">The HILDA survey undercounts migrants. As this is a group that has been identified as more likely to participate in the </w:t>
            </w:r>
            <w:r w:rsidRPr="0573812F">
              <w:rPr>
                <w:rStyle w:val="normaltextrun"/>
                <w:color w:val="262626"/>
                <w:sz w:val="20"/>
                <w:szCs w:val="20"/>
                <w:shd w:val="clear" w:color="auto" w:fill="FFFFFF"/>
              </w:rPr>
              <w:t>digital platform</w:t>
            </w:r>
            <w:r w:rsidRPr="0573812F">
              <w:rPr>
                <w:color w:val="000000"/>
                <w:sz w:val="20"/>
                <w:szCs w:val="20"/>
                <w:lang w:eastAsia="en-AU"/>
              </w:rPr>
              <w:t xml:space="preserve"> economy (the Vi</w:t>
            </w:r>
            <w:r w:rsidR="004724E4" w:rsidRPr="0573812F">
              <w:rPr>
                <w:color w:val="000000"/>
                <w:sz w:val="20"/>
                <w:szCs w:val="20"/>
                <w:lang w:eastAsia="en-AU"/>
              </w:rPr>
              <w:t>c</w:t>
            </w:r>
            <w:r w:rsidRPr="0573812F">
              <w:rPr>
                <w:color w:val="000000"/>
                <w:sz w:val="20"/>
                <w:szCs w:val="20"/>
                <w:lang w:eastAsia="en-AU"/>
              </w:rPr>
              <w:t xml:space="preserve">torian </w:t>
            </w:r>
            <w:r w:rsidR="00A05A65" w:rsidRPr="0573812F">
              <w:rPr>
                <w:color w:val="000000"/>
                <w:sz w:val="20"/>
                <w:szCs w:val="20"/>
                <w:lang w:eastAsia="en-AU"/>
              </w:rPr>
              <w:t>National Survey</w:t>
            </w:r>
            <w:r w:rsidRPr="0573812F">
              <w:rPr>
                <w:color w:val="000000"/>
                <w:sz w:val="20"/>
                <w:szCs w:val="20"/>
                <w:lang w:eastAsia="en-AU"/>
              </w:rPr>
              <w:t xml:space="preserve"> noted that temporary residents are 3 times more likely to be a current platform worker than Australian citizens)</w:t>
            </w:r>
            <w:r w:rsidRPr="00A54C6D">
              <w:rPr>
                <w:rStyle w:val="FootnoteReference"/>
              </w:rPr>
              <w:footnoteReference w:id="68"/>
            </w:r>
            <w:r w:rsidRPr="0573812F">
              <w:rPr>
                <w:color w:val="000000"/>
                <w:sz w:val="20"/>
                <w:szCs w:val="20"/>
                <w:lang w:eastAsia="en-AU"/>
              </w:rPr>
              <w:t>, this suggest</w:t>
            </w:r>
            <w:r w:rsidR="009D6A3C">
              <w:rPr>
                <w:color w:val="000000"/>
                <w:sz w:val="20"/>
                <w:szCs w:val="20"/>
                <w:lang w:eastAsia="en-AU"/>
              </w:rPr>
              <w:t>s</w:t>
            </w:r>
            <w:r w:rsidRPr="0573812F">
              <w:rPr>
                <w:color w:val="000000"/>
                <w:sz w:val="20"/>
                <w:szCs w:val="20"/>
                <w:lang w:eastAsia="en-AU"/>
              </w:rPr>
              <w:t xml:space="preserve"> the </w:t>
            </w:r>
            <w:r w:rsidRPr="0573812F">
              <w:rPr>
                <w:rStyle w:val="normaltextrun"/>
                <w:color w:val="262626"/>
                <w:sz w:val="20"/>
                <w:szCs w:val="20"/>
                <w:shd w:val="clear" w:color="auto" w:fill="FFFFFF"/>
              </w:rPr>
              <w:t>digital platform</w:t>
            </w:r>
            <w:r w:rsidRPr="0573812F">
              <w:rPr>
                <w:color w:val="000000"/>
                <w:sz w:val="20"/>
                <w:szCs w:val="20"/>
                <w:lang w:eastAsia="en-AU"/>
              </w:rPr>
              <w:t xml:space="preserve"> worker estimate is also an undercount.</w:t>
            </w:r>
          </w:p>
        </w:tc>
      </w:tr>
    </w:tbl>
    <w:p w14:paraId="5ABDC2ED" w14:textId="77777777" w:rsidR="004326A8" w:rsidRPr="004326A8" w:rsidRDefault="004326A8" w:rsidP="004326A8">
      <w:pPr>
        <w:sectPr w:rsidR="004326A8" w:rsidRPr="004326A8">
          <w:pgSz w:w="16838" w:h="11906" w:orient="landscape"/>
          <w:pgMar w:top="1418" w:right="1418" w:bottom="1418" w:left="1418" w:header="0" w:footer="454" w:gutter="0"/>
          <w:cols w:space="708"/>
          <w:docGrid w:linePitch="360"/>
        </w:sectPr>
      </w:pPr>
    </w:p>
    <w:p w14:paraId="3CEBED4B" w14:textId="0A5DD12C" w:rsidR="004326A8" w:rsidRPr="004326A8" w:rsidRDefault="004326A8" w:rsidP="004326A8">
      <w:pPr>
        <w:rPr>
          <w:rStyle w:val="normaltextrun"/>
          <w:color w:val="262626"/>
          <w:shd w:val="clear" w:color="auto" w:fill="FFFFFF"/>
        </w:rPr>
      </w:pPr>
      <w:r w:rsidRPr="54075818">
        <w:rPr>
          <w:rStyle w:val="normaltextrun"/>
          <w:color w:val="262626"/>
          <w:shd w:val="clear" w:color="auto" w:fill="FFFFFF"/>
        </w:rPr>
        <w:t xml:space="preserve">Table </w:t>
      </w:r>
      <w:r w:rsidR="44DAB3AD" w:rsidRPr="54075818">
        <w:rPr>
          <w:rStyle w:val="normaltextrun"/>
          <w:color w:val="262626"/>
          <w:shd w:val="clear" w:color="auto" w:fill="FFFFFF"/>
        </w:rPr>
        <w:t>2</w:t>
      </w:r>
      <w:r w:rsidRPr="54075818">
        <w:rPr>
          <w:rStyle w:val="normaltextrun"/>
          <w:color w:val="262626"/>
          <w:shd w:val="clear" w:color="auto" w:fill="FFFFFF"/>
        </w:rPr>
        <w:t xml:space="preserve"> </w:t>
      </w:r>
      <w:r w:rsidRPr="004326A8">
        <w:rPr>
          <w:rStyle w:val="normaltextrun"/>
          <w:color w:val="262626"/>
          <w:shd w:val="clear" w:color="auto" w:fill="FFFFFF"/>
        </w:rPr>
        <w:t xml:space="preserve">above shows that there are a range of estimates from different groups </w:t>
      </w:r>
      <w:r w:rsidR="74B6A3DC" w:rsidRPr="4825B37E">
        <w:rPr>
          <w:rStyle w:val="normaltextrun"/>
          <w:color w:val="262626" w:themeColor="text1" w:themeTint="D9"/>
        </w:rPr>
        <w:t>on</w:t>
      </w:r>
      <w:r w:rsidRPr="004326A8">
        <w:rPr>
          <w:rStyle w:val="normaltextrun"/>
          <w:color w:val="262626"/>
          <w:shd w:val="clear" w:color="auto" w:fill="FFFFFF"/>
        </w:rPr>
        <w:t xml:space="preserve"> the number of digital platform</w:t>
      </w:r>
      <w:r w:rsidRPr="004326A8">
        <w:rPr>
          <w:color w:val="000000"/>
          <w:sz w:val="20"/>
          <w:szCs w:val="20"/>
          <w:lang w:eastAsia="en-AU"/>
        </w:rPr>
        <w:t xml:space="preserve"> </w:t>
      </w:r>
      <w:r w:rsidRPr="004326A8">
        <w:rPr>
          <w:rStyle w:val="normaltextrun"/>
          <w:color w:val="262626"/>
          <w:shd w:val="clear" w:color="auto" w:fill="FFFFFF"/>
        </w:rPr>
        <w:t xml:space="preserve">workers in the Australian economy. These estimates range from </w:t>
      </w:r>
      <w:r w:rsidR="00EC6459">
        <w:rPr>
          <w:rStyle w:val="normaltextrun"/>
          <w:color w:val="262626"/>
          <w:shd w:val="clear" w:color="auto" w:fill="FFFFFF"/>
        </w:rPr>
        <w:t>0.8</w:t>
      </w:r>
      <w:r w:rsidRPr="004326A8">
        <w:rPr>
          <w:rStyle w:val="normaltextrun"/>
          <w:color w:val="262626"/>
          <w:shd w:val="clear" w:color="auto" w:fill="FFFFFF"/>
        </w:rPr>
        <w:t xml:space="preserve"> per cent of the workforce, or approximately </w:t>
      </w:r>
      <w:r w:rsidR="00EC6459">
        <w:rPr>
          <w:rStyle w:val="normaltextrun"/>
          <w:color w:val="262626"/>
          <w:shd w:val="clear" w:color="auto" w:fill="FFFFFF"/>
        </w:rPr>
        <w:t>100,000</w:t>
      </w:r>
      <w:r w:rsidRPr="004326A8">
        <w:rPr>
          <w:rStyle w:val="normaltextrun"/>
          <w:color w:val="262626"/>
          <w:shd w:val="clear" w:color="auto" w:fill="FFFFFF"/>
        </w:rPr>
        <w:t xml:space="preserve"> workers (</w:t>
      </w:r>
      <w:r w:rsidR="00EC6459">
        <w:rPr>
          <w:rStyle w:val="normaltextrun"/>
          <w:color w:val="262626"/>
          <w:shd w:val="clear" w:color="auto" w:fill="FFFFFF"/>
        </w:rPr>
        <w:t>HILDA</w:t>
      </w:r>
      <w:r w:rsidRPr="004326A8">
        <w:rPr>
          <w:rStyle w:val="normaltextrun"/>
          <w:color w:val="262626"/>
          <w:shd w:val="clear" w:color="auto" w:fill="FFFFFF"/>
        </w:rPr>
        <w:t>), to 7.1 per cent of the workforce, or 9</w:t>
      </w:r>
      <w:r w:rsidR="3E9A5905" w:rsidRPr="6223DF32">
        <w:rPr>
          <w:rStyle w:val="normaltextrun"/>
          <w:color w:val="262626" w:themeColor="text1" w:themeTint="D9"/>
        </w:rPr>
        <w:t>09,5</w:t>
      </w:r>
      <w:r w:rsidR="2EDF6217" w:rsidRPr="6223DF32">
        <w:rPr>
          <w:rStyle w:val="normaltextrun"/>
          <w:color w:val="262626" w:themeColor="text1" w:themeTint="D9"/>
        </w:rPr>
        <w:t>0</w:t>
      </w:r>
      <w:r w:rsidR="3E9A5905" w:rsidRPr="6223DF32">
        <w:rPr>
          <w:rStyle w:val="normaltextrun"/>
          <w:color w:val="262626" w:themeColor="text1" w:themeTint="D9"/>
        </w:rPr>
        <w:t>0</w:t>
      </w:r>
      <w:r w:rsidRPr="004326A8">
        <w:rPr>
          <w:rStyle w:val="normaltextrun"/>
          <w:color w:val="262626"/>
          <w:shd w:val="clear" w:color="auto" w:fill="FFFFFF"/>
        </w:rPr>
        <w:t xml:space="preserve"> workers (Vi</w:t>
      </w:r>
      <w:r w:rsidR="004724E4">
        <w:rPr>
          <w:rStyle w:val="normaltextrun"/>
          <w:color w:val="262626"/>
          <w:shd w:val="clear" w:color="auto" w:fill="FFFFFF"/>
        </w:rPr>
        <w:t>c</w:t>
      </w:r>
      <w:r w:rsidRPr="004326A8">
        <w:rPr>
          <w:rStyle w:val="normaltextrun"/>
          <w:color w:val="262626"/>
          <w:shd w:val="clear" w:color="auto" w:fill="FFFFFF"/>
        </w:rPr>
        <w:t xml:space="preserve">torian </w:t>
      </w:r>
      <w:r w:rsidR="00C04053">
        <w:rPr>
          <w:rStyle w:val="normaltextrun"/>
          <w:color w:val="262626"/>
          <w:shd w:val="clear" w:color="auto" w:fill="FFFFFF"/>
        </w:rPr>
        <w:t>National Survey</w:t>
      </w:r>
      <w:r w:rsidRPr="004326A8">
        <w:rPr>
          <w:rStyle w:val="normaltextrun"/>
          <w:color w:val="262626"/>
          <w:shd w:val="clear" w:color="auto" w:fill="FFFFFF"/>
        </w:rPr>
        <w:t>).</w:t>
      </w:r>
    </w:p>
    <w:p w14:paraId="41FB1F00" w14:textId="3187C69D" w:rsidR="004326A8" w:rsidRPr="004326A8" w:rsidRDefault="004326A8" w:rsidP="004326A8">
      <w:pPr>
        <w:rPr>
          <w:rStyle w:val="normaltextrun"/>
          <w:color w:val="262626"/>
          <w:shd w:val="clear" w:color="auto" w:fill="FFFFFF"/>
        </w:rPr>
      </w:pPr>
      <w:r w:rsidRPr="004326A8">
        <w:rPr>
          <w:rStyle w:val="normaltextrun"/>
          <w:color w:val="262626"/>
          <w:shd w:val="clear" w:color="auto" w:fill="FFFFFF"/>
        </w:rPr>
        <w:t xml:space="preserve">The </w:t>
      </w:r>
      <w:r w:rsidR="00AB0044">
        <w:rPr>
          <w:rStyle w:val="normaltextrun"/>
          <w:color w:val="262626"/>
          <w:shd w:val="clear" w:color="auto" w:fill="FFFFFF"/>
        </w:rPr>
        <w:t>New South Wales</w:t>
      </w:r>
      <w:r w:rsidRPr="004326A8">
        <w:rPr>
          <w:rStyle w:val="normaltextrun"/>
          <w:color w:val="262626"/>
          <w:shd w:val="clear" w:color="auto" w:fill="FFFFFF"/>
        </w:rPr>
        <w:t xml:space="preserve"> Government’s 2022 inquiry into the digital platform</w:t>
      </w:r>
      <w:r w:rsidRPr="004326A8">
        <w:rPr>
          <w:color w:val="000000"/>
          <w:sz w:val="20"/>
          <w:szCs w:val="20"/>
          <w:lang w:eastAsia="en-AU"/>
        </w:rPr>
        <w:t xml:space="preserve"> </w:t>
      </w:r>
      <w:r w:rsidRPr="004326A8">
        <w:rPr>
          <w:rStyle w:val="normaltextrun"/>
          <w:color w:val="262626"/>
          <w:shd w:val="clear" w:color="auto" w:fill="FFFFFF"/>
        </w:rPr>
        <w:t xml:space="preserve">economy compiled estimates of the digital </w:t>
      </w:r>
      <w:r w:rsidRPr="004B4F63">
        <w:t>platform</w:t>
      </w:r>
      <w:r w:rsidRPr="004326A8">
        <w:rPr>
          <w:color w:val="000000"/>
          <w:sz w:val="20"/>
          <w:szCs w:val="20"/>
          <w:lang w:eastAsia="en-AU"/>
        </w:rPr>
        <w:t xml:space="preserve"> </w:t>
      </w:r>
      <w:r w:rsidRPr="004326A8">
        <w:rPr>
          <w:rStyle w:val="normaltextrun"/>
          <w:color w:val="262626"/>
          <w:shd w:val="clear" w:color="auto" w:fill="FFFFFF"/>
        </w:rPr>
        <w:t xml:space="preserve">economy from other sources, including digital platforms themselves, but noted that the </w:t>
      </w:r>
      <w:r w:rsidR="00AB0044">
        <w:rPr>
          <w:rStyle w:val="normaltextrun"/>
          <w:color w:val="262626"/>
          <w:shd w:val="clear" w:color="auto" w:fill="FFFFFF"/>
        </w:rPr>
        <w:t>New South Wales</w:t>
      </w:r>
      <w:r w:rsidRPr="004326A8">
        <w:rPr>
          <w:rStyle w:val="normaltextrun"/>
          <w:color w:val="262626"/>
          <w:shd w:val="clear" w:color="auto" w:fill="FFFFFF"/>
        </w:rPr>
        <w:t xml:space="preserve"> Government does not collect data on the number of digital platform</w:t>
      </w:r>
      <w:r w:rsidRPr="004326A8">
        <w:rPr>
          <w:color w:val="000000"/>
          <w:sz w:val="20"/>
          <w:szCs w:val="20"/>
          <w:lang w:eastAsia="en-AU"/>
        </w:rPr>
        <w:t xml:space="preserve"> </w:t>
      </w:r>
      <w:r w:rsidRPr="004326A8">
        <w:rPr>
          <w:rStyle w:val="normaltextrun"/>
          <w:color w:val="262626"/>
          <w:shd w:val="clear" w:color="auto" w:fill="FFFFFF"/>
        </w:rPr>
        <w:t>economy workers in New South Wales, or their wage rates.</w:t>
      </w:r>
      <w:r w:rsidRPr="004326A8">
        <w:rPr>
          <w:rStyle w:val="FootnoteReference"/>
          <w:color w:val="262626"/>
          <w:shd w:val="clear" w:color="auto" w:fill="FFFFFF"/>
        </w:rPr>
        <w:footnoteReference w:id="69"/>
      </w:r>
    </w:p>
    <w:p w14:paraId="59E12B26" w14:textId="4E4984B3" w:rsidR="004326A8" w:rsidRPr="004326A8" w:rsidRDefault="004326A8" w:rsidP="7872A2D6">
      <w:pPr>
        <w:rPr>
          <w:rStyle w:val="normaltextrun"/>
          <w:color w:val="262626" w:themeColor="text1" w:themeTint="D9"/>
        </w:rPr>
      </w:pPr>
      <w:r w:rsidRPr="004326A8">
        <w:rPr>
          <w:rStyle w:val="normaltextrun"/>
          <w:color w:val="262626"/>
          <w:shd w:val="clear" w:color="auto" w:fill="FFFFFF"/>
        </w:rPr>
        <w:t>Most of these estimates are also before the onset of</w:t>
      </w:r>
      <w:r w:rsidR="00CB60AB">
        <w:rPr>
          <w:rStyle w:val="normaltextrun"/>
          <w:color w:val="262626"/>
          <w:shd w:val="clear" w:color="auto" w:fill="FFFFFF"/>
        </w:rPr>
        <w:t xml:space="preserve"> </w:t>
      </w:r>
      <w:r w:rsidRPr="004326A8">
        <w:rPr>
          <w:rStyle w:val="normaltextrun"/>
          <w:color w:val="262626"/>
          <w:shd w:val="clear" w:color="auto" w:fill="FFFFFF"/>
        </w:rPr>
        <w:t xml:space="preserve">COVID-19. There is not readily available information </w:t>
      </w:r>
      <w:r w:rsidRPr="004B4F63">
        <w:t>about</w:t>
      </w:r>
      <w:r w:rsidRPr="004326A8">
        <w:rPr>
          <w:rStyle w:val="normaltextrun"/>
          <w:color w:val="262626"/>
          <w:shd w:val="clear" w:color="auto" w:fill="FFFFFF"/>
        </w:rPr>
        <w:t xml:space="preserve"> the changes to the digital platform</w:t>
      </w:r>
      <w:r w:rsidRPr="004326A8">
        <w:rPr>
          <w:color w:val="000000"/>
          <w:sz w:val="20"/>
          <w:szCs w:val="20"/>
          <w:lang w:eastAsia="en-AU"/>
        </w:rPr>
        <w:t xml:space="preserve"> </w:t>
      </w:r>
      <w:r w:rsidRPr="004326A8">
        <w:rPr>
          <w:rStyle w:val="normaltextrun"/>
          <w:color w:val="262626"/>
          <w:shd w:val="clear" w:color="auto" w:fill="FFFFFF"/>
        </w:rPr>
        <w:t>economy since the COVID-19 pandemic and how the size of the digital platform</w:t>
      </w:r>
      <w:r w:rsidRPr="004326A8">
        <w:rPr>
          <w:color w:val="000000"/>
          <w:sz w:val="20"/>
          <w:szCs w:val="20"/>
          <w:lang w:eastAsia="en-AU"/>
        </w:rPr>
        <w:t xml:space="preserve"> </w:t>
      </w:r>
      <w:r w:rsidRPr="00781B8C">
        <w:rPr>
          <w:rStyle w:val="normaltextrun"/>
          <w:color w:val="262626"/>
          <w:shd w:val="clear" w:color="auto" w:fill="FFFFFF"/>
        </w:rPr>
        <w:t xml:space="preserve">workforce may have changed since then. </w:t>
      </w:r>
      <w:r w:rsidR="00772290" w:rsidRPr="00781B8C">
        <w:rPr>
          <w:rStyle w:val="normaltextrun"/>
          <w:color w:val="262626" w:themeColor="text1" w:themeTint="D9"/>
        </w:rPr>
        <w:t>However, Uber indicated in</w:t>
      </w:r>
      <w:r w:rsidR="00772290" w:rsidRPr="7872A2D6">
        <w:rPr>
          <w:rStyle w:val="normaltextrun"/>
          <w:color w:val="262626" w:themeColor="text1" w:themeTint="D9"/>
        </w:rPr>
        <w:t xml:space="preserve"> </w:t>
      </w:r>
      <w:r w:rsidR="0080699C" w:rsidRPr="7872A2D6">
        <w:rPr>
          <w:rStyle w:val="normaltextrun"/>
          <w:color w:val="262626" w:themeColor="text1" w:themeTint="D9"/>
        </w:rPr>
        <w:t xml:space="preserve">2023 that </w:t>
      </w:r>
      <w:r w:rsidR="00241F9F">
        <w:rPr>
          <w:rStyle w:val="normaltextrun"/>
          <w:color w:val="262626" w:themeColor="text1" w:themeTint="D9"/>
        </w:rPr>
        <w:t>m</w:t>
      </w:r>
      <w:r w:rsidR="007265C1">
        <w:rPr>
          <w:rStyle w:val="normaltextrun"/>
          <w:color w:val="262626" w:themeColor="text1" w:themeTint="D9"/>
        </w:rPr>
        <w:t>ore than</w:t>
      </w:r>
      <w:r w:rsidR="0080699C" w:rsidRPr="7872A2D6">
        <w:rPr>
          <w:rStyle w:val="normaltextrun"/>
          <w:color w:val="262626" w:themeColor="text1" w:themeTint="D9"/>
        </w:rPr>
        <w:t xml:space="preserve"> 150,000 </w:t>
      </w:r>
      <w:r w:rsidR="00EA77FB" w:rsidRPr="7872A2D6">
        <w:rPr>
          <w:rStyle w:val="normaltextrun"/>
          <w:color w:val="262626" w:themeColor="text1" w:themeTint="D9"/>
        </w:rPr>
        <w:t>rideshare and food delivery workers</w:t>
      </w:r>
      <w:r w:rsidR="00951494">
        <w:rPr>
          <w:rStyle w:val="normaltextrun"/>
          <w:color w:val="262626" w:themeColor="text1" w:themeTint="D9"/>
        </w:rPr>
        <w:t xml:space="preserve"> </w:t>
      </w:r>
      <w:r w:rsidR="00CA7698">
        <w:rPr>
          <w:rStyle w:val="normaltextrun"/>
          <w:color w:val="262626" w:themeColor="text1" w:themeTint="D9"/>
        </w:rPr>
        <w:t>use the Uber platform to work each month</w:t>
      </w:r>
      <w:r w:rsidR="00EA77FB" w:rsidRPr="7872A2D6">
        <w:rPr>
          <w:rStyle w:val="normaltextrun"/>
          <w:color w:val="262626" w:themeColor="text1" w:themeTint="D9"/>
        </w:rPr>
        <w:t>.</w:t>
      </w:r>
      <w:r w:rsidR="00227CB9">
        <w:rPr>
          <w:rStyle w:val="FootnoteReference"/>
          <w:color w:val="262626" w:themeColor="text1" w:themeTint="D9"/>
        </w:rPr>
        <w:footnoteReference w:id="70"/>
      </w:r>
      <w:r w:rsidR="00EA77FB" w:rsidRPr="7872A2D6">
        <w:rPr>
          <w:rStyle w:val="normaltextrun"/>
          <w:color w:val="262626" w:themeColor="text1" w:themeTint="D9"/>
        </w:rPr>
        <w:t xml:space="preserve"> </w:t>
      </w:r>
    </w:p>
    <w:p w14:paraId="2E413D14" w14:textId="02D68AA0" w:rsidR="004326A8" w:rsidRPr="004326A8" w:rsidRDefault="004326A8" w:rsidP="004326A8">
      <w:pPr>
        <w:rPr>
          <w:rStyle w:val="normaltextrun"/>
          <w:color w:val="262626"/>
          <w:shd w:val="clear" w:color="auto" w:fill="FFFFFF"/>
        </w:rPr>
      </w:pPr>
      <w:r w:rsidRPr="004326A8">
        <w:rPr>
          <w:rStyle w:val="normaltextrun"/>
          <w:color w:val="262626"/>
          <w:shd w:val="clear" w:color="auto" w:fill="FFFFFF"/>
        </w:rPr>
        <w:t xml:space="preserve">Most of the estimates in </w:t>
      </w:r>
      <w:r w:rsidRPr="18FFD9B5">
        <w:rPr>
          <w:rStyle w:val="normaltextrun"/>
          <w:color w:val="262626"/>
          <w:shd w:val="clear" w:color="auto" w:fill="FFFFFF"/>
        </w:rPr>
        <w:t xml:space="preserve">Table </w:t>
      </w:r>
      <w:r w:rsidR="4A1528C1" w:rsidRPr="18FFD9B5">
        <w:rPr>
          <w:rStyle w:val="normaltextrun"/>
          <w:color w:val="262626"/>
          <w:shd w:val="clear" w:color="auto" w:fill="FFFFFF"/>
        </w:rPr>
        <w:t>2</w:t>
      </w:r>
      <w:r w:rsidRPr="18FFD9B5">
        <w:rPr>
          <w:rStyle w:val="normaltextrun"/>
          <w:color w:val="262626"/>
          <w:shd w:val="clear" w:color="auto" w:fill="FFFFFF"/>
        </w:rPr>
        <w:t xml:space="preserve"> </w:t>
      </w:r>
      <w:r w:rsidRPr="004326A8">
        <w:rPr>
          <w:rStyle w:val="normaltextrun"/>
          <w:color w:val="262626"/>
          <w:shd w:val="clear" w:color="auto" w:fill="FFFFFF"/>
        </w:rPr>
        <w:t>are based at least in part on the Victorian Government Inquiry. Given the sample size and robustness of this estimate, this is the starting point for the estimate of digital platform</w:t>
      </w:r>
      <w:r w:rsidRPr="004326A8">
        <w:rPr>
          <w:color w:val="000000"/>
          <w:sz w:val="20"/>
          <w:szCs w:val="20"/>
          <w:lang w:eastAsia="en-AU"/>
        </w:rPr>
        <w:t xml:space="preserve"> </w:t>
      </w:r>
      <w:r w:rsidRPr="004326A8">
        <w:rPr>
          <w:rStyle w:val="normaltextrun"/>
          <w:color w:val="262626"/>
          <w:shd w:val="clear" w:color="auto" w:fill="FFFFFF"/>
        </w:rPr>
        <w:t xml:space="preserve">workers that the department has adopted. However, in the costing below, we have made several adjustments to make sure that this estimate is as fit-for-purpose as possible. These </w:t>
      </w:r>
      <w:r w:rsidR="00460494" w:rsidRPr="004326A8">
        <w:rPr>
          <w:rStyle w:val="normaltextrun"/>
          <w:color w:val="262626"/>
          <w:shd w:val="clear" w:color="auto" w:fill="FFFFFF"/>
        </w:rPr>
        <w:t>include</w:t>
      </w:r>
      <w:r w:rsidRPr="004326A8">
        <w:rPr>
          <w:rStyle w:val="normaltextrun"/>
          <w:color w:val="262626"/>
          <w:shd w:val="clear" w:color="auto" w:fill="FFFFFF"/>
        </w:rPr>
        <w:t xml:space="preserve"> downgrading the estimate of digital platform workers to exclude those who engage in digital platform work less than once a month; accounting for hours worked of different occupations (which range from 3 </w:t>
      </w:r>
      <w:r w:rsidR="001E3252">
        <w:rPr>
          <w:rStyle w:val="normaltextrun"/>
          <w:color w:val="262626"/>
          <w:shd w:val="clear" w:color="auto" w:fill="FFFFFF"/>
        </w:rPr>
        <w:t>to</w:t>
      </w:r>
      <w:r w:rsidRPr="004326A8">
        <w:rPr>
          <w:rStyle w:val="normaltextrun"/>
          <w:color w:val="262626"/>
          <w:shd w:val="clear" w:color="auto" w:fill="FFFFFF"/>
        </w:rPr>
        <w:t xml:space="preserve"> 15 hours per week on average); and accounting for weeks worked in a year (estimated at 44.8 weeks in a year, less than the 52 weeks assumed for full-time permanent workers). These adjustments have been made at a granular level for occupations, where data allows. </w:t>
      </w:r>
    </w:p>
    <w:p w14:paraId="03ECA86D" w14:textId="64E89E4C" w:rsidR="00223749" w:rsidRDefault="007D2248" w:rsidP="004326A8">
      <w:pPr>
        <w:rPr>
          <w:rStyle w:val="normaltextrun"/>
          <w:color w:val="262626" w:themeColor="text1" w:themeTint="D9"/>
        </w:rPr>
      </w:pPr>
      <w:r w:rsidRPr="65E17716">
        <w:rPr>
          <w:rStyle w:val="normaltextrun"/>
          <w:color w:val="262626" w:themeColor="text1" w:themeTint="D9"/>
        </w:rPr>
        <w:t xml:space="preserve">The Victorian </w:t>
      </w:r>
      <w:r w:rsidR="00A647D0">
        <w:rPr>
          <w:rStyle w:val="normaltextrun"/>
          <w:color w:val="262626" w:themeColor="text1" w:themeTint="D9"/>
        </w:rPr>
        <w:t>National Survey</w:t>
      </w:r>
      <w:r w:rsidR="0018085D">
        <w:rPr>
          <w:rStyle w:val="FootnoteReference"/>
          <w:color w:val="262626" w:themeColor="text1" w:themeTint="D9"/>
        </w:rPr>
        <w:footnoteReference w:id="71"/>
      </w:r>
      <w:r w:rsidR="0018085D">
        <w:rPr>
          <w:rStyle w:val="normaltextrun"/>
          <w:color w:val="262626" w:themeColor="text1" w:themeTint="D9"/>
        </w:rPr>
        <w:t xml:space="preserve"> </w:t>
      </w:r>
      <w:r w:rsidR="00223749">
        <w:rPr>
          <w:rStyle w:val="normaltextrun"/>
          <w:color w:val="262626" w:themeColor="text1" w:themeTint="D9"/>
        </w:rPr>
        <w:t>found</w:t>
      </w:r>
      <w:r w:rsidR="00B061B1">
        <w:rPr>
          <w:rStyle w:val="normaltextrun"/>
          <w:color w:val="262626" w:themeColor="text1" w:themeTint="D9"/>
        </w:rPr>
        <w:t xml:space="preserve"> </w:t>
      </w:r>
      <w:r w:rsidR="00223749">
        <w:rPr>
          <w:rStyle w:val="normaltextrun"/>
          <w:color w:val="262626" w:themeColor="text1" w:themeTint="D9"/>
        </w:rPr>
        <w:t xml:space="preserve">that digital platform workers perform the following types of work on </w:t>
      </w:r>
      <w:r w:rsidR="00223749" w:rsidRPr="004B4F63">
        <w:t>digital</w:t>
      </w:r>
      <w:r w:rsidR="00223749">
        <w:rPr>
          <w:rStyle w:val="normaltextrun"/>
          <w:color w:val="262626" w:themeColor="text1" w:themeTint="D9"/>
        </w:rPr>
        <w:t xml:space="preserve"> platforms: </w:t>
      </w:r>
    </w:p>
    <w:p w14:paraId="3B15059A" w14:textId="07CC2097" w:rsidR="00223749" w:rsidRDefault="00223749" w:rsidP="00E5309D">
      <w:pPr>
        <w:pStyle w:val="ListParagraph"/>
        <w:numPr>
          <w:ilvl w:val="0"/>
          <w:numId w:val="85"/>
        </w:numPr>
        <w:spacing w:line="276" w:lineRule="auto"/>
        <w:ind w:left="714" w:hanging="357"/>
        <w:contextualSpacing w:val="0"/>
        <w:rPr>
          <w:rStyle w:val="normaltextrun"/>
        </w:rPr>
      </w:pPr>
      <w:r w:rsidRPr="00FF45D0">
        <w:rPr>
          <w:rStyle w:val="normaltextrun"/>
          <w:color w:val="262626" w:themeColor="text1" w:themeTint="D9"/>
        </w:rPr>
        <w:t>Transport</w:t>
      </w:r>
      <w:r>
        <w:rPr>
          <w:rStyle w:val="normaltextrun"/>
          <w:color w:val="262626" w:themeColor="text1" w:themeTint="D9"/>
        </w:rPr>
        <w:t xml:space="preserve"> and food delivery (18.6%) </w:t>
      </w:r>
    </w:p>
    <w:p w14:paraId="092D4734" w14:textId="07CC2097" w:rsidR="00223749" w:rsidRDefault="00223749" w:rsidP="00E5309D">
      <w:pPr>
        <w:pStyle w:val="ListParagraph"/>
        <w:numPr>
          <w:ilvl w:val="0"/>
          <w:numId w:val="85"/>
        </w:numPr>
        <w:spacing w:line="276" w:lineRule="auto"/>
        <w:ind w:left="714" w:hanging="357"/>
        <w:contextualSpacing w:val="0"/>
        <w:rPr>
          <w:rStyle w:val="normaltextrun"/>
        </w:rPr>
      </w:pPr>
      <w:r w:rsidRPr="00FF45D0">
        <w:rPr>
          <w:rStyle w:val="normaltextrun"/>
          <w:color w:val="262626" w:themeColor="text1" w:themeTint="D9"/>
        </w:rPr>
        <w:t xml:space="preserve">Professional services (16.9%) </w:t>
      </w:r>
    </w:p>
    <w:p w14:paraId="7860B411" w14:textId="07CC2097" w:rsidR="00223749" w:rsidRDefault="00223749" w:rsidP="00E5309D">
      <w:pPr>
        <w:pStyle w:val="ListParagraph"/>
        <w:numPr>
          <w:ilvl w:val="0"/>
          <w:numId w:val="85"/>
        </w:numPr>
        <w:spacing w:line="276" w:lineRule="auto"/>
        <w:ind w:left="714" w:hanging="357"/>
        <w:contextualSpacing w:val="0"/>
        <w:rPr>
          <w:rStyle w:val="normaltextrun"/>
        </w:rPr>
      </w:pPr>
      <w:r w:rsidRPr="00FF45D0">
        <w:rPr>
          <w:rStyle w:val="normaltextrun"/>
          <w:color w:val="262626" w:themeColor="text1" w:themeTint="D9"/>
        </w:rPr>
        <w:t>Odd jobs and maintenance w</w:t>
      </w:r>
      <w:r>
        <w:rPr>
          <w:rStyle w:val="normaltextrun"/>
          <w:color w:val="262626" w:themeColor="text1" w:themeTint="D9"/>
        </w:rPr>
        <w:t xml:space="preserve">ork (11.5%) </w:t>
      </w:r>
    </w:p>
    <w:p w14:paraId="4D7FF846" w14:textId="74A2F88B" w:rsidR="00223749" w:rsidRPr="00FF45D0" w:rsidRDefault="00CE679F" w:rsidP="00E5309D">
      <w:pPr>
        <w:pStyle w:val="ListParagraph"/>
        <w:numPr>
          <w:ilvl w:val="0"/>
          <w:numId w:val="85"/>
        </w:numPr>
        <w:spacing w:line="276" w:lineRule="auto"/>
        <w:ind w:left="714" w:hanging="357"/>
        <w:contextualSpacing w:val="0"/>
        <w:rPr>
          <w:rStyle w:val="normaltextrun"/>
          <w:color w:val="262626" w:themeColor="text1" w:themeTint="D9"/>
          <w:sz w:val="20"/>
          <w:szCs w:val="20"/>
        </w:rPr>
      </w:pPr>
      <w:r w:rsidRPr="00FF45D0">
        <w:rPr>
          <w:rStyle w:val="normaltextrun"/>
          <w:color w:val="262626" w:themeColor="text1" w:themeTint="D9"/>
        </w:rPr>
        <w:t>Writing and translation (9.0%)</w:t>
      </w:r>
    </w:p>
    <w:p w14:paraId="6E741D2A" w14:textId="4659A8F2" w:rsidR="00CE679F" w:rsidRDefault="00CE679F" w:rsidP="00E5309D">
      <w:pPr>
        <w:pStyle w:val="ListParagraph"/>
        <w:numPr>
          <w:ilvl w:val="0"/>
          <w:numId w:val="85"/>
        </w:numPr>
        <w:spacing w:line="276" w:lineRule="auto"/>
        <w:ind w:left="714" w:hanging="357"/>
        <w:contextualSpacing w:val="0"/>
        <w:rPr>
          <w:rStyle w:val="normaltextrun"/>
          <w:color w:val="262626" w:themeColor="text1" w:themeTint="D9"/>
        </w:rPr>
      </w:pPr>
      <w:r w:rsidRPr="00FF45D0">
        <w:rPr>
          <w:rStyle w:val="normaltextrun"/>
          <w:color w:val="262626" w:themeColor="text1" w:themeTint="D9"/>
        </w:rPr>
        <w:t>Clerical and data entry (7.8%)</w:t>
      </w:r>
    </w:p>
    <w:p w14:paraId="6ACFA4C2" w14:textId="4280372A" w:rsidR="00CE679F" w:rsidRDefault="00CE679F" w:rsidP="00E5309D">
      <w:pPr>
        <w:pStyle w:val="ListParagraph"/>
        <w:numPr>
          <w:ilvl w:val="0"/>
          <w:numId w:val="85"/>
        </w:numPr>
        <w:spacing w:line="276" w:lineRule="auto"/>
        <w:ind w:left="714" w:hanging="357"/>
        <w:contextualSpacing w:val="0"/>
        <w:rPr>
          <w:rStyle w:val="normaltextrun"/>
          <w:color w:val="262626" w:themeColor="text1" w:themeTint="D9"/>
        </w:rPr>
      </w:pPr>
      <w:r w:rsidRPr="00FF45D0">
        <w:rPr>
          <w:rStyle w:val="normaltextrun"/>
          <w:color w:val="262626" w:themeColor="text1" w:themeTint="D9"/>
        </w:rPr>
        <w:t>Cr</w:t>
      </w:r>
      <w:r>
        <w:rPr>
          <w:rStyle w:val="normaltextrun"/>
          <w:color w:val="262626" w:themeColor="text1" w:themeTint="D9"/>
        </w:rPr>
        <w:t>eative and multimedia (7.</w:t>
      </w:r>
      <w:r w:rsidR="00094026">
        <w:rPr>
          <w:rStyle w:val="normaltextrun"/>
          <w:color w:val="262626" w:themeColor="text1" w:themeTint="D9"/>
        </w:rPr>
        <w:t>7</w:t>
      </w:r>
      <w:r>
        <w:rPr>
          <w:rStyle w:val="normaltextrun"/>
          <w:color w:val="262626" w:themeColor="text1" w:themeTint="D9"/>
        </w:rPr>
        <w:t>%)</w:t>
      </w:r>
    </w:p>
    <w:p w14:paraId="7C720D29" w14:textId="1E80DDA4" w:rsidR="00CE679F" w:rsidRPr="00FF45D0" w:rsidRDefault="00565008" w:rsidP="00E5309D">
      <w:pPr>
        <w:pStyle w:val="ListParagraph"/>
        <w:numPr>
          <w:ilvl w:val="0"/>
          <w:numId w:val="85"/>
        </w:numPr>
        <w:spacing w:line="276" w:lineRule="auto"/>
        <w:ind w:left="714" w:hanging="357"/>
        <w:contextualSpacing w:val="0"/>
        <w:rPr>
          <w:rStyle w:val="normaltextrun"/>
        </w:rPr>
      </w:pPr>
      <w:r w:rsidRPr="00FF45D0">
        <w:rPr>
          <w:rStyle w:val="normaltextrun"/>
          <w:color w:val="262626" w:themeColor="text1" w:themeTint="D9"/>
        </w:rPr>
        <w:t xml:space="preserve">Software </w:t>
      </w:r>
      <w:r>
        <w:rPr>
          <w:rStyle w:val="normaltextrun"/>
          <w:color w:val="262626" w:themeColor="text1" w:themeTint="D9"/>
        </w:rPr>
        <w:t>development and technology (7.2%)</w:t>
      </w:r>
    </w:p>
    <w:p w14:paraId="5F8920DA" w14:textId="15D781A9" w:rsidR="00565008" w:rsidRDefault="00565008" w:rsidP="00E5309D">
      <w:pPr>
        <w:pStyle w:val="ListParagraph"/>
        <w:numPr>
          <w:ilvl w:val="0"/>
          <w:numId w:val="85"/>
        </w:numPr>
        <w:spacing w:line="276" w:lineRule="auto"/>
        <w:ind w:left="714" w:hanging="357"/>
        <w:contextualSpacing w:val="0"/>
        <w:rPr>
          <w:rStyle w:val="normaltextrun"/>
          <w:color w:val="262626" w:themeColor="text1" w:themeTint="D9"/>
        </w:rPr>
      </w:pPr>
      <w:r w:rsidRPr="00FF45D0">
        <w:rPr>
          <w:rStyle w:val="normaltextrun"/>
          <w:color w:val="262626" w:themeColor="text1" w:themeTint="D9"/>
        </w:rPr>
        <w:t xml:space="preserve">Caring </w:t>
      </w:r>
      <w:r>
        <w:rPr>
          <w:rStyle w:val="normaltextrun"/>
          <w:color w:val="262626" w:themeColor="text1" w:themeTint="D9"/>
        </w:rPr>
        <w:t>(7.0%)</w:t>
      </w:r>
    </w:p>
    <w:p w14:paraId="44D37448" w14:textId="7AC9AABF" w:rsidR="00565008" w:rsidRDefault="00565008" w:rsidP="00E5309D">
      <w:pPr>
        <w:pStyle w:val="ListParagraph"/>
        <w:numPr>
          <w:ilvl w:val="0"/>
          <w:numId w:val="85"/>
        </w:numPr>
        <w:spacing w:line="276" w:lineRule="auto"/>
        <w:ind w:left="714" w:hanging="357"/>
        <w:contextualSpacing w:val="0"/>
        <w:rPr>
          <w:rStyle w:val="normaltextrun"/>
          <w:color w:val="262626" w:themeColor="text1" w:themeTint="D9"/>
        </w:rPr>
      </w:pPr>
      <w:r w:rsidRPr="00FF45D0">
        <w:rPr>
          <w:rStyle w:val="normaltextrun"/>
          <w:color w:val="262626" w:themeColor="text1" w:themeTint="D9"/>
        </w:rPr>
        <w:t>Skill</w:t>
      </w:r>
      <w:r>
        <w:rPr>
          <w:rStyle w:val="normaltextrun"/>
          <w:color w:val="262626" w:themeColor="text1" w:themeTint="D9"/>
        </w:rPr>
        <w:t>ed trades work (</w:t>
      </w:r>
      <w:r w:rsidR="00752BD4">
        <w:rPr>
          <w:rStyle w:val="normaltextrun"/>
          <w:color w:val="262626" w:themeColor="text1" w:themeTint="D9"/>
        </w:rPr>
        <w:t>5.8%)</w:t>
      </w:r>
    </w:p>
    <w:p w14:paraId="744B1553" w14:textId="22D30B6B" w:rsidR="00752BD4" w:rsidRDefault="00752BD4" w:rsidP="00E5309D">
      <w:pPr>
        <w:pStyle w:val="ListParagraph"/>
        <w:numPr>
          <w:ilvl w:val="0"/>
          <w:numId w:val="85"/>
        </w:numPr>
        <w:spacing w:line="276" w:lineRule="auto"/>
        <w:ind w:left="714" w:hanging="357"/>
        <w:contextualSpacing w:val="0"/>
        <w:rPr>
          <w:rStyle w:val="normaltextrun"/>
          <w:color w:val="262626" w:themeColor="text1" w:themeTint="D9"/>
        </w:rPr>
      </w:pPr>
      <w:r w:rsidRPr="00FF45D0">
        <w:rPr>
          <w:rStyle w:val="normaltextrun"/>
          <w:color w:val="262626" w:themeColor="text1" w:themeTint="D9"/>
        </w:rPr>
        <w:t xml:space="preserve">Sales </w:t>
      </w:r>
      <w:r>
        <w:rPr>
          <w:rStyle w:val="normaltextrun"/>
          <w:color w:val="262626" w:themeColor="text1" w:themeTint="D9"/>
        </w:rPr>
        <w:t>and marketing support (5.0%)</w:t>
      </w:r>
    </w:p>
    <w:p w14:paraId="1752F3D4" w14:textId="2DBB829A" w:rsidR="00752BD4" w:rsidRDefault="00752BD4" w:rsidP="00E5309D">
      <w:pPr>
        <w:pStyle w:val="ListParagraph"/>
        <w:numPr>
          <w:ilvl w:val="0"/>
          <w:numId w:val="85"/>
        </w:numPr>
        <w:spacing w:line="276" w:lineRule="auto"/>
        <w:ind w:left="714" w:hanging="357"/>
        <w:contextualSpacing w:val="0"/>
        <w:rPr>
          <w:rStyle w:val="normaltextrun"/>
          <w:color w:val="262626" w:themeColor="text1" w:themeTint="D9"/>
        </w:rPr>
      </w:pPr>
      <w:r w:rsidRPr="00FF45D0">
        <w:rPr>
          <w:rStyle w:val="normaltextrun"/>
          <w:color w:val="262626" w:themeColor="text1" w:themeTint="D9"/>
        </w:rPr>
        <w:t>Educ</w:t>
      </w:r>
      <w:r>
        <w:rPr>
          <w:rStyle w:val="normaltextrun"/>
          <w:color w:val="262626" w:themeColor="text1" w:themeTint="D9"/>
        </w:rPr>
        <w:t>ation (1.2%)</w:t>
      </w:r>
    </w:p>
    <w:p w14:paraId="35E7117B" w14:textId="65F9F722" w:rsidR="00752BD4" w:rsidRPr="00FF45D0" w:rsidRDefault="00FF45D0" w:rsidP="00E5309D">
      <w:pPr>
        <w:pStyle w:val="ListParagraph"/>
        <w:numPr>
          <w:ilvl w:val="0"/>
          <w:numId w:val="85"/>
        </w:numPr>
        <w:spacing w:line="276" w:lineRule="auto"/>
        <w:ind w:left="714" w:hanging="357"/>
        <w:contextualSpacing w:val="0"/>
        <w:rPr>
          <w:rStyle w:val="normaltextrun"/>
        </w:rPr>
      </w:pPr>
      <w:r w:rsidRPr="00FF45D0">
        <w:rPr>
          <w:rStyle w:val="normaltextrun"/>
          <w:color w:val="262626" w:themeColor="text1" w:themeTint="D9"/>
        </w:rPr>
        <w:t>Personal services (0.9%)</w:t>
      </w:r>
    </w:p>
    <w:p w14:paraId="17D0EDCD" w14:textId="77777777" w:rsidR="004326A8" w:rsidRPr="004326A8" w:rsidRDefault="004326A8" w:rsidP="00F60F5C">
      <w:pPr>
        <w:pStyle w:val="Heading3"/>
        <w:rPr>
          <w:rStyle w:val="normaltextrun"/>
          <w:b w:val="0"/>
          <w:color w:val="262626"/>
          <w:shd w:val="clear" w:color="auto" w:fill="FFFFFF"/>
        </w:rPr>
      </w:pPr>
      <w:bookmarkStart w:id="28" w:name="_Toc139295539"/>
      <w:r w:rsidRPr="004326A8">
        <w:rPr>
          <w:rStyle w:val="normaltextrun"/>
          <w:b w:val="0"/>
          <w:color w:val="262626"/>
          <w:shd w:val="clear" w:color="auto" w:fill="FFFFFF"/>
        </w:rPr>
        <w:t>Road transport</w:t>
      </w:r>
      <w:bookmarkEnd w:id="28"/>
    </w:p>
    <w:p w14:paraId="66801C6A" w14:textId="54E3AC24" w:rsidR="00AA476F" w:rsidRDefault="00AA476F" w:rsidP="004326A8">
      <w:pPr>
        <w:rPr>
          <w:rStyle w:val="normaltextrun"/>
          <w:color w:val="262626" w:themeColor="text1" w:themeTint="D9"/>
        </w:rPr>
      </w:pPr>
      <w:r>
        <w:rPr>
          <w:rStyle w:val="normaltextrun"/>
          <w:color w:val="262626" w:themeColor="text1" w:themeTint="D9"/>
        </w:rPr>
        <w:t xml:space="preserve">There are multiple definitions of the road transport industry, with implications for estimates of its size. The </w:t>
      </w:r>
      <w:r>
        <w:t>Fair Work Legislation Amendment (Closing Loopholes) Bill 2023 defines the road transport industry by reference to modern award coverage, including the Road Transport and Distribution Award 2020, the Road Transport (Long Distance Operations) Award 2020, the Waste Management Award (2020), the Transport (Cash in Transit) Award 2020</w:t>
      </w:r>
      <w:r w:rsidR="00EC01A0">
        <w:t xml:space="preserve"> and the </w:t>
      </w:r>
      <w:r w:rsidR="00E86683">
        <w:t xml:space="preserve">Passenger Vehicle Transportation Award </w:t>
      </w:r>
      <w:r w:rsidR="00FE2A65">
        <w:t>(2020)</w:t>
      </w:r>
      <w:r w:rsidR="00F23F29">
        <w:rPr>
          <w:rStyle w:val="FootnoteReference"/>
        </w:rPr>
        <w:footnoteReference w:id="72"/>
      </w:r>
      <w:r>
        <w:t>. However, as independent contractors are not covered by awards, there is no available data corresponding to this definition.</w:t>
      </w:r>
    </w:p>
    <w:p w14:paraId="453F9A87" w14:textId="2ED8AD49" w:rsidR="004326A8" w:rsidRPr="00573634" w:rsidRDefault="00A36CE6" w:rsidP="004326A8">
      <w:pPr>
        <w:rPr>
          <w:rStyle w:val="normaltextrun"/>
          <w:color w:val="262626" w:themeColor="text1" w:themeTint="D9"/>
          <w:highlight w:val="yellow"/>
        </w:rPr>
      </w:pPr>
      <w:r>
        <w:rPr>
          <w:rStyle w:val="normaltextrun"/>
          <w:color w:val="262626" w:themeColor="text1" w:themeTint="D9"/>
        </w:rPr>
        <w:t xml:space="preserve">Due to these data limitations, the department will use the </w:t>
      </w:r>
      <w:r w:rsidRPr="31F5FAFC">
        <w:rPr>
          <w:rStyle w:val="normaltextrun"/>
          <w:color w:val="262626" w:themeColor="text1" w:themeTint="D9"/>
        </w:rPr>
        <w:t>ABS</w:t>
      </w:r>
      <w:r>
        <w:rPr>
          <w:rStyle w:val="normaltextrun"/>
          <w:color w:val="262626" w:themeColor="text1" w:themeTint="D9"/>
        </w:rPr>
        <w:t>’</w:t>
      </w:r>
      <w:r w:rsidRPr="31F5FAFC">
        <w:rPr>
          <w:rStyle w:val="normaltextrun"/>
          <w:color w:val="262626" w:themeColor="text1" w:themeTint="D9"/>
        </w:rPr>
        <w:t xml:space="preserve"> detailed industry classification system called the Australian and New Zealand Standard Industrial Classification (ANZSIC)</w:t>
      </w:r>
      <w:r>
        <w:rPr>
          <w:rStyle w:val="normaltextrun"/>
          <w:color w:val="262626" w:themeColor="text1" w:themeTint="D9"/>
        </w:rPr>
        <w:t xml:space="preserve"> for the purposes of this supplementary analysis</w:t>
      </w:r>
      <w:r w:rsidRPr="31F5FAFC">
        <w:rPr>
          <w:rStyle w:val="normaltextrun"/>
          <w:color w:val="262626" w:themeColor="text1" w:themeTint="D9"/>
        </w:rPr>
        <w:t xml:space="preserve">. </w:t>
      </w:r>
      <w:r w:rsidR="004326A8" w:rsidRPr="31F5FAFC">
        <w:rPr>
          <w:rStyle w:val="normaltextrun"/>
          <w:color w:val="262626" w:themeColor="text1" w:themeTint="D9"/>
        </w:rPr>
        <w:t xml:space="preserve">Industries are classified as falling under a 1, 2, 3, or 4-digit classification, with 1 being the least detailed, and 4 being the most. </w:t>
      </w:r>
      <w:r w:rsidR="004326A8" w:rsidRPr="00E62DB8">
        <w:rPr>
          <w:rStyle w:val="normaltextrun"/>
          <w:color w:val="262626" w:themeColor="text1" w:themeTint="D9"/>
        </w:rPr>
        <w:t xml:space="preserve">‘Road transport’ is an ABS defined 2-digit industry, however throughout this Impact Analysis </w:t>
      </w:r>
      <w:r w:rsidR="0013696B" w:rsidRPr="00E62DB8">
        <w:rPr>
          <w:rStyle w:val="normaltextrun"/>
          <w:color w:val="262626" w:themeColor="text1" w:themeTint="D9"/>
        </w:rPr>
        <w:t xml:space="preserve">Equivalent </w:t>
      </w:r>
      <w:r w:rsidR="004326A8" w:rsidRPr="00E62DB8">
        <w:rPr>
          <w:rStyle w:val="normaltextrun"/>
          <w:color w:val="262626" w:themeColor="text1" w:themeTint="D9"/>
        </w:rPr>
        <w:t xml:space="preserve">the department uses the phrase ‘road transport’ to denote workers and businesses in the </w:t>
      </w:r>
      <w:r w:rsidR="00DF2869" w:rsidRPr="00573634">
        <w:rPr>
          <w:rStyle w:val="normaltextrun"/>
          <w:color w:val="262626" w:themeColor="text1" w:themeTint="D9"/>
        </w:rPr>
        <w:t xml:space="preserve">2-digit </w:t>
      </w:r>
      <w:r w:rsidR="004326A8" w:rsidRPr="00E62DB8">
        <w:rPr>
          <w:rStyle w:val="normaltextrun"/>
          <w:color w:val="262626" w:themeColor="text1" w:themeTint="D9"/>
        </w:rPr>
        <w:t xml:space="preserve">Road transport, and Postal and courier pick-up </w:t>
      </w:r>
      <w:r w:rsidR="004326A8" w:rsidRPr="00BF23F2">
        <w:t>and</w:t>
      </w:r>
      <w:r w:rsidR="004326A8" w:rsidRPr="00E62DB8">
        <w:rPr>
          <w:rStyle w:val="normaltextrun"/>
          <w:color w:val="262626" w:themeColor="text1" w:themeTint="D9"/>
        </w:rPr>
        <w:t xml:space="preserve"> delivery services </w:t>
      </w:r>
      <w:r w:rsidR="00DD7A73" w:rsidRPr="00573634">
        <w:rPr>
          <w:rStyle w:val="normaltextrun"/>
          <w:color w:val="262626" w:themeColor="text1" w:themeTint="D9"/>
        </w:rPr>
        <w:t>industries</w:t>
      </w:r>
      <w:r w:rsidR="004326A8" w:rsidRPr="00BF23F2">
        <w:rPr>
          <w:rStyle w:val="normaltextrun"/>
          <w:color w:val="262626" w:themeColor="text1" w:themeTint="D9"/>
        </w:rPr>
        <w:t>.</w:t>
      </w:r>
      <w:r w:rsidR="00DD7A73" w:rsidRPr="00573634">
        <w:rPr>
          <w:rStyle w:val="normaltextrun"/>
          <w:color w:val="262626" w:themeColor="text1" w:themeTint="D9"/>
        </w:rPr>
        <w:t xml:space="preserve"> </w:t>
      </w:r>
      <w:r w:rsidR="00340409" w:rsidRPr="00573634">
        <w:rPr>
          <w:rStyle w:val="normaltextrun"/>
          <w:color w:val="262626" w:themeColor="text1" w:themeTint="D9"/>
        </w:rPr>
        <w:t>The Postal and courier pick-up and delivery services industr</w:t>
      </w:r>
      <w:r w:rsidR="002E7ED2" w:rsidRPr="00573634">
        <w:rPr>
          <w:rStyle w:val="normaltextrun"/>
          <w:color w:val="262626" w:themeColor="text1" w:themeTint="D9"/>
        </w:rPr>
        <w:t>y is included</w:t>
      </w:r>
      <w:r w:rsidR="00713A8D" w:rsidRPr="00573634">
        <w:rPr>
          <w:rStyle w:val="normaltextrun"/>
          <w:color w:val="262626" w:themeColor="text1" w:themeTint="D9"/>
        </w:rPr>
        <w:t>,</w:t>
      </w:r>
      <w:r w:rsidR="002E7ED2" w:rsidRPr="00573634">
        <w:rPr>
          <w:rStyle w:val="normaltextrun"/>
          <w:color w:val="262626" w:themeColor="text1" w:themeTint="D9"/>
        </w:rPr>
        <w:t xml:space="preserve"> as it is in scope of th</w:t>
      </w:r>
      <w:r w:rsidR="00907DCA" w:rsidRPr="00573634">
        <w:rPr>
          <w:rStyle w:val="normaltextrun"/>
          <w:color w:val="262626" w:themeColor="text1" w:themeTint="D9"/>
        </w:rPr>
        <w:t xml:space="preserve">e </w:t>
      </w:r>
      <w:r w:rsidR="002E7ED2" w:rsidRPr="00573634">
        <w:rPr>
          <w:rStyle w:val="normaltextrun"/>
          <w:color w:val="262626" w:themeColor="text1" w:themeTint="D9"/>
        </w:rPr>
        <w:t>policy.</w:t>
      </w:r>
      <w:r w:rsidR="00050843" w:rsidRPr="00573634">
        <w:rPr>
          <w:rStyle w:val="normaltextrun"/>
          <w:color w:val="262626" w:themeColor="text1" w:themeTint="D9"/>
        </w:rPr>
        <w:t xml:space="preserve"> The 2-digit Road transport industry will include some workers who are out of scope, e.g. taxi </w:t>
      </w:r>
      <w:r w:rsidR="00E751C6" w:rsidRPr="00573634">
        <w:rPr>
          <w:rStyle w:val="normaltextrun"/>
          <w:color w:val="262626" w:themeColor="text1" w:themeTint="D9"/>
        </w:rPr>
        <w:t>and tram drivers</w:t>
      </w:r>
      <w:r w:rsidR="00050843" w:rsidRPr="00573634">
        <w:rPr>
          <w:rStyle w:val="normaltextrun"/>
          <w:color w:val="262626" w:themeColor="text1" w:themeTint="D9"/>
        </w:rPr>
        <w:t xml:space="preserve">, but it is not possible to disaggregate the industry </w:t>
      </w:r>
      <w:r w:rsidR="00D55CF1" w:rsidRPr="00573634">
        <w:rPr>
          <w:rStyle w:val="normaltextrun"/>
          <w:color w:val="262626" w:themeColor="text1" w:themeTint="D9"/>
        </w:rPr>
        <w:t>further with available data</w:t>
      </w:r>
      <w:r w:rsidR="00050843" w:rsidRPr="00573634">
        <w:rPr>
          <w:rStyle w:val="normaltextrun"/>
          <w:color w:val="262626" w:themeColor="text1" w:themeTint="D9"/>
        </w:rPr>
        <w:t xml:space="preserve">. </w:t>
      </w:r>
      <w:r w:rsidR="00011F1C" w:rsidRPr="00573634">
        <w:rPr>
          <w:rStyle w:val="normaltextrun"/>
          <w:color w:val="262626" w:themeColor="text1" w:themeTint="D9"/>
        </w:rPr>
        <w:t xml:space="preserve">As such, the number of businesses and workers affected will </w:t>
      </w:r>
      <w:r w:rsidR="00BF23F2" w:rsidRPr="00573634">
        <w:rPr>
          <w:rStyle w:val="normaltextrun"/>
          <w:color w:val="262626" w:themeColor="text1" w:themeTint="D9"/>
        </w:rPr>
        <w:t xml:space="preserve">likely </w:t>
      </w:r>
      <w:r w:rsidR="00011F1C" w:rsidRPr="00573634">
        <w:rPr>
          <w:rStyle w:val="normaltextrun"/>
          <w:color w:val="262626" w:themeColor="text1" w:themeTint="D9"/>
        </w:rPr>
        <w:t>be an overestimate.</w:t>
      </w:r>
    </w:p>
    <w:p w14:paraId="34180AB4" w14:textId="6C2F9933" w:rsidR="004326A8" w:rsidRPr="004326A8" w:rsidRDefault="004326A8" w:rsidP="004326A8">
      <w:pPr>
        <w:rPr>
          <w:rStyle w:val="normaltextrun"/>
          <w:color w:val="262626"/>
          <w:shd w:val="clear" w:color="auto" w:fill="FFFFFF"/>
        </w:rPr>
      </w:pPr>
      <w:r w:rsidRPr="004326A8">
        <w:rPr>
          <w:rStyle w:val="normaltextrun"/>
          <w:color w:val="262626"/>
          <w:shd w:val="clear" w:color="auto" w:fill="FFFFFF"/>
        </w:rPr>
        <w:t>Unlike the digital platform workforce, workers in the road transport sector are likely to be independent contractors in their main job, and therefore are captured in ABS data. As outlined in the section on digital platforms, the latest data shows that in Australia there are 1.1 million workers who are independent contractors in their main job (8.3 per cent of all employed persons)</w:t>
      </w:r>
      <w:r w:rsidR="0022584F">
        <w:rPr>
          <w:rStyle w:val="normaltextrun"/>
          <w:color w:val="262626"/>
          <w:shd w:val="clear" w:color="auto" w:fill="FFFFFF"/>
        </w:rPr>
        <w:t>.</w:t>
      </w:r>
      <w:r w:rsidRPr="004326A8">
        <w:rPr>
          <w:rStyle w:val="FootnoteReference"/>
          <w:color w:val="262626"/>
          <w:shd w:val="clear" w:color="auto" w:fill="FFFFFF"/>
        </w:rPr>
        <w:footnoteReference w:id="73"/>
      </w:r>
      <w:r w:rsidRPr="004326A8">
        <w:rPr>
          <w:rStyle w:val="normaltextrun"/>
          <w:color w:val="262626"/>
          <w:shd w:val="clear" w:color="auto" w:fill="FFFFFF"/>
        </w:rPr>
        <w:t xml:space="preserve"> </w:t>
      </w:r>
      <w:r w:rsidRPr="002E5641">
        <w:rPr>
          <w:rStyle w:val="normaltextrun"/>
          <w:color w:val="262626"/>
          <w:shd w:val="clear" w:color="auto" w:fill="FFFFFF"/>
        </w:rPr>
        <w:t xml:space="preserve">Looking specifically at the road transport sector, in August 2022 there were </w:t>
      </w:r>
      <w:r w:rsidR="00D63539" w:rsidRPr="00573634">
        <w:rPr>
          <w:rStyle w:val="normaltextrun"/>
          <w:color w:val="262626"/>
          <w:shd w:val="clear" w:color="auto" w:fill="FFFFFF"/>
        </w:rPr>
        <w:t>57,2</w:t>
      </w:r>
      <w:r w:rsidRPr="002E5641">
        <w:rPr>
          <w:rStyle w:val="normaltextrun"/>
          <w:color w:val="262626"/>
          <w:shd w:val="clear" w:color="auto" w:fill="FFFFFF"/>
        </w:rPr>
        <w:t>00 independent contractors, which represented 15.</w:t>
      </w:r>
      <w:r w:rsidR="00374CE2" w:rsidRPr="00573634">
        <w:rPr>
          <w:rStyle w:val="normaltextrun"/>
          <w:color w:val="262626"/>
          <w:shd w:val="clear" w:color="auto" w:fill="FFFFFF"/>
        </w:rPr>
        <w:t>6</w:t>
      </w:r>
      <w:r w:rsidRPr="002E5641">
        <w:rPr>
          <w:rStyle w:val="normaltextrun"/>
          <w:color w:val="262626"/>
          <w:shd w:val="clear" w:color="auto" w:fill="FFFFFF"/>
        </w:rPr>
        <w:t xml:space="preserve"> per cent of the road transport sector workforce.</w:t>
      </w:r>
      <w:r w:rsidRPr="004326A8">
        <w:rPr>
          <w:rStyle w:val="normaltextrun"/>
          <w:color w:val="262626"/>
          <w:shd w:val="clear" w:color="auto" w:fill="FFFFFF"/>
        </w:rPr>
        <w:t xml:space="preserve"> </w:t>
      </w:r>
    </w:p>
    <w:p w14:paraId="195F772E" w14:textId="2450ECCF" w:rsidR="004326A8" w:rsidRPr="004326A8" w:rsidRDefault="004326A8" w:rsidP="004326A8">
      <w:pPr>
        <w:rPr>
          <w:rStyle w:val="normaltextrun"/>
          <w:color w:val="262626"/>
          <w:shd w:val="clear" w:color="auto" w:fill="FFFFFF"/>
        </w:rPr>
      </w:pPr>
      <w:r w:rsidRPr="16734E37">
        <w:rPr>
          <w:rStyle w:val="normaltextrun"/>
          <w:color w:val="262626" w:themeColor="text1" w:themeTint="D9"/>
        </w:rPr>
        <w:t xml:space="preserve">The ABS also publish data on the number of businesses in each industry, however, there is no data on the number of businesses that engage independent contractors. </w:t>
      </w:r>
      <w:r w:rsidRPr="003078B8">
        <w:rPr>
          <w:rStyle w:val="normaltextrun"/>
          <w:color w:val="262626" w:themeColor="text1" w:themeTint="D9"/>
        </w:rPr>
        <w:t>In June 2022, there were 1</w:t>
      </w:r>
      <w:r w:rsidR="00980D93" w:rsidRPr="00573634">
        <w:rPr>
          <w:rStyle w:val="normaltextrun"/>
          <w:color w:val="262626" w:themeColor="text1" w:themeTint="D9"/>
        </w:rPr>
        <w:t>40,9</w:t>
      </w:r>
      <w:r w:rsidR="003078B8" w:rsidRPr="00573634">
        <w:rPr>
          <w:rStyle w:val="normaltextrun"/>
          <w:color w:val="262626" w:themeColor="text1" w:themeTint="D9"/>
        </w:rPr>
        <w:t>74</w:t>
      </w:r>
      <w:r w:rsidRPr="003078B8">
        <w:rPr>
          <w:rStyle w:val="normaltextrun"/>
          <w:color w:val="262626" w:themeColor="text1" w:themeTint="D9"/>
        </w:rPr>
        <w:t xml:space="preserve"> businesses in the road transport sector, with the majority (</w:t>
      </w:r>
      <w:r w:rsidR="008B65F0" w:rsidRPr="00573634">
        <w:rPr>
          <w:rStyle w:val="normaltextrun"/>
          <w:color w:val="262626" w:themeColor="text1" w:themeTint="D9"/>
        </w:rPr>
        <w:t>7</w:t>
      </w:r>
      <w:r w:rsidR="00980D93" w:rsidRPr="00573634">
        <w:rPr>
          <w:rStyle w:val="normaltextrun"/>
          <w:color w:val="262626" w:themeColor="text1" w:themeTint="D9"/>
        </w:rPr>
        <w:t>1.6</w:t>
      </w:r>
      <w:r w:rsidRPr="003078B8">
        <w:rPr>
          <w:rStyle w:val="normaltextrun"/>
          <w:color w:val="262626" w:themeColor="text1" w:themeTint="D9"/>
        </w:rPr>
        <w:t xml:space="preserve"> per cent) of these non-employing.</w:t>
      </w:r>
      <w:r w:rsidRPr="004326A8">
        <w:rPr>
          <w:rStyle w:val="FootnoteReference"/>
          <w:color w:val="262626"/>
          <w:shd w:val="clear" w:color="auto" w:fill="FFFFFF"/>
        </w:rPr>
        <w:footnoteReference w:id="74"/>
      </w:r>
      <w:r w:rsidRPr="16734E37">
        <w:rPr>
          <w:rStyle w:val="normaltextrun"/>
          <w:color w:val="262626" w:themeColor="text1" w:themeTint="D9"/>
        </w:rPr>
        <w:t xml:space="preserve"> As these business counts only provide data on whether a business has employees, these non-employing businesses could be engaging independent contractors, and therefore be in scope of the proposed policy.</w:t>
      </w:r>
    </w:p>
    <w:p w14:paraId="7E6BE6BD" w14:textId="7D59A0EB" w:rsidR="004326A8" w:rsidRPr="004326A8" w:rsidRDefault="004326A8" w:rsidP="004326A8">
      <w:pPr>
        <w:rPr>
          <w:rStyle w:val="normaltextrun"/>
          <w:color w:val="262626"/>
          <w:shd w:val="clear" w:color="auto" w:fill="FFFFFF"/>
        </w:rPr>
      </w:pPr>
      <w:r w:rsidRPr="004326A8">
        <w:rPr>
          <w:rStyle w:val="normaltextrun"/>
          <w:color w:val="262626"/>
          <w:shd w:val="clear" w:color="auto" w:fill="FFFFFF"/>
        </w:rPr>
        <w:t xml:space="preserve">Throughout </w:t>
      </w:r>
      <w:r w:rsidRPr="004B4F63">
        <w:t>this</w:t>
      </w:r>
      <w:r w:rsidRPr="004326A8">
        <w:rPr>
          <w:rStyle w:val="normaltextrun"/>
          <w:color w:val="262626"/>
          <w:shd w:val="clear" w:color="auto" w:fill="FFFFFF"/>
        </w:rPr>
        <w:t xml:space="preserve"> Impact Analysis</w:t>
      </w:r>
      <w:r w:rsidR="00101199">
        <w:rPr>
          <w:rStyle w:val="normaltextrun"/>
          <w:color w:val="262626"/>
          <w:shd w:val="clear" w:color="auto" w:fill="FFFFFF"/>
        </w:rPr>
        <w:t xml:space="preserve"> Equivalent process</w:t>
      </w:r>
      <w:r w:rsidRPr="004326A8">
        <w:rPr>
          <w:rStyle w:val="normaltextrun"/>
          <w:color w:val="262626"/>
          <w:shd w:val="clear" w:color="auto" w:fill="FFFFFF"/>
        </w:rPr>
        <w:t>, the department has estimated costs on a per business basis</w:t>
      </w:r>
      <w:r w:rsidR="00E971D0">
        <w:rPr>
          <w:rStyle w:val="normaltextrun"/>
          <w:color w:val="262626"/>
          <w:shd w:val="clear" w:color="auto" w:fill="FFFFFF"/>
        </w:rPr>
        <w:t xml:space="preserve"> where there is not data available on number of businesses affected. </w:t>
      </w:r>
    </w:p>
    <w:p w14:paraId="46AE09AB" w14:textId="342D6DEF" w:rsidR="002232CE" w:rsidRDefault="002232CE" w:rsidP="00DB2823">
      <w:pPr>
        <w:pStyle w:val="Heading1"/>
        <w:numPr>
          <w:ilvl w:val="0"/>
          <w:numId w:val="1"/>
        </w:numPr>
        <w:spacing w:before="120" w:after="120" w:line="240" w:lineRule="auto"/>
      </w:pPr>
      <w:bookmarkStart w:id="29" w:name="_Toc138748377"/>
      <w:bookmarkStart w:id="30" w:name="_Toc139295540"/>
      <w:bookmarkStart w:id="31" w:name="_Toc110598502"/>
      <w:bookmarkEnd w:id="5"/>
      <w:bookmarkEnd w:id="29"/>
      <w:r>
        <w:t>Consultation</w:t>
      </w:r>
      <w:bookmarkEnd w:id="30"/>
    </w:p>
    <w:p w14:paraId="1DB5B718" w14:textId="6BCA08FA" w:rsidR="002232CE" w:rsidRDefault="002232CE" w:rsidP="004B4F63">
      <w:r>
        <w:t xml:space="preserve">The department </w:t>
      </w:r>
      <w:r w:rsidR="00A62F10">
        <w:t xml:space="preserve">conducted an </w:t>
      </w:r>
      <w:r>
        <w:t xml:space="preserve">extensive consultation process on </w:t>
      </w:r>
      <w:r w:rsidR="003B7B5E">
        <w:t xml:space="preserve">the </w:t>
      </w:r>
      <w:r w:rsidR="00A62F10">
        <w:t>measure</w:t>
      </w:r>
      <w:r w:rsidR="009B6CCD">
        <w:t>s considered by this Impact Analysis</w:t>
      </w:r>
      <w:r w:rsidR="002164B2">
        <w:t xml:space="preserve"> Equivalent process and supplementary analysis</w:t>
      </w:r>
      <w:r w:rsidR="006F325E">
        <w:t>.</w:t>
      </w:r>
      <w:r>
        <w:t xml:space="preserve"> This process included targeted and public consultation</w:t>
      </w:r>
      <w:r w:rsidR="009B6CCD">
        <w:t xml:space="preserve"> </w:t>
      </w:r>
      <w:r w:rsidR="00694503">
        <w:t>taking</w:t>
      </w:r>
      <w:r w:rsidR="009B6CCD">
        <w:t xml:space="preserve"> </w:t>
      </w:r>
      <w:r>
        <w:t xml:space="preserve">place </w:t>
      </w:r>
      <w:r w:rsidR="009B6CCD">
        <w:t>between</w:t>
      </w:r>
      <w:r>
        <w:t xml:space="preserve"> August 2022 </w:t>
      </w:r>
      <w:r w:rsidR="007E2C92">
        <w:t xml:space="preserve">and August 2023. </w:t>
      </w:r>
    </w:p>
    <w:p w14:paraId="5F3DE29E" w14:textId="612E233D" w:rsidR="002232CE" w:rsidRDefault="002232CE" w:rsidP="004B4F63">
      <w:r>
        <w:t xml:space="preserve">As </w:t>
      </w:r>
      <w:r w:rsidRPr="00384C02">
        <w:t xml:space="preserve">consultation examined sensitive topics </w:t>
      </w:r>
      <w:r w:rsidR="00015107">
        <w:t>such as</w:t>
      </w:r>
      <w:r w:rsidRPr="00384C02">
        <w:t xml:space="preserve"> </w:t>
      </w:r>
      <w:r w:rsidR="006453DA">
        <w:t>stakeholders’</w:t>
      </w:r>
      <w:r w:rsidRPr="00384C02">
        <w:t xml:space="preserve"> business structures, consultation discussions and written submissions </w:t>
      </w:r>
      <w:r w:rsidR="006453DA">
        <w:t>are</w:t>
      </w:r>
      <w:r w:rsidRPr="00384C02">
        <w:t xml:space="preserve"> confidential. Confidentiality was essential to allow stakeholders to share information with the department to inform policy development. </w:t>
      </w:r>
      <w:r w:rsidR="00CE3A75">
        <w:t>The supplementary analysis</w:t>
      </w:r>
      <w:r>
        <w:t xml:space="preserve"> will consider broad de-identified views put forward by stakeholders, while maintaining their confidentiality</w:t>
      </w:r>
      <w:r w:rsidR="00DD4637">
        <w:t xml:space="preserve">. </w:t>
      </w:r>
    </w:p>
    <w:p w14:paraId="642BAB80" w14:textId="0D3B1648" w:rsidR="002232CE" w:rsidRPr="00AD57AC" w:rsidRDefault="002232CE" w:rsidP="00D2146D">
      <w:pPr>
        <w:pStyle w:val="Heading2"/>
        <w:spacing w:after="200"/>
      </w:pPr>
      <w:bookmarkStart w:id="32" w:name="_Toc139295541"/>
      <w:r w:rsidRPr="00AD57AC">
        <w:t>Timeline of consultation</w:t>
      </w:r>
      <w:bookmarkEnd w:id="32"/>
    </w:p>
    <w:p w14:paraId="4ECA70DE" w14:textId="6668DA0F" w:rsidR="47475914" w:rsidRDefault="47475914">
      <w:r>
        <w:t xml:space="preserve">Consultation </w:t>
      </w:r>
      <w:r w:rsidR="009260E6">
        <w:t>took place over</w:t>
      </w:r>
      <w:r>
        <w:t xml:space="preserve"> </w:t>
      </w:r>
      <w:r w:rsidR="7FEEADD6">
        <w:t>several</w:t>
      </w:r>
      <w:r>
        <w:t xml:space="preserve"> stages</w:t>
      </w:r>
      <w:r w:rsidR="009260E6">
        <w:t xml:space="preserve">, as </w:t>
      </w:r>
      <w:r w:rsidR="00DE6F5C">
        <w:t xml:space="preserve">displayed in Table </w:t>
      </w:r>
      <w:r w:rsidR="6F5CC283">
        <w:t>3</w:t>
      </w:r>
      <w:r>
        <w:t xml:space="preserve">. </w:t>
      </w:r>
      <w:r w:rsidR="00FE4809">
        <w:t>These more formal stages of consultation are in addition to informal, ad-hoc discussions held with stakeholders throughout this period.</w:t>
      </w:r>
    </w:p>
    <w:p w14:paraId="6BC9B5EC" w14:textId="4C2E45F2" w:rsidR="00875148" w:rsidRDefault="00875148" w:rsidP="00875148">
      <w:pPr>
        <w:pStyle w:val="Caption"/>
      </w:pPr>
      <w:r w:rsidRPr="00875148">
        <w:rPr>
          <w:highlight w:val="yellow"/>
        </w:rPr>
        <w:fldChar w:fldCharType="begin"/>
      </w:r>
      <w:r w:rsidRPr="00875148">
        <w:rPr>
          <w:highlight w:val="yellow"/>
        </w:rPr>
        <w:instrText xml:space="preserve"> TOC \o "1-3" \h \z \u </w:instrText>
      </w:r>
      <w:r w:rsidRPr="00875148">
        <w:rPr>
          <w:highlight w:val="yellow"/>
        </w:rPr>
        <w:fldChar w:fldCharType="end"/>
      </w:r>
      <w:r>
        <w:t xml:space="preserve">Table </w:t>
      </w:r>
      <w:r w:rsidR="666F77B7">
        <w:t>3</w:t>
      </w:r>
      <w:r w:rsidRPr="00520A33">
        <w:t xml:space="preserve"> </w:t>
      </w:r>
      <w:r w:rsidR="516D1A3C">
        <w:t xml:space="preserve">- </w:t>
      </w:r>
      <w:r>
        <w:t xml:space="preserve">Stages of consultation </w:t>
      </w:r>
    </w:p>
    <w:tbl>
      <w:tblPr>
        <w:tblStyle w:val="DESE"/>
        <w:tblW w:w="9060" w:type="dxa"/>
        <w:tblLook w:val="04A0" w:firstRow="1" w:lastRow="0" w:firstColumn="1" w:lastColumn="0" w:noHBand="0" w:noVBand="1"/>
      </w:tblPr>
      <w:tblGrid>
        <w:gridCol w:w="1847"/>
        <w:gridCol w:w="3084"/>
        <w:gridCol w:w="4129"/>
      </w:tblGrid>
      <w:tr w:rsidR="00875148" w14:paraId="4BFFFF24" w14:textId="77777777" w:rsidTr="006E2A8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100" w:firstRow="0" w:lastRow="0" w:firstColumn="1" w:lastColumn="0" w:oddVBand="0" w:evenVBand="0" w:oddHBand="0" w:evenHBand="0" w:firstRowFirstColumn="1" w:firstRowLastColumn="0" w:lastRowFirstColumn="0" w:lastRowLastColumn="0"/>
            <w:tcW w:w="1847" w:type="dxa"/>
            <w:tcBorders>
              <w:top w:val="single" w:sz="4" w:space="0" w:color="002D3F" w:themeColor="accent1"/>
            </w:tcBorders>
            <w:vAlign w:val="top"/>
          </w:tcPr>
          <w:p w14:paraId="1DF5E1D6" w14:textId="07819C05" w:rsidR="00875148" w:rsidRPr="00B100CC" w:rsidRDefault="00875148" w:rsidP="00875148">
            <w:pPr>
              <w:spacing w:after="100"/>
            </w:pPr>
            <w:r>
              <w:rPr>
                <w:rFonts w:eastAsia="Times New Roman" w:cs="Calibri"/>
                <w:b/>
                <w:bCs/>
                <w:color w:val="FFFFFF"/>
                <w:lang w:eastAsia="en-AU"/>
              </w:rPr>
              <w:t>Stage</w:t>
            </w:r>
          </w:p>
        </w:tc>
        <w:tc>
          <w:tcPr>
            <w:tcW w:w="3084" w:type="dxa"/>
            <w:tcBorders>
              <w:top w:val="single" w:sz="4" w:space="0" w:color="002D3F" w:themeColor="accent1"/>
            </w:tcBorders>
          </w:tcPr>
          <w:p w14:paraId="0B3B60B2" w14:textId="77777777" w:rsidR="00875148" w:rsidRPr="00B100CC" w:rsidRDefault="00875148" w:rsidP="00875148">
            <w:pPr>
              <w:spacing w:after="100"/>
              <w:cnfStyle w:val="100000000000" w:firstRow="1" w:lastRow="0" w:firstColumn="0" w:lastColumn="0" w:oddVBand="0" w:evenVBand="0" w:oddHBand="0" w:evenHBand="0" w:firstRowFirstColumn="0" w:firstRowLastColumn="0" w:lastRowFirstColumn="0" w:lastRowLastColumn="0"/>
            </w:pPr>
            <w:r w:rsidRPr="0014641E">
              <w:rPr>
                <w:rFonts w:eastAsia="Times New Roman" w:cs="Calibri"/>
                <w:b/>
                <w:bCs/>
                <w:color w:val="FFFFFF"/>
                <w:lang w:eastAsia="en-AU"/>
              </w:rPr>
              <w:t>Timeframe</w:t>
            </w:r>
            <w:r w:rsidRPr="0014641E">
              <w:rPr>
                <w:rFonts w:eastAsia="Times New Roman" w:cs="Calibri"/>
                <w:lang w:eastAsia="en-AU"/>
              </w:rPr>
              <w:t> </w:t>
            </w:r>
          </w:p>
        </w:tc>
        <w:tc>
          <w:tcPr>
            <w:tcW w:w="4129" w:type="dxa"/>
          </w:tcPr>
          <w:p w14:paraId="7FF9412F" w14:textId="626284CE" w:rsidR="00875148" w:rsidRPr="00B100CC" w:rsidRDefault="00875148" w:rsidP="00875148">
            <w:pPr>
              <w:spacing w:after="100"/>
              <w:cnfStyle w:val="100000000000" w:firstRow="1" w:lastRow="0" w:firstColumn="0" w:lastColumn="0" w:oddVBand="0" w:evenVBand="0" w:oddHBand="0" w:evenHBand="0" w:firstRowFirstColumn="0" w:firstRowLastColumn="0" w:lastRowFirstColumn="0" w:lastRowLastColumn="0"/>
            </w:pPr>
            <w:r>
              <w:rPr>
                <w:rFonts w:eastAsia="Times New Roman" w:cs="Calibri"/>
                <w:b/>
                <w:bCs/>
                <w:color w:val="FFFFFF"/>
                <w:lang w:eastAsia="en-AU"/>
              </w:rPr>
              <w:t>Description</w:t>
            </w:r>
            <w:r w:rsidRPr="0014641E">
              <w:rPr>
                <w:rFonts w:eastAsia="Times New Roman" w:cs="Calibri"/>
                <w:lang w:eastAsia="en-AU"/>
              </w:rPr>
              <w:t> </w:t>
            </w:r>
          </w:p>
        </w:tc>
      </w:tr>
      <w:tr w:rsidR="00875148" w14:paraId="1045BABA" w14:textId="77777777" w:rsidTr="006E2A86">
        <w:trPr>
          <w:trHeight w:val="842"/>
        </w:trPr>
        <w:tc>
          <w:tcPr>
            <w:cnfStyle w:val="001000000000" w:firstRow="0" w:lastRow="0" w:firstColumn="1" w:lastColumn="0" w:oddVBand="0" w:evenVBand="0" w:oddHBand="0" w:evenHBand="0" w:firstRowFirstColumn="0" w:firstRowLastColumn="0" w:lastRowFirstColumn="0" w:lastRowLastColumn="0"/>
            <w:tcW w:w="1847" w:type="dxa"/>
            <w:vAlign w:val="top"/>
          </w:tcPr>
          <w:p w14:paraId="05E06E67" w14:textId="25B60132" w:rsidR="00875148" w:rsidRPr="006E3338" w:rsidRDefault="00875148" w:rsidP="00875148">
            <w:pPr>
              <w:spacing w:after="100"/>
              <w:rPr>
                <w:b/>
                <w:bCs/>
              </w:rPr>
            </w:pPr>
            <w:r w:rsidRPr="006E3338">
              <w:rPr>
                <w:rFonts w:ascii="Calibri" w:eastAsia="Times New Roman" w:hAnsi="Calibri" w:cs="Calibri"/>
                <w:lang w:eastAsia="en-AU"/>
              </w:rPr>
              <w:t>1</w:t>
            </w:r>
          </w:p>
        </w:tc>
        <w:tc>
          <w:tcPr>
            <w:tcW w:w="3084" w:type="dxa"/>
            <w:vAlign w:val="top"/>
          </w:tcPr>
          <w:p w14:paraId="36EBEF68" w14:textId="5C8243EB" w:rsidR="00875148" w:rsidRPr="006E3338" w:rsidRDefault="00875148" w:rsidP="00875148">
            <w:pPr>
              <w:spacing w:after="100"/>
              <w:cnfStyle w:val="000000000000" w:firstRow="0" w:lastRow="0" w:firstColumn="0" w:lastColumn="0" w:oddVBand="0" w:evenVBand="0" w:oddHBand="0" w:evenHBand="0" w:firstRowFirstColumn="0" w:firstRowLastColumn="0" w:lastRowFirstColumn="0" w:lastRowLastColumn="0"/>
            </w:pPr>
            <w:r w:rsidRPr="006E3338">
              <w:rPr>
                <w:rFonts w:ascii="Calibri" w:eastAsia="Times New Roman" w:hAnsi="Calibri" w:cs="Calibri"/>
                <w:lang w:eastAsia="en-AU"/>
              </w:rPr>
              <w:t xml:space="preserve">26 August 2022 </w:t>
            </w:r>
            <w:r w:rsidRPr="006E3338">
              <w:rPr>
                <w:rFonts w:ascii="Calibri" w:eastAsia="Times New Roman" w:hAnsi="Calibri" w:cs="Calibri"/>
                <w:lang w:eastAsia="en-AU"/>
              </w:rPr>
              <w:br/>
              <w:t>to March 2023 </w:t>
            </w:r>
          </w:p>
        </w:tc>
        <w:tc>
          <w:tcPr>
            <w:tcW w:w="4129" w:type="dxa"/>
            <w:vAlign w:val="top"/>
          </w:tcPr>
          <w:p w14:paraId="15A32863" w14:textId="27DE2FC3" w:rsidR="00875148" w:rsidRPr="006E3338" w:rsidRDefault="00875148" w:rsidP="00875148">
            <w:pPr>
              <w:spacing w:after="0" w:line="240" w:lineRule="auto"/>
              <w:ind w:left="57"/>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E3338">
              <w:rPr>
                <w:rFonts w:ascii="Calibri" w:eastAsia="Times New Roman" w:hAnsi="Calibri" w:cs="Calibri"/>
                <w:lang w:eastAsia="en-AU"/>
              </w:rPr>
              <w:t xml:space="preserve">Initial discussions to understand stakeholders’ high-level positions on the following measures: </w:t>
            </w:r>
          </w:p>
          <w:p w14:paraId="4B64847F" w14:textId="77777777" w:rsidR="00875148" w:rsidRPr="006E3338" w:rsidRDefault="00875148" w:rsidP="00D84FE2">
            <w:pPr>
              <w:pStyle w:val="ListParagraph"/>
              <w:numPr>
                <w:ilvl w:val="0"/>
                <w:numId w:val="58"/>
              </w:numPr>
              <w:spacing w:before="0" w:beforeAutospacing="0" w:afterAutospacing="0" w:line="276" w:lineRule="auto"/>
              <w:ind w:left="414" w:hanging="357"/>
              <w:contextualSpacing w:val="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E3338">
              <w:rPr>
                <w:rFonts w:ascii="Calibri" w:eastAsia="Times New Roman" w:hAnsi="Calibri" w:cs="Calibri"/>
                <w:lang w:eastAsia="en-AU"/>
              </w:rPr>
              <w:t>Empower the Fair Work Commission to set standards for ‘employee-like’ workers.</w:t>
            </w:r>
          </w:p>
          <w:p w14:paraId="206C7018" w14:textId="77777777" w:rsidR="00875148" w:rsidRPr="006E3338" w:rsidRDefault="00875148" w:rsidP="00D84FE2">
            <w:pPr>
              <w:pStyle w:val="ListParagraph"/>
              <w:numPr>
                <w:ilvl w:val="0"/>
                <w:numId w:val="58"/>
              </w:numPr>
              <w:spacing w:before="0" w:beforeAutospacing="0" w:afterAutospacing="0" w:line="276" w:lineRule="auto"/>
              <w:ind w:left="414" w:hanging="357"/>
              <w:contextualSpacing w:val="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E3338">
              <w:rPr>
                <w:rFonts w:ascii="Calibri" w:eastAsia="Times New Roman" w:hAnsi="Calibri" w:cs="Calibri"/>
                <w:lang w:eastAsia="en-AU"/>
              </w:rPr>
              <w:t>Consider allowing the Fair Work Commission to set minimum standards for workers in the road transport industry.</w:t>
            </w:r>
          </w:p>
          <w:p w14:paraId="4C7132E5" w14:textId="77777777" w:rsidR="00875148" w:rsidRPr="006E3338" w:rsidRDefault="00875148" w:rsidP="00D84FE2">
            <w:pPr>
              <w:pStyle w:val="ListParagraph"/>
              <w:numPr>
                <w:ilvl w:val="0"/>
                <w:numId w:val="58"/>
              </w:numPr>
              <w:spacing w:before="0" w:beforeAutospacing="0" w:afterAutospacing="0" w:line="276" w:lineRule="auto"/>
              <w:ind w:left="414" w:hanging="357"/>
              <w:contextualSpacing w:val="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E3338">
              <w:rPr>
                <w:rFonts w:ascii="Calibri" w:eastAsia="Times New Roman" w:hAnsi="Calibri" w:cs="Calibri"/>
                <w:lang w:eastAsia="en-AU"/>
              </w:rPr>
              <w:t>Consider the most appropriate definition of 'employee' under the Fair Work Act.</w:t>
            </w:r>
          </w:p>
          <w:p w14:paraId="144C2EC4" w14:textId="31A94B16" w:rsidR="00875148" w:rsidRPr="006E3338" w:rsidRDefault="00875148" w:rsidP="00D84FE2">
            <w:pPr>
              <w:pStyle w:val="ListParagraph"/>
              <w:numPr>
                <w:ilvl w:val="0"/>
                <w:numId w:val="58"/>
              </w:numPr>
              <w:spacing w:before="0" w:beforeAutospacing="0" w:afterAutospacing="0" w:line="276" w:lineRule="auto"/>
              <w:ind w:left="414" w:hanging="357"/>
              <w:contextualSpacing w:val="0"/>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E3338">
              <w:rPr>
                <w:rFonts w:ascii="Calibri" w:eastAsia="Times New Roman" w:hAnsi="Calibri" w:cs="Calibri"/>
                <w:lang w:eastAsia="en-AU"/>
              </w:rPr>
              <w:t>Consider the right kinds of protections for independent contractors, including the capacity to challenge unfair contract terms.</w:t>
            </w:r>
          </w:p>
        </w:tc>
      </w:tr>
      <w:tr w:rsidR="00875148" w14:paraId="3668686D" w14:textId="77777777" w:rsidTr="006E2A86">
        <w:trPr>
          <w:trHeight w:val="300"/>
        </w:trPr>
        <w:tc>
          <w:tcPr>
            <w:cnfStyle w:val="001000000000" w:firstRow="0" w:lastRow="0" w:firstColumn="1" w:lastColumn="0" w:oddVBand="0" w:evenVBand="0" w:oddHBand="0" w:evenHBand="0" w:firstRowFirstColumn="0" w:firstRowLastColumn="0" w:lastRowFirstColumn="0" w:lastRowLastColumn="0"/>
            <w:tcW w:w="1847" w:type="dxa"/>
            <w:vAlign w:val="top"/>
          </w:tcPr>
          <w:p w14:paraId="2ADF6F7D" w14:textId="2ACC7699" w:rsidR="00875148" w:rsidRPr="006E3338" w:rsidRDefault="00875148" w:rsidP="00875148">
            <w:pPr>
              <w:spacing w:after="100"/>
              <w:rPr>
                <w:b/>
                <w:bCs/>
              </w:rPr>
            </w:pPr>
            <w:r w:rsidRPr="006E3338">
              <w:rPr>
                <w:rFonts w:ascii="Calibri" w:eastAsia="Times New Roman" w:hAnsi="Calibri" w:cs="Calibri"/>
                <w:lang w:eastAsia="en-AU"/>
              </w:rPr>
              <w:t>2</w:t>
            </w:r>
          </w:p>
        </w:tc>
        <w:tc>
          <w:tcPr>
            <w:tcW w:w="3084" w:type="dxa"/>
            <w:vAlign w:val="top"/>
          </w:tcPr>
          <w:p w14:paraId="5E1923FF" w14:textId="30B0AEC9" w:rsidR="00875148" w:rsidRPr="006E3338" w:rsidRDefault="00875148" w:rsidP="00875148">
            <w:pPr>
              <w:spacing w:after="100"/>
              <w:cnfStyle w:val="000000000000" w:firstRow="0" w:lastRow="0" w:firstColumn="0" w:lastColumn="0" w:oddVBand="0" w:evenVBand="0" w:oddHBand="0" w:evenHBand="0" w:firstRowFirstColumn="0" w:firstRowLastColumn="0" w:lastRowFirstColumn="0" w:lastRowLastColumn="0"/>
            </w:pPr>
            <w:r w:rsidRPr="006E3338">
              <w:rPr>
                <w:rFonts w:ascii="Calibri" w:eastAsia="Times New Roman" w:hAnsi="Calibri" w:cs="Calibri"/>
                <w:lang w:eastAsia="en-AU"/>
              </w:rPr>
              <w:t>24 March to 6 April 2023 </w:t>
            </w:r>
          </w:p>
        </w:tc>
        <w:tc>
          <w:tcPr>
            <w:tcW w:w="4129" w:type="dxa"/>
            <w:vAlign w:val="top"/>
          </w:tcPr>
          <w:p w14:paraId="0586D0D8" w14:textId="5723A745" w:rsidR="00875148" w:rsidRPr="006E3338" w:rsidRDefault="00875148" w:rsidP="00875148">
            <w:pPr>
              <w:spacing w:after="10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E3338">
              <w:rPr>
                <w:rFonts w:ascii="Calibri" w:eastAsia="Times New Roman" w:hAnsi="Calibri" w:cs="Calibri"/>
                <w:lang w:eastAsia="en-AU"/>
              </w:rPr>
              <w:t>Public consultation seeking written submissions in response to a one</w:t>
            </w:r>
            <w:r w:rsidR="15D8EE97" w:rsidRPr="006E3338">
              <w:rPr>
                <w:rFonts w:ascii="Calibri" w:eastAsia="Times New Roman" w:hAnsi="Calibri" w:cs="Calibri"/>
                <w:lang w:eastAsia="en-AU"/>
              </w:rPr>
              <w:t>-</w:t>
            </w:r>
            <w:r w:rsidRPr="006E3338">
              <w:rPr>
                <w:rFonts w:ascii="Calibri" w:eastAsia="Times New Roman" w:hAnsi="Calibri" w:cs="Calibri"/>
                <w:lang w:eastAsia="en-AU"/>
              </w:rPr>
              <w:t>page summary of the proposals published on the department’s webpage.</w:t>
            </w:r>
            <w:r w:rsidRPr="006E3338">
              <w:rPr>
                <w:rStyle w:val="FootnoteReference"/>
                <w:rFonts w:ascii="Calibri" w:eastAsia="Times New Roman" w:hAnsi="Calibri" w:cs="Calibri"/>
                <w:lang w:eastAsia="en-AU"/>
              </w:rPr>
              <w:footnoteReference w:id="75"/>
            </w:r>
            <w:r w:rsidRPr="006E3338">
              <w:rPr>
                <w:rFonts w:ascii="Calibri" w:eastAsia="Times New Roman" w:hAnsi="Calibri" w:cs="Calibri"/>
                <w:lang w:eastAsia="en-AU"/>
              </w:rPr>
              <w:t xml:space="preserve"> This process was part of broader consultation on workplace relations measures planned for introduction in the second half of 2023. Bilateral and group discussions held with stakeholders to discuss responses to the on-page summary.</w:t>
            </w:r>
          </w:p>
        </w:tc>
      </w:tr>
      <w:tr w:rsidR="00875148" w14:paraId="5AC65FA4" w14:textId="77777777" w:rsidTr="006E2A86">
        <w:trPr>
          <w:trHeight w:val="300"/>
        </w:trPr>
        <w:tc>
          <w:tcPr>
            <w:cnfStyle w:val="001000000000" w:firstRow="0" w:lastRow="0" w:firstColumn="1" w:lastColumn="0" w:oddVBand="0" w:evenVBand="0" w:oddHBand="0" w:evenHBand="0" w:firstRowFirstColumn="0" w:firstRowLastColumn="0" w:lastRowFirstColumn="0" w:lastRowLastColumn="0"/>
            <w:tcW w:w="1847" w:type="dxa"/>
            <w:vAlign w:val="top"/>
          </w:tcPr>
          <w:p w14:paraId="6BA46798" w14:textId="6EB5B03F" w:rsidR="00875148" w:rsidRPr="006E3338" w:rsidRDefault="00875148" w:rsidP="00875148">
            <w:pPr>
              <w:spacing w:after="100"/>
              <w:rPr>
                <w:b/>
                <w:bCs/>
              </w:rPr>
            </w:pPr>
            <w:r w:rsidRPr="006E3338">
              <w:rPr>
                <w:rFonts w:ascii="Calibri" w:eastAsia="Times New Roman" w:hAnsi="Calibri" w:cs="Calibri"/>
                <w:lang w:eastAsia="en-AU"/>
              </w:rPr>
              <w:t>3</w:t>
            </w:r>
          </w:p>
        </w:tc>
        <w:tc>
          <w:tcPr>
            <w:tcW w:w="3084" w:type="dxa"/>
            <w:vAlign w:val="top"/>
          </w:tcPr>
          <w:p w14:paraId="5E7AE441" w14:textId="3A29CE0E" w:rsidR="00875148" w:rsidRPr="006E3338" w:rsidRDefault="00875148" w:rsidP="00875148">
            <w:pPr>
              <w:spacing w:after="10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6E3338">
              <w:rPr>
                <w:rFonts w:ascii="Calibri" w:eastAsia="Times New Roman" w:hAnsi="Calibri" w:cs="Calibri"/>
                <w:lang w:eastAsia="en-AU"/>
              </w:rPr>
              <w:t xml:space="preserve">13 April to </w:t>
            </w:r>
            <w:r w:rsidR="450AD9BF" w:rsidRPr="4909B906">
              <w:rPr>
                <w:rFonts w:ascii="Calibri" w:eastAsia="Times New Roman" w:hAnsi="Calibri" w:cs="Calibri"/>
                <w:lang w:eastAsia="en-AU"/>
              </w:rPr>
              <w:t>23</w:t>
            </w:r>
            <w:r w:rsidRPr="006E3338">
              <w:rPr>
                <w:rFonts w:ascii="Calibri" w:eastAsia="Times New Roman" w:hAnsi="Calibri" w:cs="Calibri"/>
                <w:lang w:eastAsia="en-AU"/>
              </w:rPr>
              <w:t xml:space="preserve"> May 2023 </w:t>
            </w:r>
          </w:p>
        </w:tc>
        <w:tc>
          <w:tcPr>
            <w:tcW w:w="4129" w:type="dxa"/>
            <w:vAlign w:val="top"/>
          </w:tcPr>
          <w:p w14:paraId="2B937678" w14:textId="754B5614" w:rsidR="00875148" w:rsidRPr="006E3338" w:rsidRDefault="00875148" w:rsidP="00875148">
            <w:pPr>
              <w:spacing w:after="100"/>
              <w:cnfStyle w:val="000000000000" w:firstRow="0" w:lastRow="0" w:firstColumn="0" w:lastColumn="0" w:oddVBand="0" w:evenVBand="0" w:oddHBand="0" w:evenHBand="0" w:firstRowFirstColumn="0" w:firstRowLastColumn="0" w:lastRowFirstColumn="0" w:lastRowLastColumn="0"/>
            </w:pPr>
            <w:r w:rsidRPr="006E3338">
              <w:rPr>
                <w:rFonts w:ascii="Calibri" w:eastAsia="Times New Roman" w:hAnsi="Calibri" w:cs="Calibri"/>
                <w:lang w:eastAsia="en-AU"/>
              </w:rPr>
              <w:t>Public consultation seeking further written submission in response to a consultation paper entitled ‘Employee-like forms of work and stronger protections for independent contractors’.</w:t>
            </w:r>
            <w:r w:rsidRPr="006E3338">
              <w:rPr>
                <w:rStyle w:val="FootnoteReference"/>
                <w:rFonts w:ascii="Calibri" w:eastAsia="Times New Roman" w:hAnsi="Calibri" w:cs="Calibri"/>
                <w:lang w:eastAsia="en-AU"/>
              </w:rPr>
              <w:footnoteReference w:id="76"/>
            </w:r>
            <w:r w:rsidRPr="006E3338">
              <w:rPr>
                <w:rFonts w:ascii="Calibri" w:eastAsia="Times New Roman" w:hAnsi="Calibri" w:cs="Calibri"/>
                <w:lang w:eastAsia="en-AU"/>
              </w:rPr>
              <w:t xml:space="preserve"> Bilateral and group discussions held with stakeholders to discuss responses to the consultation paper.</w:t>
            </w:r>
          </w:p>
        </w:tc>
      </w:tr>
      <w:tr w:rsidR="0B2CB441" w14:paraId="044E4FE8" w14:textId="77777777" w:rsidTr="006E2A86">
        <w:trPr>
          <w:trHeight w:val="300"/>
        </w:trPr>
        <w:tc>
          <w:tcPr>
            <w:cnfStyle w:val="001000000000" w:firstRow="0" w:lastRow="0" w:firstColumn="1" w:lastColumn="0" w:oddVBand="0" w:evenVBand="0" w:oddHBand="0" w:evenHBand="0" w:firstRowFirstColumn="0" w:firstRowLastColumn="0" w:lastRowFirstColumn="0" w:lastRowLastColumn="0"/>
            <w:tcW w:w="1847" w:type="dxa"/>
            <w:vAlign w:val="top"/>
          </w:tcPr>
          <w:p w14:paraId="13333606" w14:textId="719B41B9" w:rsidR="55B32F46" w:rsidRDefault="55B32F46" w:rsidP="0B2CB441">
            <w:pPr>
              <w:rPr>
                <w:rFonts w:ascii="Calibri" w:eastAsia="Times New Roman" w:hAnsi="Calibri" w:cs="Calibri"/>
                <w:lang w:eastAsia="en-AU"/>
              </w:rPr>
            </w:pPr>
            <w:r w:rsidRPr="0B2CB441">
              <w:rPr>
                <w:rFonts w:ascii="Calibri" w:eastAsia="Times New Roman" w:hAnsi="Calibri" w:cs="Calibri"/>
                <w:lang w:eastAsia="en-AU"/>
              </w:rPr>
              <w:t>4</w:t>
            </w:r>
          </w:p>
        </w:tc>
        <w:tc>
          <w:tcPr>
            <w:tcW w:w="3084" w:type="dxa"/>
            <w:vAlign w:val="top"/>
          </w:tcPr>
          <w:p w14:paraId="27027144" w14:textId="3A10CBFE" w:rsidR="55B32F46" w:rsidRDefault="55B32F46" w:rsidP="0B2CB4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B2CB441">
              <w:rPr>
                <w:rFonts w:ascii="Calibri" w:eastAsia="Times New Roman" w:hAnsi="Calibri" w:cs="Calibri"/>
                <w:lang w:eastAsia="en-AU"/>
              </w:rPr>
              <w:t>8 June 2023</w:t>
            </w:r>
          </w:p>
        </w:tc>
        <w:tc>
          <w:tcPr>
            <w:tcW w:w="4129" w:type="dxa"/>
            <w:vAlign w:val="top"/>
          </w:tcPr>
          <w:p w14:paraId="6421F8C6" w14:textId="65A44171" w:rsidR="55B32F46" w:rsidRDefault="55B32F46" w:rsidP="0B2CB44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B2CB441">
              <w:rPr>
                <w:rFonts w:ascii="Calibri" w:eastAsia="Times New Roman" w:hAnsi="Calibri" w:cs="Calibri"/>
                <w:lang w:eastAsia="en-AU"/>
              </w:rPr>
              <w:t xml:space="preserve">The Minister convened a National Workplace Relations Consultative Committee meeting and a Meeting of Ministers to discuss the measures being considered for introduction in the second half of 2023. </w:t>
            </w:r>
          </w:p>
        </w:tc>
      </w:tr>
      <w:tr w:rsidR="00875148" w14:paraId="37E2952C" w14:textId="77777777" w:rsidTr="006E2A86">
        <w:trPr>
          <w:trHeight w:val="300"/>
        </w:trPr>
        <w:tc>
          <w:tcPr>
            <w:cnfStyle w:val="001000000000" w:firstRow="0" w:lastRow="0" w:firstColumn="1" w:lastColumn="0" w:oddVBand="0" w:evenVBand="0" w:oddHBand="0" w:evenHBand="0" w:firstRowFirstColumn="0" w:firstRowLastColumn="0" w:lastRowFirstColumn="0" w:lastRowLastColumn="0"/>
            <w:tcW w:w="1847" w:type="dxa"/>
            <w:vAlign w:val="top"/>
          </w:tcPr>
          <w:p w14:paraId="45D827E7" w14:textId="3393AAEB" w:rsidR="00875148" w:rsidRPr="006E3338" w:rsidRDefault="55B32F46" w:rsidP="00875148">
            <w:pPr>
              <w:spacing w:after="100"/>
              <w:rPr>
                <w:rFonts w:ascii="Calibri" w:eastAsia="Times New Roman" w:hAnsi="Calibri" w:cs="Calibri"/>
                <w:lang w:eastAsia="en-AU"/>
              </w:rPr>
            </w:pPr>
            <w:r w:rsidRPr="0B2CB441">
              <w:rPr>
                <w:rFonts w:ascii="Calibri" w:eastAsia="Times New Roman" w:hAnsi="Calibri" w:cs="Calibri"/>
                <w:lang w:eastAsia="en-AU"/>
              </w:rPr>
              <w:t>5</w:t>
            </w:r>
          </w:p>
        </w:tc>
        <w:tc>
          <w:tcPr>
            <w:tcW w:w="3084" w:type="dxa"/>
            <w:vAlign w:val="top"/>
          </w:tcPr>
          <w:p w14:paraId="107F9547" w14:textId="2DB42BC5" w:rsidR="00875148" w:rsidRPr="006E3338" w:rsidRDefault="00875148" w:rsidP="00875148">
            <w:pPr>
              <w:spacing w:after="100"/>
              <w:cnfStyle w:val="000000000000" w:firstRow="0" w:lastRow="0" w:firstColumn="0" w:lastColumn="0" w:oddVBand="0" w:evenVBand="0" w:oddHBand="0" w:evenHBand="0" w:firstRowFirstColumn="0" w:firstRowLastColumn="0" w:lastRowFirstColumn="0" w:lastRowLastColumn="0"/>
            </w:pPr>
            <w:r w:rsidRPr="006E3338">
              <w:rPr>
                <w:rFonts w:ascii="Calibri" w:eastAsia="Times New Roman" w:hAnsi="Calibri" w:cs="Calibri"/>
                <w:lang w:eastAsia="en-AU"/>
              </w:rPr>
              <w:t>16 June 2023</w:t>
            </w:r>
          </w:p>
        </w:tc>
        <w:tc>
          <w:tcPr>
            <w:tcW w:w="4129" w:type="dxa"/>
            <w:vAlign w:val="top"/>
          </w:tcPr>
          <w:p w14:paraId="098E6C6F" w14:textId="0DD4EE0B" w:rsidR="00875148" w:rsidRPr="006E3338" w:rsidRDefault="21A14BE1" w:rsidP="00875148">
            <w:pPr>
              <w:spacing w:after="100"/>
              <w:cnfStyle w:val="000000000000" w:firstRow="0" w:lastRow="0" w:firstColumn="0" w:lastColumn="0" w:oddVBand="0" w:evenVBand="0" w:oddHBand="0" w:evenHBand="0" w:firstRowFirstColumn="0" w:firstRowLastColumn="0" w:lastRowFirstColumn="0" w:lastRowLastColumn="0"/>
            </w:pPr>
            <w:r w:rsidRPr="0B2CB441">
              <w:rPr>
                <w:rFonts w:ascii="Calibri" w:eastAsia="Times New Roman" w:hAnsi="Calibri" w:cs="Calibri"/>
                <w:lang w:eastAsia="en-AU"/>
              </w:rPr>
              <w:t xml:space="preserve">Confidential briefings and discussion on the details of the measures </w:t>
            </w:r>
            <w:r w:rsidR="64164B7F" w:rsidRPr="196933F8">
              <w:rPr>
                <w:rFonts w:ascii="Calibri" w:eastAsia="Times New Roman" w:hAnsi="Calibri" w:cs="Calibri"/>
                <w:lang w:eastAsia="en-AU"/>
              </w:rPr>
              <w:t xml:space="preserve">being considered for introduction in the second half of 2023 </w:t>
            </w:r>
            <w:r w:rsidRPr="09C28D9F">
              <w:rPr>
                <w:rFonts w:ascii="Calibri" w:eastAsia="Times New Roman" w:hAnsi="Calibri" w:cs="Calibri"/>
                <w:lang w:eastAsia="en-AU"/>
              </w:rPr>
              <w:t>w</w:t>
            </w:r>
            <w:r w:rsidR="45E320AE" w:rsidRPr="09C28D9F">
              <w:rPr>
                <w:rFonts w:ascii="Calibri" w:eastAsia="Times New Roman" w:hAnsi="Calibri" w:cs="Calibri"/>
                <w:lang w:eastAsia="en-AU"/>
              </w:rPr>
              <w:t>ere</w:t>
            </w:r>
            <w:r w:rsidRPr="0B2CB441">
              <w:rPr>
                <w:rFonts w:ascii="Calibri" w:eastAsia="Times New Roman" w:hAnsi="Calibri" w:cs="Calibri"/>
                <w:lang w:eastAsia="en-AU"/>
              </w:rPr>
              <w:t xml:space="preserve"> held by the Department</w:t>
            </w:r>
            <w:r w:rsidR="7315375C" w:rsidRPr="0B2CB441">
              <w:rPr>
                <w:rFonts w:ascii="Calibri" w:eastAsia="Times New Roman" w:hAnsi="Calibri" w:cs="Calibri"/>
                <w:lang w:eastAsia="en-AU"/>
              </w:rPr>
              <w:t xml:space="preserve"> with key business and union representatives. </w:t>
            </w:r>
          </w:p>
        </w:tc>
      </w:tr>
      <w:tr w:rsidR="006E2A86" w14:paraId="537A0091" w14:textId="77777777" w:rsidTr="006E2A86">
        <w:trPr>
          <w:trHeight w:val="300"/>
        </w:trPr>
        <w:tc>
          <w:tcPr>
            <w:cnfStyle w:val="001000000000" w:firstRow="0" w:lastRow="0" w:firstColumn="1" w:lastColumn="0" w:oddVBand="0" w:evenVBand="0" w:oddHBand="0" w:evenHBand="0" w:firstRowFirstColumn="0" w:firstRowLastColumn="0" w:lastRowFirstColumn="0" w:lastRowLastColumn="0"/>
            <w:tcW w:w="1847" w:type="dxa"/>
            <w:vAlign w:val="top"/>
          </w:tcPr>
          <w:p w14:paraId="6ED0A2B4" w14:textId="28BC80CF" w:rsidR="006E2A86" w:rsidRPr="0B2CB441" w:rsidRDefault="006E2A86" w:rsidP="006E2A86">
            <w:pPr>
              <w:spacing w:after="100"/>
              <w:rPr>
                <w:rFonts w:ascii="Calibri" w:eastAsia="Times New Roman" w:hAnsi="Calibri" w:cs="Calibri"/>
                <w:lang w:eastAsia="en-AU"/>
              </w:rPr>
            </w:pPr>
            <w:r>
              <w:rPr>
                <w:rFonts w:ascii="Calibri" w:eastAsia="Times New Roman" w:hAnsi="Calibri" w:cs="Calibri"/>
                <w:lang w:eastAsia="en-AU"/>
              </w:rPr>
              <w:t>6</w:t>
            </w:r>
          </w:p>
        </w:tc>
        <w:tc>
          <w:tcPr>
            <w:tcW w:w="3084" w:type="dxa"/>
            <w:vAlign w:val="top"/>
          </w:tcPr>
          <w:p w14:paraId="54FED11F" w14:textId="42D9A528" w:rsidR="006E2A86" w:rsidRPr="006E3338" w:rsidRDefault="006E2A86" w:rsidP="006E2A86">
            <w:pPr>
              <w:spacing w:after="10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Pr>
                <w:rFonts w:ascii="Calibri" w:eastAsia="Times New Roman" w:hAnsi="Calibri" w:cs="Calibri"/>
                <w:lang w:eastAsia="en-AU"/>
              </w:rPr>
              <w:t>16 – 18 August 2023</w:t>
            </w:r>
          </w:p>
        </w:tc>
        <w:tc>
          <w:tcPr>
            <w:tcW w:w="4129" w:type="dxa"/>
            <w:vAlign w:val="top"/>
          </w:tcPr>
          <w:p w14:paraId="4EA9644F" w14:textId="49A55B1D" w:rsidR="006E2A86" w:rsidRPr="0B2CB441" w:rsidRDefault="006E2A86" w:rsidP="006E2A86">
            <w:pPr>
              <w:spacing w:after="10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t>C</w:t>
            </w:r>
            <w:r w:rsidRPr="2949D63D">
              <w:t>onfidential consultation</w:t>
            </w:r>
            <w:r w:rsidRPr="00384C02">
              <w:t xml:space="preserve"> on draft legislation</w:t>
            </w:r>
            <w:r w:rsidR="00465889">
              <w:t xml:space="preserve"> </w:t>
            </w:r>
            <w:r w:rsidRPr="00384C02">
              <w:t>occur</w:t>
            </w:r>
            <w:r w:rsidR="00465889">
              <w:t>red</w:t>
            </w:r>
            <w:r w:rsidRPr="00384C02">
              <w:t xml:space="preserve"> </w:t>
            </w:r>
            <w:r>
              <w:t xml:space="preserve">prior to introduction to the Parliament </w:t>
            </w:r>
            <w:r w:rsidRPr="00384C02">
              <w:t>with state and territory officials and members of the Council on Industrial Legislation, which is a subcommittee of the National Workplace Relations Consultative Committee.</w:t>
            </w:r>
            <w:r>
              <w:rPr>
                <w:rStyle w:val="FootnoteReference"/>
              </w:rPr>
              <w:footnoteReference w:id="77"/>
            </w:r>
            <w:r w:rsidRPr="00384C02">
              <w:t>  </w:t>
            </w:r>
          </w:p>
        </w:tc>
      </w:tr>
    </w:tbl>
    <w:p w14:paraId="246B8140" w14:textId="6420BBA8" w:rsidR="002232CE" w:rsidRPr="00AD57AC" w:rsidRDefault="00FA7561" w:rsidP="00D2146D">
      <w:pPr>
        <w:pStyle w:val="Heading2"/>
        <w:spacing w:after="200"/>
      </w:pPr>
      <w:bookmarkStart w:id="33" w:name="_Toc139295542"/>
      <w:r w:rsidRPr="00AD57AC">
        <w:t>Number of consultation participants</w:t>
      </w:r>
      <w:bookmarkEnd w:id="33"/>
    </w:p>
    <w:p w14:paraId="4E51AC8C" w14:textId="339ECE77" w:rsidR="00936065" w:rsidRDefault="004E7EC1" w:rsidP="004B4F63">
      <w:r>
        <w:t>T</w:t>
      </w:r>
      <w:r w:rsidR="00936065" w:rsidRPr="00384C02">
        <w:t xml:space="preserve">he department has met </w:t>
      </w:r>
      <w:r w:rsidR="00936065" w:rsidRPr="00B119A4">
        <w:t xml:space="preserve">with </w:t>
      </w:r>
      <w:r w:rsidR="6003BD24" w:rsidRPr="00B119A4">
        <w:t>9</w:t>
      </w:r>
      <w:r w:rsidR="009938F5">
        <w:t>2</w:t>
      </w:r>
      <w:r w:rsidR="00936065" w:rsidRPr="00A54C6D">
        <w:t xml:space="preserve"> </w:t>
      </w:r>
      <w:r w:rsidR="00936065" w:rsidRPr="00B119A4">
        <w:t>stakeholders</w:t>
      </w:r>
      <w:r w:rsidR="004F3148" w:rsidRPr="00B119A4">
        <w:t xml:space="preserve"> to discuss the 3 measures – Employee-like, road transport and unfair contracts,</w:t>
      </w:r>
      <w:r w:rsidR="00E02376" w:rsidRPr="00B119A4">
        <w:t xml:space="preserve"> and received written submissions from </w:t>
      </w:r>
      <w:r w:rsidR="27BBF664" w:rsidRPr="00B119A4">
        <w:t>10</w:t>
      </w:r>
      <w:r w:rsidR="5E7365BD" w:rsidRPr="00B119A4">
        <w:t>1</w:t>
      </w:r>
      <w:r w:rsidR="00E02376" w:rsidRPr="00A54C6D">
        <w:t xml:space="preserve"> </w:t>
      </w:r>
      <w:r w:rsidR="00E02376" w:rsidRPr="00B119A4">
        <w:t>stakeholders</w:t>
      </w:r>
      <w:r w:rsidR="00D75A0F" w:rsidRPr="00C37BA3">
        <w:t>,</w:t>
      </w:r>
      <w:r w:rsidR="00D75A0F">
        <w:t xml:space="preserve"> as</w:t>
      </w:r>
      <w:r w:rsidR="00C51E15">
        <w:t xml:space="preserve"> displayed in Ta</w:t>
      </w:r>
      <w:r w:rsidR="00C51E15" w:rsidRPr="248F3E00">
        <w:t xml:space="preserve">ble </w:t>
      </w:r>
      <w:r w:rsidR="1D284603" w:rsidRPr="248F3E00">
        <w:t>4</w:t>
      </w:r>
      <w:r w:rsidR="00C51E15">
        <w:t xml:space="preserve">. </w:t>
      </w:r>
      <w:r w:rsidR="00912F5F">
        <w:t xml:space="preserve">In addition to these numbers, the department conducted a technical consultation on draft legislation with state and territory officials and members of the Council on Industrial Legislation. </w:t>
      </w:r>
      <w:r w:rsidR="004D554B">
        <w:t xml:space="preserve"> </w:t>
      </w:r>
      <w:r w:rsidR="00C770A8">
        <w:t xml:space="preserve"> </w:t>
      </w:r>
    </w:p>
    <w:p w14:paraId="22341484" w14:textId="263E4143" w:rsidR="001E74E7" w:rsidRPr="00520A33" w:rsidRDefault="001E74E7" w:rsidP="001E74E7">
      <w:pPr>
        <w:pStyle w:val="Caption"/>
      </w:pPr>
      <w:r w:rsidRPr="00875148">
        <w:rPr>
          <w:highlight w:val="yellow"/>
        </w:rPr>
        <w:fldChar w:fldCharType="begin"/>
      </w:r>
      <w:r w:rsidRPr="00875148">
        <w:rPr>
          <w:highlight w:val="yellow"/>
        </w:rPr>
        <w:instrText xml:space="preserve"> TOC \o "1-3" \h \z \u </w:instrText>
      </w:r>
      <w:r w:rsidRPr="00875148">
        <w:rPr>
          <w:highlight w:val="yellow"/>
        </w:rPr>
        <w:fldChar w:fldCharType="end"/>
      </w:r>
      <w:r>
        <w:t xml:space="preserve">Table </w:t>
      </w:r>
      <w:r w:rsidR="4BCE8FB0">
        <w:t>4</w:t>
      </w:r>
      <w:r w:rsidRPr="00520A33">
        <w:t xml:space="preserve"> </w:t>
      </w:r>
      <w:r w:rsidR="2A594BFF">
        <w:t>-</w:t>
      </w:r>
      <w:r w:rsidR="2F2D38BD">
        <w:t xml:space="preserve"> </w:t>
      </w:r>
      <w:r>
        <w:t>Number of consultation participants</w:t>
      </w:r>
    </w:p>
    <w:tbl>
      <w:tblPr>
        <w:tblStyle w:val="DESE"/>
        <w:tblW w:w="0" w:type="auto"/>
        <w:tblLook w:val="04A0" w:firstRow="1" w:lastRow="0" w:firstColumn="1" w:lastColumn="0" w:noHBand="0" w:noVBand="1"/>
      </w:tblPr>
      <w:tblGrid>
        <w:gridCol w:w="4248"/>
        <w:gridCol w:w="2410"/>
        <w:gridCol w:w="2358"/>
      </w:tblGrid>
      <w:tr w:rsidR="001E74E7" w14:paraId="00BC858A" w14:textId="094553E3" w:rsidTr="10A7466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248" w:type="dxa"/>
            <w:tcBorders>
              <w:top w:val="single" w:sz="4" w:space="0" w:color="002D3F" w:themeColor="accent1"/>
            </w:tcBorders>
            <w:vAlign w:val="top"/>
          </w:tcPr>
          <w:p w14:paraId="7C607D00" w14:textId="17E61153" w:rsidR="001E74E7" w:rsidRPr="00A54C6D" w:rsidRDefault="001E74E7" w:rsidP="001E74E7">
            <w:pPr>
              <w:spacing w:after="100"/>
              <w:rPr>
                <w:rFonts w:asciiTheme="minorHAnsi" w:hAnsiTheme="minorHAnsi"/>
                <w:b/>
              </w:rPr>
            </w:pPr>
            <w:r w:rsidRPr="00A54C6D">
              <w:rPr>
                <w:b/>
              </w:rPr>
              <w:t>Stakeholder category</w:t>
            </w:r>
            <w:r w:rsidR="00AB2D29" w:rsidRPr="00A54C6D">
              <w:rPr>
                <w:rStyle w:val="FootnoteReference"/>
                <w:b/>
              </w:rPr>
              <w:footnoteReference w:id="78"/>
            </w:r>
            <w:r w:rsidRPr="00A54C6D">
              <w:rPr>
                <w:b/>
              </w:rPr>
              <w:t xml:space="preserve"> </w:t>
            </w:r>
          </w:p>
        </w:tc>
        <w:tc>
          <w:tcPr>
            <w:tcW w:w="2410" w:type="dxa"/>
            <w:tcBorders>
              <w:top w:val="single" w:sz="4" w:space="0" w:color="002D3F" w:themeColor="accent1"/>
            </w:tcBorders>
            <w:vAlign w:val="top"/>
          </w:tcPr>
          <w:p w14:paraId="1CA85473" w14:textId="16F7E222" w:rsidR="001E74E7" w:rsidRPr="00A54C6D" w:rsidRDefault="001E74E7" w:rsidP="001E74E7">
            <w:pPr>
              <w:spacing w:after="100"/>
              <w:cnfStyle w:val="100000000000" w:firstRow="1" w:lastRow="0" w:firstColumn="0" w:lastColumn="0" w:oddVBand="0" w:evenVBand="0" w:oddHBand="0" w:evenHBand="0" w:firstRowFirstColumn="0" w:firstRowLastColumn="0" w:lastRowFirstColumn="0" w:lastRowLastColumn="0"/>
              <w:rPr>
                <w:rFonts w:asciiTheme="minorHAnsi" w:hAnsiTheme="minorHAnsi"/>
                <w:b/>
              </w:rPr>
            </w:pPr>
            <w:r w:rsidRPr="00A54C6D">
              <w:rPr>
                <w:b/>
              </w:rPr>
              <w:t xml:space="preserve">Stakeholders met with </w:t>
            </w:r>
          </w:p>
        </w:tc>
        <w:tc>
          <w:tcPr>
            <w:tcW w:w="2358" w:type="dxa"/>
            <w:vAlign w:val="top"/>
          </w:tcPr>
          <w:p w14:paraId="409BFAF2" w14:textId="312725C5" w:rsidR="001E74E7" w:rsidRPr="00A54C6D" w:rsidRDefault="001E74E7" w:rsidP="001E74E7">
            <w:pPr>
              <w:spacing w:after="100"/>
              <w:cnfStyle w:val="100000000000" w:firstRow="1" w:lastRow="0" w:firstColumn="0" w:lastColumn="0" w:oddVBand="0" w:evenVBand="0" w:oddHBand="0" w:evenHBand="0" w:firstRowFirstColumn="0" w:firstRowLastColumn="0" w:lastRowFirstColumn="0" w:lastRowLastColumn="0"/>
              <w:rPr>
                <w:b/>
              </w:rPr>
            </w:pPr>
            <w:r w:rsidRPr="00A54C6D">
              <w:rPr>
                <w:b/>
              </w:rPr>
              <w:t xml:space="preserve">Written submissions </w:t>
            </w:r>
          </w:p>
        </w:tc>
      </w:tr>
      <w:tr w:rsidR="001E74E7" w14:paraId="0F57CC8A" w14:textId="7839A33A" w:rsidTr="001E74E7">
        <w:tc>
          <w:tcPr>
            <w:cnfStyle w:val="001000000000" w:firstRow="0" w:lastRow="0" w:firstColumn="1" w:lastColumn="0" w:oddVBand="0" w:evenVBand="0" w:oddHBand="0" w:evenHBand="0" w:firstRowFirstColumn="0" w:firstRowLastColumn="0" w:lastRowFirstColumn="0" w:lastRowLastColumn="0"/>
            <w:tcW w:w="4248" w:type="dxa"/>
            <w:vAlign w:val="top"/>
          </w:tcPr>
          <w:p w14:paraId="75B7EDE6" w14:textId="1FE32C1D" w:rsidR="001E74E7" w:rsidRDefault="001E74E7" w:rsidP="001E74E7">
            <w:pPr>
              <w:spacing w:after="100"/>
            </w:pPr>
            <w:r>
              <w:t>Digital platforms</w:t>
            </w:r>
          </w:p>
        </w:tc>
        <w:tc>
          <w:tcPr>
            <w:tcW w:w="2410" w:type="dxa"/>
            <w:vAlign w:val="top"/>
          </w:tcPr>
          <w:p w14:paraId="2C2E82AC" w14:textId="2BA735CA" w:rsidR="001E74E7" w:rsidRDefault="001E74E7" w:rsidP="001E74E7">
            <w:pPr>
              <w:spacing w:after="100"/>
              <w:cnfStyle w:val="000000000000" w:firstRow="0" w:lastRow="0" w:firstColumn="0" w:lastColumn="0" w:oddVBand="0" w:evenVBand="0" w:oddHBand="0" w:evenHBand="0" w:firstRowFirstColumn="0" w:firstRowLastColumn="0" w:lastRowFirstColumn="0" w:lastRowLastColumn="0"/>
            </w:pPr>
            <w:r w:rsidRPr="4FE49F93">
              <w:t>13</w:t>
            </w:r>
          </w:p>
        </w:tc>
        <w:tc>
          <w:tcPr>
            <w:tcW w:w="2358" w:type="dxa"/>
            <w:vAlign w:val="top"/>
          </w:tcPr>
          <w:p w14:paraId="49745624" w14:textId="5A5AE1F7" w:rsidR="001E74E7" w:rsidRDefault="001E74E7" w:rsidP="001E74E7">
            <w:pPr>
              <w:spacing w:after="100"/>
              <w:cnfStyle w:val="000000000000" w:firstRow="0" w:lastRow="0" w:firstColumn="0" w:lastColumn="0" w:oddVBand="0" w:evenVBand="0" w:oddHBand="0" w:evenHBand="0" w:firstRowFirstColumn="0" w:firstRowLastColumn="0" w:lastRowFirstColumn="0" w:lastRowLastColumn="0"/>
            </w:pPr>
            <w:r w:rsidRPr="008342C3">
              <w:t>9</w:t>
            </w:r>
          </w:p>
        </w:tc>
      </w:tr>
      <w:tr w:rsidR="001E74E7" w14:paraId="4335C0CF" w14:textId="45A5231B" w:rsidTr="001E74E7">
        <w:tc>
          <w:tcPr>
            <w:cnfStyle w:val="001000000000" w:firstRow="0" w:lastRow="0" w:firstColumn="1" w:lastColumn="0" w:oddVBand="0" w:evenVBand="0" w:oddHBand="0" w:evenHBand="0" w:firstRowFirstColumn="0" w:firstRowLastColumn="0" w:lastRowFirstColumn="0" w:lastRowLastColumn="0"/>
            <w:tcW w:w="4248" w:type="dxa"/>
            <w:vAlign w:val="top"/>
          </w:tcPr>
          <w:p w14:paraId="5B5BB6BA" w14:textId="62C32C1C" w:rsidR="001E74E7" w:rsidRDefault="001E74E7" w:rsidP="001E74E7">
            <w:pPr>
              <w:spacing w:after="100"/>
            </w:pPr>
            <w:r>
              <w:t>Other businesses and business/ industry representatives</w:t>
            </w:r>
          </w:p>
        </w:tc>
        <w:tc>
          <w:tcPr>
            <w:tcW w:w="2410" w:type="dxa"/>
            <w:vAlign w:val="top"/>
          </w:tcPr>
          <w:p w14:paraId="687DF53B" w14:textId="04A1C668" w:rsidR="001E74E7" w:rsidRDefault="001E74E7" w:rsidP="001E74E7">
            <w:pPr>
              <w:spacing w:after="100"/>
              <w:cnfStyle w:val="000000000000" w:firstRow="0" w:lastRow="0" w:firstColumn="0" w:lastColumn="0" w:oddVBand="0" w:evenVBand="0" w:oddHBand="0" w:evenHBand="0" w:firstRowFirstColumn="0" w:firstRowLastColumn="0" w:lastRowFirstColumn="0" w:lastRowLastColumn="0"/>
            </w:pPr>
            <w:r>
              <w:t>2</w:t>
            </w:r>
            <w:r w:rsidR="4415F152">
              <w:t>5</w:t>
            </w:r>
          </w:p>
        </w:tc>
        <w:tc>
          <w:tcPr>
            <w:tcW w:w="2358" w:type="dxa"/>
            <w:vAlign w:val="top"/>
          </w:tcPr>
          <w:p w14:paraId="052EED46" w14:textId="6785866D" w:rsidR="001E74E7" w:rsidRDefault="001E74E7" w:rsidP="001E74E7">
            <w:pPr>
              <w:spacing w:after="100"/>
              <w:cnfStyle w:val="000000000000" w:firstRow="0" w:lastRow="0" w:firstColumn="0" w:lastColumn="0" w:oddVBand="0" w:evenVBand="0" w:oddHBand="0" w:evenHBand="0" w:firstRowFirstColumn="0" w:firstRowLastColumn="0" w:lastRowFirstColumn="0" w:lastRowLastColumn="0"/>
            </w:pPr>
            <w:r w:rsidRPr="47B686A7">
              <w:t>4</w:t>
            </w:r>
            <w:r>
              <w:t>1</w:t>
            </w:r>
          </w:p>
        </w:tc>
      </w:tr>
      <w:tr w:rsidR="001E74E7" w14:paraId="51072E4E" w14:textId="0EFCE6DD" w:rsidTr="001E74E7">
        <w:tc>
          <w:tcPr>
            <w:cnfStyle w:val="001000000000" w:firstRow="0" w:lastRow="0" w:firstColumn="1" w:lastColumn="0" w:oddVBand="0" w:evenVBand="0" w:oddHBand="0" w:evenHBand="0" w:firstRowFirstColumn="0" w:firstRowLastColumn="0" w:lastRowFirstColumn="0" w:lastRowLastColumn="0"/>
            <w:tcW w:w="4248" w:type="dxa"/>
            <w:vAlign w:val="top"/>
          </w:tcPr>
          <w:p w14:paraId="0032A004" w14:textId="6BC78C29" w:rsidR="001E74E7" w:rsidRDefault="001E74E7" w:rsidP="001E74E7">
            <w:pPr>
              <w:spacing w:after="100"/>
            </w:pPr>
            <w:r>
              <w:t>Unions and worker representatives</w:t>
            </w:r>
          </w:p>
        </w:tc>
        <w:tc>
          <w:tcPr>
            <w:tcW w:w="2410" w:type="dxa"/>
            <w:vAlign w:val="top"/>
          </w:tcPr>
          <w:p w14:paraId="313172A0" w14:textId="4D452A25" w:rsidR="001E74E7" w:rsidRDefault="52A16F09" w:rsidP="001E74E7">
            <w:pPr>
              <w:spacing w:after="100"/>
              <w:cnfStyle w:val="000000000000" w:firstRow="0" w:lastRow="0" w:firstColumn="0" w:lastColumn="0" w:oddVBand="0" w:evenVBand="0" w:oddHBand="0" w:evenHBand="0" w:firstRowFirstColumn="0" w:firstRowLastColumn="0" w:lastRowFirstColumn="0" w:lastRowLastColumn="0"/>
            </w:pPr>
            <w:r>
              <w:t>5</w:t>
            </w:r>
          </w:p>
        </w:tc>
        <w:tc>
          <w:tcPr>
            <w:tcW w:w="2358" w:type="dxa"/>
            <w:vAlign w:val="top"/>
          </w:tcPr>
          <w:p w14:paraId="409CD5CB" w14:textId="716EA747" w:rsidR="001E74E7" w:rsidRDefault="001E74E7" w:rsidP="001E74E7">
            <w:pPr>
              <w:spacing w:after="100"/>
              <w:cnfStyle w:val="000000000000" w:firstRow="0" w:lastRow="0" w:firstColumn="0" w:lastColumn="0" w:oddVBand="0" w:evenVBand="0" w:oddHBand="0" w:evenHBand="0" w:firstRowFirstColumn="0" w:firstRowLastColumn="0" w:lastRowFirstColumn="0" w:lastRowLastColumn="0"/>
            </w:pPr>
            <w:r>
              <w:t>1</w:t>
            </w:r>
            <w:r w:rsidR="6F4E5012">
              <w:t>0</w:t>
            </w:r>
          </w:p>
        </w:tc>
      </w:tr>
      <w:tr w:rsidR="001E74E7" w14:paraId="3DD15A0E" w14:textId="35D0AE64" w:rsidTr="001E74E7">
        <w:tc>
          <w:tcPr>
            <w:cnfStyle w:val="001000000000" w:firstRow="0" w:lastRow="0" w:firstColumn="1" w:lastColumn="0" w:oddVBand="0" w:evenVBand="0" w:oddHBand="0" w:evenHBand="0" w:firstRowFirstColumn="0" w:firstRowLastColumn="0" w:lastRowFirstColumn="0" w:lastRowLastColumn="0"/>
            <w:tcW w:w="4248" w:type="dxa"/>
            <w:vAlign w:val="top"/>
          </w:tcPr>
          <w:p w14:paraId="1B8847D2" w14:textId="4DEE0C8E" w:rsidR="001E74E7" w:rsidRDefault="001E74E7" w:rsidP="001E74E7">
            <w:pPr>
              <w:spacing w:after="100"/>
            </w:pPr>
            <w:r>
              <w:t xml:space="preserve">Academics and </w:t>
            </w:r>
            <w:r w:rsidR="2229B153">
              <w:t>community organisations</w:t>
            </w:r>
          </w:p>
        </w:tc>
        <w:tc>
          <w:tcPr>
            <w:tcW w:w="2410" w:type="dxa"/>
            <w:vAlign w:val="top"/>
          </w:tcPr>
          <w:p w14:paraId="563802D4" w14:textId="40647FBF" w:rsidR="001E74E7" w:rsidRDefault="001E74E7" w:rsidP="001E74E7">
            <w:pPr>
              <w:spacing w:after="100"/>
              <w:cnfStyle w:val="000000000000" w:firstRow="0" w:lastRow="0" w:firstColumn="0" w:lastColumn="0" w:oddVBand="0" w:evenVBand="0" w:oddHBand="0" w:evenHBand="0" w:firstRowFirstColumn="0" w:firstRowLastColumn="0" w:lastRowFirstColumn="0" w:lastRowLastColumn="0"/>
            </w:pPr>
            <w:r>
              <w:t>2</w:t>
            </w:r>
            <w:r w:rsidR="61F898FA">
              <w:t>4</w:t>
            </w:r>
          </w:p>
        </w:tc>
        <w:tc>
          <w:tcPr>
            <w:tcW w:w="2358" w:type="dxa"/>
            <w:vAlign w:val="top"/>
          </w:tcPr>
          <w:p w14:paraId="003AD924" w14:textId="6A85AC42" w:rsidR="001E74E7" w:rsidRDefault="277AB517" w:rsidP="001E74E7">
            <w:pPr>
              <w:spacing w:after="100"/>
              <w:cnfStyle w:val="000000000000" w:firstRow="0" w:lastRow="0" w:firstColumn="0" w:lastColumn="0" w:oddVBand="0" w:evenVBand="0" w:oddHBand="0" w:evenHBand="0" w:firstRowFirstColumn="0" w:firstRowLastColumn="0" w:lastRowFirstColumn="0" w:lastRowLastColumn="0"/>
            </w:pPr>
            <w:r>
              <w:t>2</w:t>
            </w:r>
            <w:r w:rsidR="6D11EDF2">
              <w:t>3</w:t>
            </w:r>
          </w:p>
        </w:tc>
      </w:tr>
      <w:tr w:rsidR="001E74E7" w14:paraId="4DF5131F" w14:textId="107D6CCB" w:rsidTr="001E74E7">
        <w:tc>
          <w:tcPr>
            <w:cnfStyle w:val="001000000000" w:firstRow="0" w:lastRow="0" w:firstColumn="1" w:lastColumn="0" w:oddVBand="0" w:evenVBand="0" w:oddHBand="0" w:evenHBand="0" w:firstRowFirstColumn="0" w:firstRowLastColumn="0" w:lastRowFirstColumn="0" w:lastRowLastColumn="0"/>
            <w:tcW w:w="4248" w:type="dxa"/>
            <w:vAlign w:val="top"/>
          </w:tcPr>
          <w:p w14:paraId="2378992A" w14:textId="5D804CC8" w:rsidR="001E74E7" w:rsidRDefault="001E74E7" w:rsidP="001E74E7">
            <w:pPr>
              <w:spacing w:after="100"/>
            </w:pPr>
            <w:r>
              <w:t>Australian Government agencies</w:t>
            </w:r>
          </w:p>
        </w:tc>
        <w:tc>
          <w:tcPr>
            <w:tcW w:w="2410" w:type="dxa"/>
            <w:vAlign w:val="top"/>
          </w:tcPr>
          <w:p w14:paraId="64989E12" w14:textId="6E638285" w:rsidR="001E74E7" w:rsidRDefault="001E74E7" w:rsidP="001E74E7">
            <w:pPr>
              <w:spacing w:after="100"/>
              <w:cnfStyle w:val="000000000000" w:firstRow="0" w:lastRow="0" w:firstColumn="0" w:lastColumn="0" w:oddVBand="0" w:evenVBand="0" w:oddHBand="0" w:evenHBand="0" w:firstRowFirstColumn="0" w:firstRowLastColumn="0" w:lastRowFirstColumn="0" w:lastRowLastColumn="0"/>
            </w:pPr>
            <w:r>
              <w:t>1</w:t>
            </w:r>
            <w:r w:rsidR="00D94FCE">
              <w:t>7</w:t>
            </w:r>
          </w:p>
        </w:tc>
        <w:tc>
          <w:tcPr>
            <w:tcW w:w="2358" w:type="dxa"/>
            <w:vAlign w:val="top"/>
          </w:tcPr>
          <w:p w14:paraId="6D850C95" w14:textId="7D358D03" w:rsidR="001E74E7" w:rsidRDefault="02E40E30" w:rsidP="001E74E7">
            <w:pPr>
              <w:spacing w:after="100"/>
              <w:cnfStyle w:val="000000000000" w:firstRow="0" w:lastRow="0" w:firstColumn="0" w:lastColumn="0" w:oddVBand="0" w:evenVBand="0" w:oddHBand="0" w:evenHBand="0" w:firstRowFirstColumn="0" w:firstRowLastColumn="0" w:lastRowFirstColumn="0" w:lastRowLastColumn="0"/>
            </w:pPr>
            <w:r>
              <w:t>4</w:t>
            </w:r>
          </w:p>
        </w:tc>
      </w:tr>
      <w:tr w:rsidR="001E74E7" w14:paraId="2C89A81B" w14:textId="44C34952" w:rsidTr="001E74E7">
        <w:tc>
          <w:tcPr>
            <w:cnfStyle w:val="001000000000" w:firstRow="0" w:lastRow="0" w:firstColumn="1" w:lastColumn="0" w:oddVBand="0" w:evenVBand="0" w:oddHBand="0" w:evenHBand="0" w:firstRowFirstColumn="0" w:firstRowLastColumn="0" w:lastRowFirstColumn="0" w:lastRowLastColumn="0"/>
            <w:tcW w:w="4248" w:type="dxa"/>
            <w:vAlign w:val="top"/>
          </w:tcPr>
          <w:p w14:paraId="4DEB6C65" w14:textId="12B00AC9" w:rsidR="001E74E7" w:rsidRDefault="001E74E7" w:rsidP="001E74E7">
            <w:pPr>
              <w:spacing w:after="100"/>
            </w:pPr>
            <w:r>
              <w:t>State and territory governments</w:t>
            </w:r>
          </w:p>
        </w:tc>
        <w:tc>
          <w:tcPr>
            <w:tcW w:w="2410" w:type="dxa"/>
            <w:vAlign w:val="top"/>
          </w:tcPr>
          <w:p w14:paraId="5BAA3A41" w14:textId="1669B1C7" w:rsidR="001E74E7" w:rsidRDefault="001E74E7" w:rsidP="001E74E7">
            <w:pPr>
              <w:spacing w:after="100"/>
              <w:cnfStyle w:val="000000000000" w:firstRow="0" w:lastRow="0" w:firstColumn="0" w:lastColumn="0" w:oddVBand="0" w:evenVBand="0" w:oddHBand="0" w:evenHBand="0" w:firstRowFirstColumn="0" w:firstRowLastColumn="0" w:lastRowFirstColumn="0" w:lastRowLastColumn="0"/>
            </w:pPr>
            <w:r w:rsidRPr="4FE49F93">
              <w:t>8</w:t>
            </w:r>
          </w:p>
        </w:tc>
        <w:tc>
          <w:tcPr>
            <w:tcW w:w="2358" w:type="dxa"/>
            <w:vAlign w:val="top"/>
          </w:tcPr>
          <w:p w14:paraId="3E3CA56E" w14:textId="74A8EA4A" w:rsidR="001E74E7" w:rsidRDefault="001E74E7" w:rsidP="001E74E7">
            <w:pPr>
              <w:spacing w:after="100"/>
              <w:cnfStyle w:val="000000000000" w:firstRow="0" w:lastRow="0" w:firstColumn="0" w:lastColumn="0" w:oddVBand="0" w:evenVBand="0" w:oddHBand="0" w:evenHBand="0" w:firstRowFirstColumn="0" w:firstRowLastColumn="0" w:lastRowFirstColumn="0" w:lastRowLastColumn="0"/>
            </w:pPr>
            <w:r w:rsidRPr="5D954048">
              <w:t>7</w:t>
            </w:r>
          </w:p>
        </w:tc>
      </w:tr>
      <w:tr w:rsidR="001E74E7" w14:paraId="6396163A" w14:textId="77777777" w:rsidTr="001E74E7">
        <w:tc>
          <w:tcPr>
            <w:cnfStyle w:val="001000000000" w:firstRow="0" w:lastRow="0" w:firstColumn="1" w:lastColumn="0" w:oddVBand="0" w:evenVBand="0" w:oddHBand="0" w:evenHBand="0" w:firstRowFirstColumn="0" w:firstRowLastColumn="0" w:lastRowFirstColumn="0" w:lastRowLastColumn="0"/>
            <w:tcW w:w="4248" w:type="dxa"/>
            <w:vAlign w:val="top"/>
          </w:tcPr>
          <w:p w14:paraId="5EA9E76B" w14:textId="3BF458DA" w:rsidR="001E74E7" w:rsidRDefault="001E74E7" w:rsidP="001E74E7">
            <w:pPr>
              <w:spacing w:after="100"/>
            </w:pPr>
            <w:r>
              <w:t>Individual c</w:t>
            </w:r>
            <w:r w:rsidRPr="008342C3">
              <w:t>itizens</w:t>
            </w:r>
          </w:p>
        </w:tc>
        <w:tc>
          <w:tcPr>
            <w:tcW w:w="2410" w:type="dxa"/>
            <w:vAlign w:val="top"/>
          </w:tcPr>
          <w:p w14:paraId="371FEEFB" w14:textId="6D0DFF37" w:rsidR="001E74E7" w:rsidRDefault="001E74E7" w:rsidP="001E74E7">
            <w:pPr>
              <w:spacing w:after="100"/>
              <w:cnfStyle w:val="000000000000" w:firstRow="0" w:lastRow="0" w:firstColumn="0" w:lastColumn="0" w:oddVBand="0" w:evenVBand="0" w:oddHBand="0" w:evenHBand="0" w:firstRowFirstColumn="0" w:firstRowLastColumn="0" w:lastRowFirstColumn="0" w:lastRowLastColumn="0"/>
            </w:pPr>
            <w:r w:rsidRPr="008342C3">
              <w:t>-</w:t>
            </w:r>
          </w:p>
        </w:tc>
        <w:tc>
          <w:tcPr>
            <w:tcW w:w="2358" w:type="dxa"/>
            <w:vAlign w:val="top"/>
          </w:tcPr>
          <w:p w14:paraId="5F1FD75E" w14:textId="4D04E1EE" w:rsidR="001E74E7" w:rsidRDefault="001E74E7" w:rsidP="001E74E7">
            <w:pPr>
              <w:spacing w:after="100"/>
              <w:cnfStyle w:val="000000000000" w:firstRow="0" w:lastRow="0" w:firstColumn="0" w:lastColumn="0" w:oddVBand="0" w:evenVBand="0" w:oddHBand="0" w:evenHBand="0" w:firstRowFirstColumn="0" w:firstRowLastColumn="0" w:lastRowFirstColumn="0" w:lastRowLastColumn="0"/>
            </w:pPr>
            <w:r w:rsidRPr="24201129">
              <w:t>7</w:t>
            </w:r>
          </w:p>
        </w:tc>
      </w:tr>
      <w:tr w:rsidR="001E74E7" w14:paraId="0D0550AD" w14:textId="77777777" w:rsidTr="001E74E7">
        <w:tc>
          <w:tcPr>
            <w:cnfStyle w:val="001000000000" w:firstRow="0" w:lastRow="0" w:firstColumn="1" w:lastColumn="0" w:oddVBand="0" w:evenVBand="0" w:oddHBand="0" w:evenHBand="0" w:firstRowFirstColumn="0" w:firstRowLastColumn="0" w:lastRowFirstColumn="0" w:lastRowLastColumn="0"/>
            <w:tcW w:w="4248" w:type="dxa"/>
            <w:vAlign w:val="top"/>
          </w:tcPr>
          <w:p w14:paraId="1F555137" w14:textId="406D04F0" w:rsidR="001E74E7" w:rsidRPr="00861934" w:rsidRDefault="001E74E7" w:rsidP="001E74E7">
            <w:pPr>
              <w:spacing w:after="100"/>
              <w:rPr>
                <w:b/>
                <w:bCs/>
              </w:rPr>
            </w:pPr>
            <w:r>
              <w:rPr>
                <w:b/>
                <w:bCs/>
              </w:rPr>
              <w:t>Total</w:t>
            </w:r>
          </w:p>
        </w:tc>
        <w:tc>
          <w:tcPr>
            <w:tcW w:w="2410" w:type="dxa"/>
            <w:vAlign w:val="top"/>
          </w:tcPr>
          <w:p w14:paraId="271977DC" w14:textId="784A41B9" w:rsidR="001E74E7" w:rsidRPr="00613BEB" w:rsidRDefault="2DC131CE" w:rsidP="001E74E7">
            <w:pPr>
              <w:spacing w:after="100"/>
              <w:cnfStyle w:val="000000000000" w:firstRow="0" w:lastRow="0" w:firstColumn="0" w:lastColumn="0" w:oddVBand="0" w:evenVBand="0" w:oddHBand="0" w:evenHBand="0" w:firstRowFirstColumn="0" w:firstRowLastColumn="0" w:lastRowFirstColumn="0" w:lastRowLastColumn="0"/>
              <w:rPr>
                <w:b/>
              </w:rPr>
            </w:pPr>
            <w:r w:rsidRPr="1634C667">
              <w:rPr>
                <w:b/>
                <w:bCs/>
              </w:rPr>
              <w:t>9</w:t>
            </w:r>
            <w:r w:rsidR="009938F5">
              <w:rPr>
                <w:b/>
                <w:bCs/>
              </w:rPr>
              <w:t>2</w:t>
            </w:r>
          </w:p>
        </w:tc>
        <w:tc>
          <w:tcPr>
            <w:tcW w:w="2358" w:type="dxa"/>
            <w:vAlign w:val="top"/>
          </w:tcPr>
          <w:p w14:paraId="1717F456" w14:textId="08B5DC6C" w:rsidR="001E74E7" w:rsidRPr="0000771B" w:rsidRDefault="001E74E7" w:rsidP="001E74E7">
            <w:pPr>
              <w:spacing w:after="100"/>
              <w:cnfStyle w:val="000000000000" w:firstRow="0" w:lastRow="0" w:firstColumn="0" w:lastColumn="0" w:oddVBand="0" w:evenVBand="0" w:oddHBand="0" w:evenHBand="0" w:firstRowFirstColumn="0" w:firstRowLastColumn="0" w:lastRowFirstColumn="0" w:lastRowLastColumn="0"/>
              <w:rPr>
                <w:b/>
              </w:rPr>
            </w:pPr>
            <w:r w:rsidRPr="74837C9B">
              <w:rPr>
                <w:b/>
                <w:bCs/>
              </w:rPr>
              <w:t>10</w:t>
            </w:r>
            <w:r w:rsidR="42EC4E19" w:rsidRPr="74837C9B">
              <w:rPr>
                <w:b/>
                <w:bCs/>
              </w:rPr>
              <w:t>1</w:t>
            </w:r>
          </w:p>
        </w:tc>
      </w:tr>
    </w:tbl>
    <w:p w14:paraId="5285C8E8" w14:textId="27AA7D9C" w:rsidR="007A42DD" w:rsidRPr="001E74E7" w:rsidRDefault="007A42DD" w:rsidP="00D2146D">
      <w:pPr>
        <w:pStyle w:val="Heading2"/>
        <w:spacing w:after="200"/>
      </w:pPr>
      <w:bookmarkStart w:id="34" w:name="_Toc139295543"/>
      <w:r w:rsidRPr="001E74E7">
        <w:t>Key themes from consultation</w:t>
      </w:r>
      <w:bookmarkEnd w:id="34"/>
      <w:r w:rsidRPr="001E74E7">
        <w:t xml:space="preserve"> </w:t>
      </w:r>
    </w:p>
    <w:p w14:paraId="14BF87C5" w14:textId="5DE8AE6A" w:rsidR="00BA3C41" w:rsidRPr="00BA3C41" w:rsidRDefault="00D06559" w:rsidP="008B793A">
      <w:r>
        <w:t>Key views raised by broad stakeholder groups are summarised below. Th</w:t>
      </w:r>
      <w:r w:rsidR="001D6E28">
        <w:t xml:space="preserve">is feedback has been used to shape </w:t>
      </w:r>
      <w:r w:rsidR="00B00E9D">
        <w:t>policy options to address the problems identified by the independent reviews</w:t>
      </w:r>
      <w:r w:rsidR="006A3382">
        <w:t xml:space="preserve">. Further </w:t>
      </w:r>
      <w:r w:rsidR="004D28E9">
        <w:t>information</w:t>
      </w:r>
      <w:r w:rsidR="006A3382">
        <w:t xml:space="preserve"> on how stakeholder views </w:t>
      </w:r>
      <w:r w:rsidR="004D28E9">
        <w:t xml:space="preserve">have formed each option is in Section 5. </w:t>
      </w:r>
    </w:p>
    <w:p w14:paraId="0143F57A" w14:textId="07EF3231" w:rsidR="00CD7375" w:rsidRPr="003115F0" w:rsidRDefault="00FE5ECF" w:rsidP="00F60F5C">
      <w:pPr>
        <w:pStyle w:val="Heading3"/>
      </w:pPr>
      <w:bookmarkStart w:id="35" w:name="_Toc139295544"/>
      <w:r w:rsidRPr="003115F0">
        <w:t xml:space="preserve">Minimum standards for </w:t>
      </w:r>
      <w:r w:rsidR="00761D8E" w:rsidRPr="003115F0">
        <w:t>digital platform</w:t>
      </w:r>
      <w:r w:rsidRPr="003115F0">
        <w:t xml:space="preserve"> workers</w:t>
      </w:r>
      <w:bookmarkEnd w:id="35"/>
    </w:p>
    <w:p w14:paraId="7AAE68D5" w14:textId="206198C2" w:rsidR="007E1B3B" w:rsidRDefault="00AB2B3E" w:rsidP="004B4F63">
      <w:pPr>
        <w:rPr>
          <w:rStyle w:val="normaltextrun"/>
          <w:rFonts w:eastAsiaTheme="minorEastAsia"/>
          <w:lang w:val="en-GB"/>
        </w:rPr>
      </w:pPr>
      <w:r w:rsidRPr="255D02FD">
        <w:rPr>
          <w:rStyle w:val="normaltextrun"/>
          <w:rFonts w:eastAsiaTheme="minorEastAsia"/>
          <w:lang w:val="en-GB"/>
        </w:rPr>
        <w:t>Stakeholders</w:t>
      </w:r>
      <w:r w:rsidR="00B56B82" w:rsidRPr="255D02FD">
        <w:rPr>
          <w:rStyle w:val="normaltextrun"/>
          <w:rFonts w:eastAsiaTheme="minorEastAsia"/>
          <w:lang w:val="en-GB"/>
        </w:rPr>
        <w:t xml:space="preserve"> </w:t>
      </w:r>
      <w:r w:rsidR="00A40316" w:rsidRPr="255D02FD">
        <w:rPr>
          <w:rStyle w:val="normaltextrun"/>
          <w:rFonts w:eastAsiaTheme="minorEastAsia"/>
          <w:lang w:val="en-GB"/>
        </w:rPr>
        <w:t>generally</w:t>
      </w:r>
      <w:r w:rsidR="00B56B82" w:rsidRPr="255D02FD">
        <w:rPr>
          <w:rStyle w:val="normaltextrun"/>
          <w:rFonts w:eastAsiaTheme="minorEastAsia"/>
          <w:lang w:val="en-GB"/>
        </w:rPr>
        <w:t xml:space="preserve"> </w:t>
      </w:r>
      <w:r w:rsidR="00B56B82" w:rsidRPr="1BA46BDE">
        <w:rPr>
          <w:rStyle w:val="normaltextrun"/>
          <w:rFonts w:eastAsiaTheme="minorEastAsia"/>
          <w:lang w:val="en-GB"/>
        </w:rPr>
        <w:t>support</w:t>
      </w:r>
      <w:r w:rsidR="785255D6" w:rsidRPr="1BA46BDE">
        <w:rPr>
          <w:rStyle w:val="normaltextrun"/>
          <w:rFonts w:eastAsiaTheme="minorEastAsia"/>
          <w:lang w:val="en-GB"/>
        </w:rPr>
        <w:t>ed</w:t>
      </w:r>
      <w:r w:rsidR="00B56B82" w:rsidRPr="255D02FD">
        <w:rPr>
          <w:rStyle w:val="normaltextrun"/>
          <w:rFonts w:eastAsiaTheme="minorEastAsia"/>
          <w:lang w:val="en-GB"/>
        </w:rPr>
        <w:t xml:space="preserve"> the concept of </w:t>
      </w:r>
      <w:r w:rsidR="008B3E15" w:rsidRPr="255D02FD">
        <w:rPr>
          <w:rStyle w:val="normaltextrun"/>
          <w:rFonts w:eastAsiaTheme="minorEastAsia"/>
          <w:lang w:val="en-GB"/>
        </w:rPr>
        <w:t xml:space="preserve">national </w:t>
      </w:r>
      <w:r w:rsidR="00B56B82" w:rsidRPr="255D02FD">
        <w:rPr>
          <w:rStyle w:val="normaltextrun"/>
          <w:rFonts w:eastAsiaTheme="minorEastAsia"/>
          <w:lang w:val="en-GB"/>
        </w:rPr>
        <w:t xml:space="preserve">minimum standards for </w:t>
      </w:r>
      <w:r w:rsidR="00A74022" w:rsidRPr="255D02FD">
        <w:rPr>
          <w:rStyle w:val="normaltextrun"/>
          <w:rFonts w:eastAsiaTheme="minorEastAsia"/>
          <w:lang w:val="en-GB"/>
        </w:rPr>
        <w:t xml:space="preserve">digital platform </w:t>
      </w:r>
      <w:r w:rsidR="00B56B82" w:rsidRPr="255D02FD">
        <w:rPr>
          <w:rStyle w:val="normaltextrun"/>
          <w:rFonts w:eastAsiaTheme="minorEastAsia"/>
          <w:lang w:val="en-GB"/>
        </w:rPr>
        <w:t>workers</w:t>
      </w:r>
      <w:r w:rsidR="00F54288">
        <w:rPr>
          <w:rStyle w:val="normaltextrun"/>
          <w:rFonts w:eastAsiaTheme="minorEastAsia"/>
          <w:lang w:val="en-GB"/>
        </w:rPr>
        <w:t>, particularly in the food delivery, rideshare and ‘care’ sectors.</w:t>
      </w:r>
      <w:r w:rsidR="008B3E15" w:rsidRPr="255D02FD">
        <w:rPr>
          <w:rStyle w:val="normaltextrun"/>
          <w:rFonts w:eastAsiaTheme="minorEastAsia"/>
          <w:lang w:val="en-GB"/>
        </w:rPr>
        <w:t xml:space="preserve"> However, </w:t>
      </w:r>
      <w:r w:rsidR="00B93A98" w:rsidRPr="255D02FD">
        <w:rPr>
          <w:rStyle w:val="normaltextrun"/>
          <w:rFonts w:eastAsiaTheme="minorEastAsia"/>
          <w:lang w:val="en-GB"/>
        </w:rPr>
        <w:t xml:space="preserve">views </w:t>
      </w:r>
      <w:r w:rsidR="00A74022" w:rsidRPr="0FCF7D33">
        <w:rPr>
          <w:rStyle w:val="normaltextrun"/>
          <w:rFonts w:eastAsiaTheme="minorEastAsia"/>
          <w:lang w:val="en-GB"/>
        </w:rPr>
        <w:t>diverge</w:t>
      </w:r>
      <w:r w:rsidR="7E543575" w:rsidRPr="0FCF7D33">
        <w:rPr>
          <w:rStyle w:val="normaltextrun"/>
          <w:rFonts w:eastAsiaTheme="minorEastAsia"/>
          <w:lang w:val="en-GB"/>
        </w:rPr>
        <w:t>d</w:t>
      </w:r>
      <w:r w:rsidR="0063673D" w:rsidRPr="255D02FD">
        <w:rPr>
          <w:rStyle w:val="normaltextrun"/>
          <w:rFonts w:eastAsiaTheme="minorEastAsia"/>
          <w:lang w:val="en-GB"/>
        </w:rPr>
        <w:t xml:space="preserve"> on how to </w:t>
      </w:r>
      <w:r w:rsidR="0063673D" w:rsidRPr="004B4F63">
        <w:t>implement</w:t>
      </w:r>
      <w:r w:rsidR="0063673D" w:rsidRPr="255D02FD">
        <w:rPr>
          <w:rStyle w:val="normaltextrun"/>
          <w:rFonts w:eastAsiaTheme="minorEastAsia"/>
          <w:lang w:val="en-GB"/>
        </w:rPr>
        <w:t xml:space="preserve"> </w:t>
      </w:r>
      <w:r w:rsidR="00D66330" w:rsidRPr="255D02FD">
        <w:rPr>
          <w:rStyle w:val="normaltextrun"/>
          <w:rFonts w:eastAsiaTheme="minorEastAsia"/>
          <w:lang w:val="en-GB"/>
        </w:rPr>
        <w:t>minimum standards</w:t>
      </w:r>
      <w:r w:rsidR="00B93A98" w:rsidRPr="255D02FD">
        <w:rPr>
          <w:rStyle w:val="normaltextrun"/>
          <w:rFonts w:eastAsiaTheme="minorEastAsia"/>
          <w:lang w:val="en-GB"/>
        </w:rPr>
        <w:t xml:space="preserve">, with key </w:t>
      </w:r>
      <w:r w:rsidR="00A11BB7" w:rsidRPr="255D02FD">
        <w:rPr>
          <w:rStyle w:val="normaltextrun"/>
          <w:rFonts w:eastAsiaTheme="minorEastAsia"/>
          <w:lang w:val="en-GB"/>
        </w:rPr>
        <w:t xml:space="preserve">feedback </w:t>
      </w:r>
      <w:r w:rsidR="00420F0C" w:rsidRPr="255D02FD">
        <w:rPr>
          <w:rStyle w:val="normaltextrun"/>
          <w:rFonts w:eastAsiaTheme="minorEastAsia"/>
          <w:lang w:val="en-GB"/>
        </w:rPr>
        <w:t>outlined below.</w:t>
      </w:r>
    </w:p>
    <w:p w14:paraId="75346DEF" w14:textId="7ED4D1DA" w:rsidR="00613BEB" w:rsidRPr="00613BEB" w:rsidRDefault="00037DBD" w:rsidP="004B4F63">
      <w:pPr>
        <w:rPr>
          <w:rStyle w:val="eop"/>
          <w:rFonts w:eastAsiaTheme="minorEastAsia"/>
          <w:lang w:val="en-GB"/>
        </w:rPr>
      </w:pPr>
      <w:r w:rsidRPr="595C6062">
        <w:rPr>
          <w:rStyle w:val="normaltextrun"/>
          <w:rFonts w:eastAsiaTheme="minorEastAsia"/>
          <w:lang w:val="en-GB"/>
        </w:rPr>
        <w:t>D</w:t>
      </w:r>
      <w:r w:rsidR="00B56B82" w:rsidRPr="595C6062">
        <w:rPr>
          <w:rStyle w:val="normaltextrun"/>
          <w:rFonts w:eastAsiaTheme="minorEastAsia"/>
          <w:lang w:val="en-GB"/>
        </w:rPr>
        <w:t xml:space="preserve">igital </w:t>
      </w:r>
      <w:r w:rsidR="00A74022">
        <w:rPr>
          <w:rStyle w:val="normaltextrun"/>
          <w:rFonts w:eastAsiaTheme="minorEastAsia"/>
          <w:lang w:val="en-GB"/>
        </w:rPr>
        <w:t xml:space="preserve">labour </w:t>
      </w:r>
      <w:r w:rsidR="00B56B82" w:rsidRPr="595C6062">
        <w:rPr>
          <w:rStyle w:val="normaltextrun"/>
          <w:rFonts w:eastAsiaTheme="minorEastAsia"/>
          <w:lang w:val="en-GB"/>
        </w:rPr>
        <w:t xml:space="preserve">platforms </w:t>
      </w:r>
      <w:r w:rsidR="002C42EE">
        <w:rPr>
          <w:rStyle w:val="normaltextrun"/>
          <w:rFonts w:eastAsiaTheme="minorEastAsia"/>
          <w:lang w:val="en-GB"/>
        </w:rPr>
        <w:t xml:space="preserve">and other businesses </w:t>
      </w:r>
      <w:r w:rsidR="00E72862" w:rsidRPr="4A025146">
        <w:rPr>
          <w:rStyle w:val="normaltextrun"/>
          <w:rFonts w:eastAsiaTheme="minorEastAsia"/>
          <w:lang w:val="en-GB"/>
        </w:rPr>
        <w:t>support</w:t>
      </w:r>
      <w:r w:rsidR="7F75F209" w:rsidRPr="4A025146">
        <w:rPr>
          <w:rStyle w:val="normaltextrun"/>
          <w:rFonts w:eastAsiaTheme="minorEastAsia"/>
          <w:lang w:val="en-GB"/>
        </w:rPr>
        <w:t>ed</w:t>
      </w:r>
      <w:r w:rsidR="00E72862" w:rsidRPr="595C6062">
        <w:rPr>
          <w:rStyle w:val="normaltextrun"/>
          <w:rFonts w:eastAsiaTheme="minorEastAsia"/>
          <w:lang w:val="en-GB"/>
        </w:rPr>
        <w:t xml:space="preserve"> </w:t>
      </w:r>
      <w:r w:rsidR="00B56B82" w:rsidRPr="595C6062">
        <w:rPr>
          <w:rStyle w:val="normaltextrun"/>
          <w:rFonts w:eastAsiaTheme="minorEastAsia"/>
          <w:lang w:val="en-GB"/>
        </w:rPr>
        <w:t>minimum rates of pay and some other protections</w:t>
      </w:r>
      <w:r w:rsidR="00307A79" w:rsidRPr="00307A79">
        <w:rPr>
          <w:rStyle w:val="normaltextrun"/>
          <w:rFonts w:eastAsiaTheme="minorEastAsia"/>
          <w:lang w:val="en-GB"/>
        </w:rPr>
        <w:t xml:space="preserve"> </w:t>
      </w:r>
      <w:r w:rsidR="00307A79" w:rsidRPr="595C6062">
        <w:rPr>
          <w:rStyle w:val="normaltextrun"/>
          <w:rFonts w:eastAsiaTheme="minorEastAsia"/>
          <w:lang w:val="en-GB"/>
        </w:rPr>
        <w:t>for their workers</w:t>
      </w:r>
      <w:r w:rsidR="00A269C2">
        <w:rPr>
          <w:rStyle w:val="normaltextrun"/>
          <w:rFonts w:eastAsiaTheme="minorEastAsia"/>
          <w:lang w:val="en-GB"/>
        </w:rPr>
        <w:t xml:space="preserve"> such as dispute resolution</w:t>
      </w:r>
      <w:r w:rsidR="007D1AC7">
        <w:rPr>
          <w:rStyle w:val="normaltextrun"/>
          <w:rFonts w:eastAsiaTheme="minorEastAsia"/>
          <w:lang w:val="en-GB"/>
        </w:rPr>
        <w:t xml:space="preserve">. However, these stakeholders </w:t>
      </w:r>
      <w:r w:rsidR="00E57F3A" w:rsidRPr="3EBC6D46">
        <w:rPr>
          <w:rStyle w:val="normaltextrun"/>
          <w:rFonts w:eastAsiaTheme="minorEastAsia"/>
          <w:lang w:val="en-GB"/>
        </w:rPr>
        <w:t>d</w:t>
      </w:r>
      <w:r w:rsidR="66176FEC" w:rsidRPr="3EBC6D46">
        <w:rPr>
          <w:rStyle w:val="normaltextrun"/>
          <w:rFonts w:eastAsiaTheme="minorEastAsia"/>
          <w:lang w:val="en-GB"/>
        </w:rPr>
        <w:t>id</w:t>
      </w:r>
      <w:r w:rsidR="00E57F3A">
        <w:rPr>
          <w:rStyle w:val="normaltextrun"/>
          <w:rFonts w:eastAsiaTheme="minorEastAsia"/>
          <w:lang w:val="en-GB"/>
        </w:rPr>
        <w:t xml:space="preserve"> not want </w:t>
      </w:r>
      <w:r w:rsidR="00B56B82" w:rsidRPr="595C6062">
        <w:rPr>
          <w:rStyle w:val="normaltextrun"/>
          <w:rFonts w:eastAsiaTheme="minorEastAsia"/>
          <w:lang w:val="en-GB"/>
        </w:rPr>
        <w:t xml:space="preserve">changes </w:t>
      </w:r>
      <w:r w:rsidR="00E57F3A">
        <w:rPr>
          <w:rStyle w:val="normaltextrun"/>
          <w:rFonts w:eastAsiaTheme="minorEastAsia"/>
          <w:lang w:val="en-GB"/>
        </w:rPr>
        <w:t>that would</w:t>
      </w:r>
      <w:r w:rsidR="00B56B82" w:rsidRPr="595C6062">
        <w:rPr>
          <w:rStyle w:val="normaltextrun"/>
          <w:rFonts w:eastAsiaTheme="minorEastAsia"/>
          <w:lang w:val="en-GB"/>
        </w:rPr>
        <w:t xml:space="preserve"> significantly disrupt their business models</w:t>
      </w:r>
      <w:r w:rsidR="006812D9">
        <w:rPr>
          <w:rStyle w:val="normaltextrun"/>
          <w:rFonts w:eastAsiaTheme="minorEastAsia"/>
          <w:lang w:val="en-GB"/>
        </w:rPr>
        <w:t>,</w:t>
      </w:r>
      <w:r w:rsidR="00420F0C">
        <w:rPr>
          <w:rStyle w:val="normaltextrun"/>
          <w:rFonts w:eastAsiaTheme="minorEastAsia"/>
          <w:lang w:val="en-GB"/>
        </w:rPr>
        <w:t xml:space="preserve"> stifle innovation</w:t>
      </w:r>
      <w:r w:rsidR="006812D9">
        <w:rPr>
          <w:rStyle w:val="normaltextrun"/>
          <w:rFonts w:eastAsiaTheme="minorEastAsia"/>
          <w:lang w:val="en-GB"/>
        </w:rPr>
        <w:t xml:space="preserve"> or </w:t>
      </w:r>
      <w:r w:rsidR="005257F0">
        <w:rPr>
          <w:rStyle w:val="normaltextrun"/>
          <w:rFonts w:eastAsiaTheme="minorEastAsia"/>
          <w:lang w:val="en-GB"/>
        </w:rPr>
        <w:t>reduce flexibility for workers</w:t>
      </w:r>
      <w:r w:rsidR="00B56B82" w:rsidRPr="595C6062">
        <w:rPr>
          <w:rStyle w:val="normaltextrun"/>
          <w:rFonts w:eastAsiaTheme="minorEastAsia"/>
          <w:lang w:val="en-GB"/>
        </w:rPr>
        <w:t>.</w:t>
      </w:r>
      <w:r w:rsidR="005257F0">
        <w:rPr>
          <w:rStyle w:val="normaltextrun"/>
          <w:rFonts w:eastAsiaTheme="minorEastAsia"/>
          <w:lang w:val="en-GB"/>
        </w:rPr>
        <w:t xml:space="preserve"> </w:t>
      </w:r>
      <w:r w:rsidR="00DE110E">
        <w:rPr>
          <w:rStyle w:val="normaltextrun"/>
          <w:rFonts w:eastAsiaTheme="minorEastAsia"/>
          <w:lang w:val="en-GB"/>
        </w:rPr>
        <w:t>In par</w:t>
      </w:r>
      <w:r w:rsidR="00A24C17">
        <w:rPr>
          <w:rStyle w:val="normaltextrun"/>
          <w:rFonts w:eastAsiaTheme="minorEastAsia"/>
          <w:lang w:val="en-GB"/>
        </w:rPr>
        <w:t>t</w:t>
      </w:r>
      <w:r w:rsidR="002D3683">
        <w:rPr>
          <w:rStyle w:val="normaltextrun"/>
          <w:rFonts w:eastAsiaTheme="minorEastAsia"/>
          <w:lang w:val="en-GB"/>
        </w:rPr>
        <w:t xml:space="preserve">icular, </w:t>
      </w:r>
      <w:r w:rsidR="00FD1BA0">
        <w:rPr>
          <w:rStyle w:val="normaltextrun"/>
          <w:rFonts w:eastAsiaTheme="minorEastAsia"/>
          <w:lang w:val="en-GB"/>
        </w:rPr>
        <w:t xml:space="preserve">they </w:t>
      </w:r>
      <w:r w:rsidR="00FD1BA0" w:rsidRPr="3EBC6D46">
        <w:rPr>
          <w:rStyle w:val="normaltextrun"/>
          <w:rFonts w:eastAsiaTheme="minorEastAsia"/>
          <w:lang w:val="en-GB"/>
        </w:rPr>
        <w:t>oppose</w:t>
      </w:r>
      <w:r w:rsidR="694E7936" w:rsidRPr="3EBC6D46">
        <w:rPr>
          <w:rStyle w:val="normaltextrun"/>
          <w:rFonts w:eastAsiaTheme="minorEastAsia"/>
          <w:lang w:val="en-GB"/>
        </w:rPr>
        <w:t>d</w:t>
      </w:r>
      <w:r w:rsidR="00FD1BA0">
        <w:rPr>
          <w:rStyle w:val="normaltextrun"/>
          <w:rFonts w:eastAsiaTheme="minorEastAsia"/>
          <w:lang w:val="en-GB"/>
        </w:rPr>
        <w:t xml:space="preserve"> any </w:t>
      </w:r>
      <w:r w:rsidR="001651E9">
        <w:rPr>
          <w:rStyle w:val="normaltextrun"/>
          <w:rFonts w:eastAsiaTheme="minorEastAsia"/>
          <w:lang w:val="en-GB"/>
        </w:rPr>
        <w:t xml:space="preserve">changes that would deem their workers </w:t>
      </w:r>
      <w:r w:rsidR="007C64A0">
        <w:rPr>
          <w:rStyle w:val="normaltextrun"/>
          <w:rFonts w:eastAsiaTheme="minorEastAsia"/>
          <w:lang w:val="en-GB"/>
        </w:rPr>
        <w:t>to be</w:t>
      </w:r>
      <w:r w:rsidR="001651E9">
        <w:rPr>
          <w:rStyle w:val="normaltextrun"/>
          <w:rFonts w:eastAsiaTheme="minorEastAsia"/>
          <w:lang w:val="en-GB"/>
        </w:rPr>
        <w:t xml:space="preserve"> employees or require them to adopt minimum standards that mirror </w:t>
      </w:r>
      <w:r w:rsidR="00A94458">
        <w:rPr>
          <w:rStyle w:val="normaltextrun"/>
          <w:rFonts w:eastAsiaTheme="minorEastAsia"/>
          <w:lang w:val="en-GB"/>
        </w:rPr>
        <w:t xml:space="preserve">award </w:t>
      </w:r>
      <w:r w:rsidR="001651E9">
        <w:rPr>
          <w:rStyle w:val="normaltextrun"/>
          <w:rFonts w:eastAsiaTheme="minorEastAsia"/>
          <w:lang w:val="en-GB"/>
        </w:rPr>
        <w:t xml:space="preserve">conditions (for example, minimum </w:t>
      </w:r>
      <w:r w:rsidR="00453A86">
        <w:rPr>
          <w:rStyle w:val="normaltextrun"/>
          <w:rFonts w:eastAsiaTheme="minorEastAsia"/>
          <w:lang w:val="en-GB"/>
        </w:rPr>
        <w:t xml:space="preserve">shift lengths). </w:t>
      </w:r>
      <w:r w:rsidR="002C42EE">
        <w:rPr>
          <w:rStyle w:val="normaltextrun"/>
          <w:rFonts w:eastAsiaTheme="minorEastAsia"/>
          <w:lang w:val="en-GB"/>
        </w:rPr>
        <w:t>S</w:t>
      </w:r>
      <w:r w:rsidR="00B646AD">
        <w:rPr>
          <w:rStyle w:val="normaltextrun"/>
          <w:rFonts w:eastAsiaTheme="minorEastAsia"/>
        </w:rPr>
        <w:t>ome</w:t>
      </w:r>
      <w:r w:rsidR="00B56B82" w:rsidRPr="595C6062">
        <w:rPr>
          <w:rStyle w:val="normaltextrun"/>
          <w:rFonts w:eastAsiaTheme="minorEastAsia"/>
        </w:rPr>
        <w:t xml:space="preserve"> </w:t>
      </w:r>
      <w:r w:rsidR="005E6CBC">
        <w:rPr>
          <w:rStyle w:val="normaltextrun"/>
          <w:rFonts w:eastAsiaTheme="minorEastAsia"/>
        </w:rPr>
        <w:t>businesses criticised changes</w:t>
      </w:r>
      <w:r w:rsidR="002F166D">
        <w:rPr>
          <w:rStyle w:val="normaltextrun"/>
          <w:rFonts w:eastAsiaTheme="minorEastAsia"/>
        </w:rPr>
        <w:t xml:space="preserve"> that would extend beyond minimum rates of pay,</w:t>
      </w:r>
      <w:r w:rsidR="00B56B82" w:rsidRPr="595C6062">
        <w:rPr>
          <w:rStyle w:val="normaltextrun"/>
          <w:rFonts w:eastAsiaTheme="minorEastAsia"/>
        </w:rPr>
        <w:t xml:space="preserve"> such as agreement-making. </w:t>
      </w:r>
    </w:p>
    <w:p w14:paraId="5BD6FAF8" w14:textId="56FE9BBC" w:rsidR="00B56B82" w:rsidRPr="00B56B82" w:rsidRDefault="00B56B82" w:rsidP="004B4F63">
      <w:pPr>
        <w:rPr>
          <w:sz w:val="18"/>
          <w:szCs w:val="18"/>
        </w:rPr>
      </w:pPr>
      <w:r w:rsidRPr="42887156">
        <w:rPr>
          <w:rStyle w:val="normaltextrun"/>
          <w:rFonts w:eastAsiaTheme="minorEastAsia"/>
          <w:lang w:val="en-GB"/>
        </w:rPr>
        <w:t>Unions</w:t>
      </w:r>
      <w:r w:rsidR="00882833">
        <w:rPr>
          <w:rStyle w:val="normaltextrun"/>
          <w:rFonts w:eastAsiaTheme="minorEastAsia"/>
          <w:lang w:val="en-GB"/>
        </w:rPr>
        <w:t>,</w:t>
      </w:r>
      <w:r w:rsidRPr="42887156">
        <w:rPr>
          <w:rStyle w:val="normaltextrun"/>
          <w:rFonts w:eastAsiaTheme="minorEastAsia"/>
          <w:lang w:val="en-GB"/>
        </w:rPr>
        <w:t xml:space="preserve"> worker representatives </w:t>
      </w:r>
      <w:r w:rsidR="00655C93">
        <w:rPr>
          <w:rStyle w:val="normaltextrun"/>
          <w:rFonts w:eastAsiaTheme="minorEastAsia"/>
          <w:lang w:val="en-GB"/>
        </w:rPr>
        <w:t>and</w:t>
      </w:r>
      <w:r w:rsidRPr="7872A2D6">
        <w:rPr>
          <w:rStyle w:val="normaltextrun"/>
          <w:rFonts w:eastAsiaTheme="minorEastAsia"/>
          <w:lang w:val="en-GB"/>
        </w:rPr>
        <w:t xml:space="preserve"> </w:t>
      </w:r>
      <w:r w:rsidRPr="42887156">
        <w:rPr>
          <w:rStyle w:val="normaltextrun"/>
          <w:rFonts w:eastAsiaTheme="minorEastAsia"/>
          <w:lang w:val="en-GB"/>
        </w:rPr>
        <w:t>academics</w:t>
      </w:r>
      <w:r w:rsidR="00655C93">
        <w:rPr>
          <w:rStyle w:val="normaltextrun"/>
          <w:rFonts w:eastAsiaTheme="minorEastAsia"/>
          <w:lang w:val="en-GB"/>
        </w:rPr>
        <w:t xml:space="preserve"> </w:t>
      </w:r>
      <w:r w:rsidR="00F9776A">
        <w:rPr>
          <w:rStyle w:val="normaltextrun"/>
          <w:rFonts w:eastAsiaTheme="minorEastAsia"/>
          <w:lang w:val="en-GB"/>
        </w:rPr>
        <w:t xml:space="preserve">also </w:t>
      </w:r>
      <w:r w:rsidRPr="5B40BD69">
        <w:rPr>
          <w:rStyle w:val="normaltextrun"/>
          <w:rFonts w:eastAsiaTheme="minorEastAsia"/>
          <w:lang w:val="en-GB"/>
        </w:rPr>
        <w:t>support</w:t>
      </w:r>
      <w:r w:rsidR="71B41D97" w:rsidRPr="5B40BD69">
        <w:rPr>
          <w:rStyle w:val="normaltextrun"/>
          <w:rFonts w:eastAsiaTheme="minorEastAsia"/>
          <w:lang w:val="en-GB"/>
        </w:rPr>
        <w:t>ed</w:t>
      </w:r>
      <w:r w:rsidR="00896B66">
        <w:rPr>
          <w:rStyle w:val="normaltextrun"/>
          <w:rFonts w:eastAsiaTheme="minorEastAsia"/>
          <w:lang w:val="en-GB"/>
        </w:rPr>
        <w:t xml:space="preserve"> </w:t>
      </w:r>
      <w:r w:rsidRPr="42887156">
        <w:rPr>
          <w:rStyle w:val="normaltextrun"/>
          <w:rFonts w:eastAsiaTheme="minorEastAsia"/>
          <w:lang w:val="en-GB"/>
        </w:rPr>
        <w:t xml:space="preserve">minimum standards, </w:t>
      </w:r>
      <w:r w:rsidR="00F954D9">
        <w:rPr>
          <w:rStyle w:val="normaltextrun"/>
          <w:rFonts w:eastAsiaTheme="minorEastAsia"/>
          <w:lang w:val="en-GB"/>
        </w:rPr>
        <w:t>including those that extend</w:t>
      </w:r>
      <w:r w:rsidRPr="42887156">
        <w:rPr>
          <w:rStyle w:val="normaltextrun"/>
          <w:rFonts w:eastAsiaTheme="minorEastAsia"/>
          <w:lang w:val="en-GB"/>
        </w:rPr>
        <w:t xml:space="preserve"> beyond minimum rates of pay. For example, some stakeholders in this group </w:t>
      </w:r>
      <w:r w:rsidRPr="5B40BD69">
        <w:rPr>
          <w:rStyle w:val="normaltextrun"/>
          <w:rFonts w:eastAsiaTheme="minorEastAsia"/>
          <w:lang w:val="en-GB"/>
        </w:rPr>
        <w:t>call</w:t>
      </w:r>
      <w:r w:rsidR="656FC725" w:rsidRPr="5B40BD69">
        <w:rPr>
          <w:rStyle w:val="normaltextrun"/>
          <w:rFonts w:eastAsiaTheme="minorEastAsia"/>
          <w:lang w:val="en-GB"/>
        </w:rPr>
        <w:t>ed</w:t>
      </w:r>
      <w:r w:rsidR="00F954D9">
        <w:rPr>
          <w:rStyle w:val="normaltextrun"/>
          <w:rFonts w:eastAsiaTheme="minorEastAsia"/>
          <w:lang w:val="en-GB"/>
        </w:rPr>
        <w:t xml:space="preserve"> </w:t>
      </w:r>
      <w:r w:rsidRPr="42887156">
        <w:rPr>
          <w:rStyle w:val="normaltextrun"/>
          <w:rFonts w:eastAsiaTheme="minorEastAsia"/>
          <w:lang w:val="en-GB"/>
        </w:rPr>
        <w:t xml:space="preserve">for measures to improve the transparency of </w:t>
      </w:r>
      <w:r w:rsidR="00673C7D">
        <w:rPr>
          <w:rStyle w:val="normaltextrun"/>
          <w:rFonts w:eastAsiaTheme="minorEastAsia"/>
          <w:lang w:val="en-GB"/>
        </w:rPr>
        <w:t xml:space="preserve">algorithmic </w:t>
      </w:r>
      <w:r w:rsidRPr="42887156">
        <w:rPr>
          <w:rStyle w:val="normaltextrun"/>
          <w:rFonts w:eastAsiaTheme="minorEastAsia"/>
          <w:lang w:val="en-GB"/>
        </w:rPr>
        <w:t xml:space="preserve">decision-making affecting workers, remedies for </w:t>
      </w:r>
      <w:r w:rsidR="00673C7D">
        <w:rPr>
          <w:rStyle w:val="normaltextrun"/>
          <w:rFonts w:eastAsiaTheme="minorEastAsia"/>
          <w:lang w:val="en-GB"/>
        </w:rPr>
        <w:t>suspension from a platform</w:t>
      </w:r>
      <w:r w:rsidRPr="42887156">
        <w:rPr>
          <w:rStyle w:val="normaltextrun"/>
          <w:rFonts w:eastAsiaTheme="minorEastAsia"/>
          <w:lang w:val="en-GB"/>
        </w:rPr>
        <w:t xml:space="preserve"> and access to collective bargaining processes</w:t>
      </w:r>
      <w:r w:rsidR="000278D0">
        <w:rPr>
          <w:rStyle w:val="normaltextrun"/>
          <w:rFonts w:eastAsiaTheme="minorEastAsia"/>
          <w:lang w:val="en-GB"/>
        </w:rPr>
        <w:t>, including the ability to take protected industrial action</w:t>
      </w:r>
      <w:r w:rsidRPr="42887156">
        <w:rPr>
          <w:rStyle w:val="normaltextrun"/>
          <w:rFonts w:eastAsiaTheme="minorEastAsia"/>
          <w:lang w:val="en-GB"/>
        </w:rPr>
        <w:t>. </w:t>
      </w:r>
    </w:p>
    <w:p w14:paraId="3A8DAFCB" w14:textId="7BA6EC36" w:rsidR="00F40022" w:rsidRDefault="002D0C4D" w:rsidP="004B4F63">
      <w:r w:rsidRPr="00F9171A">
        <w:t>Some stakeholders, particularly</w:t>
      </w:r>
      <w:r>
        <w:t xml:space="preserve"> represented amongst</w:t>
      </w:r>
      <w:r w:rsidRPr="00F9171A">
        <w:t xml:space="preserve"> s</w:t>
      </w:r>
      <w:r w:rsidR="00BF5AAA" w:rsidRPr="002D0C4D">
        <w:t>tate</w:t>
      </w:r>
      <w:r w:rsidR="00BF5AAA">
        <w:t xml:space="preserve"> and territory governments, unions</w:t>
      </w:r>
      <w:r w:rsidR="00F47B0D">
        <w:t xml:space="preserve"> and worker </w:t>
      </w:r>
      <w:r w:rsidR="00F47B0D" w:rsidRPr="004B4F63">
        <w:rPr>
          <w:rStyle w:val="normaltextrun"/>
          <w:rFonts w:eastAsiaTheme="minorEastAsia"/>
          <w:lang w:val="en-GB"/>
        </w:rPr>
        <w:t>representatives</w:t>
      </w:r>
      <w:r w:rsidR="00F47B0D">
        <w:t xml:space="preserve"> </w:t>
      </w:r>
      <w:r w:rsidR="00BF5AAA">
        <w:t xml:space="preserve">and academics </w:t>
      </w:r>
      <w:r w:rsidR="009757D6">
        <w:t>call</w:t>
      </w:r>
      <w:r w:rsidR="4297C4EB">
        <w:t>ed</w:t>
      </w:r>
      <w:r w:rsidR="009757D6">
        <w:t xml:space="preserve"> </w:t>
      </w:r>
      <w:r w:rsidR="008B3E15">
        <w:t>for a</w:t>
      </w:r>
      <w:r w:rsidR="00BF5AAA">
        <w:t xml:space="preserve"> statutory definition of employee </w:t>
      </w:r>
      <w:r w:rsidR="009757D6">
        <w:t>as</w:t>
      </w:r>
      <w:r w:rsidR="00BF5AAA">
        <w:t xml:space="preserve"> an essential </w:t>
      </w:r>
      <w:r w:rsidR="003C4240">
        <w:t>component of</w:t>
      </w:r>
      <w:r w:rsidR="006C3643">
        <w:t xml:space="preserve"> </w:t>
      </w:r>
      <w:r w:rsidR="006D3334">
        <w:t xml:space="preserve">implementing </w:t>
      </w:r>
      <w:r w:rsidR="006C3643">
        <w:t>the</w:t>
      </w:r>
      <w:r w:rsidR="003C4240">
        <w:t xml:space="preserve"> employee-like </w:t>
      </w:r>
      <w:r w:rsidR="006C3643">
        <w:t>commitment</w:t>
      </w:r>
      <w:r w:rsidR="00BF5AAA">
        <w:t>.</w:t>
      </w:r>
      <w:r w:rsidR="003C4240">
        <w:t xml:space="preserve"> </w:t>
      </w:r>
      <w:r w:rsidR="00853BF6">
        <w:t>These stakeholders</w:t>
      </w:r>
      <w:r w:rsidR="00577C21">
        <w:t xml:space="preserve"> </w:t>
      </w:r>
      <w:r w:rsidR="002D1B7A">
        <w:t>consider</w:t>
      </w:r>
      <w:r w:rsidR="2EA353B7">
        <w:t>ed</w:t>
      </w:r>
      <w:r w:rsidR="00853BF6">
        <w:t xml:space="preserve"> that</w:t>
      </w:r>
      <w:r w:rsidR="0056524C">
        <w:t xml:space="preserve"> </w:t>
      </w:r>
      <w:r w:rsidR="006D3334">
        <w:t xml:space="preserve">a potential adverse outcome of </w:t>
      </w:r>
      <w:r w:rsidR="0056524C">
        <w:t xml:space="preserve">providing minimum standards to employee-like workers </w:t>
      </w:r>
      <w:r w:rsidR="008B7F94">
        <w:t>c</w:t>
      </w:r>
      <w:r w:rsidR="0056524C">
        <w:t>ould</w:t>
      </w:r>
      <w:r w:rsidR="00036969">
        <w:t xml:space="preserve"> </w:t>
      </w:r>
      <w:r w:rsidR="006D3334">
        <w:t>be to</w:t>
      </w:r>
      <w:r w:rsidR="00036969">
        <w:t xml:space="preserve"> </w:t>
      </w:r>
      <w:r w:rsidR="00386115">
        <w:t>incentivise the use of independent contractors instead of employees, leading to a</w:t>
      </w:r>
      <w:r w:rsidR="004D1B27">
        <w:t xml:space="preserve"> cohort of workers losing access to the safety net and protections that employment provides.</w:t>
      </w:r>
      <w:r w:rsidR="0064042E">
        <w:t xml:space="preserve"> As</w:t>
      </w:r>
      <w:r w:rsidR="00985E56">
        <w:t xml:space="preserve"> the common law definition of employee </w:t>
      </w:r>
      <w:r w:rsidR="00173EF0">
        <w:t xml:space="preserve">does not assess the </w:t>
      </w:r>
      <w:r w:rsidR="0064042E">
        <w:t>totality</w:t>
      </w:r>
      <w:r w:rsidR="00173EF0">
        <w:t xml:space="preserve"> of the relationship, </w:t>
      </w:r>
      <w:r w:rsidR="002D1B7A">
        <w:t xml:space="preserve">they </w:t>
      </w:r>
      <w:r w:rsidR="00766C64">
        <w:t>raised concern</w:t>
      </w:r>
      <w:r w:rsidR="00AE1D18">
        <w:t xml:space="preserve"> </w:t>
      </w:r>
      <w:r w:rsidR="00964BED">
        <w:t xml:space="preserve">that this could </w:t>
      </w:r>
      <w:r w:rsidR="00AF5DAC">
        <w:t xml:space="preserve">result in </w:t>
      </w:r>
      <w:r w:rsidR="005D2564">
        <w:t>businesses shift</w:t>
      </w:r>
      <w:r w:rsidR="004F6389">
        <w:t>ing</w:t>
      </w:r>
      <w:r w:rsidR="00F25813">
        <w:t xml:space="preserve"> </w:t>
      </w:r>
      <w:r w:rsidR="005D2564">
        <w:t>from employing to contracting models</w:t>
      </w:r>
      <w:r w:rsidR="004F6389">
        <w:t xml:space="preserve"> on a large-scale. Th</w:t>
      </w:r>
      <w:r w:rsidR="007D1ADB">
        <w:t xml:space="preserve">ese stakeholders </w:t>
      </w:r>
      <w:r w:rsidR="00766C64">
        <w:t>argue</w:t>
      </w:r>
      <w:r w:rsidR="4CD74030">
        <w:t>d</w:t>
      </w:r>
      <w:r w:rsidR="00766C64">
        <w:t xml:space="preserve"> </w:t>
      </w:r>
      <w:r w:rsidR="006D4208">
        <w:t xml:space="preserve">that a statutory definition of employment that considers the totality of the relationship rather than </w:t>
      </w:r>
      <w:r w:rsidR="007E2456">
        <w:t xml:space="preserve">focusing on the terms of the contract would </w:t>
      </w:r>
      <w:r w:rsidR="00583DFC">
        <w:t xml:space="preserve">help to ensure that workers are appropriately classified as an employee or independent contractor. </w:t>
      </w:r>
    </w:p>
    <w:p w14:paraId="03770E23" w14:textId="00C3D305" w:rsidR="009E450C" w:rsidRDefault="009E450C" w:rsidP="004B4F63">
      <w:r>
        <w:t>However, digital platforms and other businesses</w:t>
      </w:r>
      <w:r w:rsidR="00583DFC">
        <w:t xml:space="preserve"> generally</w:t>
      </w:r>
      <w:r>
        <w:t xml:space="preserve"> </w:t>
      </w:r>
      <w:r w:rsidR="00282A61">
        <w:t>oppose</w:t>
      </w:r>
      <w:r w:rsidR="1D0953CB">
        <w:t>d</w:t>
      </w:r>
      <w:r w:rsidR="00282A61">
        <w:t xml:space="preserve"> </w:t>
      </w:r>
      <w:r w:rsidR="00454485">
        <w:t xml:space="preserve">any change to the current common law </w:t>
      </w:r>
      <w:r w:rsidR="00454485" w:rsidRPr="004B4F63">
        <w:rPr>
          <w:rStyle w:val="normaltextrun"/>
          <w:rFonts w:eastAsiaTheme="minorEastAsia"/>
          <w:lang w:val="en-GB"/>
        </w:rPr>
        <w:t>definition</w:t>
      </w:r>
      <w:r w:rsidR="00454485">
        <w:t xml:space="preserve"> of employee</w:t>
      </w:r>
      <w:r w:rsidR="008B3E15">
        <w:t>, arguing that the common law definition provides certainty</w:t>
      </w:r>
      <w:r w:rsidR="00A07D3C">
        <w:t xml:space="preserve"> and that change could result in </w:t>
      </w:r>
      <w:r w:rsidR="00086816">
        <w:t xml:space="preserve">the reclassification of </w:t>
      </w:r>
      <w:r w:rsidR="006B4324">
        <w:t>their workers as employees</w:t>
      </w:r>
      <w:r w:rsidR="008B3E15">
        <w:t>.</w:t>
      </w:r>
    </w:p>
    <w:p w14:paraId="435A9832" w14:textId="17CD92B9" w:rsidR="00BA4301" w:rsidRPr="003115F0" w:rsidRDefault="00BA4301" w:rsidP="00F60F5C">
      <w:pPr>
        <w:pStyle w:val="Heading3"/>
      </w:pPr>
      <w:bookmarkStart w:id="36" w:name="_Toc139295545"/>
      <w:r w:rsidRPr="003115F0">
        <w:t>Minimum standards in the road transport industry</w:t>
      </w:r>
      <w:bookmarkEnd w:id="36"/>
      <w:r w:rsidRPr="003115F0">
        <w:t xml:space="preserve"> </w:t>
      </w:r>
    </w:p>
    <w:p w14:paraId="18042F88" w14:textId="440475CB" w:rsidR="00A02223" w:rsidRDefault="000D548B" w:rsidP="003D26DD">
      <w:pPr>
        <w:rPr>
          <w:rFonts w:eastAsiaTheme="minorEastAsia"/>
        </w:rPr>
      </w:pPr>
      <w:r>
        <w:rPr>
          <w:rStyle w:val="normaltextrun"/>
          <w:rFonts w:cs="Calibri"/>
          <w:color w:val="000000"/>
          <w:shd w:val="clear" w:color="auto" w:fill="FFFFFF"/>
        </w:rPr>
        <w:t>U</w:t>
      </w:r>
      <w:r w:rsidR="00642FB4">
        <w:rPr>
          <w:rStyle w:val="normaltextrun"/>
          <w:rFonts w:cs="Calibri"/>
          <w:color w:val="000000"/>
          <w:shd w:val="clear" w:color="auto" w:fill="FFFFFF"/>
        </w:rPr>
        <w:t>nions and academics strongly advocate</w:t>
      </w:r>
      <w:r w:rsidR="553F0CB6" w:rsidRPr="3E35C633">
        <w:rPr>
          <w:rStyle w:val="normaltextrun"/>
          <w:rFonts w:cs="Calibri"/>
          <w:color w:val="000000" w:themeColor="text1"/>
        </w:rPr>
        <w:t>d</w:t>
      </w:r>
      <w:r w:rsidR="00642FB4">
        <w:rPr>
          <w:rStyle w:val="normaltextrun"/>
          <w:rFonts w:cs="Calibri"/>
          <w:color w:val="000000"/>
          <w:shd w:val="clear" w:color="auto" w:fill="FFFFFF"/>
        </w:rPr>
        <w:t xml:space="preserve"> for </w:t>
      </w:r>
      <w:r w:rsidR="0018556F">
        <w:rPr>
          <w:rStyle w:val="normaltextrun"/>
          <w:rFonts w:cs="Calibri"/>
          <w:color w:val="000000"/>
          <w:shd w:val="clear" w:color="auto" w:fill="FFFFFF"/>
        </w:rPr>
        <w:t>minimum</w:t>
      </w:r>
      <w:r w:rsidR="00642FB4">
        <w:rPr>
          <w:rStyle w:val="normaltextrun"/>
          <w:rFonts w:cs="Calibri"/>
          <w:color w:val="000000"/>
          <w:shd w:val="clear" w:color="auto" w:fill="FFFFFF"/>
        </w:rPr>
        <w:t xml:space="preserve"> standards </w:t>
      </w:r>
      <w:r w:rsidR="0018556F">
        <w:rPr>
          <w:rStyle w:val="normaltextrun"/>
          <w:rFonts w:cs="Calibri"/>
          <w:color w:val="000000"/>
          <w:shd w:val="clear" w:color="auto" w:fill="FFFFFF"/>
        </w:rPr>
        <w:t>in</w:t>
      </w:r>
      <w:r w:rsidR="00642FB4">
        <w:rPr>
          <w:rStyle w:val="normaltextrun"/>
          <w:rFonts w:cs="Calibri"/>
          <w:color w:val="000000"/>
          <w:shd w:val="clear" w:color="auto" w:fill="FFFFFF"/>
        </w:rPr>
        <w:t xml:space="preserve"> the road transport industry</w:t>
      </w:r>
      <w:r w:rsidR="007F770B">
        <w:rPr>
          <w:rStyle w:val="normaltextrun"/>
          <w:rFonts w:cs="Calibri"/>
          <w:color w:val="000000"/>
          <w:shd w:val="clear" w:color="auto" w:fill="FFFFFF"/>
        </w:rPr>
        <w:t xml:space="preserve">. Additionally, </w:t>
      </w:r>
      <w:r w:rsidR="007F770B" w:rsidRPr="004B4F63">
        <w:rPr>
          <w:rStyle w:val="normaltextrun"/>
          <w:rFonts w:eastAsiaTheme="minorEastAsia"/>
          <w:lang w:val="en-GB"/>
        </w:rPr>
        <w:t>s</w:t>
      </w:r>
      <w:r w:rsidR="007F770B" w:rsidRPr="004B4F63">
        <w:rPr>
          <w:rFonts w:eastAsiaTheme="minorEastAsia"/>
          <w:lang w:val="en-GB"/>
        </w:rPr>
        <w:t>ome</w:t>
      </w:r>
      <w:r w:rsidR="007F770B">
        <w:rPr>
          <w:rFonts w:eastAsiaTheme="minorEastAsia"/>
        </w:rPr>
        <w:t xml:space="preserve"> road transport organisations expressed support for confined minimum standards, particularly following </w:t>
      </w:r>
      <w:r w:rsidR="00D15256">
        <w:rPr>
          <w:rFonts w:eastAsiaTheme="minorEastAsia"/>
        </w:rPr>
        <w:t>an</w:t>
      </w:r>
      <w:r w:rsidR="007F770B">
        <w:rPr>
          <w:rFonts w:eastAsiaTheme="minorEastAsia"/>
        </w:rPr>
        <w:t xml:space="preserve"> industry roundtable</w:t>
      </w:r>
      <w:r w:rsidR="00D15256">
        <w:rPr>
          <w:rFonts w:eastAsiaTheme="minorEastAsia"/>
        </w:rPr>
        <w:t xml:space="preserve"> held in August 2022</w:t>
      </w:r>
      <w:r w:rsidR="2410CDDA" w:rsidRPr="094A3B47">
        <w:rPr>
          <w:rFonts w:eastAsiaTheme="minorEastAsia"/>
        </w:rPr>
        <w:t xml:space="preserve"> </w:t>
      </w:r>
      <w:r w:rsidR="2410CDDA" w:rsidRPr="041CFD23">
        <w:rPr>
          <w:rFonts w:eastAsiaTheme="minorEastAsia"/>
        </w:rPr>
        <w:t xml:space="preserve">where </w:t>
      </w:r>
      <w:r w:rsidR="2410CDDA" w:rsidRPr="6213DFB5">
        <w:rPr>
          <w:rFonts w:eastAsiaTheme="minorEastAsia"/>
        </w:rPr>
        <w:t>participants</w:t>
      </w:r>
      <w:r w:rsidR="2410CDDA" w:rsidRPr="287314D5">
        <w:rPr>
          <w:rFonts w:eastAsiaTheme="minorEastAsia"/>
        </w:rPr>
        <w:t xml:space="preserve"> agreed</w:t>
      </w:r>
      <w:r w:rsidR="2410CDDA" w:rsidRPr="6213DFB5">
        <w:rPr>
          <w:rFonts w:eastAsiaTheme="minorEastAsia"/>
        </w:rPr>
        <w:t xml:space="preserve"> </w:t>
      </w:r>
      <w:r w:rsidR="005750A6">
        <w:rPr>
          <w:rFonts w:eastAsiaTheme="minorEastAsia"/>
        </w:rPr>
        <w:t xml:space="preserve">to </w:t>
      </w:r>
      <w:r w:rsidR="2410CDDA" w:rsidRPr="6213DFB5">
        <w:rPr>
          <w:rFonts w:eastAsiaTheme="minorEastAsia"/>
        </w:rPr>
        <w:t xml:space="preserve">principles for a </w:t>
      </w:r>
      <w:r w:rsidR="2410CDDA" w:rsidRPr="7E74E5B6">
        <w:rPr>
          <w:rFonts w:eastAsiaTheme="minorEastAsia"/>
        </w:rPr>
        <w:t>‘</w:t>
      </w:r>
      <w:r w:rsidR="2410CDDA" w:rsidRPr="6213DFB5">
        <w:rPr>
          <w:rFonts w:eastAsiaTheme="minorEastAsia"/>
        </w:rPr>
        <w:t>safe, sustainable and fair road transport industry’</w:t>
      </w:r>
      <w:r w:rsidR="007F770B">
        <w:rPr>
          <w:rFonts w:eastAsiaTheme="minorEastAsia"/>
        </w:rPr>
        <w:t>.</w:t>
      </w:r>
      <w:r w:rsidR="00717271" w:rsidDel="00745289">
        <w:rPr>
          <w:rFonts w:eastAsiaTheme="minorEastAsia"/>
        </w:rPr>
        <w:t xml:space="preserve"> </w:t>
      </w:r>
      <w:r w:rsidR="00110A32">
        <w:rPr>
          <w:rFonts w:eastAsiaTheme="minorEastAsia"/>
        </w:rPr>
        <w:t>During consultation, s</w:t>
      </w:r>
      <w:r w:rsidR="00A02223">
        <w:rPr>
          <w:rFonts w:eastAsiaTheme="minorEastAsia"/>
        </w:rPr>
        <w:t xml:space="preserve">ome road transport stakeholders </w:t>
      </w:r>
      <w:r w:rsidR="00E91D13">
        <w:rPr>
          <w:rFonts w:eastAsiaTheme="minorEastAsia"/>
        </w:rPr>
        <w:t xml:space="preserve">also </w:t>
      </w:r>
      <w:r w:rsidR="00A02223">
        <w:rPr>
          <w:rFonts w:eastAsiaTheme="minorEastAsia"/>
        </w:rPr>
        <w:t xml:space="preserve">expressed that </w:t>
      </w:r>
      <w:r w:rsidR="00B43819">
        <w:rPr>
          <w:rFonts w:eastAsiaTheme="minorEastAsia"/>
        </w:rPr>
        <w:t xml:space="preserve">while </w:t>
      </w:r>
      <w:r w:rsidR="00110A32">
        <w:rPr>
          <w:rFonts w:eastAsiaTheme="minorEastAsia"/>
        </w:rPr>
        <w:t>this</w:t>
      </w:r>
      <w:r w:rsidR="00B43819">
        <w:rPr>
          <w:rFonts w:eastAsiaTheme="minorEastAsia"/>
        </w:rPr>
        <w:t xml:space="preserve"> would increase the regulatory burden for some </w:t>
      </w:r>
      <w:r w:rsidR="0058046E">
        <w:rPr>
          <w:rFonts w:eastAsiaTheme="minorEastAsia"/>
        </w:rPr>
        <w:t xml:space="preserve">road transport businesses, </w:t>
      </w:r>
      <w:r w:rsidR="000479B2">
        <w:rPr>
          <w:rFonts w:eastAsiaTheme="minorEastAsia"/>
        </w:rPr>
        <w:t>it</w:t>
      </w:r>
      <w:r w:rsidR="00CC68BB">
        <w:rPr>
          <w:rFonts w:eastAsiaTheme="minorEastAsia"/>
        </w:rPr>
        <w:t xml:space="preserve"> is a necessary step </w:t>
      </w:r>
      <w:r w:rsidR="00255EBD">
        <w:rPr>
          <w:rFonts w:eastAsiaTheme="minorEastAsia"/>
        </w:rPr>
        <w:t>to ensure the fairness and viability of the industry.</w:t>
      </w:r>
    </w:p>
    <w:p w14:paraId="7575EBA6" w14:textId="494BA6BC" w:rsidR="00FE5ECF" w:rsidRDefault="00745289" w:rsidP="003D26DD">
      <w:pPr>
        <w:rPr>
          <w:rStyle w:val="normaltextrun"/>
          <w:rFonts w:cs="Calibri"/>
          <w:color w:val="000000" w:themeColor="text1"/>
        </w:rPr>
      </w:pPr>
      <w:r>
        <w:rPr>
          <w:rFonts w:eastAsiaTheme="minorEastAsia"/>
        </w:rPr>
        <w:t xml:space="preserve">Most </w:t>
      </w:r>
      <w:r w:rsidR="00717271">
        <w:rPr>
          <w:rFonts w:eastAsiaTheme="minorEastAsia"/>
        </w:rPr>
        <w:t>b</w:t>
      </w:r>
      <w:r w:rsidR="00743F85">
        <w:rPr>
          <w:rFonts w:eastAsiaTheme="minorEastAsia"/>
        </w:rPr>
        <w:t>usinesses</w:t>
      </w:r>
      <w:r w:rsidR="007F770B">
        <w:rPr>
          <w:rFonts w:eastAsiaTheme="minorEastAsia"/>
        </w:rPr>
        <w:t xml:space="preserve"> </w:t>
      </w:r>
      <w:r w:rsidR="007F770B" w:rsidRPr="3E35C633">
        <w:rPr>
          <w:rFonts w:eastAsiaTheme="minorEastAsia"/>
        </w:rPr>
        <w:t>oppose</w:t>
      </w:r>
      <w:r w:rsidR="230E2DF0" w:rsidRPr="3E35C633">
        <w:rPr>
          <w:rFonts w:eastAsiaTheme="minorEastAsia"/>
        </w:rPr>
        <w:t>d</w:t>
      </w:r>
      <w:r w:rsidR="007F770B">
        <w:rPr>
          <w:rFonts w:eastAsiaTheme="minorEastAsia"/>
        </w:rPr>
        <w:t xml:space="preserve"> </w:t>
      </w:r>
      <w:r w:rsidR="00180CFF">
        <w:rPr>
          <w:rFonts w:eastAsiaTheme="minorEastAsia"/>
        </w:rPr>
        <w:t>changes that would</w:t>
      </w:r>
      <w:r w:rsidR="007F770B">
        <w:rPr>
          <w:rFonts w:eastAsiaTheme="minorEastAsia"/>
        </w:rPr>
        <w:t xml:space="preserve"> resemble</w:t>
      </w:r>
      <w:r w:rsidR="00180CFF">
        <w:rPr>
          <w:rFonts w:eastAsiaTheme="minorEastAsia"/>
        </w:rPr>
        <w:t xml:space="preserve"> </w:t>
      </w:r>
      <w:r w:rsidR="007F770B">
        <w:rPr>
          <w:rFonts w:eastAsiaTheme="minorEastAsia"/>
        </w:rPr>
        <w:t xml:space="preserve">a return to the </w:t>
      </w:r>
      <w:r w:rsidR="00180CFF">
        <w:rPr>
          <w:rFonts w:eastAsiaTheme="minorEastAsia"/>
        </w:rPr>
        <w:t>former Road Safety Remuneration Tribunal</w:t>
      </w:r>
      <w:r w:rsidR="007F770B">
        <w:rPr>
          <w:rFonts w:eastAsiaTheme="minorEastAsia"/>
        </w:rPr>
        <w:t xml:space="preserve"> model</w:t>
      </w:r>
      <w:r w:rsidR="00180CFF">
        <w:rPr>
          <w:rFonts w:eastAsiaTheme="minorEastAsia"/>
        </w:rPr>
        <w:t>.</w:t>
      </w:r>
      <w:r w:rsidR="25C6BD4E" w:rsidRPr="134DD0E1">
        <w:rPr>
          <w:rStyle w:val="normaltextrun"/>
          <w:rFonts w:cs="Calibri"/>
          <w:color w:val="000000" w:themeColor="text1"/>
        </w:rPr>
        <w:t xml:space="preserve"> </w:t>
      </w:r>
      <w:r w:rsidR="00D80AA2">
        <w:rPr>
          <w:rStyle w:val="normaltextrun"/>
          <w:rFonts w:cs="Calibri"/>
          <w:color w:val="000000" w:themeColor="text1"/>
        </w:rPr>
        <w:t xml:space="preserve">In particular, they </w:t>
      </w:r>
      <w:r w:rsidR="008A1E01">
        <w:rPr>
          <w:rStyle w:val="normaltextrun"/>
          <w:rFonts w:cs="Calibri"/>
          <w:color w:val="000000" w:themeColor="text1"/>
        </w:rPr>
        <w:t xml:space="preserve">emphasised the need for guardrails to safeguard driver viability, supported by appropriate contractual chain arrangements, and for </w:t>
      </w:r>
      <w:r w:rsidR="006873A6">
        <w:rPr>
          <w:rStyle w:val="normaltextrun"/>
          <w:rFonts w:cs="Calibri"/>
          <w:color w:val="000000" w:themeColor="text1"/>
        </w:rPr>
        <w:t xml:space="preserve">extensive industry consultation before introducing minimum standards for road transport workers. </w:t>
      </w:r>
    </w:p>
    <w:p w14:paraId="30A7F90C" w14:textId="56B51000" w:rsidR="00FE5ECF" w:rsidRPr="003115F0" w:rsidRDefault="00D15041" w:rsidP="00F60F5C">
      <w:pPr>
        <w:pStyle w:val="Heading3"/>
      </w:pPr>
      <w:bookmarkStart w:id="37" w:name="_Toc139295546"/>
      <w:r w:rsidRPr="003115F0">
        <w:t xml:space="preserve">Access to dispute resolution </w:t>
      </w:r>
      <w:r w:rsidR="00AD61C2" w:rsidRPr="003115F0">
        <w:t>over unfair contracts</w:t>
      </w:r>
      <w:bookmarkEnd w:id="37"/>
    </w:p>
    <w:p w14:paraId="36E76027" w14:textId="7020DE95" w:rsidR="00D15041" w:rsidRPr="00D15041" w:rsidRDefault="00ED6BA3" w:rsidP="003D26DD">
      <w:r>
        <w:t xml:space="preserve">Unions and academics generally supported improving access to dispute resolution </w:t>
      </w:r>
      <w:r w:rsidR="00AD61C2">
        <w:t>over</w:t>
      </w:r>
      <w:r>
        <w:t xml:space="preserve"> unfair </w:t>
      </w:r>
      <w:r w:rsidR="00AD61C2">
        <w:t>contracts</w:t>
      </w:r>
      <w:r w:rsidR="000F78C8">
        <w:t xml:space="preserve"> </w:t>
      </w:r>
      <w:r w:rsidR="003D7F11">
        <w:t xml:space="preserve">by </w:t>
      </w:r>
      <w:r w:rsidR="00AD61C2">
        <w:t>introducing</w:t>
      </w:r>
      <w:r w:rsidR="003D7F11">
        <w:t xml:space="preserve"> a Fair Work Commission jurisdiction. </w:t>
      </w:r>
      <w:r w:rsidR="00AD61C2">
        <w:t>S</w:t>
      </w:r>
      <w:r>
        <w:t xml:space="preserve">ome businesses </w:t>
      </w:r>
      <w:r w:rsidR="00777928">
        <w:t xml:space="preserve">noted </w:t>
      </w:r>
      <w:r w:rsidR="00FC2D03">
        <w:t>that</w:t>
      </w:r>
      <w:r w:rsidR="003662CE">
        <w:t xml:space="preserve"> </w:t>
      </w:r>
      <w:r w:rsidR="00A309A8">
        <w:t>the</w:t>
      </w:r>
      <w:r w:rsidR="00FC2D03">
        <w:t xml:space="preserve"> existing unfair </w:t>
      </w:r>
      <w:r w:rsidR="00FC2D03" w:rsidRPr="004B4F63">
        <w:rPr>
          <w:rStyle w:val="normaltextrun"/>
          <w:rFonts w:eastAsiaTheme="minorEastAsia"/>
          <w:lang w:val="en-GB"/>
        </w:rPr>
        <w:t>contract</w:t>
      </w:r>
      <w:r w:rsidR="00FC2D03">
        <w:t xml:space="preserve"> </w:t>
      </w:r>
      <w:r w:rsidR="00AD61C2">
        <w:t>provisions</w:t>
      </w:r>
      <w:r w:rsidR="00C61E83">
        <w:t xml:space="preserve"> in the Independent Contractors Act and Australian Consumer Law</w:t>
      </w:r>
      <w:r w:rsidR="00FC2D03">
        <w:t xml:space="preserve"> are sufficient</w:t>
      </w:r>
      <w:r w:rsidR="00E40F62">
        <w:t>, while acknowledging that they have been rarely used</w:t>
      </w:r>
      <w:r w:rsidR="00FC2D03">
        <w:t xml:space="preserve">. </w:t>
      </w:r>
    </w:p>
    <w:p w14:paraId="33F58E6A" w14:textId="0C39E358" w:rsidR="00F25813" w:rsidRDefault="00CA5D07" w:rsidP="00DB2823">
      <w:pPr>
        <w:pStyle w:val="Heading1"/>
        <w:numPr>
          <w:ilvl w:val="0"/>
          <w:numId w:val="1"/>
        </w:numPr>
        <w:spacing w:before="120" w:after="120" w:line="240" w:lineRule="auto"/>
      </w:pPr>
      <w:r>
        <w:br w:type="column"/>
      </w:r>
      <w:bookmarkStart w:id="38" w:name="_Toc139295547"/>
      <w:r w:rsidR="00F25813">
        <w:t>What policy options have been considered?</w:t>
      </w:r>
      <w:bookmarkEnd w:id="38"/>
    </w:p>
    <w:p w14:paraId="2DC40913" w14:textId="73C15524" w:rsidR="00113BFA" w:rsidRDefault="00113BFA" w:rsidP="00D2146D">
      <w:pPr>
        <w:pStyle w:val="Heading2"/>
        <w:spacing w:after="200"/>
      </w:pPr>
      <w:bookmarkStart w:id="39" w:name="_Toc139295548"/>
      <w:r>
        <w:t>Summary</w:t>
      </w:r>
      <w:r w:rsidRPr="00B24E64">
        <w:t xml:space="preserve"> of reform options</w:t>
      </w:r>
      <w:bookmarkEnd w:id="39"/>
    </w:p>
    <w:p w14:paraId="549CF797" w14:textId="77777777" w:rsidR="00113BFA" w:rsidRPr="00CB704E" w:rsidRDefault="00113BFA" w:rsidP="00113BFA">
      <w:r>
        <w:t xml:space="preserve">This </w:t>
      </w:r>
      <w:r w:rsidRPr="008B793A">
        <w:t>Impact Analysis Equivalent process</w:t>
      </w:r>
      <w:r>
        <w:t xml:space="preserve"> assesses options to i) extend minimum standards to more workers, and ii) </w:t>
      </w:r>
      <w:r w:rsidRPr="004B4F63">
        <w:rPr>
          <w:rStyle w:val="normaltextrun"/>
          <w:rFonts w:eastAsiaTheme="minorEastAsia"/>
          <w:lang w:val="en-GB"/>
        </w:rPr>
        <w:t>improve</w:t>
      </w:r>
      <w:r>
        <w:t xml:space="preserve"> access to dispute resolution of unfair contracts. Together, these measures would strengthen protections for independent contractors in Australia. </w:t>
      </w:r>
    </w:p>
    <w:p w14:paraId="62811D0A" w14:textId="246078AD" w:rsidR="21E99534" w:rsidRDefault="21E99534" w:rsidP="03A6D800">
      <w:pPr>
        <w:rPr>
          <w:b/>
          <w:bCs/>
        </w:rPr>
      </w:pPr>
      <w:r w:rsidRPr="03A6D800">
        <w:rPr>
          <w:b/>
          <w:bCs/>
        </w:rPr>
        <w:t>Table 5</w:t>
      </w:r>
      <w:r w:rsidR="063F9CD9" w:rsidRPr="7C0A88C5">
        <w:rPr>
          <w:b/>
          <w:bCs/>
        </w:rPr>
        <w:t xml:space="preserve"> –</w:t>
      </w:r>
      <w:r w:rsidRPr="03A6D800">
        <w:rPr>
          <w:b/>
          <w:bCs/>
        </w:rPr>
        <w:t xml:space="preserve"> Options for extending minimum standards to more workers</w:t>
      </w:r>
    </w:p>
    <w:tbl>
      <w:tblPr>
        <w:tblStyle w:val="TableGrid"/>
        <w:tblW w:w="0" w:type="auto"/>
        <w:tblLook w:val="04A0" w:firstRow="1" w:lastRow="0" w:firstColumn="1" w:lastColumn="0" w:noHBand="0" w:noVBand="1"/>
      </w:tblPr>
      <w:tblGrid>
        <w:gridCol w:w="2315"/>
        <w:gridCol w:w="2314"/>
        <w:gridCol w:w="2314"/>
        <w:gridCol w:w="2117"/>
      </w:tblGrid>
      <w:tr w:rsidR="00113BFA" w14:paraId="582F8345" w14:textId="77777777">
        <w:tc>
          <w:tcPr>
            <w:tcW w:w="9060" w:type="dxa"/>
            <w:gridSpan w:val="4"/>
            <w:shd w:val="clear" w:color="auto" w:fill="404040" w:themeFill="text1" w:themeFillTint="BF"/>
          </w:tcPr>
          <w:p w14:paraId="24D345F5" w14:textId="5AEC2C34" w:rsidR="00113BFA" w:rsidRPr="00822031" w:rsidRDefault="00113BFA">
            <w:pPr>
              <w:spacing w:before="240"/>
              <w:jc w:val="center"/>
              <w:rPr>
                <w:b/>
                <w:bCs/>
                <w:color w:val="FFFFFF" w:themeColor="background1"/>
              </w:rPr>
            </w:pPr>
            <w:r w:rsidRPr="00822031">
              <w:rPr>
                <w:b/>
                <w:bCs/>
                <w:color w:val="FFFFFF" w:themeColor="background1"/>
              </w:rPr>
              <w:t>Extending minimum standards to more workers</w:t>
            </w:r>
          </w:p>
        </w:tc>
      </w:tr>
      <w:tr w:rsidR="00113BFA" w14:paraId="7224C825" w14:textId="77777777">
        <w:tc>
          <w:tcPr>
            <w:tcW w:w="2315" w:type="dxa"/>
            <w:shd w:val="clear" w:color="auto" w:fill="404040" w:themeFill="text1" w:themeFillTint="BF"/>
          </w:tcPr>
          <w:p w14:paraId="31CBE1E8" w14:textId="77777777" w:rsidR="00113BFA" w:rsidRPr="00822031" w:rsidRDefault="00113BFA">
            <w:pPr>
              <w:jc w:val="center"/>
              <w:rPr>
                <w:b/>
                <w:bCs/>
                <w:color w:val="FFFFFF" w:themeColor="background1"/>
              </w:rPr>
            </w:pPr>
            <w:r w:rsidRPr="00822031">
              <w:rPr>
                <w:b/>
                <w:bCs/>
                <w:color w:val="FFFFFF" w:themeColor="background1"/>
              </w:rPr>
              <w:t>Option 1</w:t>
            </w:r>
          </w:p>
        </w:tc>
        <w:tc>
          <w:tcPr>
            <w:tcW w:w="2314" w:type="dxa"/>
            <w:shd w:val="clear" w:color="auto" w:fill="404040" w:themeFill="text1" w:themeFillTint="BF"/>
          </w:tcPr>
          <w:p w14:paraId="75A65413" w14:textId="77777777" w:rsidR="00113BFA" w:rsidRPr="00822031" w:rsidRDefault="00113BFA">
            <w:pPr>
              <w:jc w:val="center"/>
              <w:rPr>
                <w:b/>
                <w:bCs/>
                <w:color w:val="FFFFFF" w:themeColor="background1"/>
              </w:rPr>
            </w:pPr>
            <w:r w:rsidRPr="00822031">
              <w:rPr>
                <w:b/>
                <w:bCs/>
                <w:color w:val="FFFFFF" w:themeColor="background1"/>
              </w:rPr>
              <w:t>Option 2</w:t>
            </w:r>
          </w:p>
        </w:tc>
        <w:tc>
          <w:tcPr>
            <w:tcW w:w="2314" w:type="dxa"/>
            <w:shd w:val="clear" w:color="auto" w:fill="404040" w:themeFill="text1" w:themeFillTint="BF"/>
          </w:tcPr>
          <w:p w14:paraId="08F45218" w14:textId="77777777" w:rsidR="00113BFA" w:rsidRPr="00822031" w:rsidRDefault="00113BFA">
            <w:pPr>
              <w:jc w:val="center"/>
              <w:rPr>
                <w:b/>
                <w:bCs/>
                <w:color w:val="FFFFFF" w:themeColor="background1"/>
              </w:rPr>
            </w:pPr>
            <w:r w:rsidRPr="00822031">
              <w:rPr>
                <w:b/>
                <w:bCs/>
                <w:color w:val="FFFFFF" w:themeColor="background1"/>
              </w:rPr>
              <w:t>Option 3</w:t>
            </w:r>
          </w:p>
        </w:tc>
        <w:tc>
          <w:tcPr>
            <w:tcW w:w="2117" w:type="dxa"/>
            <w:shd w:val="clear" w:color="auto" w:fill="404040" w:themeFill="text1" w:themeFillTint="BF"/>
          </w:tcPr>
          <w:p w14:paraId="1FFE197E" w14:textId="77777777" w:rsidR="00113BFA" w:rsidRPr="00822031" w:rsidRDefault="00113BFA">
            <w:pPr>
              <w:jc w:val="center"/>
              <w:rPr>
                <w:b/>
                <w:bCs/>
                <w:color w:val="FFFFFF" w:themeColor="background1"/>
              </w:rPr>
            </w:pPr>
            <w:r w:rsidRPr="00822031">
              <w:rPr>
                <w:b/>
                <w:bCs/>
                <w:color w:val="FFFFFF" w:themeColor="background1"/>
              </w:rPr>
              <w:t>Option 4</w:t>
            </w:r>
          </w:p>
        </w:tc>
      </w:tr>
      <w:tr w:rsidR="00113BFA" w14:paraId="48832A21" w14:textId="77777777" w:rsidTr="009D6BA0">
        <w:tc>
          <w:tcPr>
            <w:tcW w:w="2315" w:type="dxa"/>
            <w:shd w:val="clear" w:color="auto" w:fill="auto"/>
          </w:tcPr>
          <w:p w14:paraId="081F1753" w14:textId="77777777" w:rsidR="00113BFA" w:rsidRPr="003753D4" w:rsidRDefault="00113BFA">
            <w:pPr>
              <w:jc w:val="center"/>
            </w:pPr>
            <w:r w:rsidRPr="003753D4">
              <w:t>Status quo</w:t>
            </w:r>
          </w:p>
        </w:tc>
        <w:tc>
          <w:tcPr>
            <w:tcW w:w="2314" w:type="dxa"/>
            <w:shd w:val="clear" w:color="auto" w:fill="auto"/>
          </w:tcPr>
          <w:p w14:paraId="2BCE8393" w14:textId="34DA4E3A" w:rsidR="00113BFA" w:rsidRPr="003753D4" w:rsidRDefault="00113BFA">
            <w:pPr>
              <w:jc w:val="center"/>
            </w:pPr>
            <w:r w:rsidRPr="003753D4">
              <w:t xml:space="preserve">Empower the Fair Work Commission to set minimum standards for </w:t>
            </w:r>
            <w:r w:rsidR="00CD5ECC">
              <w:t>employee-like</w:t>
            </w:r>
            <w:r w:rsidRPr="003753D4">
              <w:t xml:space="preserve"> digital platform workers.</w:t>
            </w:r>
          </w:p>
        </w:tc>
        <w:tc>
          <w:tcPr>
            <w:tcW w:w="2314" w:type="dxa"/>
            <w:shd w:val="clear" w:color="auto" w:fill="auto"/>
          </w:tcPr>
          <w:p w14:paraId="2C9A6FA0" w14:textId="08E2D519" w:rsidR="00113BFA" w:rsidRPr="003753D4" w:rsidRDefault="00113BFA">
            <w:pPr>
              <w:jc w:val="center"/>
            </w:pPr>
            <w:r w:rsidRPr="003753D4">
              <w:t xml:space="preserve">Empower the Fair Work Commission to set minimum standards for </w:t>
            </w:r>
            <w:r w:rsidR="00CD5ECC">
              <w:t>employee-like</w:t>
            </w:r>
            <w:r w:rsidRPr="003753D4">
              <w:t xml:space="preserve"> digital platform workers and road transport </w:t>
            </w:r>
            <w:r w:rsidR="000D7ED9">
              <w:t>workers</w:t>
            </w:r>
          </w:p>
        </w:tc>
        <w:tc>
          <w:tcPr>
            <w:tcW w:w="2117" w:type="dxa"/>
            <w:shd w:val="clear" w:color="auto" w:fill="auto"/>
          </w:tcPr>
          <w:p w14:paraId="3BB92311" w14:textId="2A0C0BDE" w:rsidR="00113BFA" w:rsidRPr="003753D4" w:rsidRDefault="00113BFA">
            <w:pPr>
              <w:jc w:val="center"/>
            </w:pPr>
            <w:r w:rsidRPr="003753D4">
              <w:t xml:space="preserve">Empower the Fair Work Commission to set minimum standards for </w:t>
            </w:r>
            <w:r w:rsidR="00CD5ECC">
              <w:t xml:space="preserve">employee-like </w:t>
            </w:r>
            <w:r w:rsidRPr="003753D4">
              <w:t>digital platform workers and road transport workers with a</w:t>
            </w:r>
            <w:r w:rsidR="004A7E5B">
              <w:t>n interpretive principle</w:t>
            </w:r>
            <w:r w:rsidR="00F560F3">
              <w:t xml:space="preserve"> in the Fair Work Act for the terms ‘employ</w:t>
            </w:r>
            <w:r w:rsidR="00C32F7B">
              <w:t>ee</w:t>
            </w:r>
            <w:r w:rsidR="00F560F3">
              <w:t>’ and ‘e</w:t>
            </w:r>
            <w:r w:rsidR="00C32F7B">
              <w:t>mployment</w:t>
            </w:r>
            <w:r w:rsidR="00F560F3">
              <w:t>’</w:t>
            </w:r>
            <w:r w:rsidRPr="003753D4">
              <w:t>.</w:t>
            </w:r>
          </w:p>
        </w:tc>
      </w:tr>
    </w:tbl>
    <w:p w14:paraId="388795B3" w14:textId="43628338" w:rsidR="00113BFA" w:rsidRPr="00B351A0" w:rsidRDefault="00113BFA" w:rsidP="00113BFA">
      <w:pPr>
        <w:rPr>
          <w:i/>
          <w:iCs/>
        </w:rPr>
      </w:pPr>
    </w:p>
    <w:p w14:paraId="59A1267A" w14:textId="25441788" w:rsidR="79037FC4" w:rsidRDefault="79037FC4" w:rsidP="03A6D800">
      <w:pPr>
        <w:rPr>
          <w:b/>
          <w:bCs/>
          <w:i/>
          <w:iCs/>
        </w:rPr>
      </w:pPr>
      <w:r w:rsidRPr="03A6D800">
        <w:rPr>
          <w:b/>
          <w:bCs/>
        </w:rPr>
        <w:t xml:space="preserve">Table 6 </w:t>
      </w:r>
      <w:r w:rsidR="29F4E283" w:rsidRPr="7C0A88C5">
        <w:rPr>
          <w:b/>
          <w:bCs/>
        </w:rPr>
        <w:t xml:space="preserve">– </w:t>
      </w:r>
      <w:r w:rsidRPr="03A6D800">
        <w:rPr>
          <w:b/>
          <w:bCs/>
        </w:rPr>
        <w:t>Options for improving access to dispute resolution of unfair contractors</w:t>
      </w:r>
    </w:p>
    <w:tbl>
      <w:tblPr>
        <w:tblStyle w:val="TableGrid"/>
        <w:tblW w:w="9067" w:type="dxa"/>
        <w:tblLook w:val="04A0" w:firstRow="1" w:lastRow="0" w:firstColumn="1" w:lastColumn="0" w:noHBand="0" w:noVBand="1"/>
      </w:tblPr>
      <w:tblGrid>
        <w:gridCol w:w="3114"/>
        <w:gridCol w:w="2977"/>
        <w:gridCol w:w="2976"/>
      </w:tblGrid>
      <w:tr w:rsidR="00113BFA" w14:paraId="03D0C119" w14:textId="77777777">
        <w:trPr>
          <w:trHeight w:val="480"/>
        </w:trPr>
        <w:tc>
          <w:tcPr>
            <w:tcW w:w="9067" w:type="dxa"/>
            <w:gridSpan w:val="3"/>
            <w:shd w:val="clear" w:color="auto" w:fill="404040" w:themeFill="text1" w:themeFillTint="BF"/>
          </w:tcPr>
          <w:p w14:paraId="4486D61C" w14:textId="77777777" w:rsidR="00113BFA" w:rsidRPr="00822031" w:rsidRDefault="00113BFA">
            <w:pPr>
              <w:spacing w:before="240"/>
              <w:jc w:val="center"/>
              <w:rPr>
                <w:b/>
                <w:bCs/>
                <w:color w:val="FFFFFF" w:themeColor="background1"/>
              </w:rPr>
            </w:pPr>
            <w:r w:rsidRPr="00822031">
              <w:rPr>
                <w:b/>
                <w:bCs/>
                <w:color w:val="FFFFFF" w:themeColor="background1"/>
              </w:rPr>
              <w:t>Improving access to dispute resolution of unfair contracts</w:t>
            </w:r>
          </w:p>
        </w:tc>
      </w:tr>
      <w:tr w:rsidR="00113BFA" w14:paraId="3432130E" w14:textId="77777777">
        <w:trPr>
          <w:trHeight w:val="480"/>
        </w:trPr>
        <w:tc>
          <w:tcPr>
            <w:tcW w:w="3114" w:type="dxa"/>
            <w:shd w:val="clear" w:color="auto" w:fill="404040" w:themeFill="text1" w:themeFillTint="BF"/>
          </w:tcPr>
          <w:p w14:paraId="7A8C9626" w14:textId="77777777" w:rsidR="00113BFA" w:rsidRPr="00822031" w:rsidRDefault="00113BFA">
            <w:pPr>
              <w:jc w:val="center"/>
              <w:rPr>
                <w:b/>
                <w:bCs/>
                <w:color w:val="FFFFFF" w:themeColor="background1"/>
              </w:rPr>
            </w:pPr>
            <w:r w:rsidRPr="00822031">
              <w:rPr>
                <w:b/>
                <w:bCs/>
                <w:color w:val="FFFFFF" w:themeColor="background1"/>
              </w:rPr>
              <w:t>Option 1</w:t>
            </w:r>
          </w:p>
        </w:tc>
        <w:tc>
          <w:tcPr>
            <w:tcW w:w="2977" w:type="dxa"/>
            <w:shd w:val="clear" w:color="auto" w:fill="404040" w:themeFill="text1" w:themeFillTint="BF"/>
          </w:tcPr>
          <w:p w14:paraId="7E69273D" w14:textId="77777777" w:rsidR="00113BFA" w:rsidRPr="00822031" w:rsidRDefault="00113BFA">
            <w:pPr>
              <w:jc w:val="center"/>
              <w:rPr>
                <w:b/>
                <w:bCs/>
                <w:color w:val="FFFFFF" w:themeColor="background1"/>
              </w:rPr>
            </w:pPr>
            <w:r w:rsidRPr="00822031">
              <w:rPr>
                <w:b/>
                <w:bCs/>
                <w:color w:val="FFFFFF" w:themeColor="background1"/>
              </w:rPr>
              <w:t>Option 2</w:t>
            </w:r>
          </w:p>
        </w:tc>
        <w:tc>
          <w:tcPr>
            <w:tcW w:w="2976" w:type="dxa"/>
            <w:shd w:val="clear" w:color="auto" w:fill="404040" w:themeFill="text1" w:themeFillTint="BF"/>
          </w:tcPr>
          <w:p w14:paraId="23133DAE" w14:textId="77777777" w:rsidR="00113BFA" w:rsidRPr="00822031" w:rsidRDefault="00113BFA">
            <w:pPr>
              <w:jc w:val="center"/>
              <w:rPr>
                <w:b/>
                <w:bCs/>
                <w:color w:val="FFFFFF" w:themeColor="background1"/>
              </w:rPr>
            </w:pPr>
            <w:r w:rsidRPr="00822031">
              <w:rPr>
                <w:b/>
                <w:bCs/>
                <w:color w:val="FFFFFF" w:themeColor="background1"/>
              </w:rPr>
              <w:t>Option 3</w:t>
            </w:r>
          </w:p>
        </w:tc>
      </w:tr>
      <w:tr w:rsidR="00113BFA" w14:paraId="5B15F130" w14:textId="77777777" w:rsidTr="009D6BA0">
        <w:trPr>
          <w:trHeight w:val="466"/>
        </w:trPr>
        <w:tc>
          <w:tcPr>
            <w:tcW w:w="3114" w:type="dxa"/>
            <w:shd w:val="clear" w:color="auto" w:fill="auto"/>
          </w:tcPr>
          <w:p w14:paraId="0011C792" w14:textId="77777777" w:rsidR="00113BFA" w:rsidRPr="003753D4" w:rsidRDefault="00113BFA">
            <w:pPr>
              <w:jc w:val="center"/>
            </w:pPr>
            <w:r w:rsidRPr="003753D4">
              <w:t>Status quo</w:t>
            </w:r>
          </w:p>
        </w:tc>
        <w:tc>
          <w:tcPr>
            <w:tcW w:w="2977" w:type="dxa"/>
            <w:shd w:val="clear" w:color="auto" w:fill="auto"/>
          </w:tcPr>
          <w:p w14:paraId="4521EA74" w14:textId="77777777" w:rsidR="00113BFA" w:rsidRPr="00DD37D7" w:rsidRDefault="00113BFA">
            <w:pPr>
              <w:jc w:val="center"/>
              <w:rPr>
                <w:b/>
                <w:bCs/>
              </w:rPr>
            </w:pPr>
            <w:r>
              <w:t>Allow the Fair Work Commission to resolve disputes about unfair contracts for digital platform workers and road transport workers</w:t>
            </w:r>
          </w:p>
        </w:tc>
        <w:tc>
          <w:tcPr>
            <w:tcW w:w="2976" w:type="dxa"/>
            <w:shd w:val="clear" w:color="auto" w:fill="auto"/>
          </w:tcPr>
          <w:p w14:paraId="412C49BF" w14:textId="77777777" w:rsidR="00113BFA" w:rsidRPr="00DD37D7" w:rsidRDefault="00113BFA">
            <w:pPr>
              <w:jc w:val="center"/>
              <w:rPr>
                <w:b/>
                <w:bCs/>
              </w:rPr>
            </w:pPr>
            <w:r>
              <w:t>Allow the Fair Work Commission to resolve disputes about unfair contracts for independent contractors</w:t>
            </w:r>
          </w:p>
        </w:tc>
      </w:tr>
    </w:tbl>
    <w:p w14:paraId="1CE1EF57" w14:textId="77777777" w:rsidR="00113BFA" w:rsidRDefault="00113BFA" w:rsidP="00113BFA"/>
    <w:p w14:paraId="6D9E5C11" w14:textId="3766AD8E" w:rsidR="00444298" w:rsidRDefault="00444298" w:rsidP="00444298">
      <w:pPr>
        <w:pStyle w:val="Heading2"/>
      </w:pPr>
      <w:bookmarkStart w:id="40" w:name="_Toc139295549"/>
      <w:r>
        <w:t>Minimum standards</w:t>
      </w:r>
      <w:bookmarkEnd w:id="40"/>
      <w:r>
        <w:t xml:space="preserve"> </w:t>
      </w:r>
    </w:p>
    <w:p w14:paraId="6F3EE92A" w14:textId="77777777" w:rsidR="00444298" w:rsidRPr="0050581D" w:rsidRDefault="00444298" w:rsidP="00F60F5C">
      <w:pPr>
        <w:pStyle w:val="Heading3"/>
      </w:pPr>
      <w:bookmarkStart w:id="41" w:name="_Toc139295550"/>
      <w:r w:rsidRPr="0050581D">
        <w:t>Option 1: Status quo</w:t>
      </w:r>
      <w:bookmarkEnd w:id="41"/>
    </w:p>
    <w:p w14:paraId="5B83ED29" w14:textId="3C0BDA18" w:rsidR="00444298" w:rsidRDefault="00444298" w:rsidP="00444298">
      <w:r>
        <w:t>This option will preserve the current arrangements that apply to independent contractors</w:t>
      </w:r>
      <w:r w:rsidR="000204C5">
        <w:t xml:space="preserve">, as </w:t>
      </w:r>
      <w:r w:rsidR="007B4DD1">
        <w:t xml:space="preserve">detailed in </w:t>
      </w:r>
      <w:r w:rsidR="00AE1F1D">
        <w:t>Section 3</w:t>
      </w:r>
      <w:r w:rsidR="007B4DD1">
        <w:t>.</w:t>
      </w:r>
    </w:p>
    <w:p w14:paraId="20823B53" w14:textId="67582D0F" w:rsidR="0096391F" w:rsidRPr="0050581D" w:rsidRDefault="0096391F" w:rsidP="00F60F5C">
      <w:pPr>
        <w:pStyle w:val="Heading3"/>
      </w:pPr>
      <w:bookmarkStart w:id="42" w:name="_Toc139295551"/>
      <w:r w:rsidRPr="0050581D">
        <w:t xml:space="preserve">Option </w:t>
      </w:r>
      <w:r w:rsidR="4C907CBD" w:rsidRPr="0050581D">
        <w:t>2</w:t>
      </w:r>
      <w:r w:rsidRPr="0050581D">
        <w:t xml:space="preserve">: </w:t>
      </w:r>
      <w:r w:rsidR="00F40A4E" w:rsidRPr="0050581D">
        <w:t>M</w:t>
      </w:r>
      <w:r w:rsidR="00073437" w:rsidRPr="0050581D">
        <w:t>inimum</w:t>
      </w:r>
      <w:r w:rsidRPr="0050581D">
        <w:t xml:space="preserve"> standards </w:t>
      </w:r>
      <w:r w:rsidR="00073437" w:rsidRPr="0050581D">
        <w:t xml:space="preserve">for </w:t>
      </w:r>
      <w:r w:rsidR="00B50A7B">
        <w:t xml:space="preserve">employee-like </w:t>
      </w:r>
      <w:r w:rsidR="003F76CF" w:rsidRPr="0050581D">
        <w:t>digital platform workers</w:t>
      </w:r>
      <w:bookmarkEnd w:id="42"/>
    </w:p>
    <w:p w14:paraId="2C29895C" w14:textId="6697E0ED" w:rsidR="00AB203A" w:rsidRDefault="00073437" w:rsidP="004B4F63">
      <w:r>
        <w:t xml:space="preserve">This option would implement the Government’s election commitment </w:t>
      </w:r>
      <w:r w:rsidR="0017791B">
        <w:t xml:space="preserve">to </w:t>
      </w:r>
      <w:r w:rsidR="00EA19ED">
        <w:t xml:space="preserve">introduce minimum standards for employee-like workers, including those in the </w:t>
      </w:r>
      <w:r w:rsidR="00E2398F">
        <w:t xml:space="preserve">digital platform </w:t>
      </w:r>
      <w:r w:rsidR="00EA19ED">
        <w:t xml:space="preserve">economy. </w:t>
      </w:r>
      <w:r w:rsidR="00812CFF">
        <w:t>Stakeholders supported i</w:t>
      </w:r>
      <w:r w:rsidR="00042421">
        <w:t xml:space="preserve">ntroducing minimum </w:t>
      </w:r>
      <w:r w:rsidR="00042421" w:rsidRPr="004B4F63">
        <w:rPr>
          <w:rStyle w:val="normaltextrun"/>
          <w:rFonts w:eastAsiaTheme="minorEastAsia"/>
          <w:lang w:val="en-GB"/>
        </w:rPr>
        <w:t>standards</w:t>
      </w:r>
      <w:r w:rsidR="00042421">
        <w:t xml:space="preserve"> for </w:t>
      </w:r>
      <w:r w:rsidR="00B50A7B">
        <w:t xml:space="preserve">employee-like </w:t>
      </w:r>
      <w:r w:rsidR="00042421">
        <w:t xml:space="preserve">digital platform workers during consultation, including digital platform businesses that </w:t>
      </w:r>
      <w:r w:rsidR="008C5D6D">
        <w:t>this measure would directly impact.</w:t>
      </w:r>
      <w:r w:rsidR="00B86CA6">
        <w:t xml:space="preserve"> </w:t>
      </w:r>
      <w:r w:rsidR="00D42CBF">
        <w:t xml:space="preserve">Providing minimum standards to </w:t>
      </w:r>
      <w:r w:rsidR="00B50A7B">
        <w:t xml:space="preserve">employee-like </w:t>
      </w:r>
      <w:r w:rsidR="00D42CBF">
        <w:t>digital platform workers</w:t>
      </w:r>
      <w:r w:rsidR="00B86CA6">
        <w:t xml:space="preserve"> was also recommended by the following independent reviews</w:t>
      </w:r>
      <w:r w:rsidR="008E6709">
        <w:t xml:space="preserve"> (</w:t>
      </w:r>
      <w:r w:rsidR="00BF7770">
        <w:t>full list in Section 2)</w:t>
      </w:r>
      <w:r w:rsidR="00B86CA6">
        <w:t>:</w:t>
      </w:r>
    </w:p>
    <w:p w14:paraId="6D123B69" w14:textId="1CC007CE" w:rsidR="00AB203A" w:rsidRPr="008B793A" w:rsidRDefault="00AB203A" w:rsidP="006C4BEE">
      <w:pPr>
        <w:pStyle w:val="ListParagraph"/>
        <w:numPr>
          <w:ilvl w:val="0"/>
          <w:numId w:val="71"/>
        </w:numPr>
        <w:spacing w:line="276" w:lineRule="auto"/>
        <w:ind w:left="714" w:hanging="357"/>
        <w:contextualSpacing w:val="0"/>
      </w:pPr>
      <w:r w:rsidRPr="00AB203A">
        <w:rPr>
          <w:b/>
          <w:bCs/>
        </w:rPr>
        <w:t>Job Security Inquiry,</w:t>
      </w:r>
      <w:r w:rsidR="00B4732B">
        <w:rPr>
          <w:b/>
          <w:bCs/>
        </w:rPr>
        <w:t xml:space="preserve"> </w:t>
      </w:r>
      <w:r w:rsidR="00770535">
        <w:rPr>
          <w:b/>
          <w:bCs/>
        </w:rPr>
        <w:t>Fourth</w:t>
      </w:r>
      <w:r w:rsidR="00B4732B">
        <w:rPr>
          <w:b/>
          <w:bCs/>
        </w:rPr>
        <w:t xml:space="preserve"> Report,</w:t>
      </w:r>
      <w:r w:rsidRPr="00AB203A">
        <w:rPr>
          <w:b/>
          <w:bCs/>
        </w:rPr>
        <w:t xml:space="preserve"> Recommendation 10, </w:t>
      </w:r>
      <w:r>
        <w:t xml:space="preserve">‘The committee recommends that the Australian Government amends the </w:t>
      </w:r>
      <w:r w:rsidRPr="00573634">
        <w:rPr>
          <w:i/>
          <w:iCs/>
        </w:rPr>
        <w:t>Fair Work Act 2009</w:t>
      </w:r>
      <w:r>
        <w:t>, expanding the scope of the Act to encompass all forms of work, and empowering the Fair Work Commission to… determine fair rates and conditions for all categories of workers, including contractors…</w:t>
      </w:r>
      <w:r w:rsidR="00767C0C">
        <w:t>and make orders and determinations for groups or classes of workers.</w:t>
      </w:r>
      <w:r w:rsidR="00767C0C" w:rsidRPr="00D52E43">
        <w:t>’</w:t>
      </w:r>
      <w:r w:rsidR="00B4732B">
        <w:rPr>
          <w:rStyle w:val="FootnoteReference"/>
        </w:rPr>
        <w:footnoteReference w:id="79"/>
      </w:r>
    </w:p>
    <w:p w14:paraId="68451522" w14:textId="7A3FB66F" w:rsidR="00B86CA6" w:rsidRDefault="00F57C40" w:rsidP="006C4BEE">
      <w:pPr>
        <w:pStyle w:val="ListParagraph"/>
        <w:numPr>
          <w:ilvl w:val="0"/>
          <w:numId w:val="70"/>
        </w:numPr>
        <w:spacing w:line="276" w:lineRule="auto"/>
        <w:ind w:left="714" w:hanging="357"/>
        <w:contextualSpacing w:val="0"/>
      </w:pPr>
      <w:r w:rsidRPr="008B793A">
        <w:rPr>
          <w:b/>
        </w:rPr>
        <w:t>New South Wales Government Inquiry, Recommendation 1</w:t>
      </w:r>
      <w:r w:rsidR="00E05C0C" w:rsidRPr="00AF1EF7">
        <w:t>,</w:t>
      </w:r>
      <w:r w:rsidR="00E05C0C">
        <w:t xml:space="preserve"> </w:t>
      </w:r>
      <w:r w:rsidR="00E05C0C" w:rsidRPr="008B793A">
        <w:t>‘</w:t>
      </w:r>
      <w:r w:rsidR="00E05C0C" w:rsidRPr="00F9171A">
        <w:t>That the NSW Government commit to greater protections for gig economy workers, regardless of work status</w:t>
      </w:r>
      <w:r w:rsidR="00E05C0C" w:rsidRPr="008B793A">
        <w:t>.’</w:t>
      </w:r>
      <w:r w:rsidR="008175DE">
        <w:rPr>
          <w:rStyle w:val="FootnoteReference"/>
        </w:rPr>
        <w:footnoteReference w:id="80"/>
      </w:r>
    </w:p>
    <w:p w14:paraId="78BBBD54" w14:textId="35E16B74" w:rsidR="00AB203A" w:rsidRDefault="00923402" w:rsidP="006C4BEE">
      <w:pPr>
        <w:pStyle w:val="ListParagraph"/>
        <w:numPr>
          <w:ilvl w:val="0"/>
          <w:numId w:val="70"/>
        </w:numPr>
        <w:spacing w:line="276" w:lineRule="auto"/>
        <w:ind w:left="714" w:hanging="357"/>
        <w:contextualSpacing w:val="0"/>
      </w:pPr>
      <w:r w:rsidRPr="008B793A">
        <w:rPr>
          <w:b/>
        </w:rPr>
        <w:t>New South Wales Government Inquiry, Recommendation 2</w:t>
      </w:r>
      <w:r w:rsidRPr="008B793A">
        <w:t>, ‘</w:t>
      </w:r>
      <w:r w:rsidRPr="00F9171A">
        <w:t>That the NSW Government establish a tribunal or extend the jurisdiction of the existing tribunal, with the power to set minimum pay and conditions for gig workers that provide labour to on demand platforms regardless of work status, to the extent permitted by the state’s constitutional authority</w:t>
      </w:r>
      <w:r w:rsidRPr="008B793A">
        <w:t>.’</w:t>
      </w:r>
      <w:r w:rsidR="00CC195A">
        <w:rPr>
          <w:rStyle w:val="FootnoteReference"/>
        </w:rPr>
        <w:footnoteReference w:id="81"/>
      </w:r>
    </w:p>
    <w:p w14:paraId="0847AF0D" w14:textId="15BE1A82" w:rsidR="00984729" w:rsidRDefault="00984729" w:rsidP="00984729">
      <w:r>
        <w:t>An amendment to the Fair Work Act</w:t>
      </w:r>
      <w:r w:rsidRPr="4ACB7A04">
        <w:rPr>
          <w:i/>
          <w:iCs/>
        </w:rPr>
        <w:t xml:space="preserve"> </w:t>
      </w:r>
      <w:r>
        <w:t>would empower the Fair Work Commission to set minimum standards for classes of employee-like digital platform workers by issuing a minimum standards order. The Fair Work Commission would also be able to issue guidance-only standards. Regulations would be able to adjust the scope of the jurisdiction to include or exclude certain types of work, sectors or specific platforms.</w:t>
      </w:r>
    </w:p>
    <w:p w14:paraId="41133BAC" w14:textId="40F0F5E5" w:rsidR="00984729" w:rsidRDefault="00984729" w:rsidP="00984729">
      <w:r>
        <w:t xml:space="preserve">Independent contractors who are well paid and have a high degree of control and autonomy over their work, such as skilled tradespeople who use online marketplaces to advertise services, are not intended to be covered by this proposal. The Fair Work Act would limit the Fair Work Commission’s powers to set minimum standards to digital platform workers who are ‘employee-like’, defined as workers who satisfy one or more of the following: </w:t>
      </w:r>
      <w:r w:rsidR="00105DE2">
        <w:t xml:space="preserve">being </w:t>
      </w:r>
      <w:r>
        <w:t>paid less than employees performing similar work, hav</w:t>
      </w:r>
      <w:r w:rsidR="00105DE2">
        <w:t>ing</w:t>
      </w:r>
      <w:r>
        <w:t xml:space="preserve"> low authority over their work, or hav</w:t>
      </w:r>
      <w:r w:rsidR="00105DE2">
        <w:t>i</w:t>
      </w:r>
      <w:r w:rsidR="00AD2127">
        <w:t>ng</w:t>
      </w:r>
      <w:r>
        <w:t xml:space="preserve"> low bargaining power.</w:t>
      </w:r>
    </w:p>
    <w:p w14:paraId="1F61F07C" w14:textId="488A10C2" w:rsidR="0090180E" w:rsidRPr="008B793A" w:rsidRDefault="0090180E" w:rsidP="00573634">
      <w:pPr>
        <w:rPr>
          <w:i/>
        </w:rPr>
      </w:pPr>
      <w:r>
        <w:rPr>
          <w:i/>
          <w:iCs/>
        </w:rPr>
        <w:t>Legislated ‘guardrails’</w:t>
      </w:r>
    </w:p>
    <w:p w14:paraId="72DDA63E" w14:textId="571DC566" w:rsidR="00BF4C95" w:rsidRDefault="00BF4C95" w:rsidP="00BF4C95">
      <w:r>
        <w:t xml:space="preserve">Most stakeholders agreed that there is a need for minimum standards to ensure fairness for employee-like digital platform workers. An additional view was that any changes should not disturb certain benefits that the digital platform economy provides to workers, particularly flexibility over the hours and times of day they work. These considerations have helped inform the development of proposed ‘guardrails’, that would be legislated, to guide Fair Work Commission’s decision-making. This will ensure </w:t>
      </w:r>
      <w:r w:rsidR="00650048">
        <w:t xml:space="preserve">that </w:t>
      </w:r>
      <w:r>
        <w:t xml:space="preserve">the proposal can establish a safety net of minimum standards for certain cohorts of digital platform workers, without fundamentally shifting the nature of contracting across the economy nor jeopardising the benefits workers enjoy from this work. </w:t>
      </w:r>
    </w:p>
    <w:p w14:paraId="6CDBDFDF" w14:textId="7F432329" w:rsidR="00BF4C95" w:rsidRDefault="00BF4C95" w:rsidP="00BF4C95">
      <w:r>
        <w:t xml:space="preserve">In </w:t>
      </w:r>
      <w:r w:rsidRPr="004B4F63">
        <w:rPr>
          <w:rStyle w:val="normaltextrun"/>
          <w:rFonts w:eastAsiaTheme="minorEastAsia"/>
          <w:lang w:val="en-GB"/>
        </w:rPr>
        <w:t>determining</w:t>
      </w:r>
      <w:r>
        <w:t xml:space="preserve"> the standards that should apply to a cohort of workers, the Fair Work Commission’s decision making would be balanced by the following proposed ‘guardrails’ set out in the Fair Work Act:</w:t>
      </w:r>
    </w:p>
    <w:p w14:paraId="67E225D1" w14:textId="61F0A4C7" w:rsidR="007B0B8F" w:rsidRDefault="007B0B8F" w:rsidP="00BF4C95">
      <w:pPr>
        <w:pStyle w:val="ListParagraph"/>
        <w:numPr>
          <w:ilvl w:val="0"/>
          <w:numId w:val="121"/>
        </w:numPr>
      </w:pPr>
      <w:r>
        <w:t>Requiring the Fair Work Commission to first be satisfied that classes of workers are employee-like</w:t>
      </w:r>
      <w:r w:rsidR="002911F5">
        <w:t xml:space="preserve"> before considering minimum standards. </w:t>
      </w:r>
    </w:p>
    <w:p w14:paraId="43055AB7" w14:textId="7AD10FFB" w:rsidR="00BF4C95" w:rsidRPr="006F4B6B" w:rsidRDefault="00BF4C95" w:rsidP="00BF4C95">
      <w:pPr>
        <w:pStyle w:val="ListParagraph"/>
        <w:numPr>
          <w:ilvl w:val="0"/>
          <w:numId w:val="121"/>
        </w:numPr>
      </w:pPr>
      <w:r w:rsidRPr="006F4B6B">
        <w:t>A ‘Minimum Standards Objective’ (‘Objective’). The Objective would direct the Fair Work Commission on the factors it must consider in setting minimum standards. The Objective will include factors such as the need for standards to be clear</w:t>
      </w:r>
      <w:r>
        <w:t xml:space="preserve">, </w:t>
      </w:r>
      <w:r w:rsidRPr="006F4B6B">
        <w:t xml:space="preserve">fair, recognise workers’ perspectives, not to change the form of workers’ engagement, be tailored to the industry and type of work and not unreasonably impact competition, business viability and the economy. </w:t>
      </w:r>
    </w:p>
    <w:p w14:paraId="4F734092" w14:textId="42AE3E72" w:rsidR="00BF4C95" w:rsidRPr="006F4B6B" w:rsidRDefault="00BF4C95" w:rsidP="00573634">
      <w:pPr>
        <w:pStyle w:val="ListParagraph"/>
        <w:numPr>
          <w:ilvl w:val="0"/>
          <w:numId w:val="121"/>
        </w:numPr>
      </w:pPr>
      <w:r w:rsidRPr="006F4B6B">
        <w:t xml:space="preserve">Flexibility to set </w:t>
      </w:r>
      <w:r>
        <w:t>mandator</w:t>
      </w:r>
      <w:r w:rsidR="00D53F80">
        <w:t>y</w:t>
      </w:r>
      <w:r>
        <w:t xml:space="preserve"> </w:t>
      </w:r>
      <w:r w:rsidRPr="006F4B6B">
        <w:t xml:space="preserve">or </w:t>
      </w:r>
      <w:r>
        <w:t>non-binding</w:t>
      </w:r>
      <w:r w:rsidRPr="006F4B6B">
        <w:t xml:space="preserve"> guidance</w:t>
      </w:r>
      <w:r w:rsidR="00B73EA8">
        <w:t xml:space="preserve"> standards</w:t>
      </w:r>
      <w:r w:rsidRPr="006F4B6B">
        <w:t xml:space="preserve">. </w:t>
      </w:r>
    </w:p>
    <w:p w14:paraId="2A2F20B8" w14:textId="5B5EF56B" w:rsidR="00020FD8" w:rsidRDefault="00020FD8">
      <w:pPr>
        <w:pStyle w:val="ListParagraph"/>
        <w:numPr>
          <w:ilvl w:val="0"/>
          <w:numId w:val="121"/>
        </w:numPr>
      </w:pPr>
      <w:r>
        <w:t xml:space="preserve">Prohibiting the Fair Work Commission from setting standards on certain matters, such as those that would change a worker’s status away from independent contracting. </w:t>
      </w:r>
    </w:p>
    <w:p w14:paraId="138111F6" w14:textId="74EC59F2" w:rsidR="00BF4C95" w:rsidRPr="006F4B6B" w:rsidRDefault="00C27865" w:rsidP="00573634">
      <w:pPr>
        <w:pStyle w:val="ListParagraph"/>
        <w:numPr>
          <w:ilvl w:val="0"/>
          <w:numId w:val="121"/>
        </w:numPr>
      </w:pPr>
      <w:r>
        <w:t>Limiting a</w:t>
      </w:r>
      <w:r w:rsidR="00BF4C95">
        <w:t>pplications for minimum standards orders to be made by registered employee organisations, registered employer organisations</w:t>
      </w:r>
      <w:r w:rsidR="001D17A5">
        <w:t xml:space="preserve">, </w:t>
      </w:r>
      <w:r w:rsidR="00BF4C95">
        <w:t>digital labour platforms</w:t>
      </w:r>
      <w:r w:rsidR="001D17A5">
        <w:t xml:space="preserve"> and the Minister, with the capacity for the Fair Work Commission to set standards on its own motion</w:t>
      </w:r>
      <w:r w:rsidR="00BF4C95">
        <w:t xml:space="preserve">. </w:t>
      </w:r>
    </w:p>
    <w:p w14:paraId="599AB394" w14:textId="7ED45FF4" w:rsidR="00BF4C95" w:rsidRDefault="00BF4C95" w:rsidP="00BF4C95">
      <w:r>
        <w:t xml:space="preserve">Consistent with its existing functions in relation to modern awards, the Fair Work Commission will also be obliged to follow rules of procedural fairness by ensuring persons covered by a prospective Minimum </w:t>
      </w:r>
      <w:r w:rsidRPr="465D3EE1">
        <w:rPr>
          <w:rStyle w:val="normaltextrun"/>
          <w:rFonts w:eastAsiaTheme="minorEastAsia"/>
          <w:lang w:val="en-GB"/>
        </w:rPr>
        <w:t>Standards</w:t>
      </w:r>
      <w:r>
        <w:t xml:space="preserve"> Order have the opportunity to be involved in informing its deliberations, such as via consultation, conferences and responding to draft orders. There will also be provisions for Minimum Standards Orders to be varied or revoked (processes that mirror the adoption of standards in the first place) to ensure the body of standards remains up-to-date and fit for purpose. </w:t>
      </w:r>
    </w:p>
    <w:p w14:paraId="072A9CE0" w14:textId="0365C125" w:rsidR="00CF0935" w:rsidRPr="008B793A" w:rsidRDefault="00CF0935" w:rsidP="0051091A">
      <w:pPr>
        <w:spacing w:before="240"/>
        <w:rPr>
          <w:i/>
        </w:rPr>
      </w:pPr>
      <w:r>
        <w:rPr>
          <w:i/>
          <w:iCs/>
        </w:rPr>
        <w:t>Content of standards</w:t>
      </w:r>
    </w:p>
    <w:p w14:paraId="1F17A0B5" w14:textId="79C7063E" w:rsidR="00FD23E1" w:rsidRDefault="00FD23E1" w:rsidP="00FD23E1">
      <w:r>
        <w:t xml:space="preserve">The Fair Work Act will include a non-exhaustive list of matters that the Fair Work Commission may include in the </w:t>
      </w:r>
      <w:r w:rsidRPr="4ACB7A04">
        <w:rPr>
          <w:rStyle w:val="normaltextrun"/>
          <w:rFonts w:eastAsiaTheme="minorEastAsia"/>
          <w:lang w:val="en-GB"/>
        </w:rPr>
        <w:t>content</w:t>
      </w:r>
      <w:r>
        <w:t xml:space="preserve"> of Minimum Standards Orders. These will include payment terms, record-keeping, insurance, consultation and cost recovery, though actual standards will depend on the application at hand. The Fair Work Commission would be able to make Minimum Standards Orders that are either mandatory or guidance only. A mandatory Minimum Standards Order would override the mandatory terms of applicable state and territory laws to the</w:t>
      </w:r>
      <w:r w:rsidR="00CF53B8">
        <w:t xml:space="preserve"> </w:t>
      </w:r>
      <w:r>
        <w:t>extent of</w:t>
      </w:r>
      <w:r w:rsidR="00CF53B8">
        <w:t xml:space="preserve"> </w:t>
      </w:r>
      <w:r>
        <w:t>any inconsistency.</w:t>
      </w:r>
    </w:p>
    <w:p w14:paraId="687CFEEB" w14:textId="4051B3B2" w:rsidR="00FD23E1" w:rsidRDefault="00FD23E1" w:rsidP="00FD23E1">
      <w:r>
        <w:t xml:space="preserve">To further ensure that digital platform workers could continue to benefit from the flexibility of working on a digital </w:t>
      </w:r>
      <w:r w:rsidRPr="004B4F63">
        <w:rPr>
          <w:rStyle w:val="normaltextrun"/>
          <w:rFonts w:eastAsiaTheme="minorEastAsia"/>
          <w:lang w:val="en-GB"/>
        </w:rPr>
        <w:t>platform</w:t>
      </w:r>
      <w:r>
        <w:t>, the Fair Work Act would also list matters that the Fair Work Commission could not make standards in relation to, including overtime rates, rostering arrangements, and terms that would change the form of engagement of the workers covered by the order. This responds to a key concern raised by digital platform businesses during consultation about the need</w:t>
      </w:r>
      <w:r w:rsidR="00CF53B8">
        <w:t xml:space="preserve"> </w:t>
      </w:r>
      <w:r>
        <w:t xml:space="preserve">for workers to be able to retain choice over their hours and times of work, and for minimum standards not to alter their form of engagement.  </w:t>
      </w:r>
    </w:p>
    <w:p w14:paraId="5AB906A3" w14:textId="4D712EEF" w:rsidR="00F55F48" w:rsidRPr="008B793A" w:rsidRDefault="00F55F48" w:rsidP="008B6629">
      <w:pPr>
        <w:jc w:val="both"/>
        <w:rPr>
          <w:i/>
        </w:rPr>
      </w:pPr>
      <w:r>
        <w:rPr>
          <w:i/>
          <w:iCs/>
        </w:rPr>
        <w:t>Consent agreements</w:t>
      </w:r>
    </w:p>
    <w:p w14:paraId="030EF06D" w14:textId="63477C05" w:rsidR="00884D8B" w:rsidRPr="008B793A" w:rsidRDefault="00042C0A" w:rsidP="004B4F63">
      <w:pPr>
        <w:rPr>
          <w:i/>
        </w:rPr>
      </w:pPr>
      <w:r>
        <w:t>S</w:t>
      </w:r>
      <w:r w:rsidR="00CF53B8">
        <w:t>ome s</w:t>
      </w:r>
      <w:r>
        <w:t>takeholders</w:t>
      </w:r>
      <w:r w:rsidR="27E7D155">
        <w:t>,</w:t>
      </w:r>
      <w:r>
        <w:t xml:space="preserve"> including </w:t>
      </w:r>
      <w:r w:rsidR="0009030E">
        <w:t>those representing workers</w:t>
      </w:r>
      <w:r w:rsidR="13872D2C">
        <w:t>,</w:t>
      </w:r>
      <w:r>
        <w:t xml:space="preserve"> and academics </w:t>
      </w:r>
      <w:r w:rsidR="00EE19B6">
        <w:t xml:space="preserve">raised that the proposed Fair Work Commission jurisdiction should enable </w:t>
      </w:r>
      <w:r w:rsidR="000D6B7D">
        <w:t>collective</w:t>
      </w:r>
      <w:r w:rsidR="00EE19B6">
        <w:t xml:space="preserve"> agreements to be struck covering digital platform workers. </w:t>
      </w:r>
      <w:r w:rsidR="00CF53B8">
        <w:t>Others</w:t>
      </w:r>
      <w:r w:rsidR="008F0014">
        <w:t>, including digital platform businesses</w:t>
      </w:r>
      <w:r w:rsidR="37356D15">
        <w:t>,</w:t>
      </w:r>
      <w:r w:rsidR="008F0014">
        <w:t xml:space="preserve"> </w:t>
      </w:r>
      <w:r w:rsidR="000D6B7D">
        <w:t>were less supportive of collective</w:t>
      </w:r>
      <w:r w:rsidR="00146606">
        <w:t xml:space="preserve"> agreement-making</w:t>
      </w:r>
      <w:r w:rsidR="00C26775">
        <w:t xml:space="preserve"> functions. To address these concerns, this option would allow agreements to be made by consent only, with no power </w:t>
      </w:r>
      <w:r w:rsidR="00656DA2">
        <w:t xml:space="preserve">to compel parties to negotiate an agreement. </w:t>
      </w:r>
      <w:r w:rsidR="00524027">
        <w:t xml:space="preserve">Legislation will also place limitations on the content of a collective agreement, including </w:t>
      </w:r>
      <w:r w:rsidR="008C2A64">
        <w:t xml:space="preserve">matters that are primarily of a commercial nature that do not affect the terms and conditions of engagement of regulated workers covered by the agreement. </w:t>
      </w:r>
    </w:p>
    <w:p w14:paraId="5B78D9DC" w14:textId="7A7208FC" w:rsidR="00EE40E0" w:rsidRDefault="00EE40E0" w:rsidP="00EE40E0">
      <w:r>
        <w:t xml:space="preserve">Where </w:t>
      </w:r>
      <w:r w:rsidRPr="004B4F63">
        <w:rPr>
          <w:rStyle w:val="normaltextrun"/>
          <w:rFonts w:eastAsiaTheme="minorEastAsia"/>
          <w:lang w:val="en-GB"/>
        </w:rPr>
        <w:t>registered</w:t>
      </w:r>
      <w:r>
        <w:t xml:space="preserve"> employee organisations and digital labour platforms choose to negotiate consent-</w:t>
      </w:r>
      <w:r w:rsidR="00311A5D">
        <w:t xml:space="preserve">based </w:t>
      </w:r>
      <w:r>
        <w:t>collective agreements, these may be registered with the Fair Work Commission. Where a Minimum Standards Order applies to the covered workers, the more beneficial provision would apply. The agreement-making framework would be supported by a</w:t>
      </w:r>
      <w:r w:rsidR="003E12AE">
        <w:t xml:space="preserve"> limited</w:t>
      </w:r>
      <w:r>
        <w:t xml:space="preserve"> </w:t>
      </w:r>
      <w:r w:rsidR="007A620B">
        <w:t>exemption</w:t>
      </w:r>
      <w:r>
        <w:t xml:space="preserve"> to the </w:t>
      </w:r>
      <w:r>
        <w:rPr>
          <w:i/>
          <w:iCs/>
        </w:rPr>
        <w:t>Competition and Consumer Act 2010</w:t>
      </w:r>
      <w:r>
        <w:t xml:space="preserve">.  </w:t>
      </w:r>
    </w:p>
    <w:p w14:paraId="6C6ED7C4" w14:textId="7325A29C" w:rsidR="002724AE" w:rsidRPr="008B793A" w:rsidRDefault="001558ED" w:rsidP="008B6629">
      <w:pPr>
        <w:jc w:val="both"/>
        <w:rPr>
          <w:i/>
        </w:rPr>
      </w:pPr>
      <w:r>
        <w:rPr>
          <w:i/>
          <w:iCs/>
        </w:rPr>
        <w:t>Dispute resolution and protection from unfair deactivation</w:t>
      </w:r>
      <w:r w:rsidR="00636293">
        <w:rPr>
          <w:rStyle w:val="FootnoteReference"/>
          <w:i/>
          <w:iCs/>
        </w:rPr>
        <w:footnoteReference w:id="82"/>
      </w:r>
    </w:p>
    <w:p w14:paraId="3736D798" w14:textId="507E3C30" w:rsidR="00F07BA8" w:rsidRDefault="00F07BA8" w:rsidP="00F07BA8">
      <w:bookmarkStart w:id="43" w:name="_Toc139295552"/>
      <w:r>
        <w:t xml:space="preserve">The Fair Work Commission will be empowered to deal with disputes about matters arising under a Minimum Standards </w:t>
      </w:r>
      <w:r w:rsidRPr="007C1C37">
        <w:rPr>
          <w:rStyle w:val="normaltextrun"/>
          <w:rFonts w:eastAsiaTheme="minorEastAsia"/>
          <w:lang w:val="en-GB"/>
        </w:rPr>
        <w:t>Order</w:t>
      </w:r>
      <w:r>
        <w:t xml:space="preserve"> in a similar fashion to how it deals with other matters under the Fair Work framework, e.g. by conciliation, mediation and where possible, arbitration (subject to constitutional limits). </w:t>
      </w:r>
    </w:p>
    <w:p w14:paraId="3ED94091" w14:textId="650C58A1" w:rsidR="0053347A" w:rsidRDefault="00B50A7B" w:rsidP="00F07BA8">
      <w:r>
        <w:t>Employee-like d</w:t>
      </w:r>
      <w:r w:rsidR="00F07BA8">
        <w:t xml:space="preserve">igital platform workers who have worked under a services contract on a regular basis for at least 6 months will be able to dispute unfair ‘deactivation’ from a digital labour platform. Digital labour </w:t>
      </w:r>
      <w:r w:rsidR="00F07BA8" w:rsidRPr="4ACB7A04">
        <w:rPr>
          <w:rStyle w:val="normaltextrun"/>
          <w:rFonts w:eastAsiaTheme="minorEastAsia"/>
          <w:lang w:val="en-GB"/>
        </w:rPr>
        <w:t>platforms</w:t>
      </w:r>
      <w:r w:rsidR="00F07BA8">
        <w:t xml:space="preserve"> will be required to hold a valid reason for the deactivation and to follow a process set out in a Digital Labour Platform Deactivation Code to be made by legislative instrument. For exampl</w:t>
      </w:r>
      <w:r w:rsidR="00D97437">
        <w:t>e</w:t>
      </w:r>
      <w:r w:rsidR="0096431D">
        <w:t>, w</w:t>
      </w:r>
      <w:r w:rsidR="00F07BA8">
        <w:t>ithout pre-empting the content of the code, this could include using internal dispute resolution processes in the first instance.</w:t>
      </w:r>
    </w:p>
    <w:p w14:paraId="4DF9AE58" w14:textId="11A362CD" w:rsidR="00F07BA8" w:rsidRDefault="00F07BA8" w:rsidP="00F07BA8">
      <w:r>
        <w:t>If the Fair Work Commission determines that a ‘deactivation’ is unfair, it will be able to order reinstatement to a digital labour platform and where appropriate, make an order to restore lost pay. This responds to concerns raised by stakeholders representing workers about the need to mitigate the power imbalance that allows platforms to arbitrarily deactivate a worker without meaningful recourse.</w:t>
      </w:r>
    </w:p>
    <w:p w14:paraId="5AE62434" w14:textId="6FE97812" w:rsidR="00444298" w:rsidRPr="0050581D" w:rsidRDefault="00444298" w:rsidP="00F60F5C">
      <w:pPr>
        <w:pStyle w:val="Heading3"/>
      </w:pPr>
      <w:r w:rsidRPr="0050581D">
        <w:t xml:space="preserve">Option </w:t>
      </w:r>
      <w:r w:rsidR="6486A0B7" w:rsidRPr="0050581D">
        <w:t>3</w:t>
      </w:r>
      <w:r w:rsidRPr="0050581D">
        <w:t xml:space="preserve">: </w:t>
      </w:r>
      <w:r w:rsidR="00F40A4E" w:rsidRPr="0050581D">
        <w:t>M</w:t>
      </w:r>
      <w:r w:rsidR="00073437" w:rsidRPr="0050581D">
        <w:t xml:space="preserve">inimum standards for </w:t>
      </w:r>
      <w:r w:rsidR="00B27F29" w:rsidRPr="0050581D">
        <w:t xml:space="preserve">digital platform </w:t>
      </w:r>
      <w:r w:rsidR="00F07133" w:rsidRPr="0050581D">
        <w:t xml:space="preserve">workers and </w:t>
      </w:r>
      <w:r w:rsidR="00B27F29" w:rsidRPr="0050581D">
        <w:t xml:space="preserve">road transport </w:t>
      </w:r>
      <w:r w:rsidR="00F40A4E" w:rsidRPr="0050581D">
        <w:t>workers</w:t>
      </w:r>
      <w:bookmarkEnd w:id="43"/>
    </w:p>
    <w:p w14:paraId="0C6E94D2" w14:textId="4F6512C8" w:rsidR="00BA35AA" w:rsidRDefault="00444298" w:rsidP="00383BB0">
      <w:r>
        <w:rPr>
          <w:bCs/>
        </w:rPr>
        <w:t xml:space="preserve">This proposal would </w:t>
      </w:r>
      <w:r w:rsidR="00E54DED">
        <w:rPr>
          <w:bCs/>
        </w:rPr>
        <w:t xml:space="preserve">implement </w:t>
      </w:r>
      <w:r w:rsidR="00697BD3">
        <w:t>Option 2</w:t>
      </w:r>
      <w:r w:rsidR="00E54DED">
        <w:t xml:space="preserve">, in addition to </w:t>
      </w:r>
      <w:r>
        <w:t xml:space="preserve">the Jobs and Skills Summit outcome regarding </w:t>
      </w:r>
      <w:r w:rsidRPr="004B4F63">
        <w:rPr>
          <w:rStyle w:val="normaltextrun"/>
          <w:rFonts w:eastAsiaTheme="minorEastAsia"/>
          <w:lang w:val="en-GB"/>
        </w:rPr>
        <w:t>the</w:t>
      </w:r>
      <w:r>
        <w:t xml:space="preserve"> </w:t>
      </w:r>
      <w:r w:rsidR="001D5DD4">
        <w:t>road transport industry</w:t>
      </w:r>
      <w:r>
        <w:t xml:space="preserve">. </w:t>
      </w:r>
      <w:r w:rsidR="00072735">
        <w:t xml:space="preserve">It also responds to </w:t>
      </w:r>
      <w:r w:rsidR="004B7CBA">
        <w:t xml:space="preserve">the </w:t>
      </w:r>
      <w:r w:rsidR="00072735">
        <w:t xml:space="preserve">recommendation </w:t>
      </w:r>
      <w:r w:rsidR="00C77F66">
        <w:t>of the Road Transport Inquiry</w:t>
      </w:r>
      <w:r w:rsidR="004B7CBA">
        <w:t xml:space="preserve"> to</w:t>
      </w:r>
      <w:r w:rsidR="00C77F66">
        <w:t>:</w:t>
      </w:r>
    </w:p>
    <w:p w14:paraId="684A2F54" w14:textId="77777777" w:rsidR="00296553" w:rsidRDefault="00296553" w:rsidP="002855C2">
      <w:pPr>
        <w:ind w:left="360"/>
      </w:pPr>
      <w:r w:rsidRPr="002855C2">
        <w:rPr>
          <w:b/>
          <w:bCs/>
        </w:rPr>
        <w:t xml:space="preserve">Recommendation 1 – </w:t>
      </w:r>
      <w:r>
        <w:t xml:space="preserve">‘The committee recommends that the government establishes or empowers an independent body that will, in consultation with industry, set universal and binding standards (including binding standards with respect to pay) which: </w:t>
      </w:r>
    </w:p>
    <w:p w14:paraId="55EE85B1" w14:textId="11F111F2" w:rsidR="00296553" w:rsidRDefault="00296553" w:rsidP="002855C2">
      <w:pPr>
        <w:pStyle w:val="ListParagraph"/>
        <w:numPr>
          <w:ilvl w:val="0"/>
          <w:numId w:val="124"/>
        </w:numPr>
        <w:jc w:val="both"/>
      </w:pPr>
      <w:r>
        <w:t>ensure the safe performance of work and eliminate unsafe economic and contracting practices; and</w:t>
      </w:r>
    </w:p>
    <w:p w14:paraId="3A8BB3B0" w14:textId="77777777" w:rsidR="00296553" w:rsidRDefault="00296553" w:rsidP="002855C2">
      <w:pPr>
        <w:pStyle w:val="ListParagraph"/>
        <w:numPr>
          <w:ilvl w:val="0"/>
          <w:numId w:val="124"/>
        </w:numPr>
        <w:jc w:val="both"/>
      </w:pPr>
      <w:r>
        <w:t>apply to all road transport supply chain participants, including transport operators, online/on demand operations, and workers (regardless of their employment or work status), and throughout supply chains.</w:t>
      </w:r>
    </w:p>
    <w:p w14:paraId="1FA1F4C5" w14:textId="188203C9" w:rsidR="00072735" w:rsidRDefault="00296553" w:rsidP="002855C2">
      <w:pPr>
        <w:ind w:left="360"/>
        <w:jc w:val="both"/>
      </w:pPr>
      <w:r>
        <w:t>The independent body shall also act as a dispute resolution body providing all road transport industry participants access to comprehensive binding dispute resolution capable of addressing all issues associated with, and general powers to resolve, disputes between some or all supply chain participants.’</w:t>
      </w:r>
    </w:p>
    <w:p w14:paraId="248BA46D" w14:textId="166536C4" w:rsidR="00A9642E" w:rsidRDefault="000840FC" w:rsidP="004B4F63">
      <w:r>
        <w:t>W</w:t>
      </w:r>
      <w:r w:rsidR="00A9642E">
        <w:t>orker representatives and academics generally supported providing the Fair Work Commission with broad powers to set minimum standards in the road transport industry</w:t>
      </w:r>
      <w:r>
        <w:t xml:space="preserve">. </w:t>
      </w:r>
      <w:r w:rsidR="00930607">
        <w:t>Some</w:t>
      </w:r>
      <w:r w:rsidR="00A9642E">
        <w:t xml:space="preserve"> </w:t>
      </w:r>
      <w:r w:rsidR="00930607" w:rsidRPr="008B793A">
        <w:t xml:space="preserve">road transport </w:t>
      </w:r>
      <w:r w:rsidR="00930607" w:rsidRPr="004B4F63">
        <w:rPr>
          <w:rStyle w:val="normaltextrun"/>
          <w:rFonts w:eastAsiaTheme="minorEastAsia"/>
          <w:lang w:val="en-GB"/>
        </w:rPr>
        <w:t>organisations</w:t>
      </w:r>
      <w:r w:rsidR="00930607" w:rsidRPr="008B793A">
        <w:t xml:space="preserve"> have expressed support for confined minimum standards, particularly following </w:t>
      </w:r>
      <w:r w:rsidR="00930607">
        <w:t>an</w:t>
      </w:r>
      <w:r w:rsidR="00930607" w:rsidRPr="008B793A">
        <w:t xml:space="preserve"> industry roundtable</w:t>
      </w:r>
      <w:r w:rsidR="00930607">
        <w:t xml:space="preserve"> held in August 2022.</w:t>
      </w:r>
      <w:r w:rsidR="003A7D94">
        <w:t xml:space="preserve"> However, employers and business representatives are largely opposed to </w:t>
      </w:r>
      <w:r w:rsidR="006E36DD">
        <w:t>a model that would resemble the former Road Safety Remuneration Tribunal</w:t>
      </w:r>
      <w:r w:rsidR="006070F6">
        <w:t>.</w:t>
      </w:r>
    </w:p>
    <w:p w14:paraId="6E6D8561" w14:textId="1C6C19B5" w:rsidR="004E66F7" w:rsidRDefault="004E66F7" w:rsidP="004E66F7">
      <w:r>
        <w:t>Amendments to the Fair Work Act would empower the Fair Wok Commission to set minimum standards in the road transport industry. As with Option 2, t</w:t>
      </w:r>
      <w:r w:rsidRPr="00E87508">
        <w:t xml:space="preserve">he terms of road transport </w:t>
      </w:r>
      <w:r>
        <w:t>M</w:t>
      </w:r>
      <w:r w:rsidRPr="00E87508">
        <w:t xml:space="preserve">inimum </w:t>
      </w:r>
      <w:r>
        <w:t>S</w:t>
      </w:r>
      <w:r w:rsidRPr="00E87508">
        <w:t xml:space="preserve">tandards </w:t>
      </w:r>
      <w:r>
        <w:t>O</w:t>
      </w:r>
      <w:r w:rsidRPr="00E87508">
        <w:t>rders would override the mandatory terms of state and territory laws to the extent of any inconsistency.</w:t>
      </w:r>
      <w:r>
        <w:t xml:space="preserve"> </w:t>
      </w:r>
    </w:p>
    <w:p w14:paraId="3B1530E8" w14:textId="2F7C7865" w:rsidR="004A5990" w:rsidRDefault="00142B47" w:rsidP="004E66F7">
      <w:r>
        <w:t>As with Option 2, t</w:t>
      </w:r>
      <w:r w:rsidR="004A5990" w:rsidRPr="00D461B5">
        <w:t>h</w:t>
      </w:r>
      <w:r>
        <w:t>is</w:t>
      </w:r>
      <w:r w:rsidR="004A5990" w:rsidRPr="00D461B5">
        <w:t xml:space="preserve"> </w:t>
      </w:r>
      <w:r w:rsidR="004A5990">
        <w:t>option</w:t>
      </w:r>
      <w:r w:rsidR="004A5990" w:rsidRPr="00D461B5">
        <w:t xml:space="preserve"> </w:t>
      </w:r>
      <w:r w:rsidR="004A5990">
        <w:t>would</w:t>
      </w:r>
      <w:r w:rsidR="004A5990" w:rsidRPr="00D461B5">
        <w:t xml:space="preserve"> include a process for registered organisations and transport companies to make </w:t>
      </w:r>
      <w:r w:rsidR="004A5990" w:rsidRPr="004B4F63">
        <w:rPr>
          <w:rStyle w:val="normaltextrun"/>
          <w:rFonts w:eastAsiaTheme="minorEastAsia"/>
          <w:lang w:val="en-GB"/>
        </w:rPr>
        <w:t>consent</w:t>
      </w:r>
      <w:r w:rsidR="004A5990" w:rsidRPr="00D461B5">
        <w:t xml:space="preserve"> collective agreements</w:t>
      </w:r>
      <w:r w:rsidR="004A5990">
        <w:t xml:space="preserve"> covering road transport contractors engaged by the company</w:t>
      </w:r>
      <w:r w:rsidR="004A5990">
        <w:rPr>
          <w:rStyle w:val="normaltextrun"/>
          <w:rFonts w:ascii="Arial" w:eastAsiaTheme="minorEastAsia" w:hAnsi="Arial" w:cs="Arial"/>
          <w:color w:val="000000"/>
        </w:rPr>
        <w:t xml:space="preserve">. </w:t>
      </w:r>
      <w:r w:rsidR="004A5990" w:rsidRPr="00F9171A">
        <w:t>The Fair Work Commission will have the function of registering these consent agreements.</w:t>
      </w:r>
      <w:r w:rsidR="004A5990">
        <w:rPr>
          <w:rStyle w:val="eop"/>
          <w:rFonts w:ascii="Arial" w:eastAsiaTheme="majorEastAsia" w:hAnsi="Arial" w:cs="Arial"/>
          <w:b/>
          <w:bCs/>
          <w:color w:val="000000"/>
        </w:rPr>
        <w:t> </w:t>
      </w:r>
      <w:r w:rsidR="004A5990" w:rsidRPr="00F9171A">
        <w:t xml:space="preserve">Agreements will only be permitted to be made by consent, with no framework to take protected industrial </w:t>
      </w:r>
      <w:r w:rsidR="004A5990" w:rsidRPr="00F9171A">
        <w:rPr>
          <w:rStyle w:val="normaltextrun"/>
          <w:rFonts w:eastAsiaTheme="minorEastAsia"/>
          <w:lang w:val="en-GB"/>
        </w:rPr>
        <w:t>action</w:t>
      </w:r>
      <w:r w:rsidR="004A5990" w:rsidRPr="00F9171A">
        <w:t xml:space="preserve">. Agreements will not be able to deal with purely commercial matters that do not have implications for labour. Where a Minimum Standards Order applies and an agreement is made, the more beneficial arrangement will apply. </w:t>
      </w:r>
    </w:p>
    <w:p w14:paraId="7AA2BFD6" w14:textId="1C769B3E" w:rsidR="004E66F7" w:rsidRDefault="004E66F7" w:rsidP="004E66F7">
      <w:r>
        <w:t xml:space="preserve">Road </w:t>
      </w:r>
      <w:r w:rsidRPr="465D3EE1">
        <w:rPr>
          <w:rStyle w:val="normaltextrun"/>
          <w:rFonts w:eastAsiaTheme="minorEastAsia"/>
          <w:lang w:val="en-GB"/>
        </w:rPr>
        <w:t>transport</w:t>
      </w:r>
      <w:r>
        <w:t xml:space="preserve"> workers would have access to a limited unfair contract termination jurisdiction, similar to the ‘deactivation’ protections for digital platform workers. The Fair Work Commission will be able to order remedies including compensation and reinstatement. </w:t>
      </w:r>
    </w:p>
    <w:p w14:paraId="50A680A2" w14:textId="77777777" w:rsidR="004E66F7" w:rsidRDefault="004E66F7" w:rsidP="004E66F7">
      <w:r>
        <w:t>To respond to</w:t>
      </w:r>
      <w:r w:rsidRPr="002A52C1">
        <w:t xml:space="preserve"> stakeholder concerns about</w:t>
      </w:r>
      <w:r>
        <w:t xml:space="preserve"> the need for strong industry consultation before introducing minimum standards, this option would include </w:t>
      </w:r>
      <w:r w:rsidRPr="00DF1930">
        <w:t>strong checks and balances</w:t>
      </w:r>
      <w:r>
        <w:t xml:space="preserve"> in legislation, particularly: </w:t>
      </w:r>
    </w:p>
    <w:p w14:paraId="1EA1A57D" w14:textId="53749225" w:rsidR="004E66F7" w:rsidRDefault="004E66F7" w:rsidP="4ACB7A04">
      <w:pPr>
        <w:pStyle w:val="ListParagraph"/>
        <w:numPr>
          <w:ilvl w:val="0"/>
          <w:numId w:val="29"/>
        </w:numPr>
        <w:spacing w:before="240" w:line="276" w:lineRule="auto"/>
        <w:ind w:left="714" w:hanging="357"/>
      </w:pPr>
      <w:r>
        <w:t xml:space="preserve">The Fair Work Commission would </w:t>
      </w:r>
      <w:r w:rsidR="004B411C">
        <w:t>be required to issue</w:t>
      </w:r>
      <w:r>
        <w:t xml:space="preserve"> a notice of intent to make an order</w:t>
      </w:r>
      <w:r w:rsidR="002451E2">
        <w:t>, along with the draft order</w:t>
      </w:r>
      <w:r>
        <w:t>. The notice of intent to make an order must then have been in place for at least 24 months</w:t>
      </w:r>
      <w:r w:rsidR="002451E2">
        <w:t xml:space="preserve"> to allow parties to consider the order</w:t>
      </w:r>
      <w:r w:rsidR="00D73D8A">
        <w:t xml:space="preserve"> and make submissions to the Fair Work Commission</w:t>
      </w:r>
      <w:r w:rsidR="00BD578E">
        <w:t xml:space="preserve"> before it becomes mandatory. </w:t>
      </w:r>
      <w:r>
        <w:t xml:space="preserve"> </w:t>
      </w:r>
    </w:p>
    <w:p w14:paraId="3A566FB2" w14:textId="3A176FBB" w:rsidR="004E66F7" w:rsidRDefault="004E66F7" w:rsidP="00573634">
      <w:pPr>
        <w:pStyle w:val="ListParagraph"/>
        <w:numPr>
          <w:ilvl w:val="0"/>
          <w:numId w:val="29"/>
        </w:numPr>
        <w:spacing w:before="240" w:line="276" w:lineRule="auto"/>
        <w:ind w:left="714" w:hanging="357"/>
        <w:contextualSpacing w:val="0"/>
      </w:pPr>
      <w:r>
        <w:t xml:space="preserve">If the Fair Work Commission revises the draft order following or during the 24 month consultation period, it will be required to publish another notice of intent and consult for </w:t>
      </w:r>
      <w:r w:rsidR="00331447">
        <w:t>at least</w:t>
      </w:r>
      <w:r>
        <w:t xml:space="preserve"> </w:t>
      </w:r>
      <w:r w:rsidR="0041704A">
        <w:t xml:space="preserve">a </w:t>
      </w:r>
      <w:r>
        <w:t xml:space="preserve">further 12 months on the revised draft order. </w:t>
      </w:r>
    </w:p>
    <w:p w14:paraId="2107DDDA" w14:textId="43C18FC0" w:rsidR="004E66F7" w:rsidRDefault="004E66F7" w:rsidP="00573634">
      <w:pPr>
        <w:pStyle w:val="ListParagraph"/>
        <w:numPr>
          <w:ilvl w:val="0"/>
          <w:numId w:val="29"/>
        </w:numPr>
        <w:spacing w:before="240" w:line="276" w:lineRule="auto"/>
        <w:ind w:left="714" w:hanging="357"/>
        <w:contextualSpacing w:val="0"/>
      </w:pPr>
      <w:r>
        <w:t>Road Transport Minimum Standards Orders and consent agreements would not be able to deal with certain matters including purely commercial matters that do not affect the terms and conditions of regulated workers covered by the order</w:t>
      </w:r>
      <w:r w:rsidR="004131F5">
        <w:t xml:space="preserve">, </w:t>
      </w:r>
      <w:r w:rsidR="002E2955">
        <w:t xml:space="preserve">matters that would </w:t>
      </w:r>
      <w:r w:rsidR="005F7E6B">
        <w:t>change the form of engagement of the regulated workers, work health and safety matters or matters comprehensively dealt with by the Heavy Vehicle National Law</w:t>
      </w:r>
      <w:r>
        <w:t xml:space="preserve">. </w:t>
      </w:r>
    </w:p>
    <w:p w14:paraId="58C58DD1" w14:textId="1AD26E91" w:rsidR="004E66F7" w:rsidRDefault="004E66F7" w:rsidP="00573634">
      <w:pPr>
        <w:pStyle w:val="ListParagraph"/>
        <w:numPr>
          <w:ilvl w:val="0"/>
          <w:numId w:val="29"/>
        </w:numPr>
        <w:spacing w:before="240" w:line="276" w:lineRule="auto"/>
        <w:ind w:left="714" w:hanging="357"/>
        <w:contextualSpacing w:val="0"/>
      </w:pPr>
      <w:r>
        <w:t xml:space="preserve">The Fair Work Commission would be required to convene a Road Transport Advisory Group. The Group would be required to have representatives from organisations that are entitled to represent road transport contractors and those that are entitled to represent road transport businesses, appointed by the Minister for Employment and Workplace Relations. </w:t>
      </w:r>
      <w:r w:rsidRPr="00546EA1">
        <w:t xml:space="preserve">The </w:t>
      </w:r>
      <w:r>
        <w:t>Group</w:t>
      </w:r>
      <w:r w:rsidRPr="00546EA1">
        <w:t xml:space="preserve"> </w:t>
      </w:r>
      <w:r>
        <w:t>would</w:t>
      </w:r>
      <w:r w:rsidRPr="00546EA1">
        <w:t xml:space="preserve"> provide a forum for industry stakeholders to discuss emerging issues</w:t>
      </w:r>
      <w:r>
        <w:t xml:space="preserve">, </w:t>
      </w:r>
      <w:r w:rsidRPr="00546EA1">
        <w:t>identify areas where there is common ground for action</w:t>
      </w:r>
      <w:r>
        <w:t xml:space="preserve"> and make recommendations to the Fair Work Commission about making minimum standards. </w:t>
      </w:r>
    </w:p>
    <w:p w14:paraId="2DDE6EE2" w14:textId="1AA64E33" w:rsidR="004E66F7" w:rsidRDefault="004E66F7" w:rsidP="004E66F7">
      <w:pPr>
        <w:pStyle w:val="ListParagraph"/>
        <w:numPr>
          <w:ilvl w:val="0"/>
          <w:numId w:val="29"/>
        </w:numPr>
        <w:spacing w:line="276" w:lineRule="auto"/>
        <w:ind w:left="714" w:hanging="357"/>
        <w:contextualSpacing w:val="0"/>
      </w:pPr>
      <w:r w:rsidRPr="00BB5643">
        <w:t>A</w:t>
      </w:r>
      <w:r>
        <w:t>n E</w:t>
      </w:r>
      <w:r w:rsidRPr="00BB5643">
        <w:t xml:space="preserve">xpert </w:t>
      </w:r>
      <w:r>
        <w:t>P</w:t>
      </w:r>
      <w:r w:rsidRPr="00BB5643">
        <w:t>anel</w:t>
      </w:r>
      <w:r>
        <w:t xml:space="preserve"> for the road transport industry</w:t>
      </w:r>
      <w:r w:rsidRPr="00BB5643">
        <w:t xml:space="preserve"> </w:t>
      </w:r>
      <w:r>
        <w:t>would</w:t>
      </w:r>
      <w:r w:rsidRPr="00BB5643">
        <w:t xml:space="preserve"> also be established within Fair Work Commission to ensure it has access to the necessary industry expertise and ensure decisions across the sector are consistent.</w:t>
      </w:r>
    </w:p>
    <w:p w14:paraId="0491F53F" w14:textId="5C139334" w:rsidR="00D37521" w:rsidRDefault="004E66F7" w:rsidP="00D37521">
      <w:pPr>
        <w:pStyle w:val="ListParagraph"/>
        <w:numPr>
          <w:ilvl w:val="0"/>
          <w:numId w:val="29"/>
        </w:numPr>
        <w:spacing w:line="276" w:lineRule="auto"/>
        <w:ind w:left="714" w:hanging="357"/>
      </w:pPr>
      <w:r>
        <w:t xml:space="preserve">Additional legislative guardrails would apply where the Fair Work Commission is considering making a </w:t>
      </w:r>
      <w:r w:rsidR="00D04774">
        <w:t>M</w:t>
      </w:r>
      <w:r>
        <w:t xml:space="preserve">inimum </w:t>
      </w:r>
      <w:r w:rsidR="00D04774">
        <w:t>S</w:t>
      </w:r>
      <w:r>
        <w:t xml:space="preserve">tandards </w:t>
      </w:r>
      <w:r w:rsidR="00D04774">
        <w:t>O</w:t>
      </w:r>
      <w:r>
        <w:t xml:space="preserve">rder. This includes that in addition to considering the Minimum Standards Objective, the Fair Work Commission would need to consider a Road Transport Objective. </w:t>
      </w:r>
    </w:p>
    <w:p w14:paraId="33343601" w14:textId="12C7751A" w:rsidR="004E66F7" w:rsidRDefault="004E66F7" w:rsidP="004E66F7">
      <w:pPr>
        <w:pStyle w:val="ListParagraph"/>
        <w:numPr>
          <w:ilvl w:val="0"/>
          <w:numId w:val="29"/>
        </w:numPr>
        <w:spacing w:line="276" w:lineRule="auto"/>
        <w:ind w:left="714" w:hanging="357"/>
        <w:contextualSpacing w:val="0"/>
      </w:pPr>
      <w:r>
        <w:t>Before making a Minimum Standards Order, the Fair Work Commission would also need to take into account that it:</w:t>
      </w:r>
    </w:p>
    <w:p w14:paraId="75089ECC" w14:textId="77777777" w:rsidR="004E66F7" w:rsidRDefault="004E66F7" w:rsidP="004E66F7">
      <w:pPr>
        <w:pStyle w:val="ListParagraph"/>
        <w:numPr>
          <w:ilvl w:val="1"/>
          <w:numId w:val="29"/>
        </w:numPr>
        <w:spacing w:line="276" w:lineRule="auto"/>
        <w:contextualSpacing w:val="0"/>
      </w:pPr>
      <w:r>
        <w:t>has genuinely engaged with the parties to be covered by an order</w:t>
      </w:r>
    </w:p>
    <w:p w14:paraId="66C10187" w14:textId="77777777" w:rsidR="004E66F7" w:rsidRDefault="004E66F7" w:rsidP="004E66F7">
      <w:pPr>
        <w:pStyle w:val="ListParagraph"/>
        <w:numPr>
          <w:ilvl w:val="1"/>
          <w:numId w:val="29"/>
        </w:numPr>
        <w:spacing w:line="276" w:lineRule="auto"/>
        <w:contextualSpacing w:val="0"/>
      </w:pPr>
      <w:r>
        <w:t>has consulted the Road Transport Advisory group</w:t>
      </w:r>
    </w:p>
    <w:p w14:paraId="156476FB" w14:textId="77777777" w:rsidR="004E66F7" w:rsidRDefault="004E66F7" w:rsidP="004E66F7">
      <w:pPr>
        <w:pStyle w:val="ListParagraph"/>
        <w:numPr>
          <w:ilvl w:val="1"/>
          <w:numId w:val="29"/>
        </w:numPr>
        <w:spacing w:line="276" w:lineRule="auto"/>
        <w:contextualSpacing w:val="0"/>
      </w:pPr>
      <w:r>
        <w:t xml:space="preserve">followed other legislated consultation processes </w:t>
      </w:r>
    </w:p>
    <w:p w14:paraId="4A3533FB" w14:textId="77777777" w:rsidR="004E66F7" w:rsidRDefault="004E66F7" w:rsidP="004E66F7">
      <w:pPr>
        <w:pStyle w:val="ListParagraph"/>
        <w:numPr>
          <w:ilvl w:val="1"/>
          <w:numId w:val="29"/>
        </w:numPr>
        <w:spacing w:line="276" w:lineRule="auto"/>
        <w:contextualSpacing w:val="0"/>
      </w:pPr>
      <w:r>
        <w:t xml:space="preserve">has had regard to the commercial realities of the road transport industry; and </w:t>
      </w:r>
    </w:p>
    <w:p w14:paraId="7617F1E2" w14:textId="6256E6AB" w:rsidR="004E66F7" w:rsidRPr="007D3189" w:rsidRDefault="004E66F7" w:rsidP="004E66F7">
      <w:pPr>
        <w:pStyle w:val="ListParagraph"/>
        <w:numPr>
          <w:ilvl w:val="1"/>
          <w:numId w:val="29"/>
        </w:numPr>
        <w:spacing w:line="276" w:lineRule="auto"/>
        <w:contextualSpacing w:val="0"/>
      </w:pPr>
      <w:r>
        <w:t>is</w:t>
      </w:r>
      <w:r w:rsidRPr="007D3189">
        <w:t xml:space="preserve"> satisfied that a mandatory minimum standards order would not unduly impact viability </w:t>
      </w:r>
      <w:r>
        <w:t>and competitiveness</w:t>
      </w:r>
      <w:r w:rsidRPr="007D3189">
        <w:t xml:space="preserve"> </w:t>
      </w:r>
      <w:r>
        <w:t xml:space="preserve">of owner-drivers or similar persons. </w:t>
      </w:r>
      <w:r w:rsidRPr="007D3189">
        <w:t xml:space="preserve"> </w:t>
      </w:r>
    </w:p>
    <w:p w14:paraId="0FA752CE" w14:textId="58B0843A" w:rsidR="004E66F7" w:rsidRPr="007D3189" w:rsidRDefault="004E66F7" w:rsidP="00573634">
      <w:pPr>
        <w:pStyle w:val="ListParagraph"/>
        <w:numPr>
          <w:ilvl w:val="0"/>
          <w:numId w:val="29"/>
        </w:numPr>
        <w:spacing w:line="276" w:lineRule="auto"/>
        <w:contextualSpacing w:val="0"/>
      </w:pPr>
      <w:r>
        <w:t xml:space="preserve">As a ‘failsafe’ mechanism, regulations may empower the Fair Work Commission to conduct a merits review of a </w:t>
      </w:r>
      <w:r w:rsidR="00BF6ED0">
        <w:t>R</w:t>
      </w:r>
      <w:r>
        <w:t xml:space="preserve">oad </w:t>
      </w:r>
      <w:r w:rsidR="00BF6ED0">
        <w:t>T</w:t>
      </w:r>
      <w:r>
        <w:t xml:space="preserve">ransport </w:t>
      </w:r>
      <w:r w:rsidR="00BF6ED0">
        <w:t>M</w:t>
      </w:r>
      <w:r>
        <w:t xml:space="preserve">inimum </w:t>
      </w:r>
      <w:r w:rsidR="00BF6ED0">
        <w:t>S</w:t>
      </w:r>
      <w:r>
        <w:t xml:space="preserve">tandards </w:t>
      </w:r>
      <w:r w:rsidR="00BF6ED0">
        <w:t>O</w:t>
      </w:r>
      <w:r>
        <w:t>rder.</w:t>
      </w:r>
    </w:p>
    <w:p w14:paraId="09FE078D" w14:textId="6AA61E22" w:rsidR="00FA2731" w:rsidRDefault="2899429B" w:rsidP="0010106C">
      <w:r>
        <w:t xml:space="preserve">This </w:t>
      </w:r>
      <w:r w:rsidR="001529B1">
        <w:t xml:space="preserve">gradual, </w:t>
      </w:r>
      <w:r w:rsidR="009B48FE">
        <w:t>consultative, and evidence-based</w:t>
      </w:r>
      <w:r>
        <w:t xml:space="preserve"> approach to standard setting</w:t>
      </w:r>
      <w:r w:rsidR="51C20127">
        <w:t>,</w:t>
      </w:r>
      <w:r>
        <w:t xml:space="preserve"> </w:t>
      </w:r>
      <w:r w:rsidR="51C20127">
        <w:t>with industry views taken into</w:t>
      </w:r>
      <w:r>
        <w:t xml:space="preserve"> </w:t>
      </w:r>
      <w:r w:rsidR="51C20127" w:rsidRPr="004B4F63">
        <w:rPr>
          <w:rStyle w:val="normaltextrun"/>
          <w:rFonts w:eastAsiaTheme="minorEastAsia"/>
          <w:lang w:val="en-GB"/>
        </w:rPr>
        <w:t>account</w:t>
      </w:r>
      <w:r w:rsidR="51C20127">
        <w:t xml:space="preserve"> at each stage of </w:t>
      </w:r>
      <w:r w:rsidR="065C046F">
        <w:t>the</w:t>
      </w:r>
      <w:r>
        <w:t xml:space="preserve"> </w:t>
      </w:r>
      <w:r w:rsidR="065C046F">
        <w:t>process</w:t>
      </w:r>
      <w:r w:rsidR="16F761AE">
        <w:t xml:space="preserve">, </w:t>
      </w:r>
      <w:r w:rsidR="13F0DB5F">
        <w:t xml:space="preserve">will minimise the risk of potential negative outcomes </w:t>
      </w:r>
      <w:r w:rsidR="195B2445">
        <w:t>where</w:t>
      </w:r>
      <w:r w:rsidR="45654CA1">
        <w:t xml:space="preserve"> minimum standards are not informed by genuine engagement with owner drivers or do not reflect the commercial realities of the sectors of the industry to which they apply</w:t>
      </w:r>
      <w:r w:rsidR="00900A90">
        <w:t xml:space="preserve">. </w:t>
      </w:r>
      <w:r w:rsidR="195B2445">
        <w:t xml:space="preserve">These were key criticisms of </w:t>
      </w:r>
      <w:r>
        <w:t xml:space="preserve">the </w:t>
      </w:r>
      <w:r w:rsidR="00D469C9">
        <w:t>former Road Safety Remuneration Tribunal</w:t>
      </w:r>
      <w:r w:rsidR="00A31C47">
        <w:t xml:space="preserve">. </w:t>
      </w:r>
      <w:r w:rsidR="00B65D28">
        <w:t>The</w:t>
      </w:r>
      <w:r w:rsidR="00900A90">
        <w:t xml:space="preserve"> 2016 Review of the Road Safety Remuneration </w:t>
      </w:r>
      <w:r w:rsidR="008562E1">
        <w:t>System</w:t>
      </w:r>
      <w:r w:rsidR="00900A90">
        <w:t xml:space="preserve"> </w:t>
      </w:r>
      <w:r w:rsidR="00BA59BF">
        <w:t>conclud</w:t>
      </w:r>
      <w:r w:rsidR="552C6EC8">
        <w:t>ed</w:t>
      </w:r>
      <w:r w:rsidR="002F16E6">
        <w:t xml:space="preserve"> that </w:t>
      </w:r>
      <w:r w:rsidR="008016A4">
        <w:t>the two orders made by the Road Safety Remuneration Tribunal would result in a net cost to the economy of over $2 billion</w:t>
      </w:r>
      <w:r w:rsidR="008562E1">
        <w:t xml:space="preserve"> over 15 years from 2023.</w:t>
      </w:r>
      <w:r w:rsidR="008562E1">
        <w:rPr>
          <w:rStyle w:val="FootnoteReference"/>
        </w:rPr>
        <w:footnoteReference w:id="83"/>
      </w:r>
      <w:r w:rsidR="008562E1">
        <w:t xml:space="preserve"> </w:t>
      </w:r>
      <w:r w:rsidR="0010106C">
        <w:t>By contrast, this</w:t>
      </w:r>
      <w:r w:rsidR="00A71392">
        <w:t xml:space="preserve"> option</w:t>
      </w:r>
      <w:r w:rsidR="00490D96">
        <w:t xml:space="preserve"> </w:t>
      </w:r>
      <w:r w:rsidR="09C2CDC2">
        <w:t xml:space="preserve">includes legislative guardrails and institutional arrangements </w:t>
      </w:r>
      <w:r w:rsidR="00ED760F">
        <w:t xml:space="preserve">(i.e. the </w:t>
      </w:r>
      <w:r w:rsidR="00ED760F" w:rsidRPr="004B4F63">
        <w:rPr>
          <w:rStyle w:val="normaltextrun"/>
          <w:rFonts w:eastAsiaTheme="minorEastAsia"/>
          <w:lang w:val="en-GB"/>
        </w:rPr>
        <w:t>establishment</w:t>
      </w:r>
      <w:r w:rsidR="00ED760F">
        <w:t xml:space="preserve"> of an Expert Panel and </w:t>
      </w:r>
      <w:r w:rsidR="003771FA">
        <w:t>A</w:t>
      </w:r>
      <w:r w:rsidR="00ED760F">
        <w:t xml:space="preserve">dvisory </w:t>
      </w:r>
      <w:r w:rsidR="003771FA">
        <w:t>G</w:t>
      </w:r>
      <w:r w:rsidR="00ED760F">
        <w:t>roup)</w:t>
      </w:r>
      <w:r w:rsidR="09C2CDC2">
        <w:t xml:space="preserve"> that </w:t>
      </w:r>
      <w:r w:rsidR="00BB47D3">
        <w:t xml:space="preserve">would </w:t>
      </w:r>
      <w:r w:rsidR="00706568">
        <w:t xml:space="preserve">ensure that </w:t>
      </w:r>
      <w:r w:rsidR="24C5726D">
        <w:t xml:space="preserve">the Fair Work Commission </w:t>
      </w:r>
      <w:r w:rsidR="009B48FE">
        <w:t>responds</w:t>
      </w:r>
      <w:r w:rsidR="7D4927A0">
        <w:t xml:space="preserve"> </w:t>
      </w:r>
      <w:r w:rsidR="066C1056">
        <w:t>to</w:t>
      </w:r>
      <w:r w:rsidR="7D4927A0">
        <w:t xml:space="preserve"> commercial realities</w:t>
      </w:r>
      <w:r w:rsidR="066C1056">
        <w:t xml:space="preserve"> </w:t>
      </w:r>
      <w:r w:rsidR="30D5A820">
        <w:t xml:space="preserve">and </w:t>
      </w:r>
      <w:r w:rsidR="00903897">
        <w:t>the views of</w:t>
      </w:r>
      <w:r w:rsidR="30D5A820">
        <w:t xml:space="preserve"> owner</w:t>
      </w:r>
      <w:r w:rsidR="009B48FE">
        <w:t>-</w:t>
      </w:r>
      <w:r w:rsidR="30D5A820">
        <w:t>driver</w:t>
      </w:r>
      <w:r w:rsidR="00903897">
        <w:t>s and industry</w:t>
      </w:r>
      <w:r w:rsidR="30D5A820">
        <w:t>.</w:t>
      </w:r>
    </w:p>
    <w:p w14:paraId="1FCC9ACC" w14:textId="1DE88B71" w:rsidR="00FB239A" w:rsidRPr="0050581D" w:rsidRDefault="00FB239A" w:rsidP="00F60F5C">
      <w:pPr>
        <w:pStyle w:val="Heading3"/>
      </w:pPr>
      <w:bookmarkStart w:id="44" w:name="_Toc139295553"/>
      <w:r w:rsidRPr="3EB679F2">
        <w:t>Option 4</w:t>
      </w:r>
      <w:r w:rsidR="00491C6D" w:rsidRPr="3EB679F2">
        <w:t>:</w:t>
      </w:r>
      <w:r w:rsidR="00E30170" w:rsidRPr="3EB679F2">
        <w:t xml:space="preserve"> </w:t>
      </w:r>
      <w:r w:rsidR="00491C6D" w:rsidRPr="3EB679F2">
        <w:t>M</w:t>
      </w:r>
      <w:r w:rsidR="000D682E" w:rsidRPr="3EB679F2">
        <w:t>inimum standards for</w:t>
      </w:r>
      <w:r w:rsidR="003F76CF" w:rsidRPr="3EB679F2">
        <w:t xml:space="preserve"> digital platform workers</w:t>
      </w:r>
      <w:r w:rsidR="009B0595" w:rsidRPr="3EB679F2">
        <w:t xml:space="preserve"> and </w:t>
      </w:r>
      <w:r w:rsidR="00E30170" w:rsidRPr="3EB679F2">
        <w:t>road transport</w:t>
      </w:r>
      <w:r w:rsidR="009B0595" w:rsidRPr="3EB679F2">
        <w:t xml:space="preserve"> workers with </w:t>
      </w:r>
      <w:r w:rsidR="00553825">
        <w:t>an interpretive principle in the Fair Work Act</w:t>
      </w:r>
      <w:bookmarkEnd w:id="44"/>
      <w:r w:rsidR="00E30170" w:rsidRPr="3EB679F2">
        <w:t xml:space="preserve"> </w:t>
      </w:r>
    </w:p>
    <w:p w14:paraId="1F33E780" w14:textId="1676D714" w:rsidR="009D3CEA" w:rsidRDefault="009D3CEA" w:rsidP="009D3CEA">
      <w:r>
        <w:t xml:space="preserve">This </w:t>
      </w:r>
      <w:r w:rsidR="00A22CD2">
        <w:t xml:space="preserve">option </w:t>
      </w:r>
      <w:r>
        <w:t xml:space="preserve">would </w:t>
      </w:r>
      <w:r w:rsidR="00581F83">
        <w:t>implement</w:t>
      </w:r>
      <w:r w:rsidR="00CD6007">
        <w:t xml:space="preserve"> </w:t>
      </w:r>
      <w:r>
        <w:t>Option 3, with a</w:t>
      </w:r>
      <w:r w:rsidR="00581F83">
        <w:t>n additional</w:t>
      </w:r>
      <w:r>
        <w:t xml:space="preserve"> amendment to introduce a</w:t>
      </w:r>
      <w:r w:rsidR="008B3880">
        <w:t xml:space="preserve">n interpretive principle that applies to determining the </w:t>
      </w:r>
      <w:r w:rsidR="00926363">
        <w:t xml:space="preserve">ordinary </w:t>
      </w:r>
      <w:r w:rsidR="008B3880">
        <w:t>meaning of ‘employee’ and ‘employ</w:t>
      </w:r>
      <w:r w:rsidR="00663075">
        <w:t>ment</w:t>
      </w:r>
      <w:r w:rsidR="008B3880">
        <w:t>’</w:t>
      </w:r>
      <w:r w:rsidR="008D31B2">
        <w:t xml:space="preserve"> </w:t>
      </w:r>
      <w:r w:rsidR="008D31B2" w:rsidRPr="008D31B2">
        <w:t>under</w:t>
      </w:r>
      <w:r w:rsidR="008D31B2" w:rsidRPr="00F9171A">
        <w:rPr>
          <w:b/>
        </w:rPr>
        <w:t xml:space="preserve"> </w:t>
      </w:r>
      <w:r>
        <w:t xml:space="preserve">the Fair Work </w:t>
      </w:r>
      <w:r w:rsidRPr="004B4F63">
        <w:rPr>
          <w:rStyle w:val="normaltextrun"/>
          <w:rFonts w:eastAsiaTheme="minorEastAsia"/>
          <w:lang w:val="en-GB"/>
        </w:rPr>
        <w:t>Act</w:t>
      </w:r>
      <w:r>
        <w:t xml:space="preserve">. </w:t>
      </w:r>
      <w:r w:rsidR="0007374C">
        <w:t xml:space="preserve">This option </w:t>
      </w:r>
      <w:r w:rsidR="008E6842">
        <w:t xml:space="preserve">responds to significant stakeholder feedback </w:t>
      </w:r>
      <w:r w:rsidR="002B3CFE">
        <w:t xml:space="preserve">raised during consultation about the </w:t>
      </w:r>
      <w:r w:rsidR="00F97D7E">
        <w:t xml:space="preserve">need </w:t>
      </w:r>
      <w:r w:rsidR="00F76491">
        <w:t xml:space="preserve">to move away from the current </w:t>
      </w:r>
      <w:r w:rsidR="005A460E">
        <w:t xml:space="preserve">contract-centric </w:t>
      </w:r>
      <w:r w:rsidR="00F76491">
        <w:t xml:space="preserve">common law definition of </w:t>
      </w:r>
      <w:r w:rsidR="007555FF">
        <w:t>employment</w:t>
      </w:r>
      <w:r w:rsidR="0057070E">
        <w:t>.</w:t>
      </w:r>
      <w:r w:rsidR="00F97D7E">
        <w:t xml:space="preserve"> </w:t>
      </w:r>
      <w:r w:rsidR="000743B6">
        <w:t>It also respon</w:t>
      </w:r>
      <w:r w:rsidR="0057070E">
        <w:t>ds</w:t>
      </w:r>
      <w:r w:rsidR="000743B6">
        <w:t xml:space="preserve"> to </w:t>
      </w:r>
      <w:r w:rsidR="0057070E">
        <w:t>R</w:t>
      </w:r>
      <w:r w:rsidR="000743B6" w:rsidRPr="0057070E">
        <w:t xml:space="preserve">ecommendation </w:t>
      </w:r>
      <w:r w:rsidR="0057070E">
        <w:t xml:space="preserve">6 </w:t>
      </w:r>
      <w:r w:rsidR="000743B6" w:rsidRPr="0057070E">
        <w:t xml:space="preserve">of the Victorian On-Demand </w:t>
      </w:r>
      <w:r w:rsidR="00541655">
        <w:t>I</w:t>
      </w:r>
      <w:r w:rsidR="000743B6" w:rsidRPr="0057070E">
        <w:t>nquiry.</w:t>
      </w:r>
    </w:p>
    <w:p w14:paraId="7785A52F" w14:textId="57047B91" w:rsidR="00D14640" w:rsidRDefault="0057070E" w:rsidP="009D3CEA">
      <w:r>
        <w:t xml:space="preserve">This is an important measure to </w:t>
      </w:r>
      <w:r w:rsidR="00A83BBD">
        <w:t xml:space="preserve">improve the operation of proposed minimum standards. </w:t>
      </w:r>
      <w:r w:rsidR="00BB2557">
        <w:t>I</w:t>
      </w:r>
      <w:r w:rsidR="00A83BBD">
        <w:t>n particular, it</w:t>
      </w:r>
      <w:r>
        <w:t xml:space="preserve"> would</w:t>
      </w:r>
      <w:r w:rsidR="00BB2557">
        <w:t xml:space="preserve"> </w:t>
      </w:r>
      <w:r w:rsidR="00E608E8">
        <w:t xml:space="preserve">clarify the distinction between workers that are eligible for </w:t>
      </w:r>
      <w:r w:rsidR="00821FEC">
        <w:t>protections and entitlements under the Fair Work Act</w:t>
      </w:r>
      <w:r w:rsidR="00AB35E4">
        <w:t xml:space="preserve"> and those eligible for new minimum standards under </w:t>
      </w:r>
      <w:r w:rsidR="00BB2557">
        <w:t xml:space="preserve">Options 2 and 3. </w:t>
      </w:r>
    </w:p>
    <w:p w14:paraId="38A2B501" w14:textId="67297B8F" w:rsidR="00A60FC3" w:rsidRPr="008B793A" w:rsidRDefault="00164D4D" w:rsidP="004B4F63">
      <w:pPr>
        <w:rPr>
          <w:i/>
        </w:rPr>
      </w:pPr>
      <w:r>
        <w:t xml:space="preserve">The </w:t>
      </w:r>
      <w:r w:rsidR="00FA6A72" w:rsidRPr="004B4F63">
        <w:rPr>
          <w:rStyle w:val="normaltextrun"/>
          <w:rFonts w:eastAsiaTheme="minorEastAsia"/>
          <w:lang w:val="en-GB"/>
        </w:rPr>
        <w:t>interpretive</w:t>
      </w:r>
      <w:r w:rsidR="00FA6A72">
        <w:t xml:space="preserve"> principle </w:t>
      </w:r>
      <w:r>
        <w:t>would</w:t>
      </w:r>
      <w:r w:rsidR="00081351">
        <w:t xml:space="preserve"> </w:t>
      </w:r>
      <w:r w:rsidR="22ADF42D">
        <w:t>no longer require</w:t>
      </w:r>
      <w:r w:rsidR="005707BD">
        <w:t xml:space="preserve"> a</w:t>
      </w:r>
      <w:r w:rsidR="001E0ABA">
        <w:t xml:space="preserve"> focus </w:t>
      </w:r>
      <w:r w:rsidR="00F26809">
        <w:t xml:space="preserve">in most cases </w:t>
      </w:r>
      <w:r w:rsidR="001E0ABA">
        <w:t xml:space="preserve">on </w:t>
      </w:r>
      <w:r w:rsidR="008A2387">
        <w:t>contractual terms</w:t>
      </w:r>
      <w:r w:rsidR="00F26809">
        <w:t xml:space="preserve"> (the approach </w:t>
      </w:r>
      <w:r w:rsidR="00D76B33">
        <w:t>espoused</w:t>
      </w:r>
      <w:r w:rsidR="00323D44">
        <w:t xml:space="preserve"> </w:t>
      </w:r>
      <w:r w:rsidR="00F26809">
        <w:t>by the</w:t>
      </w:r>
      <w:r w:rsidR="00323D44">
        <w:t xml:space="preserve"> High Court’s decisions in</w:t>
      </w:r>
      <w:r w:rsidR="00461E07">
        <w:t xml:space="preserve"> </w:t>
      </w:r>
      <w:r w:rsidR="0017397E" w:rsidRPr="00F9171A">
        <w:rPr>
          <w:i/>
        </w:rPr>
        <w:t>Personnel</w:t>
      </w:r>
      <w:r w:rsidR="0017397E">
        <w:rPr>
          <w:i/>
          <w:iCs/>
        </w:rPr>
        <w:t xml:space="preserve"> </w:t>
      </w:r>
      <w:r w:rsidR="00C1501F">
        <w:rPr>
          <w:i/>
          <w:iCs/>
        </w:rPr>
        <w:t>Contracting</w:t>
      </w:r>
      <w:r w:rsidR="001C24A1">
        <w:rPr>
          <w:i/>
          <w:iCs/>
        </w:rPr>
        <w:t xml:space="preserve"> </w:t>
      </w:r>
      <w:r w:rsidR="0017397E" w:rsidRPr="00A22CD2">
        <w:t>and</w:t>
      </w:r>
      <w:r w:rsidR="0017397E">
        <w:rPr>
          <w:i/>
          <w:iCs/>
        </w:rPr>
        <w:t xml:space="preserve"> </w:t>
      </w:r>
      <w:r w:rsidR="0017397E" w:rsidRPr="00F9171A">
        <w:rPr>
          <w:i/>
        </w:rPr>
        <w:t>Jamsek</w:t>
      </w:r>
      <w:r w:rsidR="00D76B33">
        <w:rPr>
          <w:i/>
          <w:iCs/>
        </w:rPr>
        <w:t>)</w:t>
      </w:r>
      <w:r w:rsidR="00F418FB">
        <w:rPr>
          <w:i/>
          <w:iCs/>
        </w:rPr>
        <w:t xml:space="preserve"> </w:t>
      </w:r>
      <w:r w:rsidR="00F418FB" w:rsidRPr="00F9171A">
        <w:t>when determining a workers’ status as an employee or independent contract</w:t>
      </w:r>
      <w:r w:rsidR="522D9629">
        <w:t>or.</w:t>
      </w:r>
      <w:r w:rsidR="0017397E" w:rsidDel="00A00CAB">
        <w:t xml:space="preserve"> </w:t>
      </w:r>
      <w:r w:rsidR="008D4C3D">
        <w:t xml:space="preserve">The principle would instead allow decision makers to consider the </w:t>
      </w:r>
      <w:r w:rsidR="00687950">
        <w:t>totality of the relationship</w:t>
      </w:r>
      <w:r w:rsidR="00A5790A">
        <w:t xml:space="preserve">. This would include the way the contract is performed in practice, </w:t>
      </w:r>
      <w:r w:rsidR="009B5E0D">
        <w:t>in addition to the contractual terms governing the relationship</w:t>
      </w:r>
      <w:r w:rsidR="00857133">
        <w:t>.</w:t>
      </w:r>
      <w:r w:rsidR="005A31C3">
        <w:t xml:space="preserve"> </w:t>
      </w:r>
      <w:r w:rsidR="00C40CF0">
        <w:t xml:space="preserve">In practice, </w:t>
      </w:r>
      <w:r w:rsidR="00434E54">
        <w:t>the</w:t>
      </w:r>
      <w:r w:rsidR="00F5177C">
        <w:t xml:space="preserve"> intention is to reinstate a test that more closely reflects the multi-factorial test prior to the decisions in </w:t>
      </w:r>
      <w:r w:rsidR="00F5177C" w:rsidRPr="00F9171A">
        <w:rPr>
          <w:i/>
        </w:rPr>
        <w:t>Jamsek</w:t>
      </w:r>
      <w:r w:rsidR="00F5177C">
        <w:t xml:space="preserve"> and </w:t>
      </w:r>
      <w:r w:rsidR="00F5177C" w:rsidRPr="00F9171A">
        <w:rPr>
          <w:i/>
        </w:rPr>
        <w:t>Personnel Contracting</w:t>
      </w:r>
      <w:r w:rsidR="0086366D">
        <w:t>.</w:t>
      </w:r>
      <w:r w:rsidR="00F5177C">
        <w:t xml:space="preserve"> </w:t>
      </w:r>
    </w:p>
    <w:p w14:paraId="526EF661" w14:textId="19059C2E" w:rsidR="00444298" w:rsidRDefault="006D70F2" w:rsidP="00444298">
      <w:pPr>
        <w:pStyle w:val="Heading2"/>
      </w:pPr>
      <w:bookmarkStart w:id="45" w:name="_Toc139295554"/>
      <w:r>
        <w:t>Improving a</w:t>
      </w:r>
      <w:r w:rsidR="00444298">
        <w:t>ccess to unfair contracts</w:t>
      </w:r>
      <w:r>
        <w:t xml:space="preserve"> protections</w:t>
      </w:r>
      <w:bookmarkEnd w:id="45"/>
    </w:p>
    <w:p w14:paraId="05EEC2CE" w14:textId="0F312893" w:rsidR="00444298" w:rsidRPr="0050581D" w:rsidRDefault="00C00292" w:rsidP="00F60F5C">
      <w:pPr>
        <w:pStyle w:val="Heading3"/>
      </w:pPr>
      <w:bookmarkStart w:id="46" w:name="_Toc139295555"/>
      <w:r w:rsidRPr="0050581D">
        <w:t xml:space="preserve">Option </w:t>
      </w:r>
      <w:r w:rsidR="00321DFF" w:rsidRPr="0050581D">
        <w:t>1</w:t>
      </w:r>
      <w:r w:rsidRPr="0050581D">
        <w:t xml:space="preserve">: </w:t>
      </w:r>
      <w:r w:rsidR="00444298" w:rsidRPr="0050581D">
        <w:t>Status quo</w:t>
      </w:r>
      <w:bookmarkEnd w:id="46"/>
      <w:r w:rsidR="00444298" w:rsidRPr="0050581D">
        <w:t xml:space="preserve"> </w:t>
      </w:r>
    </w:p>
    <w:p w14:paraId="33B40AF7" w14:textId="04466F23" w:rsidR="00444298" w:rsidRDefault="00B606CD" w:rsidP="00444298">
      <w:r>
        <w:t xml:space="preserve">The unfair contracts provisions in the Independent Contractors Act and Australian Consumer Law </w:t>
      </w:r>
      <w:r w:rsidR="006F5C73">
        <w:t xml:space="preserve">outlined in </w:t>
      </w:r>
      <w:r w:rsidR="006F5C73" w:rsidRPr="004B4F63">
        <w:rPr>
          <w:rStyle w:val="normaltextrun"/>
          <w:rFonts w:eastAsiaTheme="minorEastAsia"/>
          <w:lang w:val="en-GB"/>
        </w:rPr>
        <w:t>the</w:t>
      </w:r>
      <w:r w:rsidR="006F5C73">
        <w:t xml:space="preserve"> background section would remain unchanged. </w:t>
      </w:r>
    </w:p>
    <w:p w14:paraId="3C6DB968" w14:textId="57235CE1" w:rsidR="00321DFF" w:rsidRPr="0050581D" w:rsidRDefault="00321DFF" w:rsidP="00F60F5C">
      <w:pPr>
        <w:pStyle w:val="Heading3"/>
      </w:pPr>
      <w:bookmarkStart w:id="47" w:name="_Toc139295556"/>
      <w:r w:rsidRPr="0050581D">
        <w:t xml:space="preserve">Option 2: </w:t>
      </w:r>
      <w:r w:rsidR="00383320" w:rsidRPr="0050581D">
        <w:t xml:space="preserve">Allow </w:t>
      </w:r>
      <w:r w:rsidR="00D53FD0" w:rsidRPr="0050581D">
        <w:t>the</w:t>
      </w:r>
      <w:r w:rsidR="00CE4255" w:rsidRPr="0050581D">
        <w:t xml:space="preserve"> Fair Work Commission to resolve </w:t>
      </w:r>
      <w:r w:rsidR="00121021" w:rsidRPr="0050581D">
        <w:t xml:space="preserve">disputes about unfair </w:t>
      </w:r>
      <w:r w:rsidR="00D1410A" w:rsidRPr="0050581D">
        <w:t>contracts</w:t>
      </w:r>
      <w:r w:rsidR="00C61A00" w:rsidRPr="0050581D">
        <w:t xml:space="preserve"> </w:t>
      </w:r>
      <w:r w:rsidR="00AE5FF3" w:rsidRPr="0050581D">
        <w:t xml:space="preserve">for </w:t>
      </w:r>
      <w:r w:rsidR="002570C8" w:rsidRPr="0050581D">
        <w:t>digital platform</w:t>
      </w:r>
      <w:r w:rsidRPr="0050581D">
        <w:t xml:space="preserve"> and road transport workers</w:t>
      </w:r>
      <w:bookmarkEnd w:id="47"/>
      <w:r w:rsidRPr="0050581D">
        <w:t xml:space="preserve"> </w:t>
      </w:r>
    </w:p>
    <w:p w14:paraId="446704B9" w14:textId="34F8B568" w:rsidR="00383280" w:rsidRDefault="00383280" w:rsidP="00383280">
      <w:bookmarkStart w:id="48" w:name="_Toc139295557"/>
      <w:r>
        <w:t xml:space="preserve">The Fair Work Commission would be able to deal with unfair contracts disputes under the existing unfair contracts provisions by an amendment to the Fair Work Act. Compared to a court, the Fair Work Act provides low-cost and accessible dispute resolution. The Fair Work Commission will be able to deal with unfair contracts claims by conciliation, mediation or compulsory arbitration, subject to constitutional limitations. If it finds that a contract term is unfair, it will be able to make orders varying or </w:t>
      </w:r>
      <w:r w:rsidRPr="4ACB7A04">
        <w:rPr>
          <w:rStyle w:val="normaltextrun"/>
          <w:rFonts w:eastAsiaTheme="minorEastAsia"/>
          <w:lang w:val="en-GB"/>
        </w:rPr>
        <w:t>voiding</w:t>
      </w:r>
      <w:r>
        <w:t xml:space="preserve"> all or part of the contract to remedy the unfairness. </w:t>
      </w:r>
    </w:p>
    <w:p w14:paraId="3F2D082C" w14:textId="17489BC7" w:rsidR="00383280" w:rsidRDefault="00383280" w:rsidP="00383280">
      <w:r>
        <w:t xml:space="preserve">Under this option, </w:t>
      </w:r>
      <w:r w:rsidR="001B0F29">
        <w:t>t</w:t>
      </w:r>
      <w:r w:rsidR="001B0F29" w:rsidRPr="001328F6">
        <w:t>he</w:t>
      </w:r>
      <w:r w:rsidRPr="001328F6">
        <w:t xml:space="preserve"> Fair Work Commission would be able to resolve </w:t>
      </w:r>
      <w:r>
        <w:t xml:space="preserve">unfair contracts </w:t>
      </w:r>
      <w:r w:rsidRPr="001328F6">
        <w:t xml:space="preserve">disputes from digital platform and road </w:t>
      </w:r>
      <w:r w:rsidRPr="004B4F63">
        <w:rPr>
          <w:rStyle w:val="normaltextrun"/>
          <w:rFonts w:eastAsiaTheme="minorEastAsia"/>
          <w:lang w:val="en-GB"/>
        </w:rPr>
        <w:t>transport</w:t>
      </w:r>
      <w:r w:rsidRPr="001328F6">
        <w:t xml:space="preserve"> workers only</w:t>
      </w:r>
      <w:r w:rsidRPr="00EA2C8F">
        <w:t xml:space="preserve">. </w:t>
      </w:r>
      <w:r>
        <w:t xml:space="preserve">  </w:t>
      </w:r>
    </w:p>
    <w:p w14:paraId="3D9F4718" w14:textId="44542E26" w:rsidR="00383280" w:rsidRDefault="00383280" w:rsidP="00383280">
      <w:r>
        <w:t xml:space="preserve">Eligibility to make an unfair contracts application to the Fair Work Commission would be further limited by a </w:t>
      </w:r>
      <w:r w:rsidRPr="4ACB7A04">
        <w:rPr>
          <w:rStyle w:val="normaltextrun"/>
          <w:rFonts w:eastAsiaTheme="minorEastAsia"/>
          <w:lang w:val="en-GB"/>
        </w:rPr>
        <w:t>high</w:t>
      </w:r>
      <w:r>
        <w:t xml:space="preserve"> income threshold. The high income threshold will be set out in regulations. It will be set at a level that takes into account the high income threshold in the Fair Work Act for employees, and factors in the additional costs faced by independent contractors compared to employees. The intent of the high income threshold is to ensure that the policy addresses low-leveraged independent contractors who lack the means to apply to a court for dispute resolution. Independent contractors </w:t>
      </w:r>
      <w:r w:rsidRPr="4ACB7A04">
        <w:rPr>
          <w:rStyle w:val="normaltextrun"/>
          <w:rFonts w:eastAsiaTheme="minorEastAsia"/>
          <w:lang w:val="en-GB"/>
        </w:rPr>
        <w:t>whose</w:t>
      </w:r>
      <w:r>
        <w:t xml:space="preserve"> incomes are above this threshold will continue to be able to apply to a court to dispute an unfair contract under the Independent Contractors Act. </w:t>
      </w:r>
    </w:p>
    <w:p w14:paraId="5A05D5A7" w14:textId="0F686C93" w:rsidR="00444298" w:rsidRPr="0050581D" w:rsidRDefault="00444298" w:rsidP="00F60F5C">
      <w:pPr>
        <w:pStyle w:val="Heading3"/>
      </w:pPr>
      <w:r w:rsidRPr="0050581D">
        <w:t xml:space="preserve">Option </w:t>
      </w:r>
      <w:r w:rsidR="00321DFF" w:rsidRPr="0050581D">
        <w:t>3</w:t>
      </w:r>
      <w:r w:rsidRPr="0050581D">
        <w:t xml:space="preserve">: </w:t>
      </w:r>
      <w:r w:rsidR="00AE5FF3" w:rsidRPr="0050581D">
        <w:t>Allow the Fair Work Commission to resolve disputes about unfair contract</w:t>
      </w:r>
      <w:r w:rsidR="00C61A00" w:rsidRPr="0050581D">
        <w:t>s</w:t>
      </w:r>
      <w:r w:rsidR="008B1A36" w:rsidRPr="0050581D">
        <w:t xml:space="preserve"> for all independent </w:t>
      </w:r>
      <w:r w:rsidR="2E32341D" w:rsidRPr="0050581D">
        <w:t>contractor</w:t>
      </w:r>
      <w:r w:rsidR="008B1A36" w:rsidRPr="0050581D">
        <w:t>s</w:t>
      </w:r>
      <w:bookmarkEnd w:id="48"/>
      <w:r w:rsidR="00C61A00" w:rsidRPr="0050581D">
        <w:t xml:space="preserve"> </w:t>
      </w:r>
    </w:p>
    <w:p w14:paraId="104E6BEC" w14:textId="00631B5E" w:rsidR="002D2F42" w:rsidRDefault="008E1FBC" w:rsidP="3B09CCFE">
      <w:r>
        <w:t xml:space="preserve">This option would </w:t>
      </w:r>
      <w:r w:rsidR="00880BCB">
        <w:t xml:space="preserve">take the same approach as under Option 2 but expand eligibility to make a dispute about unfair </w:t>
      </w:r>
      <w:r w:rsidR="00880BCB" w:rsidRPr="004B4F63">
        <w:rPr>
          <w:rStyle w:val="normaltextrun"/>
          <w:rFonts w:eastAsiaTheme="minorEastAsia"/>
          <w:lang w:val="en-GB"/>
        </w:rPr>
        <w:t>contracts</w:t>
      </w:r>
      <w:r w:rsidR="00880BCB">
        <w:t xml:space="preserve"> at the Fair Work Commission </w:t>
      </w:r>
      <w:r w:rsidR="007868C8">
        <w:t xml:space="preserve">available </w:t>
      </w:r>
      <w:r w:rsidR="00880BCB">
        <w:t>to any independent contractor, subject to a</w:t>
      </w:r>
      <w:r w:rsidR="002D2F42">
        <w:t xml:space="preserve"> high income threshold. </w:t>
      </w:r>
    </w:p>
    <w:bookmarkEnd w:id="31"/>
    <w:p w14:paraId="0FD680AE" w14:textId="0BD6976C" w:rsidR="007D3BDF" w:rsidRDefault="00CD6345" w:rsidP="00DB2823">
      <w:pPr>
        <w:pStyle w:val="Heading1"/>
        <w:numPr>
          <w:ilvl w:val="0"/>
          <w:numId w:val="1"/>
        </w:numPr>
        <w:spacing w:before="120" w:after="120" w:line="240" w:lineRule="auto"/>
      </w:pPr>
      <w:r>
        <w:br w:type="column"/>
      </w:r>
      <w:bookmarkStart w:id="49" w:name="_Toc139295558"/>
      <w:r w:rsidR="0022154C">
        <w:t>What is the likely net benefit of each option?</w:t>
      </w:r>
      <w:bookmarkEnd w:id="49"/>
    </w:p>
    <w:p w14:paraId="4FFA2D5B" w14:textId="40853A99" w:rsidR="00B76A3E" w:rsidRDefault="00C7453E" w:rsidP="00B76A3E">
      <w:r>
        <w:t>This</w:t>
      </w:r>
      <w:r w:rsidR="00601908">
        <w:t xml:space="preserve"> </w:t>
      </w:r>
      <w:r w:rsidR="00601908" w:rsidRPr="004B4F63">
        <w:rPr>
          <w:rStyle w:val="normaltextrun"/>
          <w:rFonts w:eastAsiaTheme="minorEastAsia"/>
          <w:lang w:val="en-GB"/>
        </w:rPr>
        <w:t>supplementary</w:t>
      </w:r>
      <w:r w:rsidR="00601908">
        <w:t xml:space="preserve"> analysis</w:t>
      </w:r>
      <w:r>
        <w:t xml:space="preserve"> assesses </w:t>
      </w:r>
      <w:r w:rsidR="00620B54">
        <w:t>each option agai</w:t>
      </w:r>
      <w:r w:rsidR="00B73D3F">
        <w:t>nst</w:t>
      </w:r>
      <w:r w:rsidR="002E79D3">
        <w:t xml:space="preserve"> their</w:t>
      </w:r>
      <w:r w:rsidR="00B76A3E">
        <w:t>:</w:t>
      </w:r>
    </w:p>
    <w:p w14:paraId="3274E248" w14:textId="34B86794" w:rsidR="002E79D3" w:rsidRDefault="002E79D3" w:rsidP="0016303D">
      <w:pPr>
        <w:pStyle w:val="ListParagraph"/>
        <w:numPr>
          <w:ilvl w:val="0"/>
          <w:numId w:val="29"/>
        </w:numPr>
        <w:spacing w:line="276" w:lineRule="auto"/>
        <w:ind w:left="714" w:hanging="357"/>
        <w:contextualSpacing w:val="0"/>
      </w:pPr>
      <w:r w:rsidRPr="00156CEF">
        <w:rPr>
          <w:b/>
          <w:bCs/>
        </w:rPr>
        <w:t>regulatory burden</w:t>
      </w:r>
      <w:r w:rsidR="00156CEF">
        <w:rPr>
          <w:b/>
          <w:bCs/>
        </w:rPr>
        <w:t xml:space="preserve"> </w:t>
      </w:r>
      <w:r w:rsidR="00156CEF">
        <w:t xml:space="preserve">under the </w:t>
      </w:r>
      <w:r w:rsidR="00F449D6">
        <w:t xml:space="preserve">Australian Government’s Regulatory Burden Measurement </w:t>
      </w:r>
      <w:r w:rsidR="00A9174A">
        <w:t>framework</w:t>
      </w:r>
      <w:r>
        <w:t>; and</w:t>
      </w:r>
    </w:p>
    <w:p w14:paraId="05DFBB66" w14:textId="35B8ACC6" w:rsidR="006007CF" w:rsidRDefault="002E79D3" w:rsidP="0016303D">
      <w:pPr>
        <w:pStyle w:val="ListParagraph"/>
        <w:numPr>
          <w:ilvl w:val="0"/>
          <w:numId w:val="29"/>
        </w:numPr>
        <w:spacing w:line="276" w:lineRule="auto"/>
        <w:ind w:left="714" w:hanging="357"/>
        <w:contextualSpacing w:val="0"/>
      </w:pPr>
      <w:r>
        <w:t xml:space="preserve">consistency with </w:t>
      </w:r>
      <w:r w:rsidR="00620B54">
        <w:t xml:space="preserve">the </w:t>
      </w:r>
      <w:r w:rsidR="00620B54" w:rsidRPr="00680E00">
        <w:rPr>
          <w:b/>
          <w:bCs/>
        </w:rPr>
        <w:t>Guiding Principl</w:t>
      </w:r>
      <w:r w:rsidR="00FB51A6">
        <w:rPr>
          <w:b/>
          <w:bCs/>
        </w:rPr>
        <w:t>e</w:t>
      </w:r>
      <w:r w:rsidR="00620B54" w:rsidRPr="00680E00">
        <w:rPr>
          <w:b/>
          <w:bCs/>
        </w:rPr>
        <w:t>s</w:t>
      </w:r>
      <w:r w:rsidR="00620B54">
        <w:t xml:space="preserve"> for </w:t>
      </w:r>
      <w:r w:rsidR="00C33859">
        <w:t xml:space="preserve">the development of </w:t>
      </w:r>
      <w:r w:rsidR="006007CF">
        <w:t>the Government’s commitments</w:t>
      </w:r>
      <w:r w:rsidR="00534DB2">
        <w:t xml:space="preserve">, as presented in Section </w:t>
      </w:r>
      <w:r w:rsidR="007F3A64">
        <w:t>2</w:t>
      </w:r>
      <w:r w:rsidR="006007CF">
        <w:t xml:space="preserve">. </w:t>
      </w:r>
    </w:p>
    <w:p w14:paraId="2E57EF02" w14:textId="0B650328" w:rsidR="00CC763D" w:rsidRPr="00575688" w:rsidRDefault="00CC763D" w:rsidP="00D2146D">
      <w:pPr>
        <w:pStyle w:val="Heading2"/>
        <w:spacing w:after="200"/>
      </w:pPr>
      <w:bookmarkStart w:id="50" w:name="_Toc139295559"/>
      <w:r w:rsidRPr="00575688">
        <w:t xml:space="preserve">Who will </w:t>
      </w:r>
      <w:r w:rsidR="00F81AA7" w:rsidRPr="00575688">
        <w:t>the options</w:t>
      </w:r>
      <w:r w:rsidRPr="00575688">
        <w:t xml:space="preserve"> impact?</w:t>
      </w:r>
      <w:bookmarkEnd w:id="50"/>
    </w:p>
    <w:p w14:paraId="6A6C2334" w14:textId="0252C72E" w:rsidR="00061227" w:rsidRDefault="00641443" w:rsidP="00066473">
      <w:r>
        <w:t>K</w:t>
      </w:r>
      <w:r w:rsidR="00D41059">
        <w:t xml:space="preserve">ey groups </w:t>
      </w:r>
      <w:r w:rsidR="00D41059" w:rsidRPr="004B4F63">
        <w:rPr>
          <w:rStyle w:val="normaltextrun"/>
          <w:rFonts w:eastAsiaTheme="minorEastAsia"/>
          <w:lang w:val="en-GB"/>
        </w:rPr>
        <w:t>that</w:t>
      </w:r>
      <w:r w:rsidR="00D41059">
        <w:t xml:space="preserve"> th</w:t>
      </w:r>
      <w:r w:rsidR="00061227">
        <w:t>e options are likely to impact are:</w:t>
      </w:r>
    </w:p>
    <w:p w14:paraId="11BEE787" w14:textId="0A3E9FE2" w:rsidR="00066473" w:rsidRDefault="00061227" w:rsidP="0016303D">
      <w:pPr>
        <w:pStyle w:val="ListParagraph"/>
        <w:numPr>
          <w:ilvl w:val="0"/>
          <w:numId w:val="31"/>
        </w:numPr>
        <w:spacing w:line="276" w:lineRule="auto"/>
        <w:ind w:left="760" w:hanging="357"/>
        <w:contextualSpacing w:val="0"/>
        <w:rPr>
          <w:b/>
          <w:bCs/>
        </w:rPr>
      </w:pPr>
      <w:r>
        <w:rPr>
          <w:b/>
          <w:bCs/>
        </w:rPr>
        <w:t>Independent contractors</w:t>
      </w:r>
    </w:p>
    <w:p w14:paraId="4C2D02EB" w14:textId="7950D1E5" w:rsidR="00061227" w:rsidRDefault="00061227" w:rsidP="0016303D">
      <w:pPr>
        <w:pStyle w:val="ListParagraph"/>
        <w:numPr>
          <w:ilvl w:val="0"/>
          <w:numId w:val="31"/>
        </w:numPr>
        <w:spacing w:line="276" w:lineRule="auto"/>
        <w:ind w:left="760" w:hanging="357"/>
        <w:contextualSpacing w:val="0"/>
        <w:rPr>
          <w:b/>
          <w:bCs/>
        </w:rPr>
      </w:pPr>
      <w:r>
        <w:rPr>
          <w:b/>
          <w:bCs/>
        </w:rPr>
        <w:t xml:space="preserve">Businesses that </w:t>
      </w:r>
      <w:r w:rsidR="00EB6F31">
        <w:rPr>
          <w:b/>
          <w:bCs/>
        </w:rPr>
        <w:t xml:space="preserve">engage independent contractors </w:t>
      </w:r>
    </w:p>
    <w:p w14:paraId="64FC3CC6" w14:textId="311192C1" w:rsidR="00D4340A" w:rsidRDefault="00CA42FC" w:rsidP="0016303D">
      <w:pPr>
        <w:pStyle w:val="ListParagraph"/>
        <w:numPr>
          <w:ilvl w:val="0"/>
          <w:numId w:val="31"/>
        </w:numPr>
        <w:spacing w:line="276" w:lineRule="auto"/>
        <w:ind w:left="760" w:hanging="357"/>
        <w:contextualSpacing w:val="0"/>
        <w:rPr>
          <w:b/>
          <w:bCs/>
        </w:rPr>
      </w:pPr>
      <w:r>
        <w:rPr>
          <w:b/>
          <w:bCs/>
        </w:rPr>
        <w:t>Consumers</w:t>
      </w:r>
      <w:r w:rsidR="0064022E">
        <w:rPr>
          <w:b/>
          <w:bCs/>
        </w:rPr>
        <w:t xml:space="preserve"> </w:t>
      </w:r>
    </w:p>
    <w:p w14:paraId="74A06F83" w14:textId="457CA714" w:rsidR="00613C8F" w:rsidRDefault="00A41C25" w:rsidP="0016303D">
      <w:pPr>
        <w:pStyle w:val="ListParagraph"/>
        <w:numPr>
          <w:ilvl w:val="0"/>
          <w:numId w:val="31"/>
        </w:numPr>
        <w:spacing w:line="276" w:lineRule="auto"/>
        <w:ind w:left="760" w:hanging="357"/>
        <w:contextualSpacing w:val="0"/>
        <w:rPr>
          <w:b/>
          <w:bCs/>
        </w:rPr>
      </w:pPr>
      <w:r>
        <w:rPr>
          <w:b/>
          <w:bCs/>
        </w:rPr>
        <w:t xml:space="preserve">Third party businesses in the </w:t>
      </w:r>
      <w:r w:rsidR="00E2398F">
        <w:rPr>
          <w:b/>
          <w:bCs/>
        </w:rPr>
        <w:t xml:space="preserve">digital platform </w:t>
      </w:r>
      <w:r>
        <w:rPr>
          <w:b/>
          <w:bCs/>
        </w:rPr>
        <w:t>economy (such as restaurants</w:t>
      </w:r>
      <w:r w:rsidR="00C37E36">
        <w:rPr>
          <w:b/>
          <w:bCs/>
        </w:rPr>
        <w:t>)</w:t>
      </w:r>
    </w:p>
    <w:p w14:paraId="16CCFF3E" w14:textId="1E5C43F9" w:rsidR="00C37E36" w:rsidRDefault="00C37E36" w:rsidP="0016303D">
      <w:pPr>
        <w:pStyle w:val="ListParagraph"/>
        <w:numPr>
          <w:ilvl w:val="0"/>
          <w:numId w:val="31"/>
        </w:numPr>
        <w:spacing w:line="276" w:lineRule="auto"/>
        <w:ind w:left="760" w:hanging="357"/>
        <w:contextualSpacing w:val="0"/>
        <w:rPr>
          <w:b/>
          <w:bCs/>
        </w:rPr>
      </w:pPr>
      <w:r>
        <w:rPr>
          <w:b/>
          <w:bCs/>
        </w:rPr>
        <w:t xml:space="preserve">Government. </w:t>
      </w:r>
    </w:p>
    <w:p w14:paraId="2CFA2AD7" w14:textId="5AF314A3" w:rsidR="007C5BA4" w:rsidRPr="00B66744" w:rsidRDefault="007C5BA4" w:rsidP="007C5BA4">
      <w:r w:rsidRPr="00B66744">
        <w:t>The specific impacts of each option</w:t>
      </w:r>
      <w:r w:rsidR="00B66744" w:rsidRPr="00B66744">
        <w:t xml:space="preserve"> on these groups </w:t>
      </w:r>
      <w:r w:rsidR="7AF554FE">
        <w:t>is</w:t>
      </w:r>
      <w:r w:rsidR="00B66744" w:rsidRPr="00B66744">
        <w:t xml:space="preserve"> explored in further detail in the following </w:t>
      </w:r>
      <w:r w:rsidR="00B66744" w:rsidRPr="004B4F63">
        <w:rPr>
          <w:rStyle w:val="normaltextrun"/>
          <w:rFonts w:eastAsiaTheme="minorEastAsia"/>
          <w:lang w:val="en-GB"/>
        </w:rPr>
        <w:t>sections</w:t>
      </w:r>
      <w:r w:rsidR="00B66744" w:rsidRPr="00B66744">
        <w:t xml:space="preserve">. </w:t>
      </w:r>
    </w:p>
    <w:p w14:paraId="283E012D" w14:textId="1D0DFDD5" w:rsidR="002424AB" w:rsidRPr="00662707" w:rsidRDefault="00066473" w:rsidP="00F60F5C">
      <w:pPr>
        <w:pStyle w:val="Heading3"/>
      </w:pPr>
      <w:bookmarkStart w:id="51" w:name="_Toc139295560"/>
      <w:r w:rsidRPr="00662707">
        <w:t>Independent contractors</w:t>
      </w:r>
      <w:bookmarkEnd w:id="51"/>
    </w:p>
    <w:p w14:paraId="7361992C" w14:textId="06C05285" w:rsidR="01EDE42E" w:rsidRDefault="00F37727" w:rsidP="01EDE42E">
      <w:r>
        <w:t>Independent contractors are the primary intended beneficiaries of th</w:t>
      </w:r>
      <w:r w:rsidR="006172D1">
        <w:t xml:space="preserve">e proposed options. </w:t>
      </w:r>
      <w:r w:rsidR="00C9708C">
        <w:t xml:space="preserve">The </w:t>
      </w:r>
      <w:r w:rsidR="006C43CB">
        <w:t xml:space="preserve">options </w:t>
      </w:r>
      <w:r w:rsidR="006C43CB" w:rsidRPr="004B4F63">
        <w:rPr>
          <w:rStyle w:val="normaltextrun"/>
          <w:rFonts w:eastAsiaTheme="minorEastAsia"/>
          <w:lang w:val="en-GB"/>
        </w:rPr>
        <w:t>consider</w:t>
      </w:r>
      <w:r w:rsidR="006C43CB">
        <w:t xml:space="preserve"> protections for </w:t>
      </w:r>
      <w:r w:rsidR="0038332B">
        <w:t xml:space="preserve">different groups of independent contractors. Unfair contracts protections </w:t>
      </w:r>
      <w:r w:rsidR="00986857">
        <w:t>are</w:t>
      </w:r>
      <w:r w:rsidR="000E036F">
        <w:t xml:space="preserve"> proposed </w:t>
      </w:r>
      <w:r w:rsidR="004238FA">
        <w:t xml:space="preserve">for all independent contractors, while minimum standards are only proposed in relation to digital platform workers </w:t>
      </w:r>
      <w:r w:rsidR="445D866B">
        <w:t xml:space="preserve">who are employee-like </w:t>
      </w:r>
      <w:r w:rsidR="004238FA">
        <w:t xml:space="preserve">and road transport workers (shown in Figure </w:t>
      </w:r>
      <w:r w:rsidR="27493894">
        <w:t>2</w:t>
      </w:r>
      <w:r w:rsidR="004238FA">
        <w:t>).</w:t>
      </w:r>
    </w:p>
    <w:p w14:paraId="63B95A42" w14:textId="77777777" w:rsidR="00AE67C2" w:rsidRDefault="00AE67C2" w:rsidP="01EDE42E"/>
    <w:p w14:paraId="3ADB9255" w14:textId="77777777" w:rsidR="00AE67C2" w:rsidRDefault="00AE67C2" w:rsidP="01EDE42E"/>
    <w:p w14:paraId="327DF927" w14:textId="77777777" w:rsidR="00AE67C2" w:rsidRDefault="00AE67C2" w:rsidP="01EDE42E"/>
    <w:p w14:paraId="13041DAB" w14:textId="77777777" w:rsidR="00AE67C2" w:rsidRDefault="00AE67C2" w:rsidP="01EDE42E"/>
    <w:p w14:paraId="310DA8CF" w14:textId="77777777" w:rsidR="00AE67C2" w:rsidRDefault="00AE67C2" w:rsidP="01EDE42E"/>
    <w:p w14:paraId="3ABD8742" w14:textId="77777777" w:rsidR="00AE67C2" w:rsidRDefault="00AE67C2" w:rsidP="01EDE42E"/>
    <w:p w14:paraId="0B0842FF" w14:textId="77777777" w:rsidR="00AE67C2" w:rsidRDefault="00AE67C2" w:rsidP="01EDE42E"/>
    <w:p w14:paraId="007BC166" w14:textId="77777777" w:rsidR="00AE67C2" w:rsidRDefault="00AE67C2" w:rsidP="01EDE42E"/>
    <w:p w14:paraId="0913C96B" w14:textId="77777777" w:rsidR="00AE67C2" w:rsidRDefault="00AE67C2" w:rsidP="01EDE42E"/>
    <w:p w14:paraId="1C7544EC" w14:textId="0843D5B6" w:rsidR="365DEE35" w:rsidRDefault="365DEE35" w:rsidP="027900FC">
      <w:r w:rsidRPr="03982CDF">
        <w:rPr>
          <w:i/>
          <w:iCs/>
        </w:rPr>
        <w:t xml:space="preserve">Figure 2 – Protections considered for groups </w:t>
      </w:r>
      <w:r w:rsidRPr="0706E3B8">
        <w:rPr>
          <w:i/>
          <w:iCs/>
        </w:rPr>
        <w:t>of independent contractors</w:t>
      </w:r>
    </w:p>
    <w:p w14:paraId="73E0D2B4" w14:textId="7C197D72" w:rsidR="002424AB" w:rsidRPr="00066473" w:rsidRDefault="002424AB" w:rsidP="003D1014">
      <w:pPr>
        <w:jc w:val="center"/>
        <w:rPr>
          <w:b/>
          <w:bCs/>
        </w:rPr>
      </w:pPr>
      <w:r>
        <w:rPr>
          <w:noProof/>
          <w:lang w:eastAsia="en-AU"/>
        </w:rPr>
        <w:drawing>
          <wp:inline distT="0" distB="0" distL="0" distR="0" wp14:anchorId="66163094" wp14:editId="11028514">
            <wp:extent cx="5713145" cy="2838734"/>
            <wp:effectExtent l="0" t="0" r="1905" b="0"/>
            <wp:docPr id="15" name="Picture 15" descr="A screenshot of a computer scre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screenshot of a computer screen&#10;&#10;Description automatically generated with low confidence"/>
                    <pic:cNvPicPr/>
                  </pic:nvPicPr>
                  <pic:blipFill>
                    <a:blip r:embed="rId23"/>
                    <a:stretch>
                      <a:fillRect/>
                    </a:stretch>
                  </pic:blipFill>
                  <pic:spPr>
                    <a:xfrm>
                      <a:off x="0" y="0"/>
                      <a:ext cx="5722202" cy="2843234"/>
                    </a:xfrm>
                    <a:prstGeom prst="rect">
                      <a:avLst/>
                    </a:prstGeom>
                  </pic:spPr>
                </pic:pic>
              </a:graphicData>
            </a:graphic>
          </wp:inline>
        </w:drawing>
      </w:r>
    </w:p>
    <w:p w14:paraId="41BED28E" w14:textId="77777777" w:rsidR="003528F8" w:rsidRDefault="003528F8" w:rsidP="004B4F63">
      <w:pPr>
        <w:rPr>
          <w:i/>
          <w:iCs/>
        </w:rPr>
      </w:pPr>
    </w:p>
    <w:p w14:paraId="040E0BBD" w14:textId="22E22BE4" w:rsidR="0027411E" w:rsidRPr="0027411E" w:rsidRDefault="0027411E" w:rsidP="00193967">
      <w:r w:rsidRPr="0027411E">
        <w:t>There are 1.1 million people who work as independent contractors in their main job in Australia.</w:t>
      </w:r>
      <w:r w:rsidRPr="0027411E">
        <w:rPr>
          <w:rStyle w:val="FootnoteReference"/>
        </w:rPr>
        <w:footnoteReference w:id="84"/>
      </w:r>
      <w:r w:rsidRPr="0027411E">
        <w:t xml:space="preserve"> This represents 8.3 per cent of all employed people and has remained broadly stable over the last decade. The majority of independent contractors are:</w:t>
      </w:r>
    </w:p>
    <w:p w14:paraId="29E50523" w14:textId="77777777" w:rsidR="0027411E" w:rsidRPr="0027411E" w:rsidRDefault="0027411E" w:rsidP="0016303D">
      <w:pPr>
        <w:pStyle w:val="ListParagraph"/>
        <w:numPr>
          <w:ilvl w:val="0"/>
          <w:numId w:val="86"/>
        </w:numPr>
        <w:spacing w:line="276" w:lineRule="auto"/>
        <w:ind w:left="714" w:hanging="357"/>
        <w:contextualSpacing w:val="0"/>
      </w:pPr>
      <w:r w:rsidRPr="0027411E">
        <w:rPr>
          <w:b/>
        </w:rPr>
        <w:t>Male</w:t>
      </w:r>
      <w:r w:rsidRPr="0027411E">
        <w:t xml:space="preserve"> (69.5 per cent of all independent contractors),</w:t>
      </w:r>
    </w:p>
    <w:p w14:paraId="5202E163" w14:textId="77777777" w:rsidR="0027411E" w:rsidRPr="0027411E" w:rsidRDefault="0027411E" w:rsidP="0016303D">
      <w:pPr>
        <w:pStyle w:val="ListParagraph"/>
        <w:numPr>
          <w:ilvl w:val="0"/>
          <w:numId w:val="86"/>
        </w:numPr>
        <w:spacing w:line="276" w:lineRule="auto"/>
        <w:ind w:left="714" w:hanging="357"/>
        <w:contextualSpacing w:val="0"/>
      </w:pPr>
      <w:r w:rsidRPr="0027411E">
        <w:rPr>
          <w:b/>
        </w:rPr>
        <w:t>Older</w:t>
      </w:r>
      <w:r w:rsidRPr="0027411E">
        <w:t xml:space="preserve"> (55.5 per cent of independent contractors are 45 years or older, compared to 36.3 per cent for all employees),</w:t>
      </w:r>
    </w:p>
    <w:p w14:paraId="538D6C5A" w14:textId="52A0BAD3" w:rsidR="0027411E" w:rsidRPr="0027411E" w:rsidRDefault="0027411E" w:rsidP="0016303D">
      <w:pPr>
        <w:pStyle w:val="ListParagraph"/>
        <w:numPr>
          <w:ilvl w:val="0"/>
          <w:numId w:val="86"/>
        </w:numPr>
        <w:spacing w:line="276" w:lineRule="auto"/>
        <w:ind w:left="714" w:hanging="357"/>
        <w:contextualSpacing w:val="0"/>
      </w:pPr>
      <w:r w:rsidRPr="0027411E">
        <w:rPr>
          <w:b/>
        </w:rPr>
        <w:t>Full time</w:t>
      </w:r>
      <w:r w:rsidRPr="0027411E">
        <w:t xml:space="preserve"> (59.8 per cent, although this is lower than the proportion of all employees, at 69.3 per cent),</w:t>
      </w:r>
      <w:r w:rsidR="00DF7FBD">
        <w:t xml:space="preserve"> and</w:t>
      </w:r>
    </w:p>
    <w:p w14:paraId="7382AD48" w14:textId="77777777" w:rsidR="0027411E" w:rsidRPr="0027411E" w:rsidRDefault="0027411E" w:rsidP="0016303D">
      <w:pPr>
        <w:pStyle w:val="ListParagraph"/>
        <w:numPr>
          <w:ilvl w:val="0"/>
          <w:numId w:val="86"/>
        </w:numPr>
        <w:spacing w:line="276" w:lineRule="auto"/>
        <w:ind w:left="714" w:hanging="357"/>
        <w:contextualSpacing w:val="0"/>
      </w:pPr>
      <w:r w:rsidRPr="0027411E">
        <w:rPr>
          <w:b/>
        </w:rPr>
        <w:t>Able to work on multiple active contracts at the same time</w:t>
      </w:r>
      <w:r w:rsidRPr="0027411E">
        <w:t xml:space="preserve"> (70.5 per cent).</w:t>
      </w:r>
    </w:p>
    <w:p w14:paraId="773E9545" w14:textId="77777777" w:rsidR="00DF7FBD" w:rsidRDefault="0027411E" w:rsidP="0027411E">
      <w:r w:rsidRPr="004B4F63">
        <w:rPr>
          <w:rStyle w:val="normaltextrun"/>
          <w:rFonts w:eastAsiaTheme="minorEastAsia"/>
          <w:lang w:val="en-GB"/>
        </w:rPr>
        <w:t>Independent</w:t>
      </w:r>
      <w:r w:rsidRPr="0027411E">
        <w:t xml:space="preserve"> contractors were more likely to be multiple job holders (11.4 per cent compared to 6.0 per cent for all employees).</w:t>
      </w:r>
    </w:p>
    <w:p w14:paraId="668ED89B" w14:textId="77777777" w:rsidR="0027411E" w:rsidRPr="0027411E" w:rsidRDefault="0027411E" w:rsidP="0027411E">
      <w:r w:rsidRPr="0027411E">
        <w:t>More than half of all independent contractors were employed as Technician and trade worker (27.2 per cent) and Professional (26.9 per cent) occupations.</w:t>
      </w:r>
    </w:p>
    <w:p w14:paraId="1118B00B" w14:textId="66D254A4" w:rsidR="0027411E" w:rsidRPr="0027411E" w:rsidRDefault="0027411E" w:rsidP="0027411E">
      <w:r w:rsidRPr="0027411E">
        <w:t xml:space="preserve">The </w:t>
      </w:r>
      <w:r w:rsidR="00F93E61">
        <w:t>largest</w:t>
      </w:r>
      <w:r w:rsidR="00F93E61" w:rsidRPr="0027411E">
        <w:t xml:space="preserve"> </w:t>
      </w:r>
      <w:r w:rsidRPr="0027411E">
        <w:t xml:space="preserve">3 industries that independent contractors </w:t>
      </w:r>
      <w:r w:rsidR="24DDFCBD">
        <w:t>are</w:t>
      </w:r>
      <w:r w:rsidRPr="0027411E">
        <w:t xml:space="preserve"> employed in </w:t>
      </w:r>
      <w:r w:rsidR="39BE6395">
        <w:t>are</w:t>
      </w:r>
      <w:r w:rsidRPr="0027411E">
        <w:t xml:space="preserve"> the Construction industry (28.2 per cent), the Professional, scientific and technical services industry (15.7 per cent), or the Health care </w:t>
      </w:r>
      <w:r w:rsidRPr="004B4F63">
        <w:rPr>
          <w:rStyle w:val="normaltextrun"/>
          <w:rFonts w:eastAsiaTheme="minorEastAsia"/>
          <w:lang w:val="en-GB"/>
        </w:rPr>
        <w:t>and</w:t>
      </w:r>
      <w:r w:rsidRPr="0027411E">
        <w:t xml:space="preserve"> social assistance industry (12.3 per cent). </w:t>
      </w:r>
      <w:r w:rsidR="00F93E61">
        <w:t>I</w:t>
      </w:r>
      <w:r w:rsidR="00F93E61" w:rsidRPr="0027411E">
        <w:t>n the Construction industry</w:t>
      </w:r>
      <w:r w:rsidR="00F93E61">
        <w:t>,</w:t>
      </w:r>
      <w:r w:rsidR="00F93E61" w:rsidRPr="0027411E">
        <w:t xml:space="preserve"> </w:t>
      </w:r>
      <w:r w:rsidRPr="0027411E">
        <w:t xml:space="preserve">25.1 per cent of all workers </w:t>
      </w:r>
      <w:r w:rsidR="00BB6F1F">
        <w:t>are</w:t>
      </w:r>
      <w:r w:rsidR="00BB6F1F" w:rsidRPr="0027411E">
        <w:t xml:space="preserve"> </w:t>
      </w:r>
      <w:r w:rsidRPr="0027411E">
        <w:t>independent contractors.</w:t>
      </w:r>
    </w:p>
    <w:p w14:paraId="7B264187" w14:textId="77777777" w:rsidR="0027411E" w:rsidRDefault="0027411E" w:rsidP="0027411E">
      <w:r w:rsidRPr="0027411E">
        <w:t xml:space="preserve">The Transport, postal and warehousing industry has a higher than average incidence of independent contractors – 12.5 per cent of all employed persons in this industry are independent contractors, compared with 8.3 per cent for all industries. </w:t>
      </w:r>
    </w:p>
    <w:p w14:paraId="10D0F4C0" w14:textId="45A75834" w:rsidR="00A96028" w:rsidRPr="00A646CA" w:rsidRDefault="004C0E8B" w:rsidP="00662707">
      <w:pPr>
        <w:pStyle w:val="Heading4"/>
        <w:rPr>
          <w:sz w:val="24"/>
          <w:szCs w:val="20"/>
        </w:rPr>
      </w:pPr>
      <w:r>
        <w:rPr>
          <w:sz w:val="24"/>
          <w:szCs w:val="20"/>
        </w:rPr>
        <w:t>Employee-like d</w:t>
      </w:r>
      <w:r w:rsidR="00002610" w:rsidRPr="00A646CA">
        <w:rPr>
          <w:sz w:val="24"/>
          <w:szCs w:val="20"/>
        </w:rPr>
        <w:t xml:space="preserve">igital platform workers </w:t>
      </w:r>
    </w:p>
    <w:p w14:paraId="09EA83CD" w14:textId="3E8CC077" w:rsidR="00A646CA" w:rsidRPr="00A646CA" w:rsidRDefault="00A646CA" w:rsidP="00A646CA">
      <w:r>
        <w:t xml:space="preserve">The </w:t>
      </w:r>
      <w:r w:rsidRPr="004B4F63">
        <w:rPr>
          <w:rStyle w:val="normaltextrun"/>
          <w:rFonts w:eastAsiaTheme="minorEastAsia"/>
          <w:lang w:val="en-GB"/>
        </w:rPr>
        <w:t>Government’s</w:t>
      </w:r>
      <w:r>
        <w:t xml:space="preserve"> ‘employee-like’ commitment intends to </w:t>
      </w:r>
      <w:r w:rsidR="00B03893">
        <w:t xml:space="preserve">directly </w:t>
      </w:r>
      <w:r>
        <w:t xml:space="preserve">benefit </w:t>
      </w:r>
      <w:r w:rsidR="004C0E8B">
        <w:t xml:space="preserve">employee-like </w:t>
      </w:r>
      <w:r>
        <w:t>digital platform workers</w:t>
      </w:r>
      <w:r w:rsidR="00FF1692">
        <w:t xml:space="preserve"> by providing them with minimum standards for their work. The options also consider providing </w:t>
      </w:r>
      <w:r w:rsidR="00B127DA">
        <w:t>these</w:t>
      </w:r>
      <w:r w:rsidR="004C0E8B">
        <w:t xml:space="preserve"> </w:t>
      </w:r>
      <w:r w:rsidR="00FF1692">
        <w:t>workers with improved dispute resolution processes in the event of their ‘deactivation’ from a platform.</w:t>
      </w:r>
    </w:p>
    <w:p w14:paraId="214B7920" w14:textId="7CAF3660" w:rsidR="009F737D" w:rsidRPr="002D21E6" w:rsidRDefault="009F737D" w:rsidP="009F737D">
      <w:r w:rsidRPr="002D21E6">
        <w:t xml:space="preserve">The </w:t>
      </w:r>
      <w:r w:rsidR="005C1830" w:rsidRPr="004B4F63">
        <w:rPr>
          <w:rStyle w:val="normaltextrun"/>
          <w:rFonts w:eastAsiaTheme="minorEastAsia"/>
          <w:lang w:val="en-GB"/>
        </w:rPr>
        <w:t>Victorian</w:t>
      </w:r>
      <w:r w:rsidR="005C1830">
        <w:t xml:space="preserve"> Na</w:t>
      </w:r>
      <w:r w:rsidRPr="002D21E6">
        <w:t xml:space="preserve">tional </w:t>
      </w:r>
      <w:r w:rsidR="005C1830">
        <w:t>S</w:t>
      </w:r>
      <w:r w:rsidRPr="002D21E6">
        <w:t>urvey found that digital platform workers are more likely to be:</w:t>
      </w:r>
    </w:p>
    <w:p w14:paraId="677279CB" w14:textId="77777777" w:rsidR="009F737D" w:rsidRPr="002D21E6" w:rsidRDefault="009F737D" w:rsidP="0016303D">
      <w:pPr>
        <w:pStyle w:val="ListParagraph"/>
        <w:numPr>
          <w:ilvl w:val="0"/>
          <w:numId w:val="32"/>
        </w:numPr>
        <w:spacing w:line="276" w:lineRule="auto"/>
        <w:ind w:hanging="357"/>
        <w:contextualSpacing w:val="0"/>
      </w:pPr>
      <w:r w:rsidRPr="002D21E6">
        <w:rPr>
          <w:b/>
          <w:bCs/>
        </w:rPr>
        <w:t>Young</w:t>
      </w:r>
      <w:r w:rsidRPr="002D21E6">
        <w:t xml:space="preserve"> (11.0 per cent of those aged 18-34 worked through digital platforms within the last 12 months, the highest incidence of all age groups),</w:t>
      </w:r>
    </w:p>
    <w:p w14:paraId="2DB7514A" w14:textId="77777777" w:rsidR="009F737D" w:rsidRPr="002D21E6" w:rsidRDefault="009F737D" w:rsidP="0016303D">
      <w:pPr>
        <w:pStyle w:val="ListParagraph"/>
        <w:numPr>
          <w:ilvl w:val="0"/>
          <w:numId w:val="32"/>
        </w:numPr>
        <w:spacing w:line="276" w:lineRule="auto"/>
        <w:ind w:hanging="357"/>
        <w:contextualSpacing w:val="0"/>
      </w:pPr>
      <w:r w:rsidRPr="002D21E6">
        <w:rPr>
          <w:b/>
          <w:bCs/>
        </w:rPr>
        <w:t>Male</w:t>
      </w:r>
      <w:r w:rsidRPr="002D21E6">
        <w:t xml:space="preserve"> (9.1 per cent of all men had worked through a digital platform in the last 12 months, compared to 5.0 per cent of women),</w:t>
      </w:r>
    </w:p>
    <w:p w14:paraId="6CB656FA" w14:textId="77777777" w:rsidR="009F737D" w:rsidRPr="002D21E6" w:rsidRDefault="009F737D" w:rsidP="0016303D">
      <w:pPr>
        <w:pStyle w:val="ListParagraph"/>
        <w:numPr>
          <w:ilvl w:val="1"/>
          <w:numId w:val="32"/>
        </w:numPr>
        <w:spacing w:line="276" w:lineRule="auto"/>
        <w:ind w:hanging="357"/>
        <w:contextualSpacing w:val="0"/>
      </w:pPr>
      <w:r w:rsidRPr="002D21E6">
        <w:t>However, workers in</w:t>
      </w:r>
      <w:r w:rsidRPr="002D21E6">
        <w:rPr>
          <w:b/>
          <w:bCs/>
        </w:rPr>
        <w:t xml:space="preserve"> caring</w:t>
      </w:r>
      <w:r w:rsidRPr="002D21E6">
        <w:t xml:space="preserve">, clerical and data entry, sales and marketing support and writing and translation services </w:t>
      </w:r>
      <w:r w:rsidRPr="002D21E6">
        <w:rPr>
          <w:b/>
          <w:bCs/>
        </w:rPr>
        <w:t>were more likely to be women</w:t>
      </w:r>
      <w:r w:rsidRPr="002D21E6">
        <w:t>.</w:t>
      </w:r>
    </w:p>
    <w:p w14:paraId="2A339F85" w14:textId="77777777" w:rsidR="009F737D" w:rsidRPr="002D21E6" w:rsidRDefault="009F737D" w:rsidP="0016303D">
      <w:pPr>
        <w:pStyle w:val="ListParagraph"/>
        <w:numPr>
          <w:ilvl w:val="0"/>
          <w:numId w:val="87"/>
        </w:numPr>
        <w:spacing w:line="276" w:lineRule="auto"/>
        <w:ind w:left="714" w:hanging="357"/>
        <w:contextualSpacing w:val="0"/>
      </w:pPr>
      <w:r w:rsidRPr="002D21E6">
        <w:rPr>
          <w:b/>
          <w:bCs/>
        </w:rPr>
        <w:t>Work in a major city</w:t>
      </w:r>
      <w:r w:rsidRPr="002D21E6">
        <w:t xml:space="preserve"> rather than in regional and remote areas,</w:t>
      </w:r>
    </w:p>
    <w:p w14:paraId="04887740" w14:textId="56EBEABC" w:rsidR="00995262" w:rsidRPr="002D21E6" w:rsidRDefault="00995262" w:rsidP="00995262">
      <w:pPr>
        <w:pStyle w:val="ListParagraph"/>
        <w:numPr>
          <w:ilvl w:val="0"/>
          <w:numId w:val="87"/>
        </w:numPr>
        <w:spacing w:line="276" w:lineRule="auto"/>
        <w:ind w:left="714" w:hanging="357"/>
        <w:contextualSpacing w:val="0"/>
      </w:pPr>
      <w:r w:rsidRPr="002D21E6">
        <w:t xml:space="preserve">From a </w:t>
      </w:r>
      <w:r w:rsidRPr="002D21E6">
        <w:rPr>
          <w:b/>
          <w:bCs/>
        </w:rPr>
        <w:t>non-English speaking background</w:t>
      </w:r>
      <w:r w:rsidRPr="002D21E6">
        <w:t xml:space="preserve"> (13.0 per cent had worked through a digital platform in the last 12 months, compared to 5.6 per cent from an English speaking background)</w:t>
      </w:r>
      <w:r>
        <w:t>.</w:t>
      </w:r>
    </w:p>
    <w:p w14:paraId="2265C99B" w14:textId="540FD8DC" w:rsidR="00995262" w:rsidRPr="00995262" w:rsidRDefault="00995262" w:rsidP="00995262">
      <w:pPr>
        <w:pStyle w:val="ListParagraph"/>
        <w:numPr>
          <w:ilvl w:val="0"/>
          <w:numId w:val="87"/>
        </w:numPr>
        <w:spacing w:line="276" w:lineRule="auto"/>
        <w:ind w:left="714" w:hanging="357"/>
        <w:contextualSpacing w:val="0"/>
      </w:pPr>
      <w:r w:rsidRPr="002D21E6">
        <w:rPr>
          <w:b/>
          <w:bCs/>
        </w:rPr>
        <w:t xml:space="preserve">Temporary or permanent residents </w:t>
      </w:r>
      <w:r w:rsidRPr="002D21E6">
        <w:t>(3 times and 1.7 times more likely to have worked through a digital platform in the last year than Australian citizens)</w:t>
      </w:r>
      <w:r>
        <w:t>; and</w:t>
      </w:r>
    </w:p>
    <w:p w14:paraId="197B7DF9" w14:textId="19D79CD0" w:rsidR="009F737D" w:rsidRPr="002D21E6" w:rsidRDefault="009F737D" w:rsidP="0016303D">
      <w:pPr>
        <w:pStyle w:val="ListParagraph"/>
        <w:numPr>
          <w:ilvl w:val="0"/>
          <w:numId w:val="87"/>
        </w:numPr>
        <w:spacing w:line="276" w:lineRule="auto"/>
        <w:ind w:left="714" w:hanging="357"/>
        <w:contextualSpacing w:val="0"/>
      </w:pPr>
      <w:r w:rsidRPr="002D21E6">
        <w:rPr>
          <w:b/>
          <w:bCs/>
        </w:rPr>
        <w:t>Aboriginal or Torres Strait Islander</w:t>
      </w:r>
      <w:r w:rsidRPr="002D21E6">
        <w:t xml:space="preserve"> (16.9 per cent had worked through a digital platform in the last 12 months, compared to 6.8 per cent of non-Aboriginal and Torres Strait Islander people)</w:t>
      </w:r>
      <w:r w:rsidR="00995262">
        <w:t>.</w:t>
      </w:r>
    </w:p>
    <w:p w14:paraId="27CF0FB2" w14:textId="77777777" w:rsidR="009F737D" w:rsidRPr="002D21E6" w:rsidRDefault="009F737D" w:rsidP="009F737D">
      <w:r w:rsidRPr="002D21E6">
        <w:t>Over a third (35.2 per cent) of digital platform workers worked across multiple platforms.</w:t>
      </w:r>
      <w:r w:rsidRPr="002D21E6">
        <w:rPr>
          <w:rStyle w:val="FootnoteReference"/>
        </w:rPr>
        <w:footnoteReference w:id="85"/>
      </w:r>
      <w:r w:rsidRPr="002D21E6">
        <w:t xml:space="preserve"> 11.4 per cent were registered on 4 or more platforms, and 3 of the most used platforms were for rideshare or food delivery.</w:t>
      </w:r>
    </w:p>
    <w:p w14:paraId="1B62B0D6" w14:textId="2B70718F" w:rsidR="003F5E94" w:rsidRPr="002D21E6" w:rsidRDefault="000245B0" w:rsidP="009F737D">
      <w:r>
        <w:t>Most digital platform workers do not earn all their income from digital platform work</w:t>
      </w:r>
      <w:r w:rsidR="0099218A">
        <w:t xml:space="preserve"> and may use this work to supplement income earned elsewhere. </w:t>
      </w:r>
      <w:r w:rsidR="00D42936">
        <w:t xml:space="preserve">The Victorian National Survey </w:t>
      </w:r>
      <w:r w:rsidR="008652F0">
        <w:t xml:space="preserve">found that </w:t>
      </w:r>
      <w:r w:rsidR="007D56A0">
        <w:t>only 15.</w:t>
      </w:r>
      <w:r w:rsidR="002B406C">
        <w:t>4</w:t>
      </w:r>
      <w:r w:rsidR="007D56A0">
        <w:t xml:space="preserve"> per cent of digital platform workers were reliant on this income</w:t>
      </w:r>
      <w:r w:rsidR="00810162">
        <w:t>, with a further 24.5</w:t>
      </w:r>
      <w:r w:rsidR="004D68A7">
        <w:t xml:space="preserve"> per cent</w:t>
      </w:r>
      <w:r w:rsidR="00810162" w:rsidDel="004D68A7">
        <w:t xml:space="preserve"> </w:t>
      </w:r>
      <w:r w:rsidR="004D68A7">
        <w:t>saying</w:t>
      </w:r>
      <w:r w:rsidR="00810162">
        <w:t xml:space="preserve"> that it was ‘an important part of overall income, but not essential’.</w:t>
      </w:r>
      <w:r w:rsidR="00810162">
        <w:rPr>
          <w:rStyle w:val="FootnoteReference"/>
        </w:rPr>
        <w:footnoteReference w:id="86"/>
      </w:r>
      <w:r w:rsidR="00810162">
        <w:t xml:space="preserve"> Reliance on income earned through digital platforms is likely to be higher for employee-like digital platform workers. For example, the Victorian National Survey found that transport and food delivery drivers were much more </w:t>
      </w:r>
      <w:r w:rsidR="00810162" w:rsidRPr="004B4F63">
        <w:rPr>
          <w:rStyle w:val="normaltextrun"/>
          <w:rFonts w:eastAsiaTheme="minorEastAsia"/>
          <w:lang w:val="en-GB"/>
        </w:rPr>
        <w:t>likely</w:t>
      </w:r>
      <w:r w:rsidR="00810162">
        <w:t xml:space="preserve"> to say that they earned all their income from digital platform work.</w:t>
      </w:r>
      <w:r w:rsidR="00810162">
        <w:rPr>
          <w:rStyle w:val="FootnoteReference"/>
        </w:rPr>
        <w:footnoteReference w:id="87"/>
      </w:r>
    </w:p>
    <w:p w14:paraId="28EA043D" w14:textId="17CE5BA2" w:rsidR="0089360E" w:rsidRPr="00A75278" w:rsidRDefault="00CE64B6" w:rsidP="00FA5B08">
      <w:pPr>
        <w:pStyle w:val="Heading4"/>
        <w:rPr>
          <w:sz w:val="24"/>
          <w:szCs w:val="20"/>
        </w:rPr>
      </w:pPr>
      <w:r w:rsidRPr="00A75278">
        <w:rPr>
          <w:sz w:val="24"/>
          <w:szCs w:val="20"/>
        </w:rPr>
        <w:t>Road transport workers</w:t>
      </w:r>
    </w:p>
    <w:p w14:paraId="79151DEA" w14:textId="33EE1935" w:rsidR="00C92006" w:rsidRDefault="00C92006" w:rsidP="00147802">
      <w:r>
        <w:t>The Government’s Jobs and Skills Summit outcome in relation to r</w:t>
      </w:r>
      <w:r w:rsidRPr="00C92006">
        <w:t>oad</w:t>
      </w:r>
      <w:r>
        <w:t xml:space="preserve"> transport workers would benefit </w:t>
      </w:r>
      <w:r w:rsidRPr="004B4F63">
        <w:rPr>
          <w:rStyle w:val="normaltextrun"/>
          <w:rFonts w:eastAsiaTheme="minorEastAsia"/>
          <w:lang w:val="en-GB"/>
        </w:rPr>
        <w:t>independent</w:t>
      </w:r>
      <w:r>
        <w:t xml:space="preserve"> contractors working in the road transport industry</w:t>
      </w:r>
      <w:r w:rsidR="00324502">
        <w:t xml:space="preserve">, subject to appropriate checks and balances. </w:t>
      </w:r>
    </w:p>
    <w:p w14:paraId="2700DC8C" w14:textId="2040FA61" w:rsidR="002D21E6" w:rsidRPr="00C54ACD" w:rsidRDefault="002D21E6" w:rsidP="002D21E6">
      <w:r w:rsidRPr="00C54ACD">
        <w:t xml:space="preserve">In August 2022 (latest available data) there were </w:t>
      </w:r>
      <w:r w:rsidR="005A21E6" w:rsidRPr="00573634">
        <w:t>367,300</w:t>
      </w:r>
      <w:r w:rsidRPr="00C54ACD">
        <w:t xml:space="preserve"> workers in the road transport sector. Of these, </w:t>
      </w:r>
      <w:r w:rsidR="005A21E6" w:rsidRPr="00573634">
        <w:t>57,4</w:t>
      </w:r>
      <w:r w:rsidRPr="00C54ACD">
        <w:t>00 (or 15.</w:t>
      </w:r>
      <w:r w:rsidR="005A21E6" w:rsidRPr="00573634">
        <w:t>6</w:t>
      </w:r>
      <w:r w:rsidRPr="00C54ACD">
        <w:t xml:space="preserve"> per cent) were independent contractors.</w:t>
      </w:r>
      <w:r w:rsidR="00D3751C" w:rsidRPr="00C54ACD">
        <w:rPr>
          <w:rStyle w:val="FootnoteReference"/>
        </w:rPr>
        <w:footnoteReference w:id="88"/>
      </w:r>
      <w:r w:rsidRPr="00C54ACD">
        <w:t xml:space="preserve"> Independent contractors in this sector are more likely to be:</w:t>
      </w:r>
    </w:p>
    <w:p w14:paraId="6719BB74" w14:textId="77D21B13" w:rsidR="002D21E6" w:rsidRPr="00C54ACD" w:rsidRDefault="002D21E6" w:rsidP="003401C3">
      <w:pPr>
        <w:pStyle w:val="ListParagraph"/>
        <w:numPr>
          <w:ilvl w:val="0"/>
          <w:numId w:val="87"/>
        </w:numPr>
        <w:spacing w:line="276" w:lineRule="auto"/>
        <w:ind w:left="714" w:hanging="357"/>
        <w:contextualSpacing w:val="0"/>
      </w:pPr>
      <w:r w:rsidRPr="00C54ACD">
        <w:rPr>
          <w:b/>
        </w:rPr>
        <w:t>Born overseas</w:t>
      </w:r>
      <w:r w:rsidRPr="00C54ACD">
        <w:t xml:space="preserve"> (</w:t>
      </w:r>
      <w:r w:rsidR="0009125E" w:rsidRPr="00573634">
        <w:t>67</w:t>
      </w:r>
      <w:r w:rsidRPr="00C54ACD">
        <w:t>.7 per cent compared to 36.4 per cent of all independent contractors),</w:t>
      </w:r>
    </w:p>
    <w:p w14:paraId="613944C1" w14:textId="52659ED0" w:rsidR="002D21E6" w:rsidRPr="008A4DBA" w:rsidRDefault="002D21E6" w:rsidP="003401C3">
      <w:pPr>
        <w:pStyle w:val="ListParagraph"/>
        <w:numPr>
          <w:ilvl w:val="0"/>
          <w:numId w:val="87"/>
        </w:numPr>
        <w:spacing w:line="276" w:lineRule="auto"/>
        <w:ind w:left="714" w:hanging="357"/>
        <w:contextualSpacing w:val="0"/>
      </w:pPr>
      <w:r w:rsidRPr="008A4DBA">
        <w:rPr>
          <w:b/>
        </w:rPr>
        <w:t>Male</w:t>
      </w:r>
      <w:r w:rsidRPr="008A4DBA">
        <w:t xml:space="preserve"> (</w:t>
      </w:r>
      <w:r w:rsidR="00113E23" w:rsidRPr="00573634">
        <w:t>96.3</w:t>
      </w:r>
      <w:r w:rsidRPr="008A4DBA">
        <w:t xml:space="preserve"> per cent compared to 69.5 per cent of all independent contractors),</w:t>
      </w:r>
    </w:p>
    <w:p w14:paraId="6D0F845D" w14:textId="1F8A7598" w:rsidR="002D21E6" w:rsidRPr="007D264A" w:rsidRDefault="002D21E6" w:rsidP="003401C3">
      <w:pPr>
        <w:pStyle w:val="ListParagraph"/>
        <w:numPr>
          <w:ilvl w:val="0"/>
          <w:numId w:val="87"/>
        </w:numPr>
        <w:spacing w:line="276" w:lineRule="auto"/>
        <w:ind w:left="714" w:hanging="357"/>
        <w:contextualSpacing w:val="0"/>
      </w:pPr>
      <w:r w:rsidRPr="007D264A">
        <w:rPr>
          <w:b/>
        </w:rPr>
        <w:t>Full time</w:t>
      </w:r>
      <w:r w:rsidRPr="007D264A">
        <w:t xml:space="preserve"> (7</w:t>
      </w:r>
      <w:r w:rsidR="003E615B" w:rsidRPr="00573634">
        <w:t>5.5</w:t>
      </w:r>
      <w:r w:rsidRPr="007D264A">
        <w:t xml:space="preserve"> per cent compared to 59.8 per cent of all independent contractors),</w:t>
      </w:r>
    </w:p>
    <w:p w14:paraId="0755E557" w14:textId="3A43A366" w:rsidR="002D21E6" w:rsidRPr="004A65E0" w:rsidRDefault="01A67990" w:rsidP="00FA4890">
      <w:pPr>
        <w:pStyle w:val="ListParagraph"/>
        <w:numPr>
          <w:ilvl w:val="0"/>
          <w:numId w:val="87"/>
        </w:numPr>
        <w:spacing w:line="276" w:lineRule="auto"/>
        <w:ind w:left="714" w:hanging="357"/>
        <w:contextualSpacing w:val="0"/>
      </w:pPr>
      <w:r w:rsidRPr="004A65E0">
        <w:t>Employed as</w:t>
      </w:r>
      <w:r w:rsidRPr="004A65E0" w:rsidDel="00FA4890">
        <w:t xml:space="preserve"> a</w:t>
      </w:r>
      <w:r w:rsidRPr="004A65E0">
        <w:t xml:space="preserve"> </w:t>
      </w:r>
      <w:r w:rsidR="6B92EAD6" w:rsidRPr="004A65E0">
        <w:rPr>
          <w:b/>
        </w:rPr>
        <w:t>Machinery operators</w:t>
      </w:r>
      <w:r w:rsidR="6B92EAD6" w:rsidRPr="004A65E0">
        <w:t xml:space="preserve"> </w:t>
      </w:r>
      <w:r w:rsidR="74D8353F" w:rsidRPr="004A65E0">
        <w:rPr>
          <w:b/>
        </w:rPr>
        <w:t xml:space="preserve">and </w:t>
      </w:r>
      <w:r w:rsidRPr="004A65E0">
        <w:rPr>
          <w:b/>
        </w:rPr>
        <w:t>drivers</w:t>
      </w:r>
      <w:r w:rsidRPr="004A65E0">
        <w:t xml:space="preserve"> (</w:t>
      </w:r>
      <w:r w:rsidR="00473CFB" w:rsidRPr="004A65E0">
        <w:t>69.9</w:t>
      </w:r>
      <w:r w:rsidRPr="004A65E0" w:rsidDel="00FA4890">
        <w:t xml:space="preserve"> per cent compared to </w:t>
      </w:r>
      <w:r w:rsidR="36A32EAF" w:rsidRPr="004A65E0" w:rsidDel="00FA4890">
        <w:t>7.6</w:t>
      </w:r>
      <w:r w:rsidRPr="004A65E0" w:rsidDel="00FA4890">
        <w:t xml:space="preserve"> per cent</w:t>
      </w:r>
      <w:r w:rsidR="5C3E25EA" w:rsidRPr="004A65E0" w:rsidDel="00FA4890">
        <w:t xml:space="preserve"> of all independent contractors</w:t>
      </w:r>
      <w:r w:rsidRPr="004A65E0" w:rsidDel="00FA4890">
        <w:t xml:space="preserve">), </w:t>
      </w:r>
    </w:p>
    <w:p w14:paraId="054BF055" w14:textId="4FE04CB5" w:rsidR="002D21E6" w:rsidRPr="009176C9" w:rsidRDefault="002D21E6" w:rsidP="003401C3">
      <w:pPr>
        <w:pStyle w:val="ListParagraph"/>
        <w:numPr>
          <w:ilvl w:val="0"/>
          <w:numId w:val="87"/>
        </w:numPr>
        <w:spacing w:line="276" w:lineRule="auto"/>
        <w:ind w:left="714" w:hanging="357"/>
        <w:contextualSpacing w:val="0"/>
      </w:pPr>
      <w:r w:rsidRPr="009176C9">
        <w:rPr>
          <w:b/>
        </w:rPr>
        <w:t>Reside in a capital city</w:t>
      </w:r>
      <w:r w:rsidRPr="009176C9">
        <w:t xml:space="preserve"> (75.</w:t>
      </w:r>
      <w:r w:rsidR="00694288" w:rsidRPr="00573634">
        <w:t>3</w:t>
      </w:r>
      <w:r w:rsidRPr="009176C9">
        <w:t xml:space="preserve"> per cent compared to 69.4 per cent of all independent contractors).</w:t>
      </w:r>
    </w:p>
    <w:p w14:paraId="4D4FA96C" w14:textId="3B11C176" w:rsidR="002D21E6" w:rsidRPr="002D21E6" w:rsidRDefault="002D21E6" w:rsidP="002D21E6">
      <w:r w:rsidRPr="008161EF">
        <w:t xml:space="preserve">Independent contractors in </w:t>
      </w:r>
      <w:r w:rsidR="008161EF" w:rsidRPr="00573634">
        <w:t>this sector</w:t>
      </w:r>
      <w:r w:rsidRPr="008161EF">
        <w:t xml:space="preserve"> are </w:t>
      </w:r>
      <w:r w:rsidR="00EE009F" w:rsidRPr="00573634">
        <w:t>more</w:t>
      </w:r>
      <w:r w:rsidR="00EE009F" w:rsidRPr="008161EF">
        <w:t xml:space="preserve"> </w:t>
      </w:r>
      <w:r w:rsidRPr="008161EF">
        <w:t>likely to have authority over their own work (5</w:t>
      </w:r>
      <w:r w:rsidR="00EE009F" w:rsidRPr="00573634">
        <w:t>5.6</w:t>
      </w:r>
      <w:r w:rsidRPr="008161EF">
        <w:t xml:space="preserve"> per cent versus 38.4 per cent for all independent </w:t>
      </w:r>
      <w:r w:rsidRPr="002F64D1">
        <w:t xml:space="preserve">contractors). </w:t>
      </w:r>
      <w:r w:rsidR="00301550" w:rsidRPr="00573634">
        <w:t>48.6</w:t>
      </w:r>
      <w:r w:rsidRPr="002F64D1">
        <w:t xml:space="preserve"> per cent of independent contractors in these industries are able to work on multiple active contracts at once, lower than the 70.5 per cent recorded for all independent contractors.</w:t>
      </w:r>
    </w:p>
    <w:p w14:paraId="16B40B6B" w14:textId="14741554" w:rsidR="00D30295" w:rsidRPr="00CF365A" w:rsidRDefault="00A75278" w:rsidP="00F60F5C">
      <w:pPr>
        <w:pStyle w:val="Heading3"/>
      </w:pPr>
      <w:bookmarkStart w:id="52" w:name="_Toc139295561"/>
      <w:r w:rsidRPr="00CF365A">
        <w:t>Digital labour platform businesses</w:t>
      </w:r>
      <w:bookmarkEnd w:id="52"/>
    </w:p>
    <w:p w14:paraId="79C958B3" w14:textId="1C35C4EB" w:rsidR="00A75278" w:rsidRDefault="00E612AB" w:rsidP="00147802">
      <w:r>
        <w:t xml:space="preserve">Introducing minimum standards for digital platform workers will have a regulatory impact on the digital </w:t>
      </w:r>
      <w:r w:rsidRPr="004B4F63">
        <w:rPr>
          <w:rStyle w:val="normaltextrun"/>
          <w:rFonts w:eastAsiaTheme="minorEastAsia"/>
          <w:lang w:val="en-GB"/>
        </w:rPr>
        <w:t>labour</w:t>
      </w:r>
      <w:r>
        <w:t xml:space="preserve"> platforms that engage them. </w:t>
      </w:r>
    </w:p>
    <w:p w14:paraId="76437737" w14:textId="4EEB0820" w:rsidR="00C905B7" w:rsidRPr="00B00A2D" w:rsidRDefault="00CA531B" w:rsidP="00C905B7">
      <w:r>
        <w:t>Given that the content of minimum standards will depend on the decision-making of the independent Fair Work Commission, it</w:t>
      </w:r>
      <w:r w:rsidR="00C905B7" w:rsidRPr="00B00A2D">
        <w:t xml:space="preserve"> is difficult to estimate the impact that minimum standards for digital platform workers will have on businesses. There are a few different types of businesses that may be affected:</w:t>
      </w:r>
    </w:p>
    <w:p w14:paraId="154165EE" w14:textId="5AEAC2F0" w:rsidR="00C905B7" w:rsidRPr="00B00A2D" w:rsidRDefault="00C905B7" w:rsidP="001D0925">
      <w:pPr>
        <w:pStyle w:val="ListParagraph"/>
        <w:numPr>
          <w:ilvl w:val="0"/>
          <w:numId w:val="87"/>
        </w:numPr>
        <w:spacing w:line="276" w:lineRule="auto"/>
        <w:ind w:left="714" w:hanging="357"/>
        <w:contextualSpacing w:val="0"/>
      </w:pPr>
      <w:r w:rsidRPr="00B00A2D">
        <w:t xml:space="preserve">Digital platform businesses e.g. Uber, </w:t>
      </w:r>
      <w:r w:rsidR="00D423C2">
        <w:t xml:space="preserve">DoorDash, </w:t>
      </w:r>
      <w:r w:rsidR="002E66DA">
        <w:t>Mable</w:t>
      </w:r>
    </w:p>
    <w:p w14:paraId="08F01323" w14:textId="29A3A166" w:rsidR="00C905B7" w:rsidRPr="00B00A2D" w:rsidRDefault="00C905B7" w:rsidP="001D0925">
      <w:pPr>
        <w:pStyle w:val="ListParagraph"/>
        <w:numPr>
          <w:ilvl w:val="0"/>
          <w:numId w:val="87"/>
        </w:numPr>
        <w:spacing w:line="276" w:lineRule="auto"/>
        <w:ind w:left="714" w:hanging="357"/>
        <w:contextualSpacing w:val="0"/>
      </w:pPr>
      <w:r w:rsidRPr="00B00A2D">
        <w:t xml:space="preserve">Businesses that use digital platform workers as part of their operations e.g. restaurants who offer delivery via </w:t>
      </w:r>
      <w:r w:rsidR="00592690">
        <w:t>DoorDash</w:t>
      </w:r>
      <w:r w:rsidRPr="00B00A2D">
        <w:t>/</w:t>
      </w:r>
      <w:r w:rsidR="00B646AD" w:rsidRPr="00B00A2D">
        <w:t>Uber</w:t>
      </w:r>
      <w:r w:rsidR="00DE39D4">
        <w:t xml:space="preserve"> Eats</w:t>
      </w:r>
    </w:p>
    <w:p w14:paraId="7D1AD79D" w14:textId="77777777" w:rsidR="00C905B7" w:rsidRPr="00B00A2D" w:rsidRDefault="00C905B7" w:rsidP="001D0925">
      <w:pPr>
        <w:pStyle w:val="ListParagraph"/>
        <w:numPr>
          <w:ilvl w:val="0"/>
          <w:numId w:val="87"/>
        </w:numPr>
        <w:spacing w:line="276" w:lineRule="auto"/>
        <w:ind w:left="714" w:hanging="357"/>
        <w:contextualSpacing w:val="0"/>
      </w:pPr>
      <w:r w:rsidRPr="00B00A2D">
        <w:t>Businesses who are competitors or work in similar industries e.g. taxi drivers, delivery drivers, caring workers.</w:t>
      </w:r>
    </w:p>
    <w:p w14:paraId="09CEA131" w14:textId="4267AA94" w:rsidR="00C905B7" w:rsidRPr="00B00A2D" w:rsidRDefault="00C905B7" w:rsidP="00C905B7">
      <w:pPr>
        <w:rPr>
          <w:rStyle w:val="normaltextrun"/>
          <w:rFonts w:eastAsiaTheme="minorEastAsia"/>
          <w:lang w:val="en-GB"/>
        </w:rPr>
      </w:pPr>
      <w:r w:rsidRPr="00B00A2D">
        <w:t xml:space="preserve">The first group of digital platform businesses have been consulted extensively. </w:t>
      </w:r>
      <w:r w:rsidR="00592D81">
        <w:t xml:space="preserve">As indicated in </w:t>
      </w:r>
      <w:r w:rsidR="00054079">
        <w:t>S</w:t>
      </w:r>
      <w:r w:rsidR="00592D81">
        <w:t xml:space="preserve">ection </w:t>
      </w:r>
      <w:r w:rsidR="003B20D1">
        <w:t>4</w:t>
      </w:r>
      <w:r w:rsidR="00054079">
        <w:t>, s</w:t>
      </w:r>
      <w:r w:rsidRPr="00B00A2D">
        <w:t xml:space="preserve">takeholders in this group </w:t>
      </w:r>
      <w:r w:rsidRPr="00B00A2D">
        <w:rPr>
          <w:rStyle w:val="normaltextrun"/>
          <w:rFonts w:eastAsiaTheme="minorEastAsia"/>
          <w:lang w:val="en-GB"/>
        </w:rPr>
        <w:t xml:space="preserve">generally supported the concept of national minimum standards for digital platform workers, with views diverging on how to implement minimum standards. This is the group </w:t>
      </w:r>
      <w:r w:rsidR="7A5970C5" w:rsidRPr="2D0AE050">
        <w:rPr>
          <w:rStyle w:val="normaltextrun"/>
          <w:rFonts w:eastAsiaTheme="minorEastAsia"/>
          <w:lang w:val="en-GB"/>
        </w:rPr>
        <w:t>for whom there will be</w:t>
      </w:r>
      <w:r w:rsidRPr="00B00A2D">
        <w:rPr>
          <w:rStyle w:val="normaltextrun"/>
          <w:rFonts w:eastAsiaTheme="minorEastAsia"/>
          <w:lang w:val="en-GB"/>
        </w:rPr>
        <w:t xml:space="preserve"> the most direct cost impact of minimum standards for digital platform workers. The costs to this group of businesses are the focus of this Impact </w:t>
      </w:r>
      <w:r w:rsidR="00DE39D4">
        <w:rPr>
          <w:rStyle w:val="normaltextrun"/>
          <w:rFonts w:eastAsiaTheme="minorEastAsia"/>
          <w:lang w:val="en-GB"/>
        </w:rPr>
        <w:t>Analysis Equivalent process</w:t>
      </w:r>
      <w:r w:rsidRPr="00B00A2D">
        <w:rPr>
          <w:rStyle w:val="normaltextrun"/>
          <w:rFonts w:eastAsiaTheme="minorEastAsia"/>
          <w:lang w:val="en-GB"/>
        </w:rPr>
        <w:t xml:space="preserve">.  </w:t>
      </w:r>
    </w:p>
    <w:p w14:paraId="570A91B7" w14:textId="5BB16940" w:rsidR="00C905B7" w:rsidRPr="00B00A2D" w:rsidRDefault="00C905B7" w:rsidP="00C905B7">
      <w:pPr>
        <w:rPr>
          <w:rStyle w:val="normaltextrun"/>
          <w:rFonts w:eastAsiaTheme="minorEastAsia"/>
          <w:lang w:val="en-GB"/>
        </w:rPr>
      </w:pPr>
      <w:r w:rsidRPr="00B00A2D">
        <w:rPr>
          <w:rStyle w:val="normaltextrun"/>
          <w:rFonts w:eastAsiaTheme="minorEastAsia"/>
          <w:lang w:val="en-GB"/>
        </w:rPr>
        <w:t xml:space="preserve">The second group of businesses that use digital platforms as part of their operations is more difficult to find data on. </w:t>
      </w:r>
      <w:r w:rsidR="5153EF4D" w:rsidRPr="2D0AE050">
        <w:rPr>
          <w:rStyle w:val="normaltextrun"/>
          <w:rFonts w:eastAsiaTheme="minorEastAsia"/>
          <w:lang w:val="en-GB"/>
        </w:rPr>
        <w:t>The</w:t>
      </w:r>
      <w:r w:rsidR="46FF2359" w:rsidRPr="2D0AE050">
        <w:rPr>
          <w:rStyle w:val="normaltextrun"/>
          <w:rFonts w:eastAsiaTheme="minorEastAsia"/>
          <w:lang w:val="en-GB"/>
        </w:rPr>
        <w:t xml:space="preserve"> department is not aware of </w:t>
      </w:r>
      <w:r w:rsidRPr="00B00A2D">
        <w:rPr>
          <w:rStyle w:val="normaltextrun"/>
          <w:rFonts w:eastAsiaTheme="minorEastAsia"/>
          <w:lang w:val="en-GB"/>
        </w:rPr>
        <w:t xml:space="preserve">data that shows how many businesses use digital platforms as part of their work. </w:t>
      </w:r>
      <w:r w:rsidR="00F610FD">
        <w:rPr>
          <w:rStyle w:val="normaltextrun"/>
          <w:rFonts w:eastAsiaTheme="minorEastAsia"/>
          <w:lang w:val="en-GB"/>
        </w:rPr>
        <w:t xml:space="preserve">Depending on </w:t>
      </w:r>
      <w:r w:rsidR="00B3745C">
        <w:rPr>
          <w:rStyle w:val="normaltextrun"/>
          <w:rFonts w:eastAsiaTheme="minorEastAsia"/>
          <w:lang w:val="en-GB"/>
        </w:rPr>
        <w:t xml:space="preserve">the extent to which digital platform businesses choose to pass on </w:t>
      </w:r>
      <w:r w:rsidR="00464C04">
        <w:rPr>
          <w:rStyle w:val="normaltextrun"/>
          <w:rFonts w:eastAsiaTheme="minorEastAsia"/>
          <w:lang w:val="en-GB"/>
        </w:rPr>
        <w:t>costs, i</w:t>
      </w:r>
      <w:r w:rsidRPr="00B00A2D">
        <w:rPr>
          <w:rStyle w:val="normaltextrun"/>
          <w:rFonts w:eastAsiaTheme="minorEastAsia"/>
          <w:lang w:val="en-GB"/>
        </w:rPr>
        <w:t xml:space="preserve">ntroducing minimum standards may increase the cost </w:t>
      </w:r>
      <w:r w:rsidRPr="00B00A2D" w:rsidDel="00E0321B">
        <w:rPr>
          <w:rStyle w:val="normaltextrun"/>
          <w:rFonts w:eastAsiaTheme="minorEastAsia"/>
          <w:lang w:val="en-GB"/>
        </w:rPr>
        <w:t xml:space="preserve">to </w:t>
      </w:r>
      <w:r w:rsidRPr="00B00A2D">
        <w:rPr>
          <w:rStyle w:val="normaltextrun"/>
          <w:rFonts w:eastAsiaTheme="minorEastAsia"/>
          <w:lang w:val="en-GB"/>
        </w:rPr>
        <w:t xml:space="preserve">these </w:t>
      </w:r>
      <w:r w:rsidR="008530CE">
        <w:rPr>
          <w:rStyle w:val="normaltextrun"/>
          <w:rFonts w:eastAsiaTheme="minorEastAsia"/>
          <w:lang w:val="en-GB"/>
        </w:rPr>
        <w:t>businesses</w:t>
      </w:r>
      <w:r w:rsidR="0036345D">
        <w:rPr>
          <w:rStyle w:val="normaltextrun"/>
          <w:rFonts w:eastAsiaTheme="minorEastAsia"/>
          <w:lang w:val="en-GB"/>
        </w:rPr>
        <w:t xml:space="preserve"> of using </w:t>
      </w:r>
      <w:r w:rsidR="00E4334F">
        <w:rPr>
          <w:rStyle w:val="normaltextrun"/>
          <w:rFonts w:eastAsiaTheme="minorEastAsia"/>
          <w:lang w:val="en-GB"/>
        </w:rPr>
        <w:t xml:space="preserve">digital platforms to </w:t>
      </w:r>
      <w:r w:rsidR="007E5D65">
        <w:rPr>
          <w:rStyle w:val="normaltextrun"/>
          <w:rFonts w:eastAsiaTheme="minorEastAsia"/>
          <w:lang w:val="en-GB"/>
        </w:rPr>
        <w:t>reach consumers</w:t>
      </w:r>
      <w:r w:rsidR="00464C04">
        <w:rPr>
          <w:rStyle w:val="normaltextrun"/>
          <w:rFonts w:eastAsiaTheme="minorEastAsia"/>
          <w:lang w:val="en-GB"/>
        </w:rPr>
        <w:t>. However, w</w:t>
      </w:r>
      <w:r w:rsidRPr="00B00A2D">
        <w:rPr>
          <w:rStyle w:val="normaltextrun"/>
          <w:rFonts w:eastAsiaTheme="minorEastAsia"/>
          <w:lang w:val="en-GB"/>
        </w:rPr>
        <w:t xml:space="preserve">ithout data available on how many businesses this will affect and how </w:t>
      </w:r>
      <w:r w:rsidR="7790A2B5" w:rsidRPr="2D0AE050">
        <w:rPr>
          <w:rStyle w:val="normaltextrun"/>
          <w:rFonts w:eastAsiaTheme="minorEastAsia"/>
          <w:lang w:val="en-GB"/>
        </w:rPr>
        <w:t>costs</w:t>
      </w:r>
      <w:r w:rsidRPr="00B00A2D">
        <w:rPr>
          <w:rStyle w:val="normaltextrun"/>
          <w:rFonts w:eastAsiaTheme="minorEastAsia"/>
          <w:lang w:val="en-GB"/>
        </w:rPr>
        <w:t xml:space="preserve"> may be impacted, the department is unable to make an estimate of the size of this flow-on effect.</w:t>
      </w:r>
    </w:p>
    <w:p w14:paraId="29A8960C" w14:textId="32240CFE" w:rsidR="00157FC0" w:rsidRPr="008B793A" w:rsidRDefault="00C905B7" w:rsidP="00157FC0">
      <w:pPr>
        <w:rPr>
          <w:rFonts w:eastAsiaTheme="minorEastAsia"/>
          <w:lang w:val="en-GB"/>
        </w:rPr>
      </w:pPr>
      <w:r w:rsidRPr="00B00A2D">
        <w:rPr>
          <w:rStyle w:val="normaltextrun"/>
          <w:rFonts w:eastAsiaTheme="minorEastAsia"/>
          <w:lang w:val="en-GB"/>
        </w:rPr>
        <w:t>The third group of competitor businesses is even more difficult to quantify. There may be flow-on effects affecting the competitive advantage of different types of labour and employee relationships with the introduction of minimum standards for digital platform workers. However, these effects are not able to be modelled and as such the department is unable to make an estimate of the size of these potential effects.</w:t>
      </w:r>
    </w:p>
    <w:p w14:paraId="7F31CB70" w14:textId="4D0C61A8" w:rsidR="00147802" w:rsidRPr="00CF365A" w:rsidRDefault="00147802" w:rsidP="00F60F5C">
      <w:pPr>
        <w:pStyle w:val="Heading3"/>
      </w:pPr>
      <w:bookmarkStart w:id="53" w:name="_Toc139295562"/>
      <w:r w:rsidRPr="00CF365A">
        <w:t>Entities engaging road transport workers</w:t>
      </w:r>
      <w:bookmarkEnd w:id="53"/>
    </w:p>
    <w:p w14:paraId="701F1645" w14:textId="640D5FAE" w:rsidR="00147802" w:rsidRDefault="00147802" w:rsidP="00147802">
      <w:r>
        <w:t xml:space="preserve">Introducing </w:t>
      </w:r>
      <w:r w:rsidRPr="004B4F63">
        <w:rPr>
          <w:rStyle w:val="normaltextrun"/>
          <w:rFonts w:eastAsiaTheme="minorEastAsia"/>
          <w:lang w:val="en-GB"/>
        </w:rPr>
        <w:t>minimum</w:t>
      </w:r>
      <w:r>
        <w:t xml:space="preserve"> standards for road transport workers will have a regulatory impact on the entities that engage them. </w:t>
      </w:r>
    </w:p>
    <w:p w14:paraId="7133EB8B" w14:textId="401FA526" w:rsidR="00E91912" w:rsidRPr="00B00A2D" w:rsidRDefault="00E91912" w:rsidP="00245F38">
      <w:r w:rsidRPr="00B00A2D">
        <w:t xml:space="preserve">As outlined in the available data section above, the ABS produces data on businesses in Australia however, it does not go into detail </w:t>
      </w:r>
      <w:r w:rsidR="35BB294A">
        <w:t>on</w:t>
      </w:r>
      <w:r w:rsidRPr="00B00A2D">
        <w:t xml:space="preserve"> the employment relationships that business may have (beyond a </w:t>
      </w:r>
      <w:r w:rsidRPr="00245F38">
        <w:rPr>
          <w:rStyle w:val="normaltextrun"/>
          <w:rFonts w:eastAsiaTheme="minorEastAsia"/>
          <w:lang w:val="en-GB"/>
        </w:rPr>
        <w:t>headcount</w:t>
      </w:r>
      <w:r w:rsidRPr="00B00A2D">
        <w:t xml:space="preserve"> of </w:t>
      </w:r>
      <w:r w:rsidRPr="004B4F63">
        <w:rPr>
          <w:rStyle w:val="normaltextrun"/>
          <w:rFonts w:eastAsiaTheme="minorEastAsia"/>
          <w:lang w:val="en-GB"/>
        </w:rPr>
        <w:t>number</w:t>
      </w:r>
      <w:r w:rsidRPr="00B00A2D">
        <w:t xml:space="preserve"> of employees). Given that these statistics would not capture how many businesses use independent contractors, or the nature of these contracts, the department is unable to provide accurate information on the number of businesses that may be impacted by these legislated changes. </w:t>
      </w:r>
    </w:p>
    <w:p w14:paraId="4A53137A" w14:textId="13604775" w:rsidR="00147802" w:rsidRPr="00147802" w:rsidRDefault="00E91912" w:rsidP="00147802">
      <w:r w:rsidRPr="00B00A2D">
        <w:t xml:space="preserve">There is data </w:t>
      </w:r>
      <w:r w:rsidRPr="004B4F63">
        <w:rPr>
          <w:rStyle w:val="normaltextrun"/>
          <w:rFonts w:eastAsiaTheme="minorEastAsia"/>
          <w:lang w:val="en-GB"/>
        </w:rPr>
        <w:t>available</w:t>
      </w:r>
      <w:r w:rsidRPr="00B00A2D">
        <w:t xml:space="preserve"> on the number of businesses in specific industries. </w:t>
      </w:r>
      <w:r w:rsidR="5F82DF8B" w:rsidRPr="009355CA">
        <w:t>Two</w:t>
      </w:r>
      <w:r w:rsidRPr="009355CA">
        <w:t xml:space="preserve"> industries within scope of the policies outlined in this document are the Road transport (</w:t>
      </w:r>
      <w:r w:rsidR="007F605F" w:rsidRPr="00573634">
        <w:t>2</w:t>
      </w:r>
      <w:r w:rsidRPr="009355CA">
        <w:t xml:space="preserve">-digit ANZSIC code 46) and Postal and courier pick-up and </w:t>
      </w:r>
      <w:r w:rsidRPr="009355CA">
        <w:rPr>
          <w:rStyle w:val="normaltextrun"/>
          <w:rFonts w:eastAsiaTheme="minorEastAsia"/>
          <w:lang w:val="en-GB"/>
        </w:rPr>
        <w:t>delivery</w:t>
      </w:r>
      <w:r w:rsidRPr="009355CA">
        <w:t xml:space="preserve"> services (2-digit ANZSIC code 51) industries. In June 2022, there were </w:t>
      </w:r>
      <w:r w:rsidR="008F3AD3" w:rsidRPr="00573634">
        <w:rPr>
          <w:rStyle w:val="normaltextrun"/>
          <w:rFonts w:eastAsiaTheme="minorEastAsia"/>
          <w:lang w:val="en-GB"/>
        </w:rPr>
        <w:t>98,2</w:t>
      </w:r>
      <w:r w:rsidR="00C95151" w:rsidRPr="00573634">
        <w:rPr>
          <w:rStyle w:val="normaltextrun"/>
          <w:rFonts w:eastAsiaTheme="minorEastAsia"/>
          <w:lang w:val="en-GB"/>
        </w:rPr>
        <w:t>1</w:t>
      </w:r>
      <w:r w:rsidR="008F3AD3" w:rsidRPr="00573634">
        <w:rPr>
          <w:rStyle w:val="normaltextrun"/>
          <w:rFonts w:eastAsiaTheme="minorEastAsia"/>
          <w:lang w:val="en-GB"/>
        </w:rPr>
        <w:t>6</w:t>
      </w:r>
      <w:r w:rsidRPr="009355CA">
        <w:t xml:space="preserve"> actively trading businesses in the Road transport industry, and </w:t>
      </w:r>
      <w:r w:rsidR="008F3AD3" w:rsidRPr="00573634">
        <w:t>67,8</w:t>
      </w:r>
      <w:r w:rsidR="00C95151" w:rsidRPr="00573634">
        <w:t>6</w:t>
      </w:r>
      <w:r w:rsidR="008F3AD3" w:rsidRPr="00573634">
        <w:t>7</w:t>
      </w:r>
      <w:r w:rsidRPr="009355CA">
        <w:t xml:space="preserve"> of those (</w:t>
      </w:r>
      <w:r w:rsidR="000877A3" w:rsidRPr="00573634">
        <w:t>69.1</w:t>
      </w:r>
      <w:r w:rsidRPr="009355CA">
        <w:t xml:space="preserve"> per cent) were non-employing businesses. In June 2022, there were 42,7</w:t>
      </w:r>
      <w:r w:rsidR="00121D3C" w:rsidRPr="00573634">
        <w:t>5</w:t>
      </w:r>
      <w:r w:rsidR="00C95151" w:rsidRPr="00573634">
        <w:t>8</w:t>
      </w:r>
      <w:r w:rsidRPr="009355CA">
        <w:t xml:space="preserve"> actively trading businesses in the Postal and courier pick-up and delivery services industry, and 33,089 (77.4 per cent) of those were non-employing businesses. This means that within these 2 industries, there were </w:t>
      </w:r>
      <w:r w:rsidR="00E764F3" w:rsidRPr="00573634">
        <w:t>1</w:t>
      </w:r>
      <w:r w:rsidR="00095B83" w:rsidRPr="00573634">
        <w:t>40,9</w:t>
      </w:r>
      <w:r w:rsidR="00602DE6" w:rsidRPr="00573634">
        <w:t>74</w:t>
      </w:r>
      <w:r w:rsidRPr="009355CA">
        <w:t xml:space="preserve"> businesses actively trading as at June 2022, including </w:t>
      </w:r>
      <w:r w:rsidR="00F804ED" w:rsidRPr="00573634">
        <w:t>100,9</w:t>
      </w:r>
      <w:r w:rsidR="00AF4AC2" w:rsidRPr="00573634">
        <w:t>56</w:t>
      </w:r>
      <w:r w:rsidRPr="009355CA">
        <w:t xml:space="preserve"> which </w:t>
      </w:r>
      <w:r w:rsidR="55045014" w:rsidRPr="009355CA">
        <w:t>d</w:t>
      </w:r>
      <w:r w:rsidR="19FA6232" w:rsidRPr="009355CA">
        <w:t>id</w:t>
      </w:r>
      <w:r w:rsidRPr="009355CA">
        <w:t xml:space="preserve"> not have employees.</w:t>
      </w:r>
    </w:p>
    <w:p w14:paraId="2180E9B5" w14:textId="28FCDAA5" w:rsidR="00984675" w:rsidRPr="00CF365A" w:rsidRDefault="00324502" w:rsidP="00F60F5C">
      <w:pPr>
        <w:pStyle w:val="Heading3"/>
      </w:pPr>
      <w:bookmarkStart w:id="54" w:name="_Toc139295563"/>
      <w:r w:rsidRPr="00CF365A">
        <w:t>C</w:t>
      </w:r>
      <w:r w:rsidR="009154AC" w:rsidRPr="00CF365A">
        <w:t xml:space="preserve">onsumers </w:t>
      </w:r>
      <w:r w:rsidR="0024608D" w:rsidRPr="00CF365A">
        <w:t>(</w:t>
      </w:r>
      <w:r w:rsidR="00E2398F">
        <w:t>of digital platform</w:t>
      </w:r>
      <w:r w:rsidR="00E2398F" w:rsidRPr="00CF365A">
        <w:t xml:space="preserve"> </w:t>
      </w:r>
      <w:r w:rsidR="0024608D" w:rsidRPr="00CF365A">
        <w:t>and road transport services)</w:t>
      </w:r>
      <w:bookmarkEnd w:id="54"/>
    </w:p>
    <w:p w14:paraId="72AB0C6F" w14:textId="7725A75D" w:rsidR="00B773F2" w:rsidRDefault="00824A72" w:rsidP="003401C3">
      <w:pPr>
        <w:rPr>
          <w:rStyle w:val="eop"/>
          <w:rFonts w:eastAsiaTheme="majorEastAsia"/>
          <w:color w:val="262626"/>
        </w:rPr>
      </w:pPr>
      <w:r w:rsidRPr="34151D83">
        <w:rPr>
          <w:rStyle w:val="normaltextrun"/>
          <w:rFonts w:eastAsiaTheme="majorEastAsia"/>
          <w:color w:val="262626" w:themeColor="text1" w:themeTint="D9"/>
        </w:rPr>
        <w:t>The Actuaries Institute used ‘transaction data’ to estimate that consumers spent $6.3 billion</w:t>
      </w:r>
      <w:r>
        <w:rPr>
          <w:rStyle w:val="normaltextrun"/>
          <w:rFonts w:eastAsiaTheme="majorEastAsia"/>
          <w:color w:val="262626"/>
        </w:rPr>
        <w:t xml:space="preserve"> in the digital platform economy in 2019, growing nine-fold since 2015</w:t>
      </w:r>
      <w:r w:rsidR="002D1D87">
        <w:rPr>
          <w:rStyle w:val="normaltextrun"/>
          <w:rFonts w:eastAsiaTheme="majorEastAsia"/>
          <w:color w:val="262626"/>
        </w:rPr>
        <w:t>.</w:t>
      </w:r>
      <w:r>
        <w:rPr>
          <w:rStyle w:val="normaltextrun"/>
          <w:rFonts w:eastAsiaTheme="majorEastAsia"/>
          <w:color w:val="262626"/>
        </w:rPr>
        <w:t xml:space="preserve"> </w:t>
      </w:r>
      <w:r w:rsidR="002D1D87">
        <w:rPr>
          <w:rStyle w:val="normaltextrun"/>
          <w:rFonts w:eastAsiaTheme="majorEastAsia"/>
          <w:color w:val="262626"/>
        </w:rPr>
        <w:t>H</w:t>
      </w:r>
      <w:r>
        <w:rPr>
          <w:rStyle w:val="normaltextrun"/>
          <w:rFonts w:eastAsiaTheme="majorEastAsia"/>
          <w:color w:val="262626"/>
        </w:rPr>
        <w:t>owever this is relatively small when compared with other sectors.</w:t>
      </w:r>
      <w:r>
        <w:rPr>
          <w:rStyle w:val="FootnoteReference"/>
          <w:rFonts w:eastAsiaTheme="majorEastAsia"/>
          <w:color w:val="262626"/>
        </w:rPr>
        <w:footnoteReference w:id="89"/>
      </w:r>
      <w:r>
        <w:rPr>
          <w:rStyle w:val="eop"/>
          <w:rFonts w:eastAsiaTheme="majorEastAsia"/>
          <w:color w:val="262626"/>
        </w:rPr>
        <w:t xml:space="preserve"> At the national level, it is estimated that 46 per cent of Australian residents have used at least one digital platform as a consumer.</w:t>
      </w:r>
      <w:r>
        <w:rPr>
          <w:rStyle w:val="FootnoteReference"/>
          <w:rFonts w:eastAsiaTheme="majorEastAsia"/>
          <w:color w:val="262626"/>
        </w:rPr>
        <w:footnoteReference w:id="90"/>
      </w:r>
      <w:r>
        <w:rPr>
          <w:rStyle w:val="eop"/>
          <w:rFonts w:eastAsiaTheme="majorEastAsia"/>
          <w:color w:val="262626"/>
        </w:rPr>
        <w:t xml:space="preserve"> The Actuaries Institute found that the COVID-19 pandemic had a significant impact on consumption in the digital platform economy. For example, in October 2020, economic activity in the meal delivery sector was up more than 100</w:t>
      </w:r>
      <w:r w:rsidR="00CC5AFF">
        <w:rPr>
          <w:rStyle w:val="eop"/>
          <w:rFonts w:eastAsiaTheme="majorEastAsia"/>
          <w:color w:val="262626"/>
        </w:rPr>
        <w:t xml:space="preserve"> per cent </w:t>
      </w:r>
      <w:r>
        <w:rPr>
          <w:rStyle w:val="eop"/>
          <w:rFonts w:eastAsiaTheme="majorEastAsia"/>
          <w:color w:val="262626"/>
        </w:rPr>
        <w:t>and private transport was down 20</w:t>
      </w:r>
      <w:r w:rsidR="00E20927">
        <w:rPr>
          <w:rStyle w:val="eop"/>
          <w:rFonts w:eastAsiaTheme="majorEastAsia"/>
          <w:color w:val="262626"/>
        </w:rPr>
        <w:t xml:space="preserve"> per cent</w:t>
      </w:r>
      <w:r>
        <w:rPr>
          <w:rStyle w:val="eop"/>
          <w:rFonts w:eastAsiaTheme="majorEastAsia"/>
          <w:color w:val="262626"/>
        </w:rPr>
        <w:t xml:space="preserve"> compared to the pre-COVID-19 period.</w:t>
      </w:r>
      <w:r>
        <w:rPr>
          <w:rStyle w:val="FootnoteReference"/>
          <w:rFonts w:eastAsiaTheme="majorEastAsia"/>
          <w:color w:val="262626"/>
        </w:rPr>
        <w:footnoteReference w:id="91"/>
      </w:r>
      <w:r w:rsidR="00B773F2">
        <w:rPr>
          <w:rStyle w:val="eop"/>
          <w:rFonts w:eastAsiaTheme="majorEastAsia"/>
          <w:color w:val="262626"/>
        </w:rPr>
        <w:t xml:space="preserve"> </w:t>
      </w:r>
    </w:p>
    <w:p w14:paraId="3981D485" w14:textId="6398E184" w:rsidR="00B85109" w:rsidRPr="00B773F2" w:rsidRDefault="00B773F2" w:rsidP="003401C3">
      <w:pPr>
        <w:rPr>
          <w:rStyle w:val="eop"/>
          <w:rFonts w:eastAsiaTheme="majorEastAsia"/>
          <w:color w:val="262626"/>
        </w:rPr>
      </w:pPr>
      <w:r w:rsidRPr="42F70E3F">
        <w:rPr>
          <w:rStyle w:val="eop"/>
          <w:rFonts w:eastAsiaTheme="majorEastAsia"/>
          <w:color w:val="262626" w:themeColor="text1" w:themeTint="D9"/>
        </w:rPr>
        <w:t xml:space="preserve">More recent data published by digital platform businesses suggests that </w:t>
      </w:r>
      <w:r>
        <w:rPr>
          <w:rStyle w:val="eop"/>
          <w:rFonts w:eastAsiaTheme="majorEastAsia"/>
          <w:color w:val="262626"/>
        </w:rPr>
        <w:t xml:space="preserve">consumption in the digital platform economy is strong. </w:t>
      </w:r>
      <w:r w:rsidR="009015E1">
        <w:rPr>
          <w:rStyle w:val="eop"/>
          <w:rFonts w:eastAsiaTheme="majorEastAsia"/>
          <w:color w:val="262626"/>
        </w:rPr>
        <w:t>For example, a</w:t>
      </w:r>
      <w:r w:rsidR="00A808DB">
        <w:rPr>
          <w:rStyle w:val="eop"/>
          <w:rFonts w:eastAsiaTheme="majorEastAsia"/>
          <w:color w:val="262626"/>
        </w:rPr>
        <w:t xml:space="preserve"> </w:t>
      </w:r>
      <w:r w:rsidR="00406088">
        <w:rPr>
          <w:rStyle w:val="eop"/>
          <w:rFonts w:eastAsiaTheme="majorEastAsia"/>
          <w:color w:val="262626"/>
        </w:rPr>
        <w:t xml:space="preserve">2022 </w:t>
      </w:r>
      <w:r w:rsidR="00A808DB">
        <w:rPr>
          <w:rStyle w:val="eop"/>
          <w:rFonts w:eastAsiaTheme="majorEastAsia"/>
          <w:color w:val="262626"/>
        </w:rPr>
        <w:t>report released by</w:t>
      </w:r>
      <w:r w:rsidR="00136A7A">
        <w:rPr>
          <w:rStyle w:val="eop"/>
          <w:rFonts w:eastAsiaTheme="majorEastAsia"/>
          <w:color w:val="262626"/>
        </w:rPr>
        <w:t xml:space="preserve"> Uber</w:t>
      </w:r>
      <w:r w:rsidR="00A808DB">
        <w:rPr>
          <w:rStyle w:val="eop"/>
          <w:rFonts w:eastAsiaTheme="majorEastAsia"/>
          <w:color w:val="262626"/>
        </w:rPr>
        <w:t xml:space="preserve"> </w:t>
      </w:r>
      <w:r w:rsidR="00CE3AA8">
        <w:rPr>
          <w:rStyle w:val="eop"/>
          <w:rFonts w:eastAsiaTheme="majorEastAsia"/>
          <w:color w:val="262626"/>
        </w:rPr>
        <w:t>indicated that 40 per cent of respondents to a</w:t>
      </w:r>
      <w:r w:rsidR="001B0C47">
        <w:rPr>
          <w:rStyle w:val="eop"/>
          <w:rFonts w:eastAsiaTheme="majorEastAsia"/>
          <w:color w:val="262626"/>
        </w:rPr>
        <w:t xml:space="preserve"> poll had used the Uber app in the last two years and </w:t>
      </w:r>
      <w:r w:rsidR="00A808DB">
        <w:rPr>
          <w:rStyle w:val="eop"/>
          <w:rFonts w:eastAsiaTheme="majorEastAsia"/>
          <w:color w:val="262626"/>
        </w:rPr>
        <w:t>estimated</w:t>
      </w:r>
      <w:r w:rsidR="001B0C47">
        <w:rPr>
          <w:rStyle w:val="eop"/>
          <w:rFonts w:eastAsiaTheme="majorEastAsia"/>
          <w:color w:val="262626"/>
        </w:rPr>
        <w:t xml:space="preserve"> that</w:t>
      </w:r>
      <w:r w:rsidR="00A808DB">
        <w:rPr>
          <w:rStyle w:val="eop"/>
          <w:rFonts w:eastAsiaTheme="majorEastAsia"/>
          <w:color w:val="262626"/>
        </w:rPr>
        <w:t xml:space="preserve"> Uber and </w:t>
      </w:r>
      <w:r w:rsidR="00B646AD">
        <w:rPr>
          <w:rStyle w:val="eop"/>
          <w:rFonts w:eastAsiaTheme="majorEastAsia"/>
          <w:color w:val="262626"/>
        </w:rPr>
        <w:t>Uber</w:t>
      </w:r>
      <w:r w:rsidR="007D22AA">
        <w:rPr>
          <w:rStyle w:val="eop"/>
          <w:rFonts w:eastAsiaTheme="majorEastAsia"/>
          <w:color w:val="262626"/>
        </w:rPr>
        <w:t xml:space="preserve"> </w:t>
      </w:r>
      <w:r w:rsidR="00B646AD">
        <w:rPr>
          <w:rStyle w:val="eop"/>
          <w:rFonts w:eastAsiaTheme="majorEastAsia"/>
          <w:color w:val="262626"/>
        </w:rPr>
        <w:t>E</w:t>
      </w:r>
      <w:r w:rsidR="007D22AA">
        <w:rPr>
          <w:rStyle w:val="eop"/>
          <w:rFonts w:eastAsiaTheme="majorEastAsia"/>
          <w:color w:val="262626"/>
        </w:rPr>
        <w:t>ats</w:t>
      </w:r>
      <w:r w:rsidR="00A808DB">
        <w:rPr>
          <w:rStyle w:val="eop"/>
          <w:rFonts w:eastAsiaTheme="majorEastAsia"/>
          <w:color w:val="262626"/>
        </w:rPr>
        <w:t xml:space="preserve"> produced $6.6 billion in consumer surplus for Australians in 2021</w:t>
      </w:r>
      <w:r w:rsidR="00634A37">
        <w:rPr>
          <w:rStyle w:val="eop"/>
          <w:rFonts w:eastAsiaTheme="majorEastAsia"/>
          <w:color w:val="262626"/>
        </w:rPr>
        <w:t>.</w:t>
      </w:r>
      <w:r w:rsidR="00634A37">
        <w:rPr>
          <w:rStyle w:val="FootnoteReference"/>
          <w:rFonts w:eastAsiaTheme="majorEastAsia"/>
          <w:color w:val="262626"/>
        </w:rPr>
        <w:footnoteReference w:id="92"/>
      </w:r>
      <w:r w:rsidR="00C63E41">
        <w:rPr>
          <w:rStyle w:val="eop"/>
          <w:rFonts w:eastAsiaTheme="majorEastAsia"/>
          <w:color w:val="262626"/>
        </w:rPr>
        <w:t xml:space="preserve"> </w:t>
      </w:r>
    </w:p>
    <w:p w14:paraId="13F5DE93" w14:textId="1052A6E2" w:rsidR="00B00A2D" w:rsidRPr="00B00A2D" w:rsidRDefault="00B00A2D" w:rsidP="003401C3">
      <w:pPr>
        <w:rPr>
          <w:rStyle w:val="eop"/>
          <w:rFonts w:eastAsiaTheme="majorEastAsia"/>
          <w:color w:val="262626"/>
        </w:rPr>
      </w:pPr>
      <w:r w:rsidRPr="00B00A2D">
        <w:rPr>
          <w:rStyle w:val="eop"/>
          <w:rFonts w:eastAsiaTheme="majorEastAsia"/>
          <w:color w:val="262626"/>
        </w:rPr>
        <w:t>The Productivity Commission outlined the benefits of digital platforms to consumers in their latest productivity review.</w:t>
      </w:r>
      <w:r w:rsidRPr="00B00A2D">
        <w:rPr>
          <w:rStyle w:val="FootnoteReference"/>
          <w:rFonts w:eastAsiaTheme="majorEastAsia"/>
          <w:color w:val="262626"/>
        </w:rPr>
        <w:footnoteReference w:id="93"/>
      </w:r>
      <w:r w:rsidRPr="00B00A2D">
        <w:rPr>
          <w:rStyle w:val="eop"/>
          <w:rFonts w:eastAsiaTheme="majorEastAsia"/>
          <w:color w:val="262626"/>
        </w:rPr>
        <w:t xml:space="preserve"> These included improving consumer choice and providing better quality and variety of services (through increased competition in the sector). Digital platforms deliver better matching between suppliers and consumers through reducing transaction costs, simplifying search functions, intuitive algorithms, and real-time pricing, all of which </w:t>
      </w:r>
      <w:r w:rsidR="1D1CCE67" w:rsidRPr="6B473E83">
        <w:rPr>
          <w:rStyle w:val="eop"/>
          <w:rFonts w:eastAsiaTheme="majorEastAsia"/>
          <w:color w:val="262626" w:themeColor="text1" w:themeTint="D9"/>
        </w:rPr>
        <w:t xml:space="preserve">can </w:t>
      </w:r>
      <w:r w:rsidRPr="00B00A2D">
        <w:rPr>
          <w:rStyle w:val="eop"/>
          <w:rFonts w:eastAsiaTheme="majorEastAsia"/>
          <w:color w:val="262626"/>
        </w:rPr>
        <w:t xml:space="preserve">deliver a better experience for consumers. </w:t>
      </w:r>
    </w:p>
    <w:p w14:paraId="50D399E8" w14:textId="5DCE7AE9" w:rsidR="00106D65" w:rsidRPr="00CE3481" w:rsidRDefault="004F6E01" w:rsidP="00D50656">
      <w:pPr>
        <w:pStyle w:val="paragraph"/>
        <w:spacing w:before="120" w:after="120" w:line="276" w:lineRule="auto"/>
        <w:textAlignment w:val="baseline"/>
        <w:rPr>
          <w:rStyle w:val="eop"/>
          <w:rFonts w:asciiTheme="minorHAnsi" w:eastAsiaTheme="majorEastAsia" w:hAnsiTheme="minorHAnsi" w:cstheme="minorHAnsi"/>
          <w:color w:val="262626"/>
          <w:sz w:val="22"/>
          <w:szCs w:val="22"/>
        </w:rPr>
      </w:pPr>
      <w:r w:rsidRPr="00573634">
        <w:rPr>
          <w:rStyle w:val="normaltextrun"/>
          <w:rFonts w:asciiTheme="minorHAnsi" w:eastAsiaTheme="minorEastAsia" w:hAnsiTheme="minorHAnsi" w:cstheme="minorHAnsi"/>
          <w:sz w:val="22"/>
          <w:szCs w:val="22"/>
          <w:lang w:val="en-GB"/>
        </w:rPr>
        <w:t>NDIS participants and other clients of care-related services are a growing group of consumers in the digital platform economy.</w:t>
      </w:r>
      <w:r>
        <w:rPr>
          <w:rStyle w:val="normaltextrun"/>
          <w:rFonts w:eastAsiaTheme="minorEastAsia" w:cstheme="minorHAnsi"/>
          <w:lang w:val="en-GB"/>
        </w:rPr>
        <w:t xml:space="preserve"> </w:t>
      </w:r>
      <w:r w:rsidR="00B00A2D" w:rsidRPr="00F73C47">
        <w:rPr>
          <w:rStyle w:val="normaltextrun"/>
          <w:rFonts w:asciiTheme="minorHAnsi" w:eastAsiaTheme="minorEastAsia" w:hAnsiTheme="minorHAnsi" w:cstheme="minorHAnsi"/>
          <w:sz w:val="22"/>
          <w:szCs w:val="22"/>
          <w:lang w:val="en-GB"/>
        </w:rPr>
        <w:t>With regard to</w:t>
      </w:r>
      <w:r w:rsidR="00B00A2D" w:rsidRPr="00F73C47">
        <w:rPr>
          <w:rStyle w:val="eop"/>
          <w:rFonts w:asciiTheme="minorHAnsi" w:eastAsiaTheme="majorEastAsia" w:hAnsiTheme="minorHAnsi" w:cstheme="minorHAnsi"/>
          <w:color w:val="262626"/>
          <w:sz w:val="22"/>
          <w:szCs w:val="22"/>
        </w:rPr>
        <w:t xml:space="preserve"> the care sector, the Productivity Commission stated </w:t>
      </w:r>
      <w:r>
        <w:rPr>
          <w:rStyle w:val="eop"/>
          <w:rFonts w:asciiTheme="minorHAnsi" w:eastAsiaTheme="majorEastAsia" w:hAnsiTheme="minorHAnsi" w:cstheme="minorHAnsi"/>
          <w:i/>
          <w:color w:val="262626"/>
          <w:sz w:val="22"/>
          <w:szCs w:val="22"/>
        </w:rPr>
        <w:t>‘</w:t>
      </w:r>
      <w:r w:rsidR="00B00A2D" w:rsidRPr="00F73C47">
        <w:rPr>
          <w:rStyle w:val="eop"/>
          <w:rFonts w:asciiTheme="minorHAnsi" w:eastAsiaTheme="majorEastAsia" w:hAnsiTheme="minorHAnsi" w:cstheme="minorHAnsi"/>
          <w:i/>
          <w:color w:val="262626"/>
          <w:sz w:val="22"/>
          <w:szCs w:val="22"/>
        </w:rPr>
        <w:t>some digital platforms have underpinned greater consumer empowerment, improving the quality of service. In aged and disability care, platforms allow people to choose individual carers. This reduces people’s search costs in finding carers that meet their preferences and that understand their care requirements, without the need to re-familiarise with a new carer.</w:t>
      </w:r>
      <w:r>
        <w:rPr>
          <w:rStyle w:val="eop"/>
          <w:rFonts w:asciiTheme="minorHAnsi" w:eastAsiaTheme="majorEastAsia" w:hAnsiTheme="minorHAnsi" w:cstheme="minorHAnsi"/>
          <w:i/>
          <w:color w:val="262626"/>
          <w:sz w:val="22"/>
          <w:szCs w:val="22"/>
        </w:rPr>
        <w:t>’</w:t>
      </w:r>
      <w:r w:rsidR="00B00A2D" w:rsidRPr="00F73C47">
        <w:rPr>
          <w:rStyle w:val="FootnoteReference"/>
          <w:rFonts w:asciiTheme="minorHAnsi" w:eastAsiaTheme="majorEastAsia" w:hAnsiTheme="minorHAnsi" w:cstheme="minorHAnsi"/>
          <w:color w:val="262626"/>
          <w:sz w:val="22"/>
          <w:szCs w:val="22"/>
        </w:rPr>
        <w:footnoteReference w:id="94"/>
      </w:r>
      <w:r w:rsidR="00B00A2D" w:rsidRPr="00F73C47">
        <w:rPr>
          <w:rStyle w:val="eop"/>
          <w:rFonts w:asciiTheme="minorHAnsi" w:eastAsiaTheme="majorEastAsia" w:hAnsiTheme="minorHAnsi" w:cstheme="minorHAnsi"/>
          <w:color w:val="262626"/>
          <w:sz w:val="22"/>
          <w:szCs w:val="22"/>
        </w:rPr>
        <w:t xml:space="preserve"> </w:t>
      </w:r>
    </w:p>
    <w:p w14:paraId="6A891633" w14:textId="5B66BA7E" w:rsidR="00CF4BFE" w:rsidRPr="00CF365A" w:rsidRDefault="00EF555C" w:rsidP="00F60F5C">
      <w:pPr>
        <w:pStyle w:val="Heading3"/>
      </w:pPr>
      <w:bookmarkStart w:id="55" w:name="_Toc139295564"/>
      <w:r w:rsidRPr="00CF365A">
        <w:t>Government</w:t>
      </w:r>
      <w:bookmarkEnd w:id="55"/>
      <w:r w:rsidRPr="00CF365A">
        <w:t xml:space="preserve"> </w:t>
      </w:r>
    </w:p>
    <w:p w14:paraId="0DDAF828" w14:textId="1DCA3C7A" w:rsidR="00BC01DF" w:rsidRDefault="003026AF" w:rsidP="003401C3">
      <w:pPr>
        <w:rPr>
          <w:rStyle w:val="eop"/>
          <w:rFonts w:eastAsiaTheme="majorEastAsia"/>
          <w:color w:val="262626"/>
        </w:rPr>
      </w:pPr>
      <w:r>
        <w:rPr>
          <w:rStyle w:val="eop"/>
          <w:rFonts w:eastAsiaTheme="majorEastAsia"/>
          <w:color w:val="262626"/>
        </w:rPr>
        <w:t xml:space="preserve">The options </w:t>
      </w:r>
      <w:r w:rsidR="009F617B">
        <w:rPr>
          <w:rStyle w:val="eop"/>
          <w:rFonts w:eastAsiaTheme="majorEastAsia"/>
          <w:color w:val="262626"/>
        </w:rPr>
        <w:t>would have a direct impact on</w:t>
      </w:r>
      <w:r w:rsidR="00190D50">
        <w:rPr>
          <w:rStyle w:val="eop"/>
          <w:rFonts w:eastAsiaTheme="majorEastAsia"/>
          <w:color w:val="262626"/>
        </w:rPr>
        <w:t>:</w:t>
      </w:r>
    </w:p>
    <w:p w14:paraId="09B755C1" w14:textId="0699DC33" w:rsidR="00190D50" w:rsidRDefault="00190D50" w:rsidP="001D0925">
      <w:pPr>
        <w:pStyle w:val="ListParagraph"/>
        <w:numPr>
          <w:ilvl w:val="0"/>
          <w:numId w:val="87"/>
        </w:numPr>
        <w:spacing w:line="276" w:lineRule="auto"/>
        <w:ind w:left="714" w:hanging="357"/>
        <w:contextualSpacing w:val="0"/>
        <w:rPr>
          <w:rStyle w:val="eop"/>
          <w:rFonts w:eastAsiaTheme="majorEastAsia"/>
          <w:color w:val="262626"/>
        </w:rPr>
      </w:pPr>
      <w:r w:rsidRPr="00190D50">
        <w:rPr>
          <w:rStyle w:val="eop"/>
          <w:rFonts w:eastAsiaTheme="majorEastAsia"/>
          <w:color w:val="262626"/>
        </w:rPr>
        <w:t xml:space="preserve">The </w:t>
      </w:r>
      <w:r>
        <w:rPr>
          <w:rStyle w:val="eop"/>
          <w:rFonts w:eastAsiaTheme="majorEastAsia"/>
          <w:color w:val="262626"/>
        </w:rPr>
        <w:t>Fair Work Commission</w:t>
      </w:r>
      <w:r w:rsidR="00BF35D6">
        <w:rPr>
          <w:rStyle w:val="eop"/>
          <w:rFonts w:eastAsiaTheme="majorEastAsia"/>
          <w:color w:val="262626"/>
        </w:rPr>
        <w:t>, which will implement the new jurisdiction including by setting minimum standards and resolving unfair contracts disputes</w:t>
      </w:r>
      <w:r w:rsidR="001E2DAC">
        <w:rPr>
          <w:rStyle w:val="eop"/>
          <w:rFonts w:eastAsiaTheme="majorEastAsia"/>
          <w:color w:val="262626"/>
        </w:rPr>
        <w:t>; and</w:t>
      </w:r>
    </w:p>
    <w:p w14:paraId="13BF9813" w14:textId="25F1F32C" w:rsidR="00352822" w:rsidRDefault="001E2DAC" w:rsidP="001D0925">
      <w:pPr>
        <w:pStyle w:val="ListParagraph"/>
        <w:numPr>
          <w:ilvl w:val="0"/>
          <w:numId w:val="87"/>
        </w:numPr>
        <w:spacing w:line="276" w:lineRule="auto"/>
        <w:ind w:left="714" w:hanging="357"/>
        <w:contextualSpacing w:val="0"/>
        <w:rPr>
          <w:rStyle w:val="eop"/>
          <w:rFonts w:eastAsiaTheme="majorEastAsia"/>
          <w:color w:val="262626"/>
        </w:rPr>
      </w:pPr>
      <w:r w:rsidRPr="00352822">
        <w:rPr>
          <w:rStyle w:val="eop"/>
          <w:rFonts w:eastAsiaTheme="majorEastAsia"/>
          <w:color w:val="262626"/>
        </w:rPr>
        <w:t>The Fair Work Ombudsman</w:t>
      </w:r>
      <w:r w:rsidR="00BF35D6" w:rsidRPr="00352822">
        <w:rPr>
          <w:rStyle w:val="eop"/>
          <w:rFonts w:eastAsiaTheme="majorEastAsia"/>
          <w:color w:val="262626"/>
        </w:rPr>
        <w:t>, which will provide information and</w:t>
      </w:r>
      <w:r w:rsidR="00475F20" w:rsidRPr="00352822">
        <w:rPr>
          <w:rStyle w:val="eop"/>
          <w:rFonts w:eastAsiaTheme="majorEastAsia"/>
          <w:color w:val="262626"/>
        </w:rPr>
        <w:t xml:space="preserve"> advice on the changes</w:t>
      </w:r>
      <w:r w:rsidR="00AC175B">
        <w:rPr>
          <w:rStyle w:val="eop"/>
          <w:rFonts w:eastAsiaTheme="majorEastAsia"/>
          <w:color w:val="262626"/>
        </w:rPr>
        <w:t xml:space="preserve"> and enforce compliance with minimum standards orders</w:t>
      </w:r>
      <w:r w:rsidR="004F5166">
        <w:rPr>
          <w:rStyle w:val="eop"/>
          <w:rFonts w:eastAsiaTheme="majorEastAsia"/>
          <w:color w:val="262626"/>
        </w:rPr>
        <w:t>.</w:t>
      </w:r>
    </w:p>
    <w:p w14:paraId="1AF16972" w14:textId="6FA1FEE3" w:rsidR="00941BBD" w:rsidRDefault="00247D6D" w:rsidP="003401C3">
      <w:pPr>
        <w:rPr>
          <w:rStyle w:val="eop"/>
          <w:rFonts w:eastAsiaTheme="majorEastAsia"/>
          <w:color w:val="262626"/>
        </w:rPr>
      </w:pPr>
      <w:r w:rsidRPr="00352822">
        <w:rPr>
          <w:rStyle w:val="eop"/>
          <w:rFonts w:eastAsiaTheme="majorEastAsia"/>
          <w:color w:val="262626"/>
        </w:rPr>
        <w:t xml:space="preserve">Applying minimum standards to </w:t>
      </w:r>
      <w:r w:rsidR="00F271DA" w:rsidRPr="00352822">
        <w:rPr>
          <w:rStyle w:val="eop"/>
          <w:rFonts w:eastAsiaTheme="majorEastAsia"/>
          <w:color w:val="262626"/>
        </w:rPr>
        <w:t>digital platform workers providing aged care and NDIS support services could also have a further impact on the Government</w:t>
      </w:r>
      <w:r w:rsidR="00E871B2" w:rsidRPr="00352822">
        <w:rPr>
          <w:rStyle w:val="eop"/>
          <w:rFonts w:eastAsiaTheme="majorEastAsia"/>
          <w:color w:val="262626"/>
        </w:rPr>
        <w:t xml:space="preserve"> </w:t>
      </w:r>
      <w:r w:rsidR="00D2296C" w:rsidRPr="00352822">
        <w:rPr>
          <w:rStyle w:val="eop"/>
          <w:rFonts w:eastAsiaTheme="majorEastAsia"/>
          <w:color w:val="262626"/>
        </w:rPr>
        <w:t>funding arrangements for these sectors</w:t>
      </w:r>
      <w:r w:rsidR="00586284">
        <w:rPr>
          <w:rStyle w:val="eop"/>
          <w:rFonts w:eastAsiaTheme="majorEastAsia"/>
          <w:color w:val="262626"/>
        </w:rPr>
        <w:t>, depending on the final content of the minimum standard</w:t>
      </w:r>
      <w:r w:rsidR="00586284" w:rsidRPr="00352822">
        <w:rPr>
          <w:rStyle w:val="eop"/>
          <w:rFonts w:eastAsiaTheme="majorEastAsia"/>
          <w:color w:val="262626"/>
        </w:rPr>
        <w:t xml:space="preserve">.  </w:t>
      </w:r>
      <w:r w:rsidR="00D2296C" w:rsidRPr="00352822">
        <w:rPr>
          <w:rStyle w:val="eop"/>
          <w:rFonts w:eastAsiaTheme="majorEastAsia"/>
          <w:color w:val="262626"/>
        </w:rPr>
        <w:t xml:space="preserve"> </w:t>
      </w:r>
      <w:r w:rsidR="00AA76A1" w:rsidRPr="00352822">
        <w:rPr>
          <w:rStyle w:val="eop"/>
          <w:rFonts w:eastAsiaTheme="majorEastAsia"/>
          <w:color w:val="262626"/>
        </w:rPr>
        <w:t xml:space="preserve"> </w:t>
      </w:r>
    </w:p>
    <w:p w14:paraId="2B6487F6" w14:textId="1C2AC61C" w:rsidR="00AB3840" w:rsidRDefault="00AA7D56" w:rsidP="00301452">
      <w:pPr>
        <w:pStyle w:val="Heading2"/>
      </w:pPr>
      <w:bookmarkStart w:id="56" w:name="_Toc139295565"/>
      <w:r>
        <w:t xml:space="preserve">Minimum </w:t>
      </w:r>
      <w:r w:rsidRPr="00301452">
        <w:t>standards</w:t>
      </w:r>
      <w:bookmarkEnd w:id="56"/>
      <w:r>
        <w:t xml:space="preserve"> </w:t>
      </w:r>
    </w:p>
    <w:p w14:paraId="2D6A78EE" w14:textId="35B75AC5" w:rsidR="00510106" w:rsidRPr="004D477F" w:rsidRDefault="00B455C0" w:rsidP="00F60F5C">
      <w:pPr>
        <w:pStyle w:val="Heading3"/>
      </w:pPr>
      <w:bookmarkStart w:id="57" w:name="_Toc139295566"/>
      <w:r w:rsidRPr="004D477F">
        <w:t>S</w:t>
      </w:r>
      <w:r w:rsidR="00510106" w:rsidRPr="004D477F">
        <w:t xml:space="preserve">cenarios for </w:t>
      </w:r>
      <w:r w:rsidR="00D6121E">
        <w:t xml:space="preserve">estimating </w:t>
      </w:r>
      <w:r w:rsidR="00F931A5">
        <w:t>net benefits</w:t>
      </w:r>
      <w:bookmarkEnd w:id="57"/>
      <w:r w:rsidR="00285633">
        <w:t xml:space="preserve"> </w:t>
      </w:r>
      <w:r w:rsidR="00510106" w:rsidRPr="004D477F">
        <w:t xml:space="preserve"> </w:t>
      </w:r>
    </w:p>
    <w:p w14:paraId="7796A083" w14:textId="3FBEC024" w:rsidR="00BC3133" w:rsidRPr="009F34D0" w:rsidRDefault="000E1818" w:rsidP="00BC3133">
      <w:r>
        <w:t xml:space="preserve">The </w:t>
      </w:r>
      <w:r w:rsidR="001825A8">
        <w:t xml:space="preserve">options to introduce minimum standards </w:t>
      </w:r>
      <w:r w:rsidR="00AB06CC">
        <w:t>for certain cohorts of independent contractors would require</w:t>
      </w:r>
      <w:r w:rsidR="00EC080F">
        <w:t xml:space="preserve"> the Fair Work Commission to i) determine the cohort that a</w:t>
      </w:r>
      <w:r w:rsidR="003E718B">
        <w:t xml:space="preserve">n order setting minimum standards </w:t>
      </w:r>
      <w:r w:rsidR="001F3BDC">
        <w:t xml:space="preserve">will </w:t>
      </w:r>
      <w:r w:rsidR="003E718B" w:rsidRPr="004B4F63">
        <w:rPr>
          <w:rStyle w:val="normaltextrun"/>
          <w:rFonts w:eastAsiaTheme="minorEastAsia"/>
          <w:lang w:val="en-GB"/>
        </w:rPr>
        <w:t>apply</w:t>
      </w:r>
      <w:r w:rsidR="003E718B">
        <w:t xml:space="preserve"> to, and ii) the </w:t>
      </w:r>
      <w:r w:rsidR="00383357">
        <w:t xml:space="preserve">content of any minimum standards, including pay rates. </w:t>
      </w:r>
      <w:r w:rsidR="00BC3133">
        <w:t xml:space="preserve">The </w:t>
      </w:r>
      <w:r w:rsidR="00B60A78">
        <w:t>net</w:t>
      </w:r>
      <w:r w:rsidR="00BC3133">
        <w:t xml:space="preserve"> impact </w:t>
      </w:r>
      <w:r w:rsidR="00B60A78" w:rsidRPr="003401C3">
        <w:rPr>
          <w:rStyle w:val="normaltextrun"/>
          <w:rFonts w:eastAsiaTheme="minorEastAsia"/>
          <w:lang w:val="en-GB"/>
        </w:rPr>
        <w:t>therefore</w:t>
      </w:r>
      <w:r w:rsidR="00B60A78">
        <w:t xml:space="preserve"> </w:t>
      </w:r>
      <w:r w:rsidR="00BC3133">
        <w:t xml:space="preserve">would depend on a decision of the independent Fair Work Commission, guided by </w:t>
      </w:r>
      <w:r w:rsidR="00B60A78">
        <w:t>factors</w:t>
      </w:r>
      <w:r w:rsidR="00BC3133">
        <w:t xml:space="preserve"> set in legislation. This is likely to be a highly complex and detailed process, and include a consideration of actual pay rates, costs incurred by workers</w:t>
      </w:r>
      <w:r w:rsidR="000175DC">
        <w:t>, the views of the parties</w:t>
      </w:r>
      <w:r w:rsidR="00BC3133">
        <w:t xml:space="preserve"> and other relevant economic considerations. </w:t>
      </w:r>
    </w:p>
    <w:p w14:paraId="136E7997" w14:textId="5BF66B0F" w:rsidR="009C4C17" w:rsidRDefault="000175DC" w:rsidP="009C4C17">
      <w:r>
        <w:t xml:space="preserve">Therefore, the department has </w:t>
      </w:r>
      <w:r w:rsidR="004E0497">
        <w:t>assessed</w:t>
      </w:r>
      <w:r>
        <w:t xml:space="preserve"> </w:t>
      </w:r>
      <w:r w:rsidR="00736BD3">
        <w:t xml:space="preserve">the impact that would occur under </w:t>
      </w:r>
      <w:r w:rsidR="004E0497">
        <w:t xml:space="preserve">scenarios detailed under each option. The department chose </w:t>
      </w:r>
      <w:r w:rsidR="006D690F">
        <w:t xml:space="preserve">likely </w:t>
      </w:r>
      <w:r w:rsidR="004E0497">
        <w:t xml:space="preserve">scenarios based on key areas </w:t>
      </w:r>
      <w:r w:rsidR="00441930">
        <w:t>of concern raised during consultation</w:t>
      </w:r>
      <w:r w:rsidR="00A613FF">
        <w:t xml:space="preserve">, while noting that impacts may be felt in sectors outside of these scenarios. </w:t>
      </w:r>
      <w:r w:rsidR="009C4C17">
        <w:br w:type="page"/>
      </w:r>
    </w:p>
    <w:p w14:paraId="542C3110" w14:textId="2DB45711" w:rsidR="00061DF5" w:rsidRDefault="00E57120" w:rsidP="00E3100C">
      <w:pPr>
        <w:pStyle w:val="Heading4"/>
      </w:pPr>
      <w:r>
        <w:rPr>
          <w:noProof/>
          <w:lang w:eastAsia="en-AU"/>
        </w:rPr>
        <mc:AlternateContent>
          <mc:Choice Requires="wps">
            <w:drawing>
              <wp:anchor distT="45720" distB="45720" distL="114300" distR="114300" simplePos="0" relativeHeight="251658242" behindDoc="0" locked="0" layoutInCell="1" allowOverlap="1" wp14:anchorId="23FF1012" wp14:editId="0613C9FF">
                <wp:simplePos x="0" y="0"/>
                <wp:positionH relativeFrom="margin">
                  <wp:posOffset>-26035</wp:posOffset>
                </wp:positionH>
                <wp:positionV relativeFrom="paragraph">
                  <wp:posOffset>483070</wp:posOffset>
                </wp:positionV>
                <wp:extent cx="5777230" cy="4317365"/>
                <wp:effectExtent l="0" t="0" r="0" b="698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317365"/>
                        </a:xfrm>
                        <a:prstGeom prst="rect">
                          <a:avLst/>
                        </a:prstGeom>
                        <a:solidFill>
                          <a:srgbClr val="789B4A">
                            <a:alpha val="30196"/>
                          </a:srgbClr>
                        </a:solidFill>
                        <a:ln w="9525">
                          <a:noFill/>
                          <a:miter lim="800000"/>
                          <a:headEnd/>
                          <a:tailEnd/>
                        </a:ln>
                      </wps:spPr>
                      <wps:txbx>
                        <w:txbxContent>
                          <w:p w14:paraId="64547724" w14:textId="77777777" w:rsidR="00E3100C" w:rsidRPr="00E3100C" w:rsidRDefault="00E3100C" w:rsidP="00E3100C">
                            <w:pPr>
                              <w:rPr>
                                <w:b/>
                                <w:bCs/>
                              </w:rPr>
                            </w:pPr>
                            <w:r w:rsidRPr="00E3100C">
                              <w:rPr>
                                <w:b/>
                                <w:bCs/>
                              </w:rPr>
                              <w:t>Scenario 1 – Rideshare and food (and other goods) delivery workers</w:t>
                            </w:r>
                          </w:p>
                          <w:p w14:paraId="176B8AC7" w14:textId="15494047" w:rsidR="0011473C" w:rsidRPr="00573634" w:rsidRDefault="00E3100C" w:rsidP="0011473C">
                            <w:pPr>
                              <w:rPr>
                                <w:sz w:val="20"/>
                                <w:szCs w:val="20"/>
                              </w:rPr>
                            </w:pPr>
                            <w:r w:rsidRPr="00573634">
                              <w:rPr>
                                <w:b/>
                                <w:bCs/>
                                <w:i/>
                                <w:iCs/>
                                <w:sz w:val="20"/>
                                <w:szCs w:val="20"/>
                              </w:rPr>
                              <w:t xml:space="preserve">Estimated cohort size – </w:t>
                            </w:r>
                            <w:r w:rsidR="007D1442" w:rsidRPr="00573634">
                              <w:rPr>
                                <w:b/>
                                <w:bCs/>
                                <w:i/>
                                <w:iCs/>
                                <w:sz w:val="20"/>
                                <w:szCs w:val="20"/>
                              </w:rPr>
                              <w:t>150,000</w:t>
                            </w:r>
                            <w:r w:rsidR="007D1442">
                              <w:rPr>
                                <w:i/>
                                <w:iCs/>
                              </w:rPr>
                              <w:br/>
                            </w:r>
                            <w:r w:rsidR="0011473C" w:rsidRPr="00573634">
                              <w:rPr>
                                <w:sz w:val="20"/>
                                <w:szCs w:val="20"/>
                              </w:rPr>
                              <w:t>This group consists of workers performing rideshare, taxi services, food delivery, or other good</w:t>
                            </w:r>
                            <w:r w:rsidR="00F41AA7" w:rsidRPr="00573634">
                              <w:rPr>
                                <w:sz w:val="20"/>
                                <w:szCs w:val="20"/>
                              </w:rPr>
                              <w:t>s</w:t>
                            </w:r>
                            <w:r w:rsidR="0011473C" w:rsidRPr="00573634">
                              <w:rPr>
                                <w:sz w:val="20"/>
                                <w:szCs w:val="20"/>
                              </w:rPr>
                              <w:t xml:space="preserve"> delivery via digital platforms. Examples of platforms in this space include Uber, Uber Eats, Ola Cabs, Taxify, and Sherpa. During consultation, digital platforms engaging transport and food delivery workers, unions, state and territory governments, academics and others identified this group as a key cohort requiring minimum standards.</w:t>
                            </w:r>
                          </w:p>
                          <w:p w14:paraId="13B7C0F3" w14:textId="77777777" w:rsidR="00E3100C" w:rsidRPr="00573634" w:rsidRDefault="007D1442" w:rsidP="00E3100C">
                            <w:pPr>
                              <w:rPr>
                                <w:iCs/>
                                <w:sz w:val="20"/>
                                <w:szCs w:val="20"/>
                              </w:rPr>
                            </w:pPr>
                            <w:r w:rsidRPr="00573634">
                              <w:rPr>
                                <w:iCs/>
                                <w:sz w:val="20"/>
                                <w:szCs w:val="20"/>
                              </w:rPr>
                              <w:t>The Victorian Government survey identified that</w:t>
                            </w:r>
                            <w:r w:rsidR="000A2F37" w:rsidRPr="00573634">
                              <w:rPr>
                                <w:iCs/>
                                <w:sz w:val="20"/>
                                <w:szCs w:val="20"/>
                              </w:rPr>
                              <w:t xml:space="preserve"> </w:t>
                            </w:r>
                            <w:r w:rsidR="001B47B6" w:rsidRPr="00573634">
                              <w:rPr>
                                <w:iCs/>
                                <w:sz w:val="20"/>
                                <w:szCs w:val="20"/>
                              </w:rPr>
                              <w:t>‘</w:t>
                            </w:r>
                            <w:r w:rsidR="000A2F37" w:rsidRPr="00573634">
                              <w:rPr>
                                <w:iCs/>
                                <w:sz w:val="20"/>
                                <w:szCs w:val="20"/>
                              </w:rPr>
                              <w:t xml:space="preserve">transport and </w:t>
                            </w:r>
                            <w:r w:rsidR="001B47B6" w:rsidRPr="00573634">
                              <w:rPr>
                                <w:iCs/>
                                <w:sz w:val="20"/>
                                <w:szCs w:val="20"/>
                              </w:rPr>
                              <w:t>food delivery’ workers make up</w:t>
                            </w:r>
                            <w:r w:rsidRPr="00573634">
                              <w:rPr>
                                <w:iCs/>
                                <w:sz w:val="20"/>
                                <w:szCs w:val="20"/>
                              </w:rPr>
                              <w:t xml:space="preserve"> </w:t>
                            </w:r>
                            <w:r w:rsidR="00E3100C" w:rsidRPr="00573634">
                              <w:rPr>
                                <w:iCs/>
                                <w:sz w:val="20"/>
                                <w:szCs w:val="20"/>
                              </w:rPr>
                              <w:t>18.6 per cent</w:t>
                            </w:r>
                            <w:r w:rsidRPr="00573634">
                              <w:rPr>
                                <w:iCs/>
                                <w:sz w:val="20"/>
                                <w:szCs w:val="20"/>
                              </w:rPr>
                              <w:t xml:space="preserve"> (or 121,300 workers)</w:t>
                            </w:r>
                            <w:r w:rsidR="00E3100C" w:rsidRPr="00573634">
                              <w:rPr>
                                <w:iCs/>
                                <w:sz w:val="20"/>
                                <w:szCs w:val="20"/>
                              </w:rPr>
                              <w:t xml:space="preserve"> of all digital platform workers (department estimates based on the Victorian Government Inquiry)</w:t>
                            </w:r>
                            <w:r w:rsidRPr="00573634">
                              <w:rPr>
                                <w:iCs/>
                                <w:sz w:val="20"/>
                                <w:szCs w:val="20"/>
                              </w:rPr>
                              <w:t>.</w:t>
                            </w:r>
                            <w:r w:rsidR="00DE6CE4" w:rsidRPr="00573634">
                              <w:rPr>
                                <w:iCs/>
                                <w:sz w:val="20"/>
                                <w:szCs w:val="20"/>
                              </w:rPr>
                              <w:t xml:space="preserve"> However, Uber has recently identified that it engages 150,000</w:t>
                            </w:r>
                            <w:r w:rsidR="00FF4F8C" w:rsidRPr="00573634">
                              <w:rPr>
                                <w:iCs/>
                                <w:sz w:val="20"/>
                                <w:szCs w:val="20"/>
                              </w:rPr>
                              <w:t>*</w:t>
                            </w:r>
                            <w:r w:rsidR="00DE6CE4" w:rsidRPr="00573634">
                              <w:rPr>
                                <w:iCs/>
                                <w:sz w:val="20"/>
                                <w:szCs w:val="20"/>
                              </w:rPr>
                              <w:t xml:space="preserve"> rideshare and food delivery workers, who work at least once a month.</w:t>
                            </w:r>
                          </w:p>
                          <w:p w14:paraId="00B47008" w14:textId="40152308" w:rsidR="004B6CBE" w:rsidRPr="00573634" w:rsidRDefault="0011473C" w:rsidP="00F1344B">
                            <w:pPr>
                              <w:pStyle w:val="FootnoteText"/>
                              <w:rPr>
                                <w:sz w:val="18"/>
                                <w:szCs w:val="18"/>
                              </w:rPr>
                            </w:pPr>
                            <w:r w:rsidRPr="00573634">
                              <w:rPr>
                                <w:iCs/>
                                <w:color w:val="auto"/>
                              </w:rPr>
                              <w:t>We have therefore used the 150,000 estimate for the number of food delivery drivers and rideshare. While Uber is not the only digital platform in transport and food delivery, it is the largest (with 22.7 per cent of digital platform workers performing work via Uber, compared with 8.2 per cent working via Deliveroo, and 7.2 per cent working via Ola</w:t>
                            </w:r>
                            <w:r w:rsidR="000C2545" w:rsidRPr="00573634">
                              <w:rPr>
                                <w:iCs/>
                                <w:color w:val="auto"/>
                              </w:rPr>
                              <w:t xml:space="preserve"> at the time of the Victorian National Survey</w:t>
                            </w:r>
                            <w:r w:rsidRPr="00573634">
                              <w:rPr>
                                <w:iCs/>
                                <w:color w:val="auto"/>
                              </w:rPr>
                              <w:t>). Additionally, transport and food delivery workers had a high likelihood of working on three platforms, or four or more platforms, so it is likely that there is significant overlap between those workers who work for Uber and who work for other similar platforms e.g.</w:t>
                            </w:r>
                            <w:r w:rsidR="00E57120">
                              <w:rPr>
                                <w:iCs/>
                                <w:color w:val="auto"/>
                              </w:rPr>
                              <w:t xml:space="preserve"> DoorDash,</w:t>
                            </w:r>
                            <w:r w:rsidRPr="00573634">
                              <w:rPr>
                                <w:iCs/>
                                <w:color w:val="auto"/>
                              </w:rPr>
                              <w:t xml:space="preserve"> Ola, Didi.</w:t>
                            </w:r>
                            <w:r w:rsidR="00F1344B" w:rsidRPr="00573634">
                              <w:rPr>
                                <w:iCs/>
                                <w:color w:val="auto"/>
                              </w:rPr>
                              <w:t>*</w:t>
                            </w:r>
                            <w:r w:rsidR="00DF5144" w:rsidRPr="00573634">
                              <w:rPr>
                                <w:iCs/>
                                <w:color w:val="auto"/>
                              </w:rPr>
                              <w:t>*</w:t>
                            </w:r>
                            <w:r w:rsidR="00F1344B" w:rsidRPr="00573634">
                              <w:rPr>
                                <w:sz w:val="18"/>
                                <w:szCs w:val="18"/>
                              </w:rPr>
                              <w:t xml:space="preserve"> </w:t>
                            </w:r>
                          </w:p>
                          <w:p w14:paraId="0B71D6CA" w14:textId="72B40F1B" w:rsidR="00F1344B" w:rsidRDefault="00FF4F8C" w:rsidP="00F1344B">
                            <w:pPr>
                              <w:pStyle w:val="FootnoteText"/>
                            </w:pPr>
                            <w:r>
                              <w:br/>
                            </w:r>
                            <w:r w:rsidRPr="00F9171A">
                              <w:rPr>
                                <w:sz w:val="18"/>
                                <w:szCs w:val="18"/>
                              </w:rPr>
                              <w:t xml:space="preserve">* Uber, 'Elevating the voices of 150,000 Australian gig workers’, March 2023, </w:t>
                            </w:r>
                            <w:hyperlink r:id="rId24" w:history="1">
                              <w:r w:rsidRPr="00F9171A">
                                <w:rPr>
                                  <w:rStyle w:val="Hyperlink"/>
                                  <w:sz w:val="18"/>
                                  <w:szCs w:val="18"/>
                                </w:rPr>
                                <w:t>https://www.uber.com/en-AU/newsroom/flexibility-works/</w:t>
                              </w:r>
                            </w:hyperlink>
                            <w:r w:rsidRPr="00F9171A">
                              <w:rPr>
                                <w:sz w:val="18"/>
                                <w:szCs w:val="18"/>
                              </w:rPr>
                              <w:t>, [accessed 26 June 2023].</w:t>
                            </w:r>
                            <w:r w:rsidR="00F1344B">
                              <w:rPr>
                                <w:sz w:val="18"/>
                                <w:szCs w:val="18"/>
                              </w:rPr>
                              <w:br/>
                            </w:r>
                            <w:r w:rsidR="00784C60" w:rsidRPr="00573634">
                              <w:rPr>
                                <w:sz w:val="16"/>
                                <w:szCs w:val="16"/>
                              </w:rPr>
                              <w:t>*</w:t>
                            </w:r>
                            <w:r w:rsidR="00F1344B" w:rsidRPr="00573634">
                              <w:rPr>
                                <w:sz w:val="16"/>
                                <w:szCs w:val="16"/>
                              </w:rPr>
                              <w:t xml:space="preserve">* </w:t>
                            </w:r>
                            <w:r w:rsidR="00F1344B" w:rsidRPr="00573634">
                              <w:rPr>
                                <w:sz w:val="18"/>
                                <w:szCs w:val="18"/>
                              </w:rPr>
                              <w:t>McDonald, P. et al., ‘Digital Platform Work in Australia: Prevalence, Nature and Impact (Digital platform work in Australia)’, commissioned by the Victorian Department of Premier and Cabinet, 2019, p.</w:t>
                            </w:r>
                            <w:r w:rsidR="00A255DF" w:rsidRPr="00573634">
                              <w:rPr>
                                <w:sz w:val="18"/>
                                <w:szCs w:val="18"/>
                              </w:rPr>
                              <w:t xml:space="preserve"> 15,</w:t>
                            </w:r>
                            <w:r w:rsidR="00F1344B" w:rsidRPr="00573634">
                              <w:rPr>
                                <w:sz w:val="18"/>
                                <w:szCs w:val="18"/>
                              </w:rPr>
                              <w:t xml:space="preserve"> 18.</w:t>
                            </w:r>
                          </w:p>
                          <w:p w14:paraId="2949B2D0" w14:textId="77777777" w:rsidR="00E3100C" w:rsidRPr="00B9713B" w:rsidRDefault="00E3100C" w:rsidP="00E310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F1012" id="Text Box 7" o:spid="_x0000_s1027" type="#_x0000_t202" style="position:absolute;margin-left:-2.05pt;margin-top:38.05pt;width:454.9pt;height:339.9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" fillcolor="#789b4a" stroked="f">
                <v:fill opacity="19789f"/>
                <v:textbox>
                  <w:txbxContent>
                    <w:p w14:paraId="64547724" w14:textId="77777777" w:rsidR="00E3100C" w:rsidRPr="00E3100C" w:rsidRDefault="00E3100C" w:rsidP="00E3100C">
                      <w:pPr>
                        <w:rPr>
                          <w:b/>
                          <w:bCs/>
                        </w:rPr>
                      </w:pPr>
                      <w:r w:rsidRPr="00E3100C">
                        <w:rPr>
                          <w:b/>
                          <w:bCs/>
                        </w:rPr>
                        <w:t>Scenario 1 – Rideshare and food (and other goods) delivery workers</w:t>
                      </w:r>
                    </w:p>
                    <w:p w14:paraId="176B8AC7" w14:textId="15494047" w:rsidR="0011473C" w:rsidRPr="00573634" w:rsidRDefault="00E3100C" w:rsidP="0011473C">
                      <w:pPr>
                        <w:rPr>
                          <w:sz w:val="20"/>
                          <w:szCs w:val="20"/>
                        </w:rPr>
                      </w:pPr>
                      <w:r w:rsidRPr="00573634">
                        <w:rPr>
                          <w:b/>
                          <w:bCs/>
                          <w:i/>
                          <w:iCs/>
                          <w:sz w:val="20"/>
                          <w:szCs w:val="20"/>
                        </w:rPr>
                        <w:t xml:space="preserve">Estimated cohort size – </w:t>
                      </w:r>
                      <w:r w:rsidR="007D1442" w:rsidRPr="00573634">
                        <w:rPr>
                          <w:b/>
                          <w:bCs/>
                          <w:i/>
                          <w:iCs/>
                          <w:sz w:val="20"/>
                          <w:szCs w:val="20"/>
                        </w:rPr>
                        <w:t>150,000</w:t>
                      </w:r>
                      <w:r w:rsidR="007D1442">
                        <w:rPr>
                          <w:i/>
                          <w:iCs/>
                        </w:rPr>
                        <w:br/>
                      </w:r>
                      <w:r w:rsidR="0011473C" w:rsidRPr="00573634">
                        <w:rPr>
                          <w:sz w:val="20"/>
                          <w:szCs w:val="20"/>
                        </w:rPr>
                        <w:t>This group consists of workers performing rideshare, taxi services, food delivery, or other good</w:t>
                      </w:r>
                      <w:r w:rsidR="00F41AA7" w:rsidRPr="00573634">
                        <w:rPr>
                          <w:sz w:val="20"/>
                          <w:szCs w:val="20"/>
                        </w:rPr>
                        <w:t>s</w:t>
                      </w:r>
                      <w:r w:rsidR="0011473C" w:rsidRPr="00573634">
                        <w:rPr>
                          <w:sz w:val="20"/>
                          <w:szCs w:val="20"/>
                        </w:rPr>
                        <w:t xml:space="preserve"> delivery via digital platforms. Examples of platforms in this space include Uber, Uber Eats, Ola Cabs, Taxify, and Sherpa. During consultation, digital platforms engaging transport and food delivery workers, unions, state and territory governments, academics and others identified this group as a key cohort requiring minimum standards.</w:t>
                      </w:r>
                    </w:p>
                    <w:p w14:paraId="13B7C0F3" w14:textId="77777777" w:rsidR="00E3100C" w:rsidRPr="00573634" w:rsidRDefault="007D1442" w:rsidP="00E3100C">
                      <w:pPr>
                        <w:rPr>
                          <w:iCs/>
                          <w:sz w:val="20"/>
                          <w:szCs w:val="20"/>
                        </w:rPr>
                      </w:pPr>
                      <w:r w:rsidRPr="00573634">
                        <w:rPr>
                          <w:iCs/>
                          <w:sz w:val="20"/>
                          <w:szCs w:val="20"/>
                        </w:rPr>
                        <w:t>The Victorian Government survey identified that</w:t>
                      </w:r>
                      <w:r w:rsidR="000A2F37" w:rsidRPr="00573634">
                        <w:rPr>
                          <w:iCs/>
                          <w:sz w:val="20"/>
                          <w:szCs w:val="20"/>
                        </w:rPr>
                        <w:t xml:space="preserve"> </w:t>
                      </w:r>
                      <w:r w:rsidR="001B47B6" w:rsidRPr="00573634">
                        <w:rPr>
                          <w:iCs/>
                          <w:sz w:val="20"/>
                          <w:szCs w:val="20"/>
                        </w:rPr>
                        <w:t>‘</w:t>
                      </w:r>
                      <w:r w:rsidR="000A2F37" w:rsidRPr="00573634">
                        <w:rPr>
                          <w:iCs/>
                          <w:sz w:val="20"/>
                          <w:szCs w:val="20"/>
                        </w:rPr>
                        <w:t xml:space="preserve">transport and </w:t>
                      </w:r>
                      <w:r w:rsidR="001B47B6" w:rsidRPr="00573634">
                        <w:rPr>
                          <w:iCs/>
                          <w:sz w:val="20"/>
                          <w:szCs w:val="20"/>
                        </w:rPr>
                        <w:t>food delivery’ workers make up</w:t>
                      </w:r>
                      <w:r w:rsidRPr="00573634">
                        <w:rPr>
                          <w:iCs/>
                          <w:sz w:val="20"/>
                          <w:szCs w:val="20"/>
                        </w:rPr>
                        <w:t xml:space="preserve"> </w:t>
                      </w:r>
                      <w:r w:rsidR="00E3100C" w:rsidRPr="00573634">
                        <w:rPr>
                          <w:iCs/>
                          <w:sz w:val="20"/>
                          <w:szCs w:val="20"/>
                        </w:rPr>
                        <w:t>18.6 per cent</w:t>
                      </w:r>
                      <w:r w:rsidRPr="00573634">
                        <w:rPr>
                          <w:iCs/>
                          <w:sz w:val="20"/>
                          <w:szCs w:val="20"/>
                        </w:rPr>
                        <w:t xml:space="preserve"> (or 121,300 workers)</w:t>
                      </w:r>
                      <w:r w:rsidR="00E3100C" w:rsidRPr="00573634">
                        <w:rPr>
                          <w:iCs/>
                          <w:sz w:val="20"/>
                          <w:szCs w:val="20"/>
                        </w:rPr>
                        <w:t xml:space="preserve"> of all digital platform workers (department estimates based on the Victorian Government Inquiry)</w:t>
                      </w:r>
                      <w:r w:rsidRPr="00573634">
                        <w:rPr>
                          <w:iCs/>
                          <w:sz w:val="20"/>
                          <w:szCs w:val="20"/>
                        </w:rPr>
                        <w:t>.</w:t>
                      </w:r>
                      <w:r w:rsidR="00DE6CE4" w:rsidRPr="00573634">
                        <w:rPr>
                          <w:iCs/>
                          <w:sz w:val="20"/>
                          <w:szCs w:val="20"/>
                        </w:rPr>
                        <w:t xml:space="preserve"> However, Uber has recently identified that it engages 150,000</w:t>
                      </w:r>
                      <w:r w:rsidR="00FF4F8C" w:rsidRPr="00573634">
                        <w:rPr>
                          <w:iCs/>
                          <w:sz w:val="20"/>
                          <w:szCs w:val="20"/>
                        </w:rPr>
                        <w:t>*</w:t>
                      </w:r>
                      <w:r w:rsidR="00DE6CE4" w:rsidRPr="00573634">
                        <w:rPr>
                          <w:iCs/>
                          <w:sz w:val="20"/>
                          <w:szCs w:val="20"/>
                        </w:rPr>
                        <w:t xml:space="preserve"> rideshare and food delivery workers, who work at least once a month.</w:t>
                      </w:r>
                    </w:p>
                    <w:p w14:paraId="00B47008" w14:textId="40152308" w:rsidR="004B6CBE" w:rsidRPr="00573634" w:rsidRDefault="0011473C" w:rsidP="00F1344B">
                      <w:pPr>
                        <w:pStyle w:val="FootnoteText"/>
                        <w:rPr>
                          <w:sz w:val="18"/>
                          <w:szCs w:val="18"/>
                        </w:rPr>
                      </w:pPr>
                      <w:r w:rsidRPr="00573634">
                        <w:rPr>
                          <w:iCs/>
                          <w:color w:val="auto"/>
                        </w:rPr>
                        <w:t>We have therefore used the 150,000 estimate for the number of food delivery drivers and rideshare. While Uber is not the only digital platform in transport and food delivery, it is the largest (with 22.7 per cent of digital platform workers performing work via Uber, compared with 8.2 per cent working via Deliveroo, and 7.2 per cent working via Ola</w:t>
                      </w:r>
                      <w:r w:rsidR="000C2545" w:rsidRPr="00573634">
                        <w:rPr>
                          <w:iCs/>
                          <w:color w:val="auto"/>
                        </w:rPr>
                        <w:t xml:space="preserve"> at the time of the Victorian National Survey</w:t>
                      </w:r>
                      <w:r w:rsidRPr="00573634">
                        <w:rPr>
                          <w:iCs/>
                          <w:color w:val="auto"/>
                        </w:rPr>
                        <w:t>). Additionally, transport and food delivery workers had a high likelihood of working on three platforms, or four or more platforms, so it is likely that there is significant overlap between those workers who work for Uber and who work for other similar platforms e.g.</w:t>
                      </w:r>
                      <w:r w:rsidR="00E57120">
                        <w:rPr>
                          <w:iCs/>
                          <w:color w:val="auto"/>
                        </w:rPr>
                        <w:t xml:space="preserve"> DoorDash,</w:t>
                      </w:r>
                      <w:r w:rsidRPr="00573634">
                        <w:rPr>
                          <w:iCs/>
                          <w:color w:val="auto"/>
                        </w:rPr>
                        <w:t xml:space="preserve"> Ola, Didi.</w:t>
                      </w:r>
                      <w:r w:rsidR="00F1344B" w:rsidRPr="00573634">
                        <w:rPr>
                          <w:iCs/>
                          <w:color w:val="auto"/>
                        </w:rPr>
                        <w:t>*</w:t>
                      </w:r>
                      <w:r w:rsidR="00DF5144" w:rsidRPr="00573634">
                        <w:rPr>
                          <w:iCs/>
                          <w:color w:val="auto"/>
                        </w:rPr>
                        <w:t>*</w:t>
                      </w:r>
                      <w:r w:rsidR="00F1344B" w:rsidRPr="00573634">
                        <w:rPr>
                          <w:sz w:val="18"/>
                          <w:szCs w:val="18"/>
                        </w:rPr>
                        <w:t xml:space="preserve"> </w:t>
                      </w:r>
                    </w:p>
                    <w:p w14:paraId="0B71D6CA" w14:textId="72B40F1B" w:rsidR="00F1344B" w:rsidRDefault="00FF4F8C" w:rsidP="00F1344B">
                      <w:pPr>
                        <w:pStyle w:val="FootnoteText"/>
                      </w:pPr>
                      <w:r>
                        <w:br/>
                      </w:r>
                      <w:r w:rsidRPr="00F9171A">
                        <w:rPr>
                          <w:sz w:val="18"/>
                          <w:szCs w:val="18"/>
                        </w:rPr>
                        <w:t xml:space="preserve">* Uber, 'Elevating the voices of 150,000 Australian gig workers’, March 2023, </w:t>
                      </w:r>
                      <w:hyperlink r:id="rId25" w:history="1">
                        <w:r w:rsidRPr="00F9171A">
                          <w:rPr>
                            <w:rStyle w:val="Hyperlink"/>
                            <w:sz w:val="18"/>
                            <w:szCs w:val="18"/>
                          </w:rPr>
                          <w:t>https://www.uber.com/en-AU/newsroom/flexibility-works/</w:t>
                        </w:r>
                      </w:hyperlink>
                      <w:r w:rsidRPr="00F9171A">
                        <w:rPr>
                          <w:sz w:val="18"/>
                          <w:szCs w:val="18"/>
                        </w:rPr>
                        <w:t>, [accessed 26 June 2023].</w:t>
                      </w:r>
                      <w:r w:rsidR="00F1344B">
                        <w:rPr>
                          <w:sz w:val="18"/>
                          <w:szCs w:val="18"/>
                        </w:rPr>
                        <w:br/>
                      </w:r>
                      <w:r w:rsidR="00784C60" w:rsidRPr="00573634">
                        <w:rPr>
                          <w:sz w:val="16"/>
                          <w:szCs w:val="16"/>
                        </w:rPr>
                        <w:t>*</w:t>
                      </w:r>
                      <w:r w:rsidR="00F1344B" w:rsidRPr="00573634">
                        <w:rPr>
                          <w:sz w:val="16"/>
                          <w:szCs w:val="16"/>
                        </w:rPr>
                        <w:t xml:space="preserve">* </w:t>
                      </w:r>
                      <w:r w:rsidR="00F1344B" w:rsidRPr="00573634">
                        <w:rPr>
                          <w:sz w:val="18"/>
                          <w:szCs w:val="18"/>
                        </w:rPr>
                        <w:t>McDonald, P. et al., ‘Digital Platform Work in Australia: Prevalence, Nature and Impact (Digital platform work in Australia)’, commissioned by the Victorian Department of Premier and Cabinet, 2019, p.</w:t>
                      </w:r>
                      <w:r w:rsidR="00A255DF" w:rsidRPr="00573634">
                        <w:rPr>
                          <w:sz w:val="18"/>
                          <w:szCs w:val="18"/>
                        </w:rPr>
                        <w:t xml:space="preserve"> 15,</w:t>
                      </w:r>
                      <w:r w:rsidR="00F1344B" w:rsidRPr="00573634">
                        <w:rPr>
                          <w:sz w:val="18"/>
                          <w:szCs w:val="18"/>
                        </w:rPr>
                        <w:t xml:space="preserve"> 18.</w:t>
                      </w:r>
                    </w:p>
                    <w:p w14:paraId="2949B2D0" w14:textId="77777777" w:rsidR="00E3100C" w:rsidRPr="00B9713B" w:rsidRDefault="00E3100C" w:rsidP="00E3100C"/>
                  </w:txbxContent>
                </v:textbox>
                <w10:wrap type="square" anchorx="margin"/>
              </v:shape>
            </w:pict>
          </mc:Fallback>
        </mc:AlternateContent>
      </w:r>
      <w:r>
        <w:rPr>
          <w:noProof/>
          <w:lang w:eastAsia="en-AU"/>
        </w:rPr>
        <mc:AlternateContent>
          <mc:Choice Requires="wps">
            <w:drawing>
              <wp:anchor distT="45720" distB="45720" distL="114300" distR="114300" simplePos="0" relativeHeight="251658243" behindDoc="0" locked="0" layoutInCell="1" allowOverlap="1" wp14:anchorId="4E0FDDF1" wp14:editId="43F83942">
                <wp:simplePos x="0" y="0"/>
                <wp:positionH relativeFrom="margin">
                  <wp:posOffset>-26035</wp:posOffset>
                </wp:positionH>
                <wp:positionV relativeFrom="paragraph">
                  <wp:posOffset>5158105</wp:posOffset>
                </wp:positionV>
                <wp:extent cx="5776595" cy="3617595"/>
                <wp:effectExtent l="0" t="0" r="0" b="19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595" cy="3617595"/>
                        </a:xfrm>
                        <a:prstGeom prst="rect">
                          <a:avLst/>
                        </a:prstGeom>
                        <a:solidFill>
                          <a:srgbClr val="789B4A">
                            <a:alpha val="30196"/>
                          </a:srgbClr>
                        </a:solidFill>
                        <a:ln w="9525">
                          <a:noFill/>
                          <a:miter lim="800000"/>
                          <a:headEnd/>
                          <a:tailEnd/>
                        </a:ln>
                      </wps:spPr>
                      <wps:txbx>
                        <w:txbxContent>
                          <w:p w14:paraId="453A195D" w14:textId="34E08BA3" w:rsidR="00E3100C" w:rsidRPr="004A10B8" w:rsidRDefault="00E3100C" w:rsidP="00E3100C">
                            <w:pPr>
                              <w:rPr>
                                <w:b/>
                              </w:rPr>
                            </w:pPr>
                            <w:r w:rsidRPr="004A10B8">
                              <w:rPr>
                                <w:b/>
                              </w:rPr>
                              <w:t xml:space="preserve">Scenario 2 – </w:t>
                            </w:r>
                            <w:r w:rsidR="00657B24" w:rsidRPr="004A10B8">
                              <w:rPr>
                                <w:b/>
                              </w:rPr>
                              <w:t>‘Car</w:t>
                            </w:r>
                            <w:r w:rsidR="003A417D" w:rsidRPr="004A10B8">
                              <w:rPr>
                                <w:b/>
                              </w:rPr>
                              <w:t>e’</w:t>
                            </w:r>
                            <w:r w:rsidR="00497A7F" w:rsidRPr="004A10B8">
                              <w:rPr>
                                <w:b/>
                              </w:rPr>
                              <w:t xml:space="preserve"> </w:t>
                            </w:r>
                            <w:r w:rsidRPr="004A10B8">
                              <w:rPr>
                                <w:b/>
                              </w:rPr>
                              <w:t xml:space="preserve">workers </w:t>
                            </w:r>
                          </w:p>
                          <w:p w14:paraId="60EBDB07" w14:textId="7A2CDF41" w:rsidR="00E3100C" w:rsidRPr="00573634" w:rsidRDefault="00E3100C" w:rsidP="00E3100C">
                            <w:pPr>
                              <w:spacing w:line="240" w:lineRule="auto"/>
                              <w:rPr>
                                <w:i/>
                                <w:sz w:val="20"/>
                                <w:szCs w:val="20"/>
                              </w:rPr>
                            </w:pPr>
                            <w:r w:rsidRPr="00573634">
                              <w:rPr>
                                <w:b/>
                                <w:bCs/>
                                <w:i/>
                                <w:sz w:val="20"/>
                                <w:szCs w:val="20"/>
                              </w:rPr>
                              <w:t xml:space="preserve">Estimates of cohort size – </w:t>
                            </w:r>
                            <w:r w:rsidR="00630860" w:rsidRPr="00573634">
                              <w:rPr>
                                <w:b/>
                                <w:bCs/>
                                <w:i/>
                                <w:sz w:val="20"/>
                                <w:szCs w:val="20"/>
                              </w:rPr>
                              <w:t>16,3</w:t>
                            </w:r>
                            <w:r w:rsidRPr="00573634">
                              <w:rPr>
                                <w:b/>
                                <w:bCs/>
                                <w:i/>
                                <w:sz w:val="20"/>
                                <w:szCs w:val="20"/>
                              </w:rPr>
                              <w:t>00 workers</w:t>
                            </w:r>
                            <w:r w:rsidRPr="00573634">
                              <w:rPr>
                                <w:i/>
                                <w:sz w:val="20"/>
                                <w:szCs w:val="20"/>
                              </w:rPr>
                              <w:t xml:space="preserve"> or </w:t>
                            </w:r>
                            <w:r w:rsidR="00630860" w:rsidRPr="00573634">
                              <w:rPr>
                                <w:i/>
                                <w:sz w:val="20"/>
                                <w:szCs w:val="20"/>
                              </w:rPr>
                              <w:t>2.5</w:t>
                            </w:r>
                            <w:r w:rsidRPr="00573634">
                              <w:rPr>
                                <w:i/>
                                <w:sz w:val="20"/>
                                <w:szCs w:val="20"/>
                              </w:rPr>
                              <w:t xml:space="preserve"> per cent of all current digital platform workers (department estimates based on the Victorian Government Inquiry)</w:t>
                            </w:r>
                          </w:p>
                          <w:p w14:paraId="77430283" w14:textId="43186FB4" w:rsidR="00AC7B70" w:rsidRPr="00573634" w:rsidRDefault="00AC7B70" w:rsidP="00AC7B70">
                            <w:pPr>
                              <w:rPr>
                                <w:sz w:val="20"/>
                                <w:szCs w:val="20"/>
                              </w:rPr>
                            </w:pPr>
                            <w:r w:rsidRPr="00573634">
                              <w:rPr>
                                <w:sz w:val="20"/>
                                <w:szCs w:val="20"/>
                              </w:rPr>
                              <w:t xml:space="preserve">During consultation, aged care and NDIS support services delivered through digital platforms were also identified as an area of primary concern. The number of workers covered by </w:t>
                            </w:r>
                            <w:r w:rsidR="00565734" w:rsidRPr="00573634">
                              <w:rPr>
                                <w:sz w:val="20"/>
                                <w:szCs w:val="20"/>
                              </w:rPr>
                              <w:t xml:space="preserve">any Minimum Standards Order that </w:t>
                            </w:r>
                            <w:r w:rsidRPr="00573634">
                              <w:rPr>
                                <w:sz w:val="20"/>
                                <w:szCs w:val="20"/>
                              </w:rPr>
                              <w:t>the Fair Work Commission</w:t>
                            </w:r>
                            <w:r w:rsidR="00565734" w:rsidRPr="00573634">
                              <w:rPr>
                                <w:sz w:val="20"/>
                                <w:szCs w:val="20"/>
                              </w:rPr>
                              <w:t xml:space="preserve"> may set</w:t>
                            </w:r>
                            <w:r w:rsidRPr="00573634">
                              <w:rPr>
                                <w:sz w:val="20"/>
                                <w:szCs w:val="20"/>
                              </w:rPr>
                              <w:t xml:space="preserve"> will be dependent on the scope of the order</w:t>
                            </w:r>
                            <w:r w:rsidR="00565734" w:rsidRPr="00573634">
                              <w:rPr>
                                <w:sz w:val="20"/>
                                <w:szCs w:val="20"/>
                              </w:rPr>
                              <w:t>/</w:t>
                            </w:r>
                            <w:r w:rsidRPr="00573634">
                              <w:rPr>
                                <w:sz w:val="20"/>
                                <w:szCs w:val="20"/>
                              </w:rPr>
                              <w:t xml:space="preserve">s. </w:t>
                            </w:r>
                          </w:p>
                          <w:p w14:paraId="533E7801" w14:textId="44667DCA" w:rsidR="00E3100C" w:rsidRPr="00E3100C" w:rsidRDefault="004560E1" w:rsidP="00E3100C">
                            <w:r w:rsidRPr="00573634">
                              <w:rPr>
                                <w:sz w:val="20"/>
                                <w:szCs w:val="20"/>
                              </w:rPr>
                              <w:t xml:space="preserve">The Victorian </w:t>
                            </w:r>
                            <w:r w:rsidR="006B679B" w:rsidRPr="00573634">
                              <w:rPr>
                                <w:sz w:val="20"/>
                                <w:szCs w:val="20"/>
                              </w:rPr>
                              <w:t>National S</w:t>
                            </w:r>
                            <w:r w:rsidRPr="00573634">
                              <w:rPr>
                                <w:sz w:val="20"/>
                                <w:szCs w:val="20"/>
                              </w:rPr>
                              <w:t>urvey identified that 7.0 per cent of all digital platform workers performed ‘caring’ work. However, the</w:t>
                            </w:r>
                            <w:r w:rsidR="00AC7B70" w:rsidRPr="00573634">
                              <w:rPr>
                                <w:sz w:val="20"/>
                                <w:szCs w:val="20"/>
                              </w:rPr>
                              <w:t xml:space="preserve"> survey defined this </w:t>
                            </w:r>
                            <w:r w:rsidR="00E3100C" w:rsidRPr="00573634">
                              <w:rPr>
                                <w:sz w:val="20"/>
                                <w:szCs w:val="20"/>
                              </w:rPr>
                              <w:t>group</w:t>
                            </w:r>
                            <w:r w:rsidR="00AC7B70" w:rsidRPr="00573634">
                              <w:rPr>
                                <w:sz w:val="20"/>
                                <w:szCs w:val="20"/>
                              </w:rPr>
                              <w:t xml:space="preserve"> </w:t>
                            </w:r>
                            <w:r w:rsidR="007318E9" w:rsidRPr="00573634">
                              <w:rPr>
                                <w:sz w:val="20"/>
                                <w:szCs w:val="20"/>
                              </w:rPr>
                              <w:t xml:space="preserve">broadly, </w:t>
                            </w:r>
                            <w:r w:rsidR="00AC7B70" w:rsidRPr="00573634">
                              <w:rPr>
                                <w:sz w:val="20"/>
                                <w:szCs w:val="20"/>
                              </w:rPr>
                              <w:t>including</w:t>
                            </w:r>
                            <w:r w:rsidR="00E3100C" w:rsidRPr="00573634">
                              <w:rPr>
                                <w:sz w:val="20"/>
                                <w:szCs w:val="20"/>
                              </w:rPr>
                              <w:t xml:space="preserve"> work</w:t>
                            </w:r>
                            <w:r w:rsidR="00AC7B70" w:rsidRPr="00573634">
                              <w:rPr>
                                <w:sz w:val="20"/>
                                <w:szCs w:val="20"/>
                              </w:rPr>
                              <w:t>er</w:t>
                            </w:r>
                            <w:r w:rsidR="00207EBC" w:rsidRPr="00573634">
                              <w:rPr>
                                <w:sz w:val="20"/>
                                <w:szCs w:val="20"/>
                              </w:rPr>
                              <w:t xml:space="preserve">s </w:t>
                            </w:r>
                            <w:r w:rsidR="00E3100C" w:rsidRPr="00573634" w:rsidDel="00AC7B70">
                              <w:rPr>
                                <w:sz w:val="20"/>
                                <w:szCs w:val="20"/>
                              </w:rPr>
                              <w:t xml:space="preserve">performing </w:t>
                            </w:r>
                            <w:r w:rsidR="00E3100C" w:rsidRPr="00573634">
                              <w:rPr>
                                <w:sz w:val="20"/>
                                <w:szCs w:val="20"/>
                              </w:rPr>
                              <w:t>aged or disability care,</w:t>
                            </w:r>
                            <w:r w:rsidR="005E080C" w:rsidRPr="00573634">
                              <w:rPr>
                                <w:sz w:val="20"/>
                                <w:szCs w:val="20"/>
                              </w:rPr>
                              <w:t xml:space="preserve"> as well as </w:t>
                            </w:r>
                            <w:r w:rsidR="00207EBC" w:rsidRPr="00573634">
                              <w:rPr>
                                <w:sz w:val="20"/>
                                <w:szCs w:val="20"/>
                              </w:rPr>
                              <w:t xml:space="preserve">workers who would not be within a scope of a likely order, </w:t>
                            </w:r>
                            <w:r w:rsidR="007318E9" w:rsidRPr="00573634">
                              <w:rPr>
                                <w:sz w:val="20"/>
                                <w:szCs w:val="20"/>
                              </w:rPr>
                              <w:t xml:space="preserve">i.e. those </w:t>
                            </w:r>
                            <w:r w:rsidR="00207EBC" w:rsidRPr="00573634">
                              <w:rPr>
                                <w:sz w:val="20"/>
                                <w:szCs w:val="20"/>
                              </w:rPr>
                              <w:t xml:space="preserve">providing </w:t>
                            </w:r>
                            <w:r w:rsidR="00E3100C" w:rsidRPr="00573634">
                              <w:rPr>
                                <w:sz w:val="20"/>
                                <w:szCs w:val="20"/>
                              </w:rPr>
                              <w:t>pet services, babysitting, and nanny services.</w:t>
                            </w:r>
                            <w:r w:rsidR="00E3100C" w:rsidRPr="00573634" w:rsidDel="00561223">
                              <w:rPr>
                                <w:sz w:val="20"/>
                                <w:szCs w:val="20"/>
                              </w:rPr>
                              <w:t xml:space="preserve"> </w:t>
                            </w:r>
                            <w:r w:rsidR="005E5EEE" w:rsidRPr="00573634">
                              <w:rPr>
                                <w:sz w:val="20"/>
                                <w:szCs w:val="20"/>
                              </w:rPr>
                              <w:t xml:space="preserve">The department has therefore </w:t>
                            </w:r>
                            <w:r w:rsidR="007318E9" w:rsidRPr="00573634">
                              <w:rPr>
                                <w:sz w:val="20"/>
                                <w:szCs w:val="20"/>
                              </w:rPr>
                              <w:t xml:space="preserve">excluded </w:t>
                            </w:r>
                            <w:r w:rsidR="00622EE3" w:rsidRPr="00573634">
                              <w:rPr>
                                <w:sz w:val="20"/>
                                <w:szCs w:val="20"/>
                              </w:rPr>
                              <w:t>4.5 per cent</w:t>
                            </w:r>
                            <w:r w:rsidR="007318E9" w:rsidRPr="00573634">
                              <w:rPr>
                                <w:sz w:val="20"/>
                                <w:szCs w:val="20"/>
                              </w:rPr>
                              <w:t xml:space="preserve"> of digital platform workers</w:t>
                            </w:r>
                            <w:r w:rsidR="00622EE3" w:rsidRPr="00573634">
                              <w:rPr>
                                <w:sz w:val="20"/>
                                <w:szCs w:val="20"/>
                              </w:rPr>
                              <w:t xml:space="preserve">, which is the proportion of survey respondents who had engaged via MadPaws, </w:t>
                            </w:r>
                            <w:r w:rsidR="001A60AE" w:rsidRPr="00573634">
                              <w:rPr>
                                <w:sz w:val="20"/>
                                <w:szCs w:val="20"/>
                              </w:rPr>
                              <w:t>a pet sitting platform. This results in an estimate of 2.5 per cent of digital platform workers</w:t>
                            </w:r>
                            <w:r w:rsidR="007318E9" w:rsidRPr="00573634">
                              <w:rPr>
                                <w:sz w:val="20"/>
                                <w:szCs w:val="20"/>
                              </w:rPr>
                              <w:t xml:space="preserve"> who perform ‘caring’ work</w:t>
                            </w:r>
                            <w:r w:rsidR="001A60AE" w:rsidRPr="00573634">
                              <w:rPr>
                                <w:sz w:val="20"/>
                                <w:szCs w:val="20"/>
                              </w:rPr>
                              <w:t>, or 16,300 workers</w:t>
                            </w:r>
                            <w:r w:rsidR="007318E9" w:rsidRPr="00573634">
                              <w:rPr>
                                <w:sz w:val="20"/>
                                <w:szCs w:val="20"/>
                              </w:rPr>
                              <w:t xml:space="preserve">. </w:t>
                            </w:r>
                            <w:r w:rsidR="001A60AE" w:rsidRPr="00573634">
                              <w:rPr>
                                <w:sz w:val="20"/>
                                <w:szCs w:val="20"/>
                              </w:rPr>
                              <w:t>Mable</w:t>
                            </w:r>
                            <w:r w:rsidR="007318E9" w:rsidRPr="00573634" w:rsidDel="00D8342F">
                              <w:rPr>
                                <w:sz w:val="20"/>
                                <w:szCs w:val="20"/>
                              </w:rPr>
                              <w:t xml:space="preserve"> </w:t>
                            </w:r>
                            <w:r w:rsidR="007318E9" w:rsidRPr="00573634">
                              <w:rPr>
                                <w:sz w:val="20"/>
                                <w:szCs w:val="20"/>
                              </w:rPr>
                              <w:t xml:space="preserve">estimated </w:t>
                            </w:r>
                            <w:r w:rsidR="00D8342F" w:rsidRPr="00573634">
                              <w:rPr>
                                <w:sz w:val="20"/>
                                <w:szCs w:val="20"/>
                              </w:rPr>
                              <w:t>its</w:t>
                            </w:r>
                            <w:r w:rsidR="001A60AE" w:rsidRPr="00573634">
                              <w:rPr>
                                <w:sz w:val="20"/>
                                <w:szCs w:val="20"/>
                              </w:rPr>
                              <w:t xml:space="preserve"> own </w:t>
                            </w:r>
                            <w:r w:rsidR="007318E9" w:rsidRPr="00573634">
                              <w:rPr>
                                <w:sz w:val="20"/>
                                <w:szCs w:val="20"/>
                              </w:rPr>
                              <w:t>workforce size at</w:t>
                            </w:r>
                            <w:r w:rsidR="001A60AE" w:rsidRPr="00573634">
                              <w:rPr>
                                <w:sz w:val="20"/>
                                <w:szCs w:val="20"/>
                              </w:rPr>
                              <w:t xml:space="preserve"> 10,000 workers in 2021</w:t>
                            </w:r>
                            <w:r w:rsidR="007318E9" w:rsidRPr="00573634">
                              <w:rPr>
                                <w:sz w:val="20"/>
                                <w:szCs w:val="20"/>
                              </w:rPr>
                              <w:t>.</w:t>
                            </w:r>
                            <w:r w:rsidR="006D6146" w:rsidRPr="00573634">
                              <w:rPr>
                                <w:sz w:val="20"/>
                                <w:szCs w:val="20"/>
                              </w:rPr>
                              <w:t>*</w:t>
                            </w:r>
                            <w:r w:rsidR="00BA6299" w:rsidRPr="00573634">
                              <w:rPr>
                                <w:sz w:val="20"/>
                                <w:szCs w:val="20"/>
                              </w:rPr>
                              <w:t xml:space="preserve"> After considering that there a</w:t>
                            </w:r>
                            <w:r w:rsidR="00750517" w:rsidRPr="00573634">
                              <w:rPr>
                                <w:sz w:val="20"/>
                                <w:szCs w:val="20"/>
                              </w:rPr>
                              <w:t xml:space="preserve">re other </w:t>
                            </w:r>
                            <w:r w:rsidR="00EE65AE" w:rsidRPr="00573634">
                              <w:rPr>
                                <w:sz w:val="20"/>
                                <w:szCs w:val="20"/>
                              </w:rPr>
                              <w:t xml:space="preserve">digital platforms operating in this sector, </w:t>
                            </w:r>
                            <w:r w:rsidR="001052CC" w:rsidRPr="00573634">
                              <w:rPr>
                                <w:sz w:val="20"/>
                                <w:szCs w:val="20"/>
                              </w:rPr>
                              <w:t xml:space="preserve">and that </w:t>
                            </w:r>
                            <w:r w:rsidR="00B86BD9" w:rsidRPr="00573634">
                              <w:rPr>
                                <w:sz w:val="20"/>
                                <w:szCs w:val="20"/>
                              </w:rPr>
                              <w:t xml:space="preserve">some workers are likely to use multiple platforms to seek work, this </w:t>
                            </w:r>
                            <w:r w:rsidR="00D8342F" w:rsidRPr="00573634">
                              <w:rPr>
                                <w:sz w:val="20"/>
                                <w:szCs w:val="20"/>
                              </w:rPr>
                              <w:t xml:space="preserve">estimate </w:t>
                            </w:r>
                            <w:r w:rsidR="00C21E56" w:rsidRPr="00573634">
                              <w:rPr>
                                <w:sz w:val="20"/>
                                <w:szCs w:val="20"/>
                              </w:rPr>
                              <w:t xml:space="preserve">appears to </w:t>
                            </w:r>
                            <w:r w:rsidR="00816F5E" w:rsidRPr="00573634">
                              <w:rPr>
                                <w:sz w:val="20"/>
                                <w:szCs w:val="20"/>
                              </w:rPr>
                              <w:t xml:space="preserve">be </w:t>
                            </w:r>
                            <w:r w:rsidR="004E3124" w:rsidRPr="00573634">
                              <w:rPr>
                                <w:sz w:val="20"/>
                                <w:szCs w:val="20"/>
                              </w:rPr>
                              <w:t xml:space="preserve">consistent with </w:t>
                            </w:r>
                            <w:r w:rsidR="007C2552" w:rsidRPr="00573634">
                              <w:rPr>
                                <w:sz w:val="20"/>
                                <w:szCs w:val="20"/>
                              </w:rPr>
                              <w:t xml:space="preserve">the Mable </w:t>
                            </w:r>
                            <w:r w:rsidR="00AB6A2A" w:rsidRPr="00573634">
                              <w:rPr>
                                <w:sz w:val="20"/>
                                <w:szCs w:val="20"/>
                              </w:rPr>
                              <w:t xml:space="preserve">data. </w:t>
                            </w:r>
                            <w:r w:rsidR="004E3124" w:rsidRPr="00573634">
                              <w:rPr>
                                <w:sz w:val="20"/>
                                <w:szCs w:val="20"/>
                              </w:rPr>
                              <w:t xml:space="preserve"> </w:t>
                            </w:r>
                            <w:r w:rsidR="006D6146">
                              <w:br/>
                            </w:r>
                            <w:r w:rsidR="00E57120">
                              <w:rPr>
                                <w:sz w:val="18"/>
                                <w:szCs w:val="18"/>
                              </w:rPr>
                              <w:br/>
                            </w:r>
                            <w:r w:rsidR="006D6146" w:rsidRPr="00F9171A">
                              <w:rPr>
                                <w:sz w:val="18"/>
                                <w:szCs w:val="18"/>
                              </w:rPr>
                              <w:t>*</w:t>
                            </w:r>
                            <w:r w:rsidR="006D6146">
                              <w:rPr>
                                <w:sz w:val="18"/>
                                <w:szCs w:val="18"/>
                              </w:rPr>
                              <w:t xml:space="preserve">Mable Technologies, ‘Pre-Budget 2021 Submission’, </w:t>
                            </w:r>
                            <w:r w:rsidR="000C1FE2">
                              <w:rPr>
                                <w:sz w:val="18"/>
                                <w:szCs w:val="18"/>
                              </w:rPr>
                              <w:t>2021</w:t>
                            </w:r>
                            <w:r w:rsidR="007637A5">
                              <w:rPr>
                                <w:sz w:val="18"/>
                                <w:szCs w:val="18"/>
                              </w:rPr>
                              <w:t xml:space="preserve">, </w:t>
                            </w:r>
                            <w:hyperlink r:id="rId26" w:history="1">
                              <w:r w:rsidR="007637A5" w:rsidRPr="006A3475">
                                <w:rPr>
                                  <w:rStyle w:val="Hyperlink"/>
                                  <w:sz w:val="18"/>
                                  <w:szCs w:val="18"/>
                                </w:rPr>
                                <w:t>https://treasury.gov.au/sites/default/files/2021-05/171663_mable_technologies_0.pdf</w:t>
                              </w:r>
                            </w:hyperlink>
                            <w:r w:rsidR="007637A5">
                              <w:rPr>
                                <w:sz w:val="18"/>
                                <w:szCs w:val="18"/>
                              </w:rPr>
                              <w:t xml:space="preserve">. </w:t>
                            </w:r>
                          </w:p>
                          <w:p w14:paraId="1E8E9DC0" w14:textId="0CE4D5AA" w:rsidR="00E3100C" w:rsidRPr="00A723FE" w:rsidRDefault="00E3100C" w:rsidP="006308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FDDF1" id="Text Box 9" o:spid="_x0000_s1028" type="#_x0000_t202" style="position:absolute;margin-left:-2.05pt;margin-top:406.15pt;width:454.85pt;height:284.8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" fillcolor="#789b4a" stroked="f">
                <v:fill opacity="19789f"/>
                <v:textbox>
                  <w:txbxContent>
                    <w:p w14:paraId="453A195D" w14:textId="34E08BA3" w:rsidR="00E3100C" w:rsidRPr="004A10B8" w:rsidRDefault="00E3100C" w:rsidP="00E3100C">
                      <w:pPr>
                        <w:rPr>
                          <w:b/>
                        </w:rPr>
                      </w:pPr>
                      <w:r w:rsidRPr="004A10B8">
                        <w:rPr>
                          <w:b/>
                        </w:rPr>
                        <w:t xml:space="preserve">Scenario 2 – </w:t>
                      </w:r>
                      <w:r w:rsidR="00657B24" w:rsidRPr="004A10B8">
                        <w:rPr>
                          <w:b/>
                        </w:rPr>
                        <w:t>‘Car</w:t>
                      </w:r>
                      <w:r w:rsidR="003A417D" w:rsidRPr="004A10B8">
                        <w:rPr>
                          <w:b/>
                        </w:rPr>
                        <w:t>e’</w:t>
                      </w:r>
                      <w:r w:rsidR="00497A7F" w:rsidRPr="004A10B8">
                        <w:rPr>
                          <w:b/>
                        </w:rPr>
                        <w:t xml:space="preserve"> </w:t>
                      </w:r>
                      <w:r w:rsidRPr="004A10B8">
                        <w:rPr>
                          <w:b/>
                        </w:rPr>
                        <w:t xml:space="preserve">workers </w:t>
                      </w:r>
                    </w:p>
                    <w:p w14:paraId="60EBDB07" w14:textId="7A2CDF41" w:rsidR="00E3100C" w:rsidRPr="00573634" w:rsidRDefault="00E3100C" w:rsidP="00E3100C">
                      <w:pPr>
                        <w:spacing w:line="240" w:lineRule="auto"/>
                        <w:rPr>
                          <w:i/>
                          <w:sz w:val="20"/>
                          <w:szCs w:val="20"/>
                        </w:rPr>
                      </w:pPr>
                      <w:r w:rsidRPr="00573634">
                        <w:rPr>
                          <w:b/>
                          <w:bCs/>
                          <w:i/>
                          <w:sz w:val="20"/>
                          <w:szCs w:val="20"/>
                        </w:rPr>
                        <w:t xml:space="preserve">Estimates of cohort size – </w:t>
                      </w:r>
                      <w:r w:rsidR="00630860" w:rsidRPr="00573634">
                        <w:rPr>
                          <w:b/>
                          <w:bCs/>
                          <w:i/>
                          <w:sz w:val="20"/>
                          <w:szCs w:val="20"/>
                        </w:rPr>
                        <w:t>16,3</w:t>
                      </w:r>
                      <w:r w:rsidRPr="00573634">
                        <w:rPr>
                          <w:b/>
                          <w:bCs/>
                          <w:i/>
                          <w:sz w:val="20"/>
                          <w:szCs w:val="20"/>
                        </w:rPr>
                        <w:t>00 workers</w:t>
                      </w:r>
                      <w:r w:rsidRPr="00573634">
                        <w:rPr>
                          <w:i/>
                          <w:sz w:val="20"/>
                          <w:szCs w:val="20"/>
                        </w:rPr>
                        <w:t xml:space="preserve"> or </w:t>
                      </w:r>
                      <w:r w:rsidR="00630860" w:rsidRPr="00573634">
                        <w:rPr>
                          <w:i/>
                          <w:sz w:val="20"/>
                          <w:szCs w:val="20"/>
                        </w:rPr>
                        <w:t>2.5</w:t>
                      </w:r>
                      <w:r w:rsidRPr="00573634">
                        <w:rPr>
                          <w:i/>
                          <w:sz w:val="20"/>
                          <w:szCs w:val="20"/>
                        </w:rPr>
                        <w:t xml:space="preserve"> per cent of all current digital platform workers (department estimates based on the Victorian Government Inquiry)</w:t>
                      </w:r>
                    </w:p>
                    <w:p w14:paraId="77430283" w14:textId="43186FB4" w:rsidR="00AC7B70" w:rsidRPr="00573634" w:rsidRDefault="00AC7B70" w:rsidP="00AC7B70">
                      <w:pPr>
                        <w:rPr>
                          <w:sz w:val="20"/>
                          <w:szCs w:val="20"/>
                        </w:rPr>
                      </w:pPr>
                      <w:r w:rsidRPr="00573634">
                        <w:rPr>
                          <w:sz w:val="20"/>
                          <w:szCs w:val="20"/>
                        </w:rPr>
                        <w:t xml:space="preserve">During consultation, aged care and NDIS support services delivered through digital platforms were also identified as an area of primary concern. The number of workers covered by </w:t>
                      </w:r>
                      <w:r w:rsidR="00565734" w:rsidRPr="00573634">
                        <w:rPr>
                          <w:sz w:val="20"/>
                          <w:szCs w:val="20"/>
                        </w:rPr>
                        <w:t xml:space="preserve">any Minimum Standards Order that </w:t>
                      </w:r>
                      <w:r w:rsidRPr="00573634">
                        <w:rPr>
                          <w:sz w:val="20"/>
                          <w:szCs w:val="20"/>
                        </w:rPr>
                        <w:t>the Fair Work Commission</w:t>
                      </w:r>
                      <w:r w:rsidR="00565734" w:rsidRPr="00573634">
                        <w:rPr>
                          <w:sz w:val="20"/>
                          <w:szCs w:val="20"/>
                        </w:rPr>
                        <w:t xml:space="preserve"> may set</w:t>
                      </w:r>
                      <w:r w:rsidRPr="00573634">
                        <w:rPr>
                          <w:sz w:val="20"/>
                          <w:szCs w:val="20"/>
                        </w:rPr>
                        <w:t xml:space="preserve"> will be dependent on the scope of the order</w:t>
                      </w:r>
                      <w:r w:rsidR="00565734" w:rsidRPr="00573634">
                        <w:rPr>
                          <w:sz w:val="20"/>
                          <w:szCs w:val="20"/>
                        </w:rPr>
                        <w:t>/</w:t>
                      </w:r>
                      <w:r w:rsidRPr="00573634">
                        <w:rPr>
                          <w:sz w:val="20"/>
                          <w:szCs w:val="20"/>
                        </w:rPr>
                        <w:t xml:space="preserve">s. </w:t>
                      </w:r>
                    </w:p>
                    <w:p w14:paraId="533E7801" w14:textId="44667DCA" w:rsidR="00E3100C" w:rsidRPr="00E3100C" w:rsidRDefault="004560E1" w:rsidP="00E3100C">
                      <w:r w:rsidRPr="00573634">
                        <w:rPr>
                          <w:sz w:val="20"/>
                          <w:szCs w:val="20"/>
                        </w:rPr>
                        <w:t xml:space="preserve">The Victorian </w:t>
                      </w:r>
                      <w:r w:rsidR="006B679B" w:rsidRPr="00573634">
                        <w:rPr>
                          <w:sz w:val="20"/>
                          <w:szCs w:val="20"/>
                        </w:rPr>
                        <w:t>National S</w:t>
                      </w:r>
                      <w:r w:rsidRPr="00573634">
                        <w:rPr>
                          <w:sz w:val="20"/>
                          <w:szCs w:val="20"/>
                        </w:rPr>
                        <w:t>urvey identified that 7.0 per cent of all digital platform workers performed ‘caring’ work. However, the</w:t>
                      </w:r>
                      <w:r w:rsidR="00AC7B70" w:rsidRPr="00573634">
                        <w:rPr>
                          <w:sz w:val="20"/>
                          <w:szCs w:val="20"/>
                        </w:rPr>
                        <w:t xml:space="preserve"> survey defined this </w:t>
                      </w:r>
                      <w:r w:rsidR="00E3100C" w:rsidRPr="00573634">
                        <w:rPr>
                          <w:sz w:val="20"/>
                          <w:szCs w:val="20"/>
                        </w:rPr>
                        <w:t>group</w:t>
                      </w:r>
                      <w:r w:rsidR="00AC7B70" w:rsidRPr="00573634">
                        <w:rPr>
                          <w:sz w:val="20"/>
                          <w:szCs w:val="20"/>
                        </w:rPr>
                        <w:t xml:space="preserve"> </w:t>
                      </w:r>
                      <w:r w:rsidR="007318E9" w:rsidRPr="00573634">
                        <w:rPr>
                          <w:sz w:val="20"/>
                          <w:szCs w:val="20"/>
                        </w:rPr>
                        <w:t xml:space="preserve">broadly, </w:t>
                      </w:r>
                      <w:r w:rsidR="00AC7B70" w:rsidRPr="00573634">
                        <w:rPr>
                          <w:sz w:val="20"/>
                          <w:szCs w:val="20"/>
                        </w:rPr>
                        <w:t>including</w:t>
                      </w:r>
                      <w:r w:rsidR="00E3100C" w:rsidRPr="00573634">
                        <w:rPr>
                          <w:sz w:val="20"/>
                          <w:szCs w:val="20"/>
                        </w:rPr>
                        <w:t xml:space="preserve"> work</w:t>
                      </w:r>
                      <w:r w:rsidR="00AC7B70" w:rsidRPr="00573634">
                        <w:rPr>
                          <w:sz w:val="20"/>
                          <w:szCs w:val="20"/>
                        </w:rPr>
                        <w:t>er</w:t>
                      </w:r>
                      <w:r w:rsidR="00207EBC" w:rsidRPr="00573634">
                        <w:rPr>
                          <w:sz w:val="20"/>
                          <w:szCs w:val="20"/>
                        </w:rPr>
                        <w:t xml:space="preserve">s </w:t>
                      </w:r>
                      <w:r w:rsidR="00E3100C" w:rsidRPr="00573634" w:rsidDel="00AC7B70">
                        <w:rPr>
                          <w:sz w:val="20"/>
                          <w:szCs w:val="20"/>
                        </w:rPr>
                        <w:t xml:space="preserve">performing </w:t>
                      </w:r>
                      <w:r w:rsidR="00E3100C" w:rsidRPr="00573634">
                        <w:rPr>
                          <w:sz w:val="20"/>
                          <w:szCs w:val="20"/>
                        </w:rPr>
                        <w:t>aged or disability care,</w:t>
                      </w:r>
                      <w:r w:rsidR="005E080C" w:rsidRPr="00573634">
                        <w:rPr>
                          <w:sz w:val="20"/>
                          <w:szCs w:val="20"/>
                        </w:rPr>
                        <w:t xml:space="preserve"> as well as </w:t>
                      </w:r>
                      <w:r w:rsidR="00207EBC" w:rsidRPr="00573634">
                        <w:rPr>
                          <w:sz w:val="20"/>
                          <w:szCs w:val="20"/>
                        </w:rPr>
                        <w:t xml:space="preserve">workers who would not be within a scope of a likely order, </w:t>
                      </w:r>
                      <w:r w:rsidR="007318E9" w:rsidRPr="00573634">
                        <w:rPr>
                          <w:sz w:val="20"/>
                          <w:szCs w:val="20"/>
                        </w:rPr>
                        <w:t xml:space="preserve">i.e. those </w:t>
                      </w:r>
                      <w:r w:rsidR="00207EBC" w:rsidRPr="00573634">
                        <w:rPr>
                          <w:sz w:val="20"/>
                          <w:szCs w:val="20"/>
                        </w:rPr>
                        <w:t xml:space="preserve">providing </w:t>
                      </w:r>
                      <w:r w:rsidR="00E3100C" w:rsidRPr="00573634">
                        <w:rPr>
                          <w:sz w:val="20"/>
                          <w:szCs w:val="20"/>
                        </w:rPr>
                        <w:t>pet services, babysitting, and nanny services.</w:t>
                      </w:r>
                      <w:r w:rsidR="00E3100C" w:rsidRPr="00573634" w:rsidDel="00561223">
                        <w:rPr>
                          <w:sz w:val="20"/>
                          <w:szCs w:val="20"/>
                        </w:rPr>
                        <w:t xml:space="preserve"> </w:t>
                      </w:r>
                      <w:r w:rsidR="005E5EEE" w:rsidRPr="00573634">
                        <w:rPr>
                          <w:sz w:val="20"/>
                          <w:szCs w:val="20"/>
                        </w:rPr>
                        <w:t xml:space="preserve">The department has therefore </w:t>
                      </w:r>
                      <w:r w:rsidR="007318E9" w:rsidRPr="00573634">
                        <w:rPr>
                          <w:sz w:val="20"/>
                          <w:szCs w:val="20"/>
                        </w:rPr>
                        <w:t xml:space="preserve">excluded </w:t>
                      </w:r>
                      <w:r w:rsidR="00622EE3" w:rsidRPr="00573634">
                        <w:rPr>
                          <w:sz w:val="20"/>
                          <w:szCs w:val="20"/>
                        </w:rPr>
                        <w:t>4.5 per cent</w:t>
                      </w:r>
                      <w:r w:rsidR="007318E9" w:rsidRPr="00573634">
                        <w:rPr>
                          <w:sz w:val="20"/>
                          <w:szCs w:val="20"/>
                        </w:rPr>
                        <w:t xml:space="preserve"> of digital platform workers</w:t>
                      </w:r>
                      <w:r w:rsidR="00622EE3" w:rsidRPr="00573634">
                        <w:rPr>
                          <w:sz w:val="20"/>
                          <w:szCs w:val="20"/>
                        </w:rPr>
                        <w:t xml:space="preserve">, which is the proportion of survey respondents who had engaged via MadPaws, </w:t>
                      </w:r>
                      <w:r w:rsidR="001A60AE" w:rsidRPr="00573634">
                        <w:rPr>
                          <w:sz w:val="20"/>
                          <w:szCs w:val="20"/>
                        </w:rPr>
                        <w:t>a pet sitting platform. This results in an estimate of 2.5 per cent of digital platform workers</w:t>
                      </w:r>
                      <w:r w:rsidR="007318E9" w:rsidRPr="00573634">
                        <w:rPr>
                          <w:sz w:val="20"/>
                          <w:szCs w:val="20"/>
                        </w:rPr>
                        <w:t xml:space="preserve"> who perform ‘caring’ work</w:t>
                      </w:r>
                      <w:r w:rsidR="001A60AE" w:rsidRPr="00573634">
                        <w:rPr>
                          <w:sz w:val="20"/>
                          <w:szCs w:val="20"/>
                        </w:rPr>
                        <w:t>, or 16,300 workers</w:t>
                      </w:r>
                      <w:r w:rsidR="007318E9" w:rsidRPr="00573634">
                        <w:rPr>
                          <w:sz w:val="20"/>
                          <w:szCs w:val="20"/>
                        </w:rPr>
                        <w:t xml:space="preserve">. </w:t>
                      </w:r>
                      <w:r w:rsidR="001A60AE" w:rsidRPr="00573634">
                        <w:rPr>
                          <w:sz w:val="20"/>
                          <w:szCs w:val="20"/>
                        </w:rPr>
                        <w:t>Mable</w:t>
                      </w:r>
                      <w:r w:rsidR="007318E9" w:rsidRPr="00573634" w:rsidDel="00D8342F">
                        <w:rPr>
                          <w:sz w:val="20"/>
                          <w:szCs w:val="20"/>
                        </w:rPr>
                        <w:t xml:space="preserve"> </w:t>
                      </w:r>
                      <w:r w:rsidR="007318E9" w:rsidRPr="00573634">
                        <w:rPr>
                          <w:sz w:val="20"/>
                          <w:szCs w:val="20"/>
                        </w:rPr>
                        <w:t xml:space="preserve">estimated </w:t>
                      </w:r>
                      <w:r w:rsidR="00D8342F" w:rsidRPr="00573634">
                        <w:rPr>
                          <w:sz w:val="20"/>
                          <w:szCs w:val="20"/>
                        </w:rPr>
                        <w:t>its</w:t>
                      </w:r>
                      <w:r w:rsidR="001A60AE" w:rsidRPr="00573634">
                        <w:rPr>
                          <w:sz w:val="20"/>
                          <w:szCs w:val="20"/>
                        </w:rPr>
                        <w:t xml:space="preserve"> own </w:t>
                      </w:r>
                      <w:r w:rsidR="007318E9" w:rsidRPr="00573634">
                        <w:rPr>
                          <w:sz w:val="20"/>
                          <w:szCs w:val="20"/>
                        </w:rPr>
                        <w:t>workforce size at</w:t>
                      </w:r>
                      <w:r w:rsidR="001A60AE" w:rsidRPr="00573634">
                        <w:rPr>
                          <w:sz w:val="20"/>
                          <w:szCs w:val="20"/>
                        </w:rPr>
                        <w:t xml:space="preserve"> 10,000 workers in 2021</w:t>
                      </w:r>
                      <w:r w:rsidR="007318E9" w:rsidRPr="00573634">
                        <w:rPr>
                          <w:sz w:val="20"/>
                          <w:szCs w:val="20"/>
                        </w:rPr>
                        <w:t>.</w:t>
                      </w:r>
                      <w:r w:rsidR="006D6146" w:rsidRPr="00573634">
                        <w:rPr>
                          <w:sz w:val="20"/>
                          <w:szCs w:val="20"/>
                        </w:rPr>
                        <w:t>*</w:t>
                      </w:r>
                      <w:r w:rsidR="00BA6299" w:rsidRPr="00573634">
                        <w:rPr>
                          <w:sz w:val="20"/>
                          <w:szCs w:val="20"/>
                        </w:rPr>
                        <w:t xml:space="preserve"> After considering that there a</w:t>
                      </w:r>
                      <w:r w:rsidR="00750517" w:rsidRPr="00573634">
                        <w:rPr>
                          <w:sz w:val="20"/>
                          <w:szCs w:val="20"/>
                        </w:rPr>
                        <w:t xml:space="preserve">re other </w:t>
                      </w:r>
                      <w:r w:rsidR="00EE65AE" w:rsidRPr="00573634">
                        <w:rPr>
                          <w:sz w:val="20"/>
                          <w:szCs w:val="20"/>
                        </w:rPr>
                        <w:t xml:space="preserve">digital platforms operating in this sector, </w:t>
                      </w:r>
                      <w:r w:rsidR="001052CC" w:rsidRPr="00573634">
                        <w:rPr>
                          <w:sz w:val="20"/>
                          <w:szCs w:val="20"/>
                        </w:rPr>
                        <w:t xml:space="preserve">and that </w:t>
                      </w:r>
                      <w:r w:rsidR="00B86BD9" w:rsidRPr="00573634">
                        <w:rPr>
                          <w:sz w:val="20"/>
                          <w:szCs w:val="20"/>
                        </w:rPr>
                        <w:t xml:space="preserve">some workers are likely to use multiple platforms to seek work, this </w:t>
                      </w:r>
                      <w:r w:rsidR="00D8342F" w:rsidRPr="00573634">
                        <w:rPr>
                          <w:sz w:val="20"/>
                          <w:szCs w:val="20"/>
                        </w:rPr>
                        <w:t xml:space="preserve">estimate </w:t>
                      </w:r>
                      <w:r w:rsidR="00C21E56" w:rsidRPr="00573634">
                        <w:rPr>
                          <w:sz w:val="20"/>
                          <w:szCs w:val="20"/>
                        </w:rPr>
                        <w:t xml:space="preserve">appears to </w:t>
                      </w:r>
                      <w:r w:rsidR="00816F5E" w:rsidRPr="00573634">
                        <w:rPr>
                          <w:sz w:val="20"/>
                          <w:szCs w:val="20"/>
                        </w:rPr>
                        <w:t xml:space="preserve">be </w:t>
                      </w:r>
                      <w:r w:rsidR="004E3124" w:rsidRPr="00573634">
                        <w:rPr>
                          <w:sz w:val="20"/>
                          <w:szCs w:val="20"/>
                        </w:rPr>
                        <w:t xml:space="preserve">consistent with </w:t>
                      </w:r>
                      <w:r w:rsidR="007C2552" w:rsidRPr="00573634">
                        <w:rPr>
                          <w:sz w:val="20"/>
                          <w:szCs w:val="20"/>
                        </w:rPr>
                        <w:t xml:space="preserve">the Mable </w:t>
                      </w:r>
                      <w:r w:rsidR="00AB6A2A" w:rsidRPr="00573634">
                        <w:rPr>
                          <w:sz w:val="20"/>
                          <w:szCs w:val="20"/>
                        </w:rPr>
                        <w:t xml:space="preserve">data. </w:t>
                      </w:r>
                      <w:r w:rsidR="004E3124" w:rsidRPr="00573634">
                        <w:rPr>
                          <w:sz w:val="20"/>
                          <w:szCs w:val="20"/>
                        </w:rPr>
                        <w:t xml:space="preserve"> </w:t>
                      </w:r>
                      <w:r w:rsidR="006D6146">
                        <w:br/>
                      </w:r>
                      <w:r w:rsidR="00E57120">
                        <w:rPr>
                          <w:sz w:val="18"/>
                          <w:szCs w:val="18"/>
                        </w:rPr>
                        <w:br/>
                      </w:r>
                      <w:r w:rsidR="006D6146" w:rsidRPr="00F9171A">
                        <w:rPr>
                          <w:sz w:val="18"/>
                          <w:szCs w:val="18"/>
                        </w:rPr>
                        <w:t>*</w:t>
                      </w:r>
                      <w:r w:rsidR="006D6146">
                        <w:rPr>
                          <w:sz w:val="18"/>
                          <w:szCs w:val="18"/>
                        </w:rPr>
                        <w:t xml:space="preserve">Mable Technologies, ‘Pre-Budget 2021 Submission’, </w:t>
                      </w:r>
                      <w:r w:rsidR="000C1FE2">
                        <w:rPr>
                          <w:sz w:val="18"/>
                          <w:szCs w:val="18"/>
                        </w:rPr>
                        <w:t>2021</w:t>
                      </w:r>
                      <w:r w:rsidR="007637A5">
                        <w:rPr>
                          <w:sz w:val="18"/>
                          <w:szCs w:val="18"/>
                        </w:rPr>
                        <w:t xml:space="preserve">, </w:t>
                      </w:r>
                      <w:hyperlink r:id="rId27" w:history="1">
                        <w:r w:rsidR="007637A5" w:rsidRPr="006A3475">
                          <w:rPr>
                            <w:rStyle w:val="Hyperlink"/>
                            <w:sz w:val="18"/>
                            <w:szCs w:val="18"/>
                          </w:rPr>
                          <w:t>https://treasury.gov.au/sites/default/files/2021-05/171663_mable_technologies_0.pdf</w:t>
                        </w:r>
                      </w:hyperlink>
                      <w:r w:rsidR="007637A5">
                        <w:rPr>
                          <w:sz w:val="18"/>
                          <w:szCs w:val="18"/>
                        </w:rPr>
                        <w:t xml:space="preserve">. </w:t>
                      </w:r>
                    </w:p>
                    <w:p w14:paraId="1E8E9DC0" w14:textId="0CE4D5AA" w:rsidR="00E3100C" w:rsidRPr="00A723FE" w:rsidRDefault="00E3100C" w:rsidP="00630860"/>
                  </w:txbxContent>
                </v:textbox>
                <w10:wrap type="square" anchorx="margin"/>
              </v:shape>
            </w:pict>
          </mc:Fallback>
        </mc:AlternateContent>
      </w:r>
      <w:r w:rsidR="00657439">
        <w:t>Digital platform workers</w:t>
      </w:r>
    </w:p>
    <w:p w14:paraId="338CCC3C" w14:textId="34BD13FF" w:rsidR="00E3100C" w:rsidRPr="00E3100C" w:rsidRDefault="00E3100C" w:rsidP="00E3100C">
      <w:pPr>
        <w:pStyle w:val="Heading4"/>
      </w:pPr>
      <w:r w:rsidRPr="00E3100C">
        <w:t>Road transport workers</w:t>
      </w:r>
    </w:p>
    <w:p w14:paraId="3B83E5B3" w14:textId="5BEABB3F" w:rsidR="00E3100C" w:rsidRDefault="00E3100C" w:rsidP="00E3100C">
      <w:r w:rsidRPr="00E3100C">
        <w:rPr>
          <w:noProof/>
          <w:lang w:eastAsia="en-AU"/>
        </w:rPr>
        <mc:AlternateContent>
          <mc:Choice Requires="wps">
            <w:drawing>
              <wp:inline distT="0" distB="0" distL="0" distR="0" wp14:anchorId="3EED9A4F" wp14:editId="2B7243F8">
                <wp:extent cx="5786967" cy="2733675"/>
                <wp:effectExtent l="0" t="0" r="4445" b="9525"/>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967" cy="2733675"/>
                        </a:xfrm>
                        <a:prstGeom prst="rect">
                          <a:avLst/>
                        </a:prstGeom>
                        <a:solidFill>
                          <a:srgbClr val="789B4A">
                            <a:alpha val="30196"/>
                          </a:srgbClr>
                        </a:solidFill>
                        <a:ln w="9525">
                          <a:noFill/>
                          <a:miter lim="800000"/>
                          <a:headEnd/>
                          <a:tailEnd/>
                        </a:ln>
                      </wps:spPr>
                      <wps:txbx>
                        <w:txbxContent>
                          <w:p w14:paraId="1A6DB0C2" w14:textId="77777777" w:rsidR="00E3100C" w:rsidRPr="0075540C" w:rsidRDefault="00E3100C" w:rsidP="00E3100C">
                            <w:pPr>
                              <w:rPr>
                                <w:b/>
                                <w:bCs/>
                              </w:rPr>
                            </w:pPr>
                            <w:r>
                              <w:rPr>
                                <w:b/>
                                <w:bCs/>
                              </w:rPr>
                              <w:t xml:space="preserve">Scenario 3 - Last-mile delivery workers </w:t>
                            </w:r>
                          </w:p>
                          <w:p w14:paraId="7D22B20D" w14:textId="77777777" w:rsidR="00E3100C" w:rsidRPr="00573634" w:rsidRDefault="00E3100C" w:rsidP="00E3100C">
                            <w:pPr>
                              <w:rPr>
                                <w:b/>
                                <w:bCs/>
                                <w:i/>
                                <w:iCs/>
                                <w:sz w:val="20"/>
                                <w:szCs w:val="20"/>
                              </w:rPr>
                            </w:pPr>
                            <w:r w:rsidRPr="00573634">
                              <w:rPr>
                                <w:b/>
                                <w:bCs/>
                                <w:i/>
                                <w:iCs/>
                                <w:sz w:val="20"/>
                                <w:szCs w:val="20"/>
                              </w:rPr>
                              <w:t>Estimated cohort size – 19,100</w:t>
                            </w:r>
                          </w:p>
                          <w:p w14:paraId="3715AA0A" w14:textId="7F40C8A2" w:rsidR="00E3100C" w:rsidRPr="00573634" w:rsidRDefault="00E3100C" w:rsidP="00E3100C">
                            <w:pPr>
                              <w:rPr>
                                <w:sz w:val="20"/>
                                <w:szCs w:val="20"/>
                              </w:rPr>
                            </w:pPr>
                            <w:r w:rsidRPr="00573634">
                              <w:rPr>
                                <w:sz w:val="20"/>
                                <w:szCs w:val="20"/>
                              </w:rPr>
                              <w:t>Unlike digital platform gig workers, data on these workers is available from the ABS. They are part of the Transport, postal and warehousing industry (ANZSIC category I) which employed 698,200 people in August 2022 (5.2 per cent of all workers). The Postal and courier pick-up and delivery services sub-industry employed 99,000 workers, of which 19,100 were independent contractors. As in the estimat</w:t>
                            </w:r>
                            <w:r w:rsidR="00B0452B">
                              <w:rPr>
                                <w:sz w:val="20"/>
                                <w:szCs w:val="20"/>
                              </w:rPr>
                              <w:t>es</w:t>
                            </w:r>
                            <w:r w:rsidRPr="00573634">
                              <w:rPr>
                                <w:sz w:val="20"/>
                                <w:szCs w:val="20"/>
                              </w:rPr>
                              <w:t xml:space="preserve"> above, not all independent contractors will be impacted by the proposed changes and as such, this figure is an upper limit of those affected by the policy.</w:t>
                            </w:r>
                          </w:p>
                          <w:p w14:paraId="22A2DE91" w14:textId="1296B053" w:rsidR="00E3100C" w:rsidRPr="00A723FE" w:rsidRDefault="00E135AC" w:rsidP="00E3100C">
                            <w:r w:rsidRPr="00573634">
                              <w:rPr>
                                <w:sz w:val="20"/>
                                <w:szCs w:val="20"/>
                              </w:rPr>
                              <w:t>The department has identified the ‘last mile courier’ sector as a likely area of action for mandatory standards. This assumption is due to its competition with parts of the gig economy</w:t>
                            </w:r>
                            <w:r w:rsidR="00783071">
                              <w:rPr>
                                <w:sz w:val="20"/>
                                <w:szCs w:val="20"/>
                              </w:rPr>
                              <w:t xml:space="preserve">, in addition to feedback from road transport stakeholders during consultation that </w:t>
                            </w:r>
                            <w:r w:rsidR="00CE39E4">
                              <w:rPr>
                                <w:sz w:val="20"/>
                                <w:szCs w:val="20"/>
                              </w:rPr>
                              <w:t xml:space="preserve">there may be a higher proportion of contractors with low bargaining power in this sector. </w:t>
                            </w:r>
                            <w:r w:rsidRPr="00573634">
                              <w:rPr>
                                <w:sz w:val="20"/>
                                <w:szCs w:val="20"/>
                              </w:rPr>
                              <w:t xml:space="preserve"> </w:t>
                            </w:r>
                          </w:p>
                        </w:txbxContent>
                      </wps:txbx>
                      <wps:bodyPr rot="0" vert="horz" wrap="square" lIns="91440" tIns="45720" rIns="91440" bIns="45720" anchor="t" anchorCtr="0">
                        <a:noAutofit/>
                      </wps:bodyPr>
                    </wps:wsp>
                  </a:graphicData>
                </a:graphic>
              </wp:inline>
            </w:drawing>
          </mc:Choice>
          <mc:Fallback>
            <w:pict>
              <v:shape w14:anchorId="3EED9A4F" id="Text Box 10" o:spid="_x0000_s1029" type="#_x0000_t202" style="width:455.65pt;height:2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" fillcolor="#789b4a" stroked="f">
                <v:fill opacity="19789f"/>
                <v:textbox>
                  <w:txbxContent>
                    <w:p w14:paraId="1A6DB0C2" w14:textId="77777777" w:rsidR="00E3100C" w:rsidRPr="0075540C" w:rsidRDefault="00E3100C" w:rsidP="00E3100C">
                      <w:pPr>
                        <w:rPr>
                          <w:b/>
                          <w:bCs/>
                        </w:rPr>
                      </w:pPr>
                      <w:r>
                        <w:rPr>
                          <w:b/>
                          <w:bCs/>
                        </w:rPr>
                        <w:t xml:space="preserve">Scenario 3 - Last-mile delivery workers </w:t>
                      </w:r>
                    </w:p>
                    <w:p w14:paraId="7D22B20D" w14:textId="77777777" w:rsidR="00E3100C" w:rsidRPr="00573634" w:rsidRDefault="00E3100C" w:rsidP="00E3100C">
                      <w:pPr>
                        <w:rPr>
                          <w:b/>
                          <w:bCs/>
                          <w:i/>
                          <w:iCs/>
                          <w:sz w:val="20"/>
                          <w:szCs w:val="20"/>
                        </w:rPr>
                      </w:pPr>
                      <w:r w:rsidRPr="00573634">
                        <w:rPr>
                          <w:b/>
                          <w:bCs/>
                          <w:i/>
                          <w:iCs/>
                          <w:sz w:val="20"/>
                          <w:szCs w:val="20"/>
                        </w:rPr>
                        <w:t>Estimated cohort size – 19,100</w:t>
                      </w:r>
                    </w:p>
                    <w:p w14:paraId="3715AA0A" w14:textId="7F40C8A2" w:rsidR="00E3100C" w:rsidRPr="00573634" w:rsidRDefault="00E3100C" w:rsidP="00E3100C">
                      <w:pPr>
                        <w:rPr>
                          <w:sz w:val="20"/>
                          <w:szCs w:val="20"/>
                        </w:rPr>
                      </w:pPr>
                      <w:r w:rsidRPr="00573634">
                        <w:rPr>
                          <w:sz w:val="20"/>
                          <w:szCs w:val="20"/>
                        </w:rPr>
                        <w:t>Unlike digital platform gig workers, data on these workers is available from the ABS. They are part of the Transport, postal and warehousing industry (ANZSIC category I) which employed 698,200 people in August 2022 (5.2 per cent of all workers). The Postal and courier pick-up and delivery services sub-industry employed 99,000 workers, of which 19,100 were independent contractors. As in the estimat</w:t>
                      </w:r>
                      <w:r w:rsidR="00B0452B">
                        <w:rPr>
                          <w:sz w:val="20"/>
                          <w:szCs w:val="20"/>
                        </w:rPr>
                        <w:t>es</w:t>
                      </w:r>
                      <w:r w:rsidRPr="00573634">
                        <w:rPr>
                          <w:sz w:val="20"/>
                          <w:szCs w:val="20"/>
                        </w:rPr>
                        <w:t xml:space="preserve"> above, not all independent contractors will be impacted by the proposed changes and as such, this figure is an upper limit of those affected by the policy.</w:t>
                      </w:r>
                    </w:p>
                    <w:p w14:paraId="22A2DE91" w14:textId="1296B053" w:rsidR="00E3100C" w:rsidRPr="00A723FE" w:rsidRDefault="00E135AC" w:rsidP="00E3100C">
                      <w:r w:rsidRPr="00573634">
                        <w:rPr>
                          <w:sz w:val="20"/>
                          <w:szCs w:val="20"/>
                        </w:rPr>
                        <w:t>The department has identified the ‘last mile courier’ sector as a likely area of action for mandatory standards. This assumption is due to its competition with parts of the gig economy</w:t>
                      </w:r>
                      <w:r w:rsidR="00783071">
                        <w:rPr>
                          <w:sz w:val="20"/>
                          <w:szCs w:val="20"/>
                        </w:rPr>
                        <w:t xml:space="preserve">, in addition to feedback from road transport stakeholders during consultation that </w:t>
                      </w:r>
                      <w:r w:rsidR="00CE39E4">
                        <w:rPr>
                          <w:sz w:val="20"/>
                          <w:szCs w:val="20"/>
                        </w:rPr>
                        <w:t xml:space="preserve">there may be a higher proportion of contractors with low bargaining power in this sector. </w:t>
                      </w:r>
                      <w:r w:rsidRPr="00573634">
                        <w:rPr>
                          <w:sz w:val="20"/>
                          <w:szCs w:val="20"/>
                        </w:rPr>
                        <w:t xml:space="preserve"> </w:t>
                      </w:r>
                    </w:p>
                  </w:txbxContent>
                </v:textbox>
                <w10:anchorlock/>
              </v:shape>
            </w:pict>
          </mc:Fallback>
        </mc:AlternateContent>
      </w:r>
    </w:p>
    <w:p w14:paraId="7A6D144A" w14:textId="165092D9" w:rsidR="00AA7D56" w:rsidRPr="00F9171A" w:rsidRDefault="00AA7D56" w:rsidP="00F60F5C">
      <w:pPr>
        <w:pStyle w:val="Heading3"/>
      </w:pPr>
      <w:bookmarkStart w:id="58" w:name="_Toc139295567"/>
      <w:r w:rsidRPr="00F9171A">
        <w:t>Option 1: Status quo</w:t>
      </w:r>
      <w:bookmarkEnd w:id="58"/>
    </w:p>
    <w:p w14:paraId="02D26EC9" w14:textId="48990CBC" w:rsidR="005D1465" w:rsidRPr="005D1465" w:rsidRDefault="00A7459C" w:rsidP="000F3B11">
      <w:r>
        <w:t>The</w:t>
      </w:r>
      <w:r w:rsidR="006D18B6">
        <w:t xml:space="preserve"> </w:t>
      </w:r>
      <w:r w:rsidR="00012180">
        <w:t>minimum standards</w:t>
      </w:r>
      <w:r>
        <w:t xml:space="preserve"> </w:t>
      </w:r>
      <w:r w:rsidR="0069306E">
        <w:t xml:space="preserve">options </w:t>
      </w:r>
      <w:r>
        <w:t>propose</w:t>
      </w:r>
      <w:r w:rsidR="00012180">
        <w:t xml:space="preserve"> </w:t>
      </w:r>
      <w:r>
        <w:t>introducing</w:t>
      </w:r>
      <w:r w:rsidR="006D18B6">
        <w:t xml:space="preserve"> minimum standards for</w:t>
      </w:r>
      <w:r w:rsidR="00EF1958">
        <w:t xml:space="preserve"> employee-like</w:t>
      </w:r>
      <w:r w:rsidR="006D18B6">
        <w:t xml:space="preserve"> digital </w:t>
      </w:r>
      <w:r w:rsidR="006D18B6" w:rsidRPr="004B4F63">
        <w:rPr>
          <w:rStyle w:val="normaltextrun"/>
          <w:rFonts w:eastAsiaTheme="minorEastAsia"/>
          <w:lang w:val="en-GB"/>
        </w:rPr>
        <w:t>platform</w:t>
      </w:r>
      <w:r w:rsidR="006D18B6">
        <w:t xml:space="preserve"> workers </w:t>
      </w:r>
      <w:r>
        <w:t>and</w:t>
      </w:r>
      <w:r w:rsidR="006D18B6">
        <w:t xml:space="preserve"> </w:t>
      </w:r>
      <w:r w:rsidR="00012180">
        <w:t>independent contractors in the road transport industry</w:t>
      </w:r>
      <w:r w:rsidR="00BB16E0">
        <w:t>, and to</w:t>
      </w:r>
      <w:r w:rsidR="00135B49">
        <w:t xml:space="preserve"> include</w:t>
      </w:r>
      <w:r w:rsidR="00BB16E0">
        <w:t xml:space="preserve"> </w:t>
      </w:r>
      <w:r w:rsidR="008A4BB0">
        <w:t>an interpretive principle in the Fair Work Act applying to determining the meaning of ‘employee’ and ‘employ</w:t>
      </w:r>
      <w:r w:rsidR="00581FD7">
        <w:t>ment</w:t>
      </w:r>
      <w:r w:rsidR="008A4BB0">
        <w:t>’</w:t>
      </w:r>
      <w:r w:rsidR="00012180">
        <w:t>. The impacts in th</w:t>
      </w:r>
      <w:r w:rsidR="00B208EB">
        <w:t xml:space="preserve">is option consider the status quo in relation to these measures. </w:t>
      </w:r>
      <w:r w:rsidR="0042647F">
        <w:t xml:space="preserve"> </w:t>
      </w:r>
    </w:p>
    <w:p w14:paraId="5B09A6CD" w14:textId="7AEF0185" w:rsidR="005D1465" w:rsidRPr="003F2ACC" w:rsidRDefault="00E2398F" w:rsidP="00D2146D">
      <w:pPr>
        <w:pStyle w:val="Heading4"/>
        <w:spacing w:after="200"/>
      </w:pPr>
      <w:r>
        <w:t xml:space="preserve">Digital platform </w:t>
      </w:r>
      <w:r w:rsidR="007857B5">
        <w:t xml:space="preserve">economy </w:t>
      </w:r>
    </w:p>
    <w:p w14:paraId="673B38CE" w14:textId="2427C38B" w:rsidR="008B3910" w:rsidRDefault="00197A2F" w:rsidP="008B3910">
      <w:r>
        <w:t>T</w:t>
      </w:r>
      <w:r w:rsidR="008B3910">
        <w:t>here are no existing minimum standards applying to digital platform workers</w:t>
      </w:r>
      <w:r>
        <w:t xml:space="preserve">. </w:t>
      </w:r>
      <w:r w:rsidR="00A45D88">
        <w:t>However, the state</w:t>
      </w:r>
      <w:r w:rsidR="00C3428C">
        <w:t xml:space="preserve"> </w:t>
      </w:r>
      <w:r w:rsidR="00A45D88">
        <w:t xml:space="preserve">-based </w:t>
      </w:r>
      <w:r w:rsidR="00A45D88" w:rsidRPr="004B4F63">
        <w:rPr>
          <w:rStyle w:val="normaltextrun"/>
          <w:rFonts w:eastAsiaTheme="minorEastAsia"/>
          <w:lang w:val="en-GB"/>
        </w:rPr>
        <w:t>regulation</w:t>
      </w:r>
      <w:r w:rsidR="00A45D88">
        <w:t xml:space="preserve"> </w:t>
      </w:r>
      <w:r w:rsidR="007E29C5">
        <w:t xml:space="preserve">of road transport and/or digital platform work described in section 3 means that there is an existing regulatory burden in relevant states. This regulatory burden is expected to be the greatest for businesses that operate across multiple states </w:t>
      </w:r>
      <w:r w:rsidR="0093266F">
        <w:t xml:space="preserve">and which must comply with multiple regulations. </w:t>
      </w:r>
    </w:p>
    <w:p w14:paraId="1D39F06D" w14:textId="5A78251B" w:rsidR="00B47155" w:rsidRPr="000D1BE9" w:rsidRDefault="00347748" w:rsidP="00D2146D">
      <w:pPr>
        <w:pStyle w:val="Heading5"/>
        <w:spacing w:after="200"/>
      </w:pPr>
      <w:r>
        <w:t>Pay rates</w:t>
      </w:r>
    </w:p>
    <w:p w14:paraId="4715EDB9" w14:textId="046D4D2A" w:rsidR="00CC24D4" w:rsidRPr="00CC24D4" w:rsidRDefault="00CC24D4" w:rsidP="00CC24D4">
      <w:r w:rsidRPr="00CC24D4">
        <w:t xml:space="preserve">There is limited data available from the ABS on the earnings of independent contractors. The Victorian </w:t>
      </w:r>
      <w:r w:rsidR="004006E2">
        <w:t>National Survey</w:t>
      </w:r>
      <w:r w:rsidRPr="00CC24D4">
        <w:t xml:space="preserve"> includes evidence on earnings for digital platform workers. It is worth noting that </w:t>
      </w:r>
      <w:r w:rsidRPr="004B4F63">
        <w:rPr>
          <w:rStyle w:val="normaltextrun"/>
          <w:rFonts w:eastAsiaTheme="minorEastAsia"/>
          <w:lang w:val="en-GB"/>
        </w:rPr>
        <w:t>the</w:t>
      </w:r>
      <w:r w:rsidRPr="00CC24D4">
        <w:t xml:space="preserve"> payment structure for digital platform workers tends to be quite different to a traditional employment payment design, with 59.0 per cent of current platform workers reporting that they are paid by completed task or job, 22.0 per cent being paid for the time or hours they work, 5.1 per cent receiving a fixed daily/weekly/monthly income and 7.6 per cent being paid by some combination of some or all of the above.</w:t>
      </w:r>
      <w:r w:rsidRPr="00CC24D4">
        <w:rPr>
          <w:rStyle w:val="FootnoteReference"/>
        </w:rPr>
        <w:footnoteReference w:id="95"/>
      </w:r>
      <w:r w:rsidRPr="00CC24D4">
        <w:t xml:space="preserve"> Current platform workers were also asked to estimate approximately how much per hour they usually got paid for tasks undertaken through their main digital platform, but a significant proportion (40.0 per cent) answered ‘I don’t know’ to this question.</w:t>
      </w:r>
      <w:r w:rsidRPr="00CC24D4">
        <w:rPr>
          <w:rStyle w:val="FootnoteReference"/>
        </w:rPr>
        <w:footnoteReference w:id="96"/>
      </w:r>
      <w:r w:rsidRPr="00CC24D4">
        <w:t xml:space="preserve"> As such, the following earnings data should be treated with caution as a significant proportion of platform workers were unable to estimate their earnings, and it is unclear whether this group </w:t>
      </w:r>
      <w:r w:rsidRPr="004B4F63">
        <w:rPr>
          <w:rStyle w:val="normaltextrun"/>
          <w:rFonts w:eastAsiaTheme="minorEastAsia"/>
          <w:lang w:val="en-GB"/>
        </w:rPr>
        <w:t>may</w:t>
      </w:r>
      <w:r w:rsidRPr="00CC24D4">
        <w:t xml:space="preserve"> have skewed the average earnings up or down.</w:t>
      </w:r>
    </w:p>
    <w:p w14:paraId="2F4DBBC8" w14:textId="7DDABB11" w:rsidR="00CC24D4" w:rsidRPr="00CC24D4" w:rsidRDefault="00CC24D4" w:rsidP="00CC24D4">
      <w:r w:rsidRPr="00CC24D4">
        <w:t xml:space="preserve">For those current platform workers who estimated their hourly income, the median response for pre-tax </w:t>
      </w:r>
      <w:r w:rsidRPr="004B4F63">
        <w:rPr>
          <w:rStyle w:val="normaltextrun"/>
          <w:rFonts w:eastAsiaTheme="minorEastAsia"/>
          <w:lang w:val="en-GB"/>
        </w:rPr>
        <w:t>dollars</w:t>
      </w:r>
      <w:r w:rsidRPr="00CC24D4">
        <w:t xml:space="preserve"> was $25.00 and the mean was $32.16.</w:t>
      </w:r>
      <w:r w:rsidRPr="00CC24D4">
        <w:rPr>
          <w:rStyle w:val="FootnoteReference"/>
        </w:rPr>
        <w:footnoteReference w:id="97"/>
      </w:r>
    </w:p>
    <w:p w14:paraId="5429BEDF" w14:textId="5FC44C1B" w:rsidR="00CC24D4" w:rsidRPr="00CC24D4" w:rsidRDefault="00CC24D4" w:rsidP="00CC24D4">
      <w:r w:rsidRPr="00CC24D4">
        <w:t xml:space="preserve">For transport and food delivery workers, the trimmed mean hourly rate was $22.19. For care workers, the trimmed mean hourly rate was $21.60. For comparison, at the time of the survey the </w:t>
      </w:r>
      <w:r w:rsidR="001A5F8F">
        <w:t xml:space="preserve">casual </w:t>
      </w:r>
      <w:r w:rsidRPr="00CC24D4">
        <w:t xml:space="preserve">National Minimum Wage </w:t>
      </w:r>
      <w:r w:rsidR="001A5F8F">
        <w:t>rate</w:t>
      </w:r>
      <w:r w:rsidRPr="00CC24D4">
        <w:t xml:space="preserve"> was $</w:t>
      </w:r>
      <w:r w:rsidR="001A5F8F">
        <w:t>23</w:t>
      </w:r>
      <w:r w:rsidRPr="00CC24D4">
        <w:t>.</w:t>
      </w:r>
      <w:r w:rsidR="001A5F8F">
        <w:t>66</w:t>
      </w:r>
      <w:r w:rsidRPr="00CC24D4">
        <w:t>.</w:t>
      </w:r>
    </w:p>
    <w:p w14:paraId="608C5B55" w14:textId="70208459" w:rsidR="00CC24D4" w:rsidRPr="00CC24D4" w:rsidRDefault="00CC24D4" w:rsidP="00CC24D4">
      <w:pPr>
        <w:rPr>
          <w:u w:val="single"/>
        </w:rPr>
      </w:pPr>
      <w:r w:rsidRPr="00CC24D4">
        <w:t xml:space="preserve">During consultation, stakeholders raised concerns about digital platform workers generally earning less than </w:t>
      </w:r>
      <w:r w:rsidRPr="004B4F63">
        <w:rPr>
          <w:rStyle w:val="normaltextrun"/>
          <w:rFonts w:eastAsiaTheme="minorEastAsia"/>
          <w:lang w:val="en-GB"/>
        </w:rPr>
        <w:t>they</w:t>
      </w:r>
      <w:r w:rsidRPr="00CC24D4">
        <w:t xml:space="preserve"> would if they were employees performing similar work. </w:t>
      </w:r>
      <w:r w:rsidR="10B11D82">
        <w:t xml:space="preserve"> </w:t>
      </w:r>
      <w:r w:rsidRPr="00CC24D4">
        <w:t xml:space="preserve">For these </w:t>
      </w:r>
      <w:r w:rsidR="00292443">
        <w:t>3</w:t>
      </w:r>
      <w:r w:rsidRPr="00CC24D4">
        <w:t xml:space="preserve"> types of work, the award rates for a casual employee as at April 2019 (the time of the Vi</w:t>
      </w:r>
      <w:r w:rsidR="00292443">
        <w:t>c</w:t>
      </w:r>
      <w:r w:rsidRPr="00CC24D4">
        <w:t xml:space="preserve">torian </w:t>
      </w:r>
      <w:r w:rsidR="00671CA4">
        <w:t>National Survey</w:t>
      </w:r>
      <w:r w:rsidRPr="00CC24D4">
        <w:t>) were all above the average hourly rates reported by digital platform workers. These are averages and do not reflect the individual situations of every worker – but on average, digital platforms are likely to be worse off than if they were entitled to minimum rates of pay set at a level similar to the casual hourly rate under the relevant award. Conversely, the status quo appears to have an economic benefit to digital platform businesses, who pay lower labour costs than if they were an employer and were bound by the relevant award.</w:t>
      </w:r>
      <w:r w:rsidR="007722E3">
        <w:t xml:space="preserve"> The department has estimated the cost of </w:t>
      </w:r>
      <w:r w:rsidR="001B3DFA">
        <w:t xml:space="preserve">increasing the wage to the relevant award rate under Option 2. </w:t>
      </w:r>
    </w:p>
    <w:p w14:paraId="4D67DC60" w14:textId="7C81B471" w:rsidR="00347748" w:rsidRDefault="00347748" w:rsidP="00D2146D">
      <w:pPr>
        <w:pStyle w:val="Heading5"/>
        <w:spacing w:after="200"/>
      </w:pPr>
      <w:r>
        <w:t>Prevalence of ‘deactivations’</w:t>
      </w:r>
    </w:p>
    <w:p w14:paraId="4640115D" w14:textId="0089E820" w:rsidR="00B115A8" w:rsidRPr="00322346" w:rsidRDefault="00347748" w:rsidP="00E10622">
      <w:pPr>
        <w:pStyle w:val="BodyText"/>
        <w:spacing w:before="120" w:line="276" w:lineRule="auto"/>
        <w:rPr>
          <w:sz w:val="22"/>
          <w:szCs w:val="22"/>
        </w:rPr>
      </w:pPr>
      <w:r w:rsidRPr="00E86A62">
        <w:rPr>
          <w:rFonts w:cstheme="minorHAnsi"/>
          <w:sz w:val="22"/>
          <w:szCs w:val="22"/>
        </w:rPr>
        <w:t>D</w:t>
      </w:r>
      <w:r>
        <w:rPr>
          <w:rFonts w:cstheme="minorHAnsi"/>
          <w:sz w:val="22"/>
          <w:szCs w:val="22"/>
        </w:rPr>
        <w:t xml:space="preserve">igital </w:t>
      </w:r>
      <w:r w:rsidRPr="00F9171A">
        <w:rPr>
          <w:rStyle w:val="normaltextrun"/>
          <w:rFonts w:cstheme="minorHAnsi"/>
          <w:color w:val="262626"/>
          <w:sz w:val="22"/>
          <w:szCs w:val="22"/>
          <w:shd w:val="clear" w:color="auto" w:fill="FFFFFF"/>
          <w:lang w:val="en-GB"/>
        </w:rPr>
        <w:t>platform workers can have their access to a digital platform ‘deactivated’ without notice and with limited avenues to dispute the action.</w:t>
      </w:r>
      <w:r w:rsidRPr="00F9171A">
        <w:rPr>
          <w:rStyle w:val="FootnoteReference"/>
          <w:rFonts w:cstheme="minorHAnsi"/>
          <w:color w:val="262626"/>
          <w:sz w:val="22"/>
          <w:szCs w:val="22"/>
          <w:shd w:val="clear" w:color="auto" w:fill="FFFFFF"/>
          <w:lang w:val="en-GB"/>
        </w:rPr>
        <w:footnoteReference w:id="98"/>
      </w:r>
      <w:r w:rsidRPr="00F73C47">
        <w:rPr>
          <w:rStyle w:val="normaltextrun"/>
          <w:rFonts w:ascii="Calibri" w:hAnsi="Calibri" w:cs="Calibri"/>
          <w:color w:val="262626"/>
          <w:sz w:val="22"/>
          <w:szCs w:val="22"/>
          <w:shd w:val="clear" w:color="auto" w:fill="FFFFFF"/>
          <w:lang w:val="en-GB"/>
        </w:rPr>
        <w:t xml:space="preserve"> </w:t>
      </w:r>
      <w:r w:rsidR="00503FB5" w:rsidRPr="00B646AD">
        <w:rPr>
          <w:sz w:val="22"/>
          <w:szCs w:val="22"/>
        </w:rPr>
        <w:t xml:space="preserve">Unfortunately no data exists at present on how often digital platform workers have their access to a digital platform ‘deactivated’. </w:t>
      </w:r>
      <w:r w:rsidR="00322346" w:rsidRPr="00B646AD">
        <w:rPr>
          <w:sz w:val="22"/>
          <w:szCs w:val="22"/>
        </w:rPr>
        <w:t xml:space="preserve">The ABS’ </w:t>
      </w:r>
      <w:r w:rsidR="00322346" w:rsidRPr="00B646AD">
        <w:rPr>
          <w:i/>
          <w:iCs/>
          <w:sz w:val="22"/>
          <w:szCs w:val="22"/>
        </w:rPr>
        <w:t xml:space="preserve">Participation, Job Search and Mobility </w:t>
      </w:r>
      <w:r w:rsidR="00322346" w:rsidRPr="00B646AD">
        <w:rPr>
          <w:sz w:val="22"/>
          <w:szCs w:val="22"/>
        </w:rPr>
        <w:t xml:space="preserve">publication </w:t>
      </w:r>
      <w:r w:rsidR="00CA509C" w:rsidRPr="00B646AD">
        <w:rPr>
          <w:sz w:val="22"/>
          <w:szCs w:val="22"/>
        </w:rPr>
        <w:t xml:space="preserve">includes </w:t>
      </w:r>
      <w:r w:rsidR="009813FE" w:rsidRPr="00B646AD">
        <w:rPr>
          <w:sz w:val="22"/>
          <w:szCs w:val="22"/>
        </w:rPr>
        <w:t>data on the number</w:t>
      </w:r>
      <w:r w:rsidR="009813FE" w:rsidRPr="002D0F27">
        <w:rPr>
          <w:sz w:val="22"/>
          <w:szCs w:val="22"/>
        </w:rPr>
        <w:t xml:space="preserve"> of people who were dismissed </w:t>
      </w:r>
      <w:r w:rsidR="00365325" w:rsidRPr="002D0F27">
        <w:rPr>
          <w:sz w:val="22"/>
          <w:szCs w:val="22"/>
        </w:rPr>
        <w:t>from their job</w:t>
      </w:r>
      <w:r w:rsidR="00F9797E" w:rsidRPr="002D0F27">
        <w:rPr>
          <w:sz w:val="22"/>
          <w:szCs w:val="22"/>
        </w:rPr>
        <w:t xml:space="preserve"> over the year. This was only 26,100 people</w:t>
      </w:r>
      <w:r w:rsidR="00191D30" w:rsidRPr="002D0F27">
        <w:rPr>
          <w:sz w:val="22"/>
          <w:szCs w:val="22"/>
        </w:rPr>
        <w:t xml:space="preserve">, </w:t>
      </w:r>
      <w:r w:rsidR="00F9797E" w:rsidRPr="002D0F27">
        <w:rPr>
          <w:sz w:val="22"/>
          <w:szCs w:val="22"/>
        </w:rPr>
        <w:t>or 0.2 per cent of all workers</w:t>
      </w:r>
      <w:r w:rsidR="00191D30" w:rsidRPr="002D0F27">
        <w:rPr>
          <w:sz w:val="22"/>
          <w:szCs w:val="22"/>
        </w:rPr>
        <w:t xml:space="preserve">, </w:t>
      </w:r>
      <w:r w:rsidR="00F9797E" w:rsidRPr="002D0F27">
        <w:rPr>
          <w:sz w:val="22"/>
          <w:szCs w:val="22"/>
        </w:rPr>
        <w:t>in February 2022</w:t>
      </w:r>
      <w:r w:rsidR="00B92C85" w:rsidRPr="002D0F27">
        <w:rPr>
          <w:sz w:val="22"/>
          <w:szCs w:val="22"/>
        </w:rPr>
        <w:t xml:space="preserve">, and </w:t>
      </w:r>
      <w:r w:rsidR="00C72DEB" w:rsidRPr="00F9171A">
        <w:rPr>
          <w:sz w:val="22"/>
          <w:szCs w:val="22"/>
        </w:rPr>
        <w:t xml:space="preserve">this cohort </w:t>
      </w:r>
      <w:r w:rsidR="00B92C85" w:rsidRPr="002D0F27">
        <w:rPr>
          <w:sz w:val="22"/>
          <w:szCs w:val="22"/>
        </w:rPr>
        <w:t xml:space="preserve">made up only </w:t>
      </w:r>
      <w:r w:rsidR="005A6076" w:rsidRPr="002D0F27">
        <w:rPr>
          <w:sz w:val="22"/>
          <w:szCs w:val="22"/>
        </w:rPr>
        <w:t>5.0 per cent of all workers who lost their job for a range of involuntary reasons</w:t>
      </w:r>
      <w:r w:rsidR="00F9797E" w:rsidRPr="002D0F27">
        <w:rPr>
          <w:sz w:val="22"/>
          <w:szCs w:val="22"/>
        </w:rPr>
        <w:t>.</w:t>
      </w:r>
      <w:r w:rsidR="00191D30" w:rsidRPr="002D0F27">
        <w:rPr>
          <w:rStyle w:val="FootnoteReference"/>
          <w:sz w:val="22"/>
          <w:szCs w:val="22"/>
        </w:rPr>
        <w:footnoteReference w:id="99"/>
      </w:r>
      <w:r w:rsidR="00F9797E" w:rsidRPr="002D0F27">
        <w:rPr>
          <w:sz w:val="22"/>
          <w:szCs w:val="22"/>
        </w:rPr>
        <w:t xml:space="preserve"> </w:t>
      </w:r>
      <w:r w:rsidR="005A6076" w:rsidRPr="002D0F27">
        <w:rPr>
          <w:sz w:val="22"/>
          <w:szCs w:val="22"/>
        </w:rPr>
        <w:t xml:space="preserve">In the absence of data on the prevalence of digital platform deactivations, we have considered that this proportion of 0.2 per cent can be applied to digital platform workers to estimate </w:t>
      </w:r>
      <w:r w:rsidR="00B11773" w:rsidRPr="002D0F27">
        <w:rPr>
          <w:sz w:val="22"/>
          <w:szCs w:val="22"/>
        </w:rPr>
        <w:t>how many may face deactivations</w:t>
      </w:r>
      <w:r w:rsidR="00C72DEB" w:rsidRPr="00F9171A">
        <w:rPr>
          <w:sz w:val="22"/>
          <w:szCs w:val="22"/>
        </w:rPr>
        <w:t xml:space="preserve">, noting the differences in legislative protections </w:t>
      </w:r>
      <w:r w:rsidR="002D0F27" w:rsidRPr="00F9171A">
        <w:rPr>
          <w:sz w:val="22"/>
          <w:szCs w:val="22"/>
        </w:rPr>
        <w:t>between the 2 groups</w:t>
      </w:r>
      <w:r w:rsidR="00B11773" w:rsidRPr="002D0F27">
        <w:rPr>
          <w:sz w:val="22"/>
          <w:szCs w:val="22"/>
        </w:rPr>
        <w:t>.</w:t>
      </w:r>
    </w:p>
    <w:p w14:paraId="43A0DCBC" w14:textId="20318FE4" w:rsidR="005F1832" w:rsidRDefault="00F11AE4" w:rsidP="00D2146D">
      <w:pPr>
        <w:pStyle w:val="Heading5"/>
        <w:spacing w:after="200"/>
      </w:pPr>
      <w:r>
        <w:t>Consumers</w:t>
      </w:r>
      <w:r w:rsidR="00B314DB">
        <w:t xml:space="preserve"> and third party businesses</w:t>
      </w:r>
    </w:p>
    <w:p w14:paraId="13A13102" w14:textId="51D7F6DA" w:rsidR="00622C7C" w:rsidRPr="00086B6C" w:rsidRDefault="00E6226A" w:rsidP="004B4F63">
      <w:pPr>
        <w:rPr>
          <w:rFonts w:ascii="Times New Roman" w:hAnsi="Times New Roman" w:cs="Times New Roman"/>
          <w:sz w:val="24"/>
          <w:szCs w:val="24"/>
          <w:lang w:eastAsia="en-AU"/>
        </w:rPr>
      </w:pPr>
      <w:r>
        <w:t xml:space="preserve">Consumers </w:t>
      </w:r>
      <w:r w:rsidR="7323F220">
        <w:t>can</w:t>
      </w:r>
      <w:r>
        <w:t xml:space="preserve"> benefit from </w:t>
      </w:r>
      <w:r w:rsidR="00D653C7">
        <w:t>the innovation</w:t>
      </w:r>
      <w:r w:rsidR="00373556">
        <w:t xml:space="preserve">, efficiency and often lower prices provided by the </w:t>
      </w:r>
      <w:r w:rsidR="00A202BB">
        <w:t xml:space="preserve">digital platform </w:t>
      </w:r>
      <w:r w:rsidR="00373556" w:rsidRPr="004B4F63">
        <w:rPr>
          <w:rStyle w:val="normaltextrun"/>
          <w:rFonts w:eastAsiaTheme="minorEastAsia"/>
          <w:lang w:val="en-GB"/>
        </w:rPr>
        <w:t>economy</w:t>
      </w:r>
      <w:r>
        <w:t>.</w:t>
      </w:r>
      <w:r w:rsidR="00003843">
        <w:rPr>
          <w:rStyle w:val="FootnoteReference"/>
        </w:rPr>
        <w:footnoteReference w:id="100"/>
      </w:r>
      <w:r>
        <w:t xml:space="preserve"> </w:t>
      </w:r>
      <w:r w:rsidR="00D14C1A">
        <w:t>Consumer b</w:t>
      </w:r>
      <w:r w:rsidR="00805CDE">
        <w:t xml:space="preserve">enefits specific to </w:t>
      </w:r>
      <w:r w:rsidR="00D27804">
        <w:t>the scenarios</w:t>
      </w:r>
      <w:r w:rsidR="00826BD5">
        <w:t xml:space="preserve"> </w:t>
      </w:r>
      <w:r w:rsidR="00312CB4">
        <w:t xml:space="preserve">for analysis </w:t>
      </w:r>
      <w:r w:rsidR="00D27804">
        <w:t>include</w:t>
      </w:r>
      <w:r w:rsidR="00826BD5">
        <w:t>:</w:t>
      </w:r>
      <w:r w:rsidR="00805CDE">
        <w:t xml:space="preserve"> </w:t>
      </w:r>
    </w:p>
    <w:p w14:paraId="58008279" w14:textId="459ACCDF" w:rsidR="00805CDE" w:rsidRPr="009B5C38" w:rsidRDefault="001F42E3" w:rsidP="003807D2">
      <w:pPr>
        <w:pStyle w:val="ListParagraph"/>
        <w:numPr>
          <w:ilvl w:val="0"/>
          <w:numId w:val="29"/>
        </w:numPr>
        <w:spacing w:line="276" w:lineRule="auto"/>
        <w:ind w:left="714" w:hanging="357"/>
        <w:contextualSpacing w:val="0"/>
        <w:rPr>
          <w:rFonts w:cstheme="minorHAnsi"/>
        </w:rPr>
      </w:pPr>
      <w:r w:rsidRPr="2C440989">
        <w:rPr>
          <w:b/>
        </w:rPr>
        <w:t>R</w:t>
      </w:r>
      <w:r w:rsidR="00826BD5" w:rsidRPr="2C440989">
        <w:rPr>
          <w:b/>
        </w:rPr>
        <w:t>ideshare services</w:t>
      </w:r>
      <w:r w:rsidR="00826BD5" w:rsidRPr="2C440989">
        <w:t xml:space="preserve"> </w:t>
      </w:r>
      <w:r w:rsidR="00291607" w:rsidRPr="2C440989">
        <w:t>–</w:t>
      </w:r>
      <w:r w:rsidR="00FF03F0" w:rsidRPr="2C440989">
        <w:t xml:space="preserve"> </w:t>
      </w:r>
      <w:r w:rsidR="001520E2" w:rsidRPr="2C440989">
        <w:t xml:space="preserve">consumers benefit from </w:t>
      </w:r>
      <w:r w:rsidR="00521FC7" w:rsidRPr="2C440989">
        <w:t xml:space="preserve">improved reliability, </w:t>
      </w:r>
      <w:r w:rsidR="00746982" w:rsidRPr="2C440989">
        <w:t>better matching</w:t>
      </w:r>
      <w:r w:rsidR="00447A48" w:rsidRPr="2C440989">
        <w:t xml:space="preserve"> </w:t>
      </w:r>
      <w:r w:rsidR="00734C24" w:rsidRPr="2C440989">
        <w:t xml:space="preserve">and </w:t>
      </w:r>
      <w:r w:rsidR="000D5B67" w:rsidRPr="2C440989">
        <w:t xml:space="preserve">ability to see fixed prices </w:t>
      </w:r>
      <w:r w:rsidR="002A5C1F" w:rsidRPr="001D0925">
        <w:t>ahead</w:t>
      </w:r>
      <w:r w:rsidR="000D5B67" w:rsidRPr="2C440989">
        <w:t xml:space="preserve"> of the trip</w:t>
      </w:r>
      <w:r w:rsidR="00FF03F0" w:rsidRPr="2C440989">
        <w:t>, compared to taxi ser</w:t>
      </w:r>
      <w:r w:rsidR="00276B87" w:rsidRPr="2C440989">
        <w:t>vices</w:t>
      </w:r>
      <w:r w:rsidR="00734C24" w:rsidRPr="2C440989">
        <w:t>.</w:t>
      </w:r>
      <w:r w:rsidR="00734C24" w:rsidRPr="2C440989">
        <w:rPr>
          <w:rStyle w:val="FootnoteReference"/>
        </w:rPr>
        <w:footnoteReference w:id="101"/>
      </w:r>
      <w:r w:rsidR="00C06543" w:rsidRPr="2C440989">
        <w:t xml:space="preserve"> </w:t>
      </w:r>
      <w:r w:rsidR="00637E77" w:rsidRPr="2C440989">
        <w:t xml:space="preserve">A report by Deloitte Access Economics found that </w:t>
      </w:r>
      <w:r w:rsidR="002260CC" w:rsidRPr="2C440989">
        <w:t>using</w:t>
      </w:r>
      <w:r w:rsidR="00A77F1A" w:rsidRPr="2C440989">
        <w:t xml:space="preserve"> </w:t>
      </w:r>
      <w:r w:rsidR="00A77F1A" w:rsidRPr="003807D2">
        <w:t>2016</w:t>
      </w:r>
      <w:r w:rsidR="002260CC" w:rsidRPr="2C440989">
        <w:t xml:space="preserve"> service levels</w:t>
      </w:r>
      <w:r w:rsidR="00A77F1A" w:rsidRPr="2C440989">
        <w:t xml:space="preserve">, consumers </w:t>
      </w:r>
      <w:r w:rsidR="00DA73DA" w:rsidRPr="2C440989">
        <w:t>saved $31 million per year by using rideshare</w:t>
      </w:r>
      <w:r w:rsidR="002260CC" w:rsidRPr="2C440989">
        <w:t xml:space="preserve">, and that </w:t>
      </w:r>
      <w:r w:rsidR="00536A46" w:rsidRPr="2C440989">
        <w:t>consumers had an annual benefit of $49.</w:t>
      </w:r>
      <w:r w:rsidR="00D32147" w:rsidRPr="2C440989">
        <w:t>6 million.</w:t>
      </w:r>
      <w:r w:rsidR="00116E38" w:rsidRPr="2C440989">
        <w:rPr>
          <w:rStyle w:val="FootnoteReference"/>
        </w:rPr>
        <w:footnoteReference w:id="102"/>
      </w:r>
    </w:p>
    <w:p w14:paraId="69D93372" w14:textId="5EB25829" w:rsidR="008B695E" w:rsidRPr="009B5C38" w:rsidRDefault="001F42E3" w:rsidP="003807D2">
      <w:pPr>
        <w:pStyle w:val="ListParagraph"/>
        <w:numPr>
          <w:ilvl w:val="0"/>
          <w:numId w:val="29"/>
        </w:numPr>
        <w:spacing w:line="276" w:lineRule="auto"/>
        <w:ind w:left="714" w:hanging="357"/>
        <w:contextualSpacing w:val="0"/>
        <w:rPr>
          <w:rFonts w:cstheme="minorHAnsi"/>
        </w:rPr>
      </w:pPr>
      <w:r w:rsidRPr="2C440989">
        <w:rPr>
          <w:b/>
        </w:rPr>
        <w:t>F</w:t>
      </w:r>
      <w:r w:rsidR="00BC5437" w:rsidRPr="2C440989">
        <w:rPr>
          <w:b/>
        </w:rPr>
        <w:t xml:space="preserve">ood delivery services </w:t>
      </w:r>
      <w:r w:rsidR="00BC5437" w:rsidRPr="2C440989">
        <w:t xml:space="preserve">– </w:t>
      </w:r>
      <w:r w:rsidR="00C5705B" w:rsidRPr="2C440989">
        <w:t xml:space="preserve">consumers (as well as </w:t>
      </w:r>
      <w:r w:rsidR="00772CB9" w:rsidRPr="2C440989">
        <w:t xml:space="preserve">third party businesses) benefit from lower delivery prices. The Victorian </w:t>
      </w:r>
      <w:r w:rsidR="00772CB9" w:rsidRPr="003807D2">
        <w:t>Government</w:t>
      </w:r>
      <w:r w:rsidR="00772CB9" w:rsidRPr="2C440989">
        <w:t xml:space="preserve"> Inquiry</w:t>
      </w:r>
      <w:r w:rsidR="00D93514" w:rsidRPr="2C440989">
        <w:t xml:space="preserve"> </w:t>
      </w:r>
      <w:r w:rsidR="004A4AD9" w:rsidRPr="2C440989">
        <w:t>cited</w:t>
      </w:r>
      <w:r w:rsidR="00CB6ED0" w:rsidRPr="2C440989">
        <w:t xml:space="preserve"> </w:t>
      </w:r>
      <w:r w:rsidR="00D93514" w:rsidRPr="2C440989">
        <w:t xml:space="preserve">evidence stating that </w:t>
      </w:r>
      <w:r w:rsidR="00941708" w:rsidRPr="2C440989">
        <w:t xml:space="preserve">on-demand food delivery workers can be </w:t>
      </w:r>
      <w:r w:rsidR="003F69DB" w:rsidRPr="2C440989">
        <w:t xml:space="preserve">less </w:t>
      </w:r>
      <w:r w:rsidR="003F69DB" w:rsidRPr="001D0925">
        <w:t>than</w:t>
      </w:r>
      <w:r w:rsidR="003F69DB" w:rsidRPr="2C440989">
        <w:t xml:space="preserve"> half the cost of engaging an employee to perform the same</w:t>
      </w:r>
      <w:r w:rsidR="00AB74AF" w:rsidRPr="2C440989">
        <w:t xml:space="preserve"> work.</w:t>
      </w:r>
      <w:r w:rsidR="00AB74AF" w:rsidRPr="2C440989">
        <w:rPr>
          <w:rStyle w:val="FootnoteReference"/>
        </w:rPr>
        <w:footnoteReference w:id="103"/>
      </w:r>
    </w:p>
    <w:p w14:paraId="0328817A" w14:textId="7AECF754" w:rsidR="00D63751" w:rsidRPr="009B5C38" w:rsidRDefault="001F42E3" w:rsidP="003807D2">
      <w:pPr>
        <w:pStyle w:val="ListParagraph"/>
        <w:numPr>
          <w:ilvl w:val="0"/>
          <w:numId w:val="29"/>
        </w:numPr>
        <w:spacing w:line="276" w:lineRule="auto"/>
        <w:ind w:left="714" w:hanging="357"/>
        <w:contextualSpacing w:val="0"/>
        <w:rPr>
          <w:rFonts w:cstheme="minorHAnsi"/>
        </w:rPr>
      </w:pPr>
      <w:r w:rsidRPr="2C440989">
        <w:rPr>
          <w:b/>
        </w:rPr>
        <w:t>C</w:t>
      </w:r>
      <w:r w:rsidR="00D63751" w:rsidRPr="2C440989">
        <w:rPr>
          <w:b/>
        </w:rPr>
        <w:t xml:space="preserve">are services </w:t>
      </w:r>
      <w:r w:rsidR="00D63751" w:rsidRPr="2C440989">
        <w:t xml:space="preserve">– </w:t>
      </w:r>
      <w:r w:rsidR="00171E07" w:rsidRPr="2C440989">
        <w:t xml:space="preserve">the </w:t>
      </w:r>
      <w:r w:rsidR="00171E07" w:rsidRPr="001D0925">
        <w:t>Productivity</w:t>
      </w:r>
      <w:r w:rsidR="00171E07" w:rsidRPr="2C440989">
        <w:t xml:space="preserve"> </w:t>
      </w:r>
      <w:r w:rsidR="006E5535" w:rsidRPr="2C440989">
        <w:t>Commission’s</w:t>
      </w:r>
      <w:r w:rsidR="00171E07" w:rsidRPr="2C440989">
        <w:t xml:space="preserve"> </w:t>
      </w:r>
      <w:r w:rsidR="007576B3" w:rsidRPr="2C440989">
        <w:t xml:space="preserve">Study Report on Aged Care Employment </w:t>
      </w:r>
      <w:r w:rsidR="00171E07" w:rsidRPr="2C440989">
        <w:t>found that care services provided through digital platforms can</w:t>
      </w:r>
      <w:r w:rsidR="009B4548" w:rsidRPr="2C440989">
        <w:t xml:space="preserve"> provide benefits for clients including through improved services</w:t>
      </w:r>
      <w:r w:rsidR="00315B1D" w:rsidRPr="2C440989">
        <w:t xml:space="preserve"> (for example, as independent contractors have a business incentive to deliver quality services to attract more customers), </w:t>
      </w:r>
      <w:r w:rsidR="008843C3" w:rsidRPr="2C440989">
        <w:t xml:space="preserve">allowing consumers to choose workers </w:t>
      </w:r>
      <w:r w:rsidR="008843C3" w:rsidRPr="001D0925">
        <w:t>that</w:t>
      </w:r>
      <w:r w:rsidR="008843C3" w:rsidRPr="2C440989">
        <w:t xml:space="preserve"> better meet their diverse needs</w:t>
      </w:r>
      <w:r w:rsidR="006E5535" w:rsidRPr="2C440989">
        <w:t xml:space="preserve">, and </w:t>
      </w:r>
      <w:r w:rsidR="00171E07" w:rsidRPr="2C440989">
        <w:t>improve clients’ continuity</w:t>
      </w:r>
      <w:r w:rsidR="00610B78" w:rsidRPr="2C440989">
        <w:t xml:space="preserve"> of care by directly sourcing personal </w:t>
      </w:r>
      <w:r w:rsidR="00610B78" w:rsidRPr="003807D2">
        <w:t>care</w:t>
      </w:r>
      <w:r w:rsidR="00610B78" w:rsidRPr="2C440989">
        <w:t xml:space="preserve"> workers or nurses through platforms</w:t>
      </w:r>
      <w:r w:rsidR="006E5535" w:rsidRPr="2C440989">
        <w:t>.</w:t>
      </w:r>
      <w:r w:rsidR="007576B3" w:rsidRPr="2C440989">
        <w:rPr>
          <w:rStyle w:val="FootnoteReference"/>
        </w:rPr>
        <w:footnoteReference w:id="104"/>
      </w:r>
    </w:p>
    <w:p w14:paraId="3384D5F4" w14:textId="3F80AB13" w:rsidR="009409CC" w:rsidRDefault="001B5529" w:rsidP="00D2146D">
      <w:pPr>
        <w:pStyle w:val="Heading4"/>
        <w:spacing w:after="200"/>
      </w:pPr>
      <w:r w:rsidRPr="006578FC">
        <w:t>Road transport</w:t>
      </w:r>
    </w:p>
    <w:p w14:paraId="27EEFC8F" w14:textId="709675BC" w:rsidR="00572C49" w:rsidRPr="00572C49" w:rsidRDefault="000F2FFC" w:rsidP="00F9171A">
      <w:r w:rsidRPr="3C29E9B8">
        <w:t>As indicated in Section 3, b</w:t>
      </w:r>
      <w:r w:rsidR="00EA1D42" w:rsidRPr="3C29E9B8">
        <w:t xml:space="preserve">usinesses </w:t>
      </w:r>
      <w:r w:rsidR="00C052C4" w:rsidRPr="3C29E9B8">
        <w:t xml:space="preserve">operating in the road transport industry, including those engaging independent contractors, </w:t>
      </w:r>
      <w:r w:rsidR="00EA1D42" w:rsidRPr="3C29E9B8">
        <w:t xml:space="preserve">currently have to </w:t>
      </w:r>
      <w:r w:rsidR="005E70FD" w:rsidRPr="3C29E9B8">
        <w:t xml:space="preserve">comply with the National Heavy </w:t>
      </w:r>
      <w:r w:rsidRPr="3C29E9B8">
        <w:t xml:space="preserve">Vehicle Law and Regulations, as well as certain state-based </w:t>
      </w:r>
      <w:r w:rsidR="001E019F" w:rsidRPr="3C29E9B8">
        <w:t xml:space="preserve">regulations. </w:t>
      </w:r>
      <w:r w:rsidR="00C052C4" w:rsidRPr="3C29E9B8">
        <w:t xml:space="preserve">In New South Wales, this includes </w:t>
      </w:r>
      <w:r w:rsidR="00D116C0" w:rsidRPr="3C29E9B8">
        <w:t xml:space="preserve">minimum standards applying to some road transport independent contractors, in addition to agreement-making and dispute resolution </w:t>
      </w:r>
      <w:r w:rsidR="003C1A1C" w:rsidRPr="3C29E9B8">
        <w:t xml:space="preserve">rights. </w:t>
      </w:r>
    </w:p>
    <w:p w14:paraId="359A1B8C" w14:textId="39B8E45F" w:rsidR="00524B5E" w:rsidRDefault="003172AA" w:rsidP="003172AA">
      <w:r w:rsidRPr="003172AA">
        <w:t xml:space="preserve">As mentioned in the section above on digital platform work, estimates of earnings for independent contractors are limited. The department has used the methodology created by PWC in a regulatory impact statement for the establishment of the Road Safety Tribunal in 2011. While </w:t>
      </w:r>
      <w:r w:rsidR="00852574">
        <w:t>th</w:t>
      </w:r>
      <w:r w:rsidR="007C1B3A">
        <w:t>e</w:t>
      </w:r>
      <w:r w:rsidR="00852574">
        <w:t xml:space="preserve"> road transport</w:t>
      </w:r>
      <w:r w:rsidRPr="003172AA">
        <w:t xml:space="preserve"> polic</w:t>
      </w:r>
      <w:r w:rsidR="00852574">
        <w:t xml:space="preserve">y </w:t>
      </w:r>
      <w:r w:rsidR="007C1B3A">
        <w:t xml:space="preserve">outlined in this document </w:t>
      </w:r>
      <w:r w:rsidR="00852574">
        <w:t>is</w:t>
      </w:r>
      <w:r w:rsidRPr="003172AA">
        <w:t xml:space="preserve"> very different to </w:t>
      </w:r>
      <w:r>
        <w:t>th</w:t>
      </w:r>
      <w:r w:rsidR="06A130E0">
        <w:t>at</w:t>
      </w:r>
      <w:r w:rsidRPr="003172AA">
        <w:t xml:space="preserve"> costed </w:t>
      </w:r>
      <w:r w:rsidR="007C1B3A">
        <w:t>by PWC</w:t>
      </w:r>
      <w:r w:rsidRPr="003172AA">
        <w:t xml:space="preserve">, the methodology of using income bands from Census data is one the department has </w:t>
      </w:r>
      <w:r w:rsidR="00F972E6">
        <w:t xml:space="preserve">adopted. </w:t>
      </w:r>
      <w:r w:rsidR="00524B5E">
        <w:t xml:space="preserve">This </w:t>
      </w:r>
      <w:r w:rsidR="0021596C">
        <w:t>provides</w:t>
      </w:r>
      <w:r w:rsidR="00524B5E">
        <w:t xml:space="preserve"> an estimate of median weekly earnings</w:t>
      </w:r>
      <w:r w:rsidR="009D7705">
        <w:t xml:space="preserve"> for the cohort in scope of the policy. </w:t>
      </w:r>
    </w:p>
    <w:p w14:paraId="48C95962" w14:textId="6FD95AEE" w:rsidR="003172AA" w:rsidRPr="003172AA" w:rsidRDefault="003172AA" w:rsidP="003172AA">
      <w:r w:rsidRPr="003172AA">
        <w:t>Census Tablebuilder data does not provide detailed information on form of employment (i.e. whether a worker was an employee, independent contractor</w:t>
      </w:r>
      <w:r w:rsidR="00A0460B">
        <w:t>,</w:t>
      </w:r>
      <w:r w:rsidRPr="003172AA">
        <w:t xml:space="preserve"> or another business operator). In the absence of this data the department has used owner managers in unincorporated and incorporated enterprises without employees as a proxy for independent contractors. The ABS description of each of these forms of employment share many similarities:</w:t>
      </w:r>
    </w:p>
    <w:p w14:paraId="6F76E27C" w14:textId="77777777" w:rsidR="003172AA" w:rsidRPr="003807D2" w:rsidRDefault="003172AA" w:rsidP="00E5309D">
      <w:pPr>
        <w:pStyle w:val="ListParagraph"/>
        <w:numPr>
          <w:ilvl w:val="0"/>
          <w:numId w:val="29"/>
        </w:numPr>
        <w:spacing w:line="276" w:lineRule="auto"/>
        <w:ind w:left="714" w:hanging="357"/>
        <w:contextualSpacing w:val="0"/>
      </w:pPr>
      <w:r w:rsidRPr="000C31C4">
        <w:t>Owner-managers of incorporated or unincorporated enterprises without employees are people who operate their own enterprise or engages independently in a professions or trade.</w:t>
      </w:r>
    </w:p>
    <w:p w14:paraId="3EDB9FBD" w14:textId="77777777" w:rsidR="003172AA" w:rsidRPr="003807D2" w:rsidRDefault="003172AA" w:rsidP="00E5309D">
      <w:pPr>
        <w:pStyle w:val="ListParagraph"/>
        <w:numPr>
          <w:ilvl w:val="0"/>
          <w:numId w:val="29"/>
        </w:numPr>
        <w:spacing w:line="276" w:lineRule="auto"/>
        <w:ind w:left="714" w:hanging="357"/>
        <w:contextualSpacing w:val="0"/>
      </w:pPr>
      <w:r w:rsidRPr="000C31C4">
        <w:t>Independent contractors are persons who operate their own business, and contract to perform services for others without having the legal status of an employee.</w:t>
      </w:r>
    </w:p>
    <w:p w14:paraId="0A8BF6B2" w14:textId="5FCB3D1D" w:rsidR="003172AA" w:rsidRPr="003172AA" w:rsidRDefault="003172AA" w:rsidP="003172AA">
      <w:r w:rsidRPr="003172AA">
        <w:t xml:space="preserve">ABS data shows that </w:t>
      </w:r>
      <w:r w:rsidR="00DF66D4">
        <w:t>the majority</w:t>
      </w:r>
      <w:r w:rsidRPr="003172AA">
        <w:t xml:space="preserve"> </w:t>
      </w:r>
      <w:r w:rsidR="00DF66D4">
        <w:t>(</w:t>
      </w:r>
      <w:r w:rsidRPr="003172AA">
        <w:t>69.6 per cent</w:t>
      </w:r>
      <w:r w:rsidR="00DF66D4">
        <w:t>)</w:t>
      </w:r>
      <w:r w:rsidRPr="003172AA">
        <w:t xml:space="preserve"> of independent contractors were owner managers without employees.</w:t>
      </w:r>
      <w:r w:rsidR="00DF66D4">
        <w:rPr>
          <w:rStyle w:val="FootnoteReference"/>
        </w:rPr>
        <w:footnoteReference w:id="105"/>
      </w:r>
      <w:r w:rsidRPr="003172AA">
        <w:t xml:space="preserve"> A further 20.</w:t>
      </w:r>
      <w:r w:rsidR="57D2FBBD">
        <w:t>4</w:t>
      </w:r>
      <w:r w:rsidRPr="003172AA">
        <w:t xml:space="preserve"> per cent were owner-managers with employees, but as these workers are unlikely to be in scope of the proposed policy, their earnings have not been considered in the average earnings outlined below. </w:t>
      </w:r>
    </w:p>
    <w:p w14:paraId="3683C6C2" w14:textId="34BC2AD3" w:rsidR="003172AA" w:rsidRPr="003172AA" w:rsidRDefault="003172AA" w:rsidP="003172AA">
      <w:r w:rsidRPr="003172AA">
        <w:t xml:space="preserve">Earnings data in </w:t>
      </w:r>
      <w:r w:rsidR="5E35A843">
        <w:t xml:space="preserve">the </w:t>
      </w:r>
      <w:r w:rsidRPr="003172AA">
        <w:t xml:space="preserve">Census is only available in weekly income ranges, making the construction of an hourly earnings rate problematic. </w:t>
      </w:r>
      <w:r>
        <w:t>T</w:t>
      </w:r>
      <w:r w:rsidRPr="003172AA">
        <w:t>he department has restricted the population to full-time workers only</w:t>
      </w:r>
      <w:r w:rsidR="63117104">
        <w:t>,</w:t>
      </w:r>
      <w:r w:rsidRPr="003172AA">
        <w:t xml:space="preserve"> </w:t>
      </w:r>
      <w:r>
        <w:t xml:space="preserve">to control </w:t>
      </w:r>
      <w:r w:rsidR="00A20724">
        <w:t>for the lower weekly wages that those working part time would record</w:t>
      </w:r>
      <w:r w:rsidRPr="003172AA">
        <w:t xml:space="preserve">. </w:t>
      </w:r>
      <w:r w:rsidRPr="0049622D">
        <w:t>As the majority of independent contractors in the road transport sector work full-time (7</w:t>
      </w:r>
      <w:r w:rsidR="006269F0" w:rsidRPr="00573634">
        <w:t>5.</w:t>
      </w:r>
      <w:r w:rsidR="0049622D" w:rsidRPr="00573634">
        <w:t>5</w:t>
      </w:r>
      <w:r w:rsidRPr="0049622D">
        <w:t xml:space="preserve"> per cent) this method is also the most likely scenario. The median income band has been calculated for this population</w:t>
      </w:r>
      <w:r w:rsidR="00A20724" w:rsidRPr="0049622D">
        <w:t>, giving a median weekly wage range of $1,000-$1,2</w:t>
      </w:r>
      <w:r w:rsidR="00795D38" w:rsidRPr="0049622D">
        <w:t>49 per week for owner managers in the road transport sector in 2021.</w:t>
      </w:r>
    </w:p>
    <w:p w14:paraId="741607D0" w14:textId="1F54FEEB" w:rsidR="00031910" w:rsidRDefault="00F70597" w:rsidP="00D2146D">
      <w:pPr>
        <w:pStyle w:val="Heading4"/>
        <w:spacing w:after="200"/>
      </w:pPr>
      <w:r>
        <w:t>Interpretive principle</w:t>
      </w:r>
    </w:p>
    <w:p w14:paraId="03553E89" w14:textId="0678DD55" w:rsidR="0053161A" w:rsidRDefault="004A596E" w:rsidP="0053161A">
      <w:r>
        <w:t>Option 4</w:t>
      </w:r>
      <w:r w:rsidR="001D15B8">
        <w:t xml:space="preserve"> proposes including</w:t>
      </w:r>
      <w:r w:rsidR="00294FD1" w:rsidRPr="00294FD1">
        <w:t xml:space="preserve"> </w:t>
      </w:r>
      <w:r w:rsidR="001D15B8">
        <w:t>a</w:t>
      </w:r>
      <w:r w:rsidR="00F70597">
        <w:t xml:space="preserve">n interpretive principle </w:t>
      </w:r>
      <w:r w:rsidR="005E4528">
        <w:t xml:space="preserve">in the Fair Work Act </w:t>
      </w:r>
      <w:r w:rsidR="00F70597">
        <w:t>applying to the meaning of ‘employee’ and ‘employ</w:t>
      </w:r>
      <w:r w:rsidR="00581FD7">
        <w:t>ment</w:t>
      </w:r>
      <w:r w:rsidR="00F70597">
        <w:t xml:space="preserve">’ </w:t>
      </w:r>
      <w:r w:rsidR="001D15B8">
        <w:t xml:space="preserve">. </w:t>
      </w:r>
      <w:r w:rsidR="002B092B">
        <w:t>The principle w</w:t>
      </w:r>
      <w:r w:rsidR="00F943F7">
        <w:t>ould</w:t>
      </w:r>
      <w:r w:rsidR="002B092B">
        <w:t xml:space="preserve"> require a Court, in determining a workers’ status as an employee or independent contractor, to have regard to the totality of the relationship. </w:t>
      </w:r>
      <w:r w:rsidR="004E050C">
        <w:t>This</w:t>
      </w:r>
      <w:r w:rsidR="00D64E50">
        <w:t xml:space="preserve"> would not affect a significant </w:t>
      </w:r>
      <w:r w:rsidR="00C078DC">
        <w:t>number of workers and businesses</w:t>
      </w:r>
      <w:r w:rsidR="004E050C">
        <w:t xml:space="preserve"> and is</w:t>
      </w:r>
      <w:r w:rsidR="00822CB6">
        <w:t xml:space="preserve"> unlikely to</w:t>
      </w:r>
      <w:r w:rsidR="00AF2131">
        <w:t xml:space="preserve"> impact digital platform workers, </w:t>
      </w:r>
      <w:r w:rsidR="0030038B">
        <w:t>noting</w:t>
      </w:r>
      <w:r w:rsidR="00AF2131">
        <w:t xml:space="preserve"> that under the </w:t>
      </w:r>
      <w:r w:rsidR="002B092B">
        <w:t xml:space="preserve">multi-factorial </w:t>
      </w:r>
      <w:r w:rsidR="005A6AEE">
        <w:t xml:space="preserve">test </w:t>
      </w:r>
      <w:r w:rsidR="00AF2131">
        <w:t>previous</w:t>
      </w:r>
      <w:r w:rsidR="005A6AEE">
        <w:t>ly applied in determining a workers’ status</w:t>
      </w:r>
      <w:r w:rsidR="00AF2131">
        <w:t xml:space="preserve">, </w:t>
      </w:r>
      <w:r w:rsidR="00BB49B2">
        <w:t xml:space="preserve">workers in the </w:t>
      </w:r>
      <w:r w:rsidR="00A202BB">
        <w:t xml:space="preserve">digital platform </w:t>
      </w:r>
      <w:r w:rsidR="00BB49B2">
        <w:t xml:space="preserve">economy were generally not found to be employees. </w:t>
      </w:r>
      <w:r w:rsidR="00712EFB">
        <w:t>I</w:t>
      </w:r>
      <w:r w:rsidR="005D57F0">
        <w:t>nstead, i</w:t>
      </w:r>
      <w:r w:rsidR="00712EFB">
        <w:t>t</w:t>
      </w:r>
      <w:r w:rsidR="00DB746E">
        <w:t xml:space="preserve"> </w:t>
      </w:r>
      <w:r w:rsidR="000E76CA">
        <w:t xml:space="preserve">would </w:t>
      </w:r>
      <w:r w:rsidR="000966EE">
        <w:t xml:space="preserve">ensure a fairer test applies </w:t>
      </w:r>
      <w:r w:rsidR="005A495F">
        <w:t xml:space="preserve">where a Court is required to </w:t>
      </w:r>
      <w:r w:rsidR="007A6DD9">
        <w:t>determine</w:t>
      </w:r>
      <w:r w:rsidR="005A495F">
        <w:t xml:space="preserve"> </w:t>
      </w:r>
      <w:r w:rsidR="000E76CA">
        <w:t xml:space="preserve">the status of a small number of workers </w:t>
      </w:r>
      <w:r w:rsidR="003617F9">
        <w:t>on the fringes</w:t>
      </w:r>
      <w:r w:rsidR="000E76CA">
        <w:t xml:space="preserve"> </w:t>
      </w:r>
      <w:r w:rsidR="004131CA">
        <w:t>between employment and independent contracting</w:t>
      </w:r>
      <w:r w:rsidR="00F32250">
        <w:t xml:space="preserve"> who may </w:t>
      </w:r>
      <w:r w:rsidR="00831F64">
        <w:t xml:space="preserve">have </w:t>
      </w:r>
      <w:r w:rsidR="00F32250">
        <w:t xml:space="preserve">been determined to be employees under the </w:t>
      </w:r>
      <w:r w:rsidR="007A6DD9">
        <w:t xml:space="preserve">multi-factorial test </w:t>
      </w:r>
      <w:r w:rsidR="00F32250">
        <w:t>previous</w:t>
      </w:r>
      <w:r w:rsidR="000C48EE">
        <w:t>ly applied by Courts</w:t>
      </w:r>
      <w:r w:rsidR="00FC5FB0">
        <w:t>.</w:t>
      </w:r>
    </w:p>
    <w:p w14:paraId="71837CA0" w14:textId="05F7BF4A" w:rsidR="0084683A" w:rsidRPr="007A10F8" w:rsidRDefault="0084683A" w:rsidP="0084683A">
      <w:r>
        <w:t xml:space="preserve">There is no clear data showing the </w:t>
      </w:r>
      <w:r w:rsidRPr="007A10F8">
        <w:t xml:space="preserve">number of workers </w:t>
      </w:r>
      <w:r w:rsidRPr="007A10F8" w:rsidDel="003617F9">
        <w:t xml:space="preserve">in this </w:t>
      </w:r>
      <w:r w:rsidR="003617F9">
        <w:t>cohort</w:t>
      </w:r>
      <w:r w:rsidRPr="007A10F8">
        <w:t xml:space="preserve">. However, the department has arrived at an estimate of a maximum number of workers in this category based on the likely </w:t>
      </w:r>
      <w:r w:rsidRPr="004B4F63">
        <w:rPr>
          <w:rStyle w:val="normaltextrun"/>
          <w:rFonts w:eastAsiaTheme="minorEastAsia"/>
          <w:lang w:val="en-GB"/>
        </w:rPr>
        <w:t>characteristics</w:t>
      </w:r>
      <w:r w:rsidRPr="007A10F8">
        <w:t xml:space="preserve"> of these workers. These </w:t>
      </w:r>
      <w:r w:rsidR="00FC5FB0">
        <w:t>may</w:t>
      </w:r>
      <w:r w:rsidRPr="007A10F8">
        <w:t xml:space="preserve"> include being engaged by a single business for a long period, </w:t>
      </w:r>
      <w:r w:rsidR="00FC5FB0">
        <w:t>working regular hours</w:t>
      </w:r>
      <w:r w:rsidRPr="007A10F8">
        <w:t xml:space="preserve">, while not having authority over their own work. </w:t>
      </w:r>
    </w:p>
    <w:p w14:paraId="5C50EBCD" w14:textId="084D1947" w:rsidR="0084683A" w:rsidRPr="007A10F8" w:rsidRDefault="00306BEF" w:rsidP="0084683A">
      <w:r>
        <w:t>T</w:t>
      </w:r>
      <w:r w:rsidR="00642B6B">
        <w:t xml:space="preserve">he department has </w:t>
      </w:r>
      <w:r w:rsidR="008F2570">
        <w:t xml:space="preserve">estimated the size </w:t>
      </w:r>
      <w:r w:rsidR="00642B6B">
        <w:t>of a possible cohort of workers</w:t>
      </w:r>
      <w:r w:rsidR="00642B6B" w:rsidDel="003617F9">
        <w:t xml:space="preserve"> </w:t>
      </w:r>
      <w:r w:rsidR="003617F9">
        <w:t>on the fringes of employment and independent contracting</w:t>
      </w:r>
      <w:r w:rsidR="008F2570">
        <w:t xml:space="preserve"> by defining this group </w:t>
      </w:r>
      <w:r w:rsidR="00642B6B">
        <w:t>a</w:t>
      </w:r>
      <w:r w:rsidR="00946156">
        <w:t xml:space="preserve">s </w:t>
      </w:r>
      <w:r w:rsidR="00BA46DF">
        <w:t xml:space="preserve">independent contractors who did not have authority </w:t>
      </w:r>
      <w:r w:rsidR="00BA46DF" w:rsidRPr="004B4F63">
        <w:rPr>
          <w:rStyle w:val="normaltextrun"/>
          <w:rFonts w:eastAsiaTheme="minorEastAsia"/>
          <w:lang w:val="en-GB"/>
        </w:rPr>
        <w:t>over</w:t>
      </w:r>
      <w:r w:rsidR="00BA46DF">
        <w:t xml:space="preserve"> their own work and </w:t>
      </w:r>
      <w:r w:rsidR="00370801">
        <w:t xml:space="preserve">who </w:t>
      </w:r>
      <w:r w:rsidR="00BA46DF">
        <w:t xml:space="preserve">usually worked the same hours from one pay period to the next. This is a group of </w:t>
      </w:r>
      <w:r w:rsidR="00BA46DF" w:rsidRPr="00F9171A">
        <w:rPr>
          <w:b/>
        </w:rPr>
        <w:t>254,500 workers</w:t>
      </w:r>
      <w:r w:rsidR="00BA46DF">
        <w:t>, or 22.8 per cent of the total 1.1 million independent contractors.</w:t>
      </w:r>
      <w:r w:rsidR="00F27D26">
        <w:rPr>
          <w:rStyle w:val="FootnoteReference"/>
        </w:rPr>
        <w:footnoteReference w:id="106"/>
      </w:r>
      <w:r w:rsidR="00BA46DF">
        <w:t xml:space="preserve"> </w:t>
      </w:r>
      <w:r w:rsidR="00E10F8C">
        <w:t>As t</w:t>
      </w:r>
      <w:r w:rsidR="00F27D26">
        <w:t xml:space="preserve">his figure is considered to be an upper bound, it is possible that </w:t>
      </w:r>
      <w:r w:rsidR="0084683A" w:rsidRPr="007A10F8">
        <w:t xml:space="preserve">the actual number of workers who would be impacted by this proposal </w:t>
      </w:r>
      <w:r w:rsidR="081AFA61" w:rsidRPr="007A10F8">
        <w:t>will</w:t>
      </w:r>
      <w:r w:rsidR="00F5439E">
        <w:t xml:space="preserve"> </w:t>
      </w:r>
      <w:r w:rsidR="00F27D26">
        <w:t>be</w:t>
      </w:r>
      <w:r w:rsidR="0084683A" w:rsidRPr="007A10F8">
        <w:t xml:space="preserve"> much lower. </w:t>
      </w:r>
    </w:p>
    <w:p w14:paraId="3B79043F" w14:textId="3BF84B7D" w:rsidR="7C4A2965" w:rsidRDefault="0477FCB2" w:rsidP="38FFB332">
      <w:pPr>
        <w:rPr>
          <w:i/>
          <w:iCs/>
        </w:rPr>
      </w:pPr>
      <w:r w:rsidRPr="38FFB332">
        <w:rPr>
          <w:i/>
          <w:iCs/>
        </w:rPr>
        <w:t xml:space="preserve">Figure 3 </w:t>
      </w:r>
      <w:r w:rsidR="15746F42" w:rsidRPr="603A610E">
        <w:rPr>
          <w:i/>
          <w:iCs/>
        </w:rPr>
        <w:t xml:space="preserve">– </w:t>
      </w:r>
      <w:r w:rsidRPr="38FFB332">
        <w:rPr>
          <w:i/>
          <w:iCs/>
        </w:rPr>
        <w:t>Estimates of workers who could be impacted by an interpretive principle in the Fair Work Act (ABS, Characteristics of Employment, August 2022, published and unpublished Tablebuilder data)</w:t>
      </w:r>
    </w:p>
    <w:p w14:paraId="026EFB68" w14:textId="77777777" w:rsidR="0084683A" w:rsidRPr="007A10F8" w:rsidRDefault="0084683A" w:rsidP="0084683A">
      <w:r w:rsidRPr="007A10F8">
        <w:rPr>
          <w:noProof/>
          <w:lang w:eastAsia="en-AU"/>
        </w:rPr>
        <w:drawing>
          <wp:inline distT="0" distB="0" distL="0" distR="0" wp14:anchorId="4568C4DB" wp14:editId="1762242C">
            <wp:extent cx="5685155" cy="3678226"/>
            <wp:effectExtent l="0" t="0" r="0" b="0"/>
            <wp:docPr id="11" name="Chart 11">
              <a:extLst xmlns:a="http://schemas.openxmlformats.org/drawingml/2006/main">
                <a:ext uri="{FF2B5EF4-FFF2-40B4-BE49-F238E27FC236}">
                  <a16:creationId xmlns:a16="http://schemas.microsoft.com/office/drawing/2014/main" id="{D0FDE9D1-551D-B33C-17C0-55D9258DDA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6AF7D59" w14:textId="38615956" w:rsidR="0084683A" w:rsidRDefault="0084683A" w:rsidP="0084683A">
      <w:r w:rsidRPr="007A10F8">
        <w:t xml:space="preserve">The status quo is relatively new, following the High Court’s 2022 decisions in </w:t>
      </w:r>
      <w:r w:rsidRPr="007A10F8">
        <w:rPr>
          <w:i/>
          <w:iCs/>
        </w:rPr>
        <w:t xml:space="preserve">Jamsek </w:t>
      </w:r>
      <w:r w:rsidRPr="007A10F8">
        <w:t xml:space="preserve">and </w:t>
      </w:r>
      <w:r w:rsidRPr="007A10F8">
        <w:rPr>
          <w:i/>
          <w:iCs/>
        </w:rPr>
        <w:t xml:space="preserve">Personnel Contracting. </w:t>
      </w:r>
      <w:r w:rsidRPr="007A10F8">
        <w:t>As this decision was handed down recently, it is difficult to examine whether there has been any impact on the number or proportion of independent contractors. The proportion of independent contractors in Australia has been broadly stable over the last 10 years, with latest data showing that the proportion of independent contractors stood at 8.3 per cent in August 2022</w:t>
      </w:r>
      <w:r w:rsidR="00470DD0">
        <w:t>.</w:t>
      </w:r>
      <w:r w:rsidRPr="007A10F8">
        <w:rPr>
          <w:rStyle w:val="FootnoteReference"/>
        </w:rPr>
        <w:footnoteReference w:id="107"/>
      </w:r>
      <w:r w:rsidRPr="007A10F8">
        <w:t xml:space="preserve"> However, </w:t>
      </w:r>
      <w:r w:rsidR="0057078C">
        <w:t xml:space="preserve">the incidence of independent contractors may increase in future. </w:t>
      </w:r>
      <w:r w:rsidRPr="007A10F8">
        <w:t>For example, Professor Andrew Stewart</w:t>
      </w:r>
      <w:r>
        <w:t xml:space="preserve"> </w:t>
      </w:r>
      <w:r w:rsidR="00926405">
        <w:t xml:space="preserve">predicts </w:t>
      </w:r>
      <w:r>
        <w:t>that while independent contractors currently comprise approximately 8</w:t>
      </w:r>
      <w:r w:rsidR="001E5E34">
        <w:t> </w:t>
      </w:r>
      <w:r>
        <w:t>per cent of all employed persons, it is likely to gradually increase, given the experience of other countries with ‘weak’ definitions of employment.</w:t>
      </w:r>
      <w:r>
        <w:rPr>
          <w:rStyle w:val="FootnoteReference"/>
        </w:rPr>
        <w:footnoteReference w:id="108"/>
      </w:r>
    </w:p>
    <w:p w14:paraId="4775DE03" w14:textId="77777777" w:rsidR="00DA6F33" w:rsidRDefault="00DA6F33" w:rsidP="003E571D">
      <w:pPr>
        <w:pStyle w:val="Heading5"/>
        <w:sectPr w:rsidR="00DA6F33" w:rsidSect="00A36CC2">
          <w:pgSz w:w="11906" w:h="16838"/>
          <w:pgMar w:top="1418" w:right="1418" w:bottom="1418" w:left="1418" w:header="0" w:footer="454" w:gutter="0"/>
          <w:cols w:space="708"/>
          <w:docGrid w:linePitch="360"/>
        </w:sectPr>
      </w:pPr>
    </w:p>
    <w:p w14:paraId="6CFDF24D" w14:textId="74B80EEA" w:rsidR="00FC13B7" w:rsidRDefault="3D75C2FF" w:rsidP="003E571D">
      <w:pPr>
        <w:pStyle w:val="Heading5"/>
      </w:pPr>
      <w:r>
        <w:t>Table 7</w:t>
      </w:r>
      <w:r w:rsidR="691E4FED">
        <w:t xml:space="preserve"> –</w:t>
      </w:r>
      <w:r>
        <w:t xml:space="preserve"> </w:t>
      </w:r>
      <w:r w:rsidR="00F04E1D">
        <w:t>Consistency with</w:t>
      </w:r>
      <w:r w:rsidR="00FC13B7">
        <w:t xml:space="preserve"> Guiding Princip</w:t>
      </w:r>
      <w:r w:rsidR="00FB51A6">
        <w:t>les</w:t>
      </w:r>
      <w:r w:rsidR="00150FD5">
        <w:t xml:space="preserve"> – Option 1</w:t>
      </w:r>
    </w:p>
    <w:tbl>
      <w:tblPr>
        <w:tblStyle w:val="TableGrid"/>
        <w:tblW w:w="14029" w:type="dxa"/>
        <w:tblLook w:val="04A0" w:firstRow="1" w:lastRow="0" w:firstColumn="1" w:lastColumn="0" w:noHBand="0" w:noVBand="1"/>
      </w:tblPr>
      <w:tblGrid>
        <w:gridCol w:w="5949"/>
        <w:gridCol w:w="992"/>
        <w:gridCol w:w="7088"/>
      </w:tblGrid>
      <w:tr w:rsidR="00FC13B7" w14:paraId="14F62C37" w14:textId="77B315E4" w:rsidTr="008B793A">
        <w:trPr>
          <w:trHeight w:val="410"/>
        </w:trPr>
        <w:tc>
          <w:tcPr>
            <w:tcW w:w="5949" w:type="dxa"/>
            <w:shd w:val="clear" w:color="auto" w:fill="404040" w:themeFill="text1" w:themeFillTint="BF"/>
          </w:tcPr>
          <w:p w14:paraId="6EA40E9E" w14:textId="593BD47F" w:rsidR="00FC13B7" w:rsidRPr="00A54C6D" w:rsidRDefault="00FC13B7"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Guiding Princip</w:t>
            </w:r>
            <w:r w:rsidR="00FB51A6" w:rsidRPr="00A54C6D">
              <w:rPr>
                <w:rFonts w:ascii="Calibri" w:hAnsi="Calibri"/>
                <w:b/>
                <w:color w:val="FFFFFF" w:themeColor="background1"/>
              </w:rPr>
              <w:t>le</w:t>
            </w:r>
          </w:p>
        </w:tc>
        <w:tc>
          <w:tcPr>
            <w:tcW w:w="992" w:type="dxa"/>
            <w:shd w:val="clear" w:color="auto" w:fill="404040" w:themeFill="text1" w:themeFillTint="BF"/>
          </w:tcPr>
          <w:p w14:paraId="26D1AFD2" w14:textId="7C59127B" w:rsidR="00FC13B7" w:rsidRPr="00A54C6D" w:rsidRDefault="00FC13B7"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Rating</w:t>
            </w:r>
          </w:p>
        </w:tc>
        <w:tc>
          <w:tcPr>
            <w:tcW w:w="7088" w:type="dxa"/>
            <w:shd w:val="clear" w:color="auto" w:fill="404040" w:themeFill="text1" w:themeFillTint="BF"/>
          </w:tcPr>
          <w:p w14:paraId="2C5BBF25" w14:textId="612BCE04" w:rsidR="00FC13B7" w:rsidRPr="00B223EB" w:rsidRDefault="00025984"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 xml:space="preserve">Explanation </w:t>
            </w:r>
          </w:p>
        </w:tc>
      </w:tr>
      <w:tr w:rsidR="00FC13B7" w14:paraId="55AFB5DB" w14:textId="2CF6FEC6" w:rsidTr="008B793A">
        <w:trPr>
          <w:trHeight w:val="871"/>
        </w:trPr>
        <w:tc>
          <w:tcPr>
            <w:tcW w:w="5949" w:type="dxa"/>
            <w:shd w:val="clear" w:color="auto" w:fill="D9D9D9" w:themeFill="background1" w:themeFillShade="D9"/>
          </w:tcPr>
          <w:p w14:paraId="430AFAA5" w14:textId="77777777" w:rsidR="00FC13B7" w:rsidRDefault="00FC13B7" w:rsidP="00F04E1D">
            <w:r>
              <w:t>Australia’s workplace relations system must reflect modern working arrangements and be capable of evolving with emerging forms of work and business practices.</w:t>
            </w:r>
          </w:p>
        </w:tc>
        <w:tc>
          <w:tcPr>
            <w:tcW w:w="992" w:type="dxa"/>
            <w:shd w:val="clear" w:color="auto" w:fill="F7A07A" w:themeFill="accent2" w:themeFillTint="99"/>
          </w:tcPr>
          <w:p w14:paraId="173E5C6B" w14:textId="77777777" w:rsidR="00FC13B7" w:rsidRDefault="00FC13B7" w:rsidP="00F04E1D">
            <w:r>
              <w:t>Poor</w:t>
            </w:r>
          </w:p>
        </w:tc>
        <w:tc>
          <w:tcPr>
            <w:tcW w:w="7088" w:type="dxa"/>
            <w:shd w:val="clear" w:color="auto" w:fill="auto"/>
          </w:tcPr>
          <w:p w14:paraId="1A98B5F8" w14:textId="6F8CF508" w:rsidR="00803DB7" w:rsidRDefault="00297D6D" w:rsidP="00F04E1D">
            <w:r>
              <w:t xml:space="preserve">Australia’s workplace relations system developed </w:t>
            </w:r>
            <w:r w:rsidR="00B5293E">
              <w:t xml:space="preserve">prior to the digital platform economy. </w:t>
            </w:r>
            <w:r w:rsidR="00CE15E6">
              <w:t>The emergence of</w:t>
            </w:r>
            <w:r w:rsidR="00102E97">
              <w:t xml:space="preserve"> </w:t>
            </w:r>
            <w:r w:rsidR="006C1D1F">
              <w:t xml:space="preserve">new forms of </w:t>
            </w:r>
            <w:r w:rsidR="00102E97">
              <w:t xml:space="preserve">digital platform work </w:t>
            </w:r>
            <w:r w:rsidR="00C7726E">
              <w:t xml:space="preserve">has created a cohort of workers who are employee-like but </w:t>
            </w:r>
            <w:r w:rsidR="0015405B">
              <w:t>cannot access</w:t>
            </w:r>
            <w:r w:rsidR="00C7726E">
              <w:t xml:space="preserve"> </w:t>
            </w:r>
            <w:r w:rsidR="005905CF">
              <w:t>protections and entitlements under the workplace relations system</w:t>
            </w:r>
            <w:r w:rsidR="00C7726E">
              <w:t xml:space="preserve">. </w:t>
            </w:r>
            <w:r w:rsidR="00781D54">
              <w:t xml:space="preserve">Current regulatory frameworks in Australia have not been capable of </w:t>
            </w:r>
            <w:r w:rsidR="00CB0042">
              <w:t xml:space="preserve">providing </w:t>
            </w:r>
            <w:r w:rsidR="005905CF">
              <w:t>these</w:t>
            </w:r>
            <w:r w:rsidR="00CB0042">
              <w:t xml:space="preserve"> to </w:t>
            </w:r>
            <w:r w:rsidR="00B5293E">
              <w:t>these workers</w:t>
            </w:r>
            <w:r w:rsidR="00C555EA">
              <w:t xml:space="preserve">. </w:t>
            </w:r>
            <w:r w:rsidR="00214056">
              <w:t xml:space="preserve">As a result, the ability of the status quo to meet this </w:t>
            </w:r>
            <w:r w:rsidR="001C241D">
              <w:t>guiding</w:t>
            </w:r>
            <w:r w:rsidR="00214056">
              <w:t xml:space="preserve"> principle is poor. </w:t>
            </w:r>
            <w:r w:rsidR="00C7726E">
              <w:t xml:space="preserve"> </w:t>
            </w:r>
          </w:p>
        </w:tc>
      </w:tr>
      <w:tr w:rsidR="00FC13B7" w14:paraId="62856C19" w14:textId="29FAF398" w:rsidTr="008B793A">
        <w:trPr>
          <w:trHeight w:val="1660"/>
        </w:trPr>
        <w:tc>
          <w:tcPr>
            <w:tcW w:w="5949" w:type="dxa"/>
            <w:shd w:val="clear" w:color="auto" w:fill="D9D9D9" w:themeFill="background1" w:themeFillShade="D9"/>
          </w:tcPr>
          <w:p w14:paraId="50E063DB" w14:textId="77777777" w:rsidR="00FC13B7" w:rsidRDefault="00FC13B7" w:rsidP="00F04E1D">
            <w:r>
              <w:t>All workers should have access to minimum rights and protections regardless of whether they are characterised as an employee or an independent contractor, including access to freedom of association and dispute resolution.</w:t>
            </w:r>
          </w:p>
        </w:tc>
        <w:tc>
          <w:tcPr>
            <w:tcW w:w="992" w:type="dxa"/>
            <w:shd w:val="clear" w:color="auto" w:fill="F7A07A" w:themeFill="accent2" w:themeFillTint="99"/>
          </w:tcPr>
          <w:p w14:paraId="4B63A578" w14:textId="77777777" w:rsidR="00FC13B7" w:rsidRDefault="00FC13B7" w:rsidP="00F04E1D">
            <w:r>
              <w:t>Poor</w:t>
            </w:r>
          </w:p>
        </w:tc>
        <w:tc>
          <w:tcPr>
            <w:tcW w:w="7088" w:type="dxa"/>
            <w:shd w:val="clear" w:color="auto" w:fill="auto"/>
          </w:tcPr>
          <w:p w14:paraId="7D141EAF" w14:textId="4B0F34B5" w:rsidR="00FC13B7" w:rsidRDefault="0015405B" w:rsidP="00F04E1D">
            <w:r>
              <w:t xml:space="preserve">National regulation does not allow for the extension of minimum standards </w:t>
            </w:r>
            <w:r w:rsidR="0006755F">
              <w:t xml:space="preserve">or dispute resolution </w:t>
            </w:r>
            <w:r>
              <w:t xml:space="preserve">to </w:t>
            </w:r>
            <w:r w:rsidR="00531139">
              <w:t xml:space="preserve">workers who are not classified as employees. </w:t>
            </w:r>
            <w:r w:rsidR="00F046C6">
              <w:t>The current common law definition of employment relies heavily on the terms of the workers’ contract, rather than focusing on the totality of the relationship.</w:t>
            </w:r>
          </w:p>
          <w:p w14:paraId="1B5FDCE5" w14:textId="0DCAECB6" w:rsidR="00CB647A" w:rsidRDefault="00CB647A" w:rsidP="00F04E1D"/>
        </w:tc>
      </w:tr>
      <w:tr w:rsidR="00FC13B7" w14:paraId="7970F9EC" w14:textId="594ACDAE" w:rsidTr="008B793A">
        <w:trPr>
          <w:trHeight w:val="871"/>
        </w:trPr>
        <w:tc>
          <w:tcPr>
            <w:tcW w:w="5949" w:type="dxa"/>
            <w:shd w:val="clear" w:color="auto" w:fill="D9D9D9" w:themeFill="background1" w:themeFillShade="D9"/>
          </w:tcPr>
          <w:p w14:paraId="3390EC99" w14:textId="77777777" w:rsidR="00FC13B7" w:rsidRDefault="00FC13B7" w:rsidP="00F04E1D">
            <w:r>
              <w:t>Businesses should benefit from a level playing field among industry participants while promoting competition and innovation.</w:t>
            </w:r>
          </w:p>
        </w:tc>
        <w:tc>
          <w:tcPr>
            <w:tcW w:w="992" w:type="dxa"/>
            <w:shd w:val="clear" w:color="auto" w:fill="F7A07A" w:themeFill="accent2" w:themeFillTint="99"/>
          </w:tcPr>
          <w:p w14:paraId="59D18A8A" w14:textId="085C6F87" w:rsidR="00FC13B7" w:rsidRDefault="00284BB0" w:rsidP="00F04E1D">
            <w:r>
              <w:t>Poor</w:t>
            </w:r>
          </w:p>
        </w:tc>
        <w:tc>
          <w:tcPr>
            <w:tcW w:w="7088" w:type="dxa"/>
            <w:shd w:val="clear" w:color="auto" w:fill="auto"/>
          </w:tcPr>
          <w:p w14:paraId="25C171F7" w14:textId="17C3D11E" w:rsidR="00FC13B7" w:rsidRDefault="00284BB0" w:rsidP="00F04E1D">
            <w:r>
              <w:t xml:space="preserve">Unlike </w:t>
            </w:r>
            <w:r w:rsidR="00B96C46">
              <w:t>businesses engaging independent contractors</w:t>
            </w:r>
            <w:r>
              <w:t>, b</w:t>
            </w:r>
            <w:r w:rsidR="006D43F0">
              <w:t xml:space="preserve">usinesses that engage employees </w:t>
            </w:r>
            <w:r w:rsidR="006B19C3">
              <w:t xml:space="preserve">are subject to </w:t>
            </w:r>
            <w:r w:rsidR="00023451">
              <w:t xml:space="preserve">a comprehensive system of </w:t>
            </w:r>
            <w:r w:rsidR="00EB6857">
              <w:t xml:space="preserve">employment </w:t>
            </w:r>
            <w:r w:rsidR="00023451">
              <w:t>regulation</w:t>
            </w:r>
            <w:r w:rsidR="004C4C00">
              <w:t>, including the requirement to pay minimum wages</w:t>
            </w:r>
            <w:r>
              <w:t xml:space="preserve">. </w:t>
            </w:r>
            <w:r w:rsidR="00012918">
              <w:t xml:space="preserve">This </w:t>
            </w:r>
            <w:r w:rsidR="00C86A12">
              <w:t xml:space="preserve">undermines </w:t>
            </w:r>
            <w:r w:rsidR="00631B4A">
              <w:t>even competition</w:t>
            </w:r>
            <w:r w:rsidR="00C86A12">
              <w:t xml:space="preserve"> between businesses offering similar services</w:t>
            </w:r>
            <w:r w:rsidR="00F134BC">
              <w:t xml:space="preserve">, including </w:t>
            </w:r>
            <w:r w:rsidR="00B340C2">
              <w:t>digital platforms that engage employees and ‘traditional’ employing businesses in the same sector.</w:t>
            </w:r>
            <w:r w:rsidR="0009703F">
              <w:t xml:space="preserve"> Due to this uneven competition</w:t>
            </w:r>
            <w:r w:rsidR="00C57ECC">
              <w:t xml:space="preserve">, the rating </w:t>
            </w:r>
            <w:r w:rsidR="00325F5C">
              <w:t>for this guiding principle is poor.</w:t>
            </w:r>
            <w:r w:rsidR="0009703F">
              <w:t xml:space="preserve"> </w:t>
            </w:r>
          </w:p>
        </w:tc>
      </w:tr>
      <w:tr w:rsidR="00FC13B7" w14:paraId="42075890" w14:textId="6FCB3217" w:rsidTr="008B793A">
        <w:trPr>
          <w:trHeight w:val="871"/>
        </w:trPr>
        <w:tc>
          <w:tcPr>
            <w:tcW w:w="5949" w:type="dxa"/>
            <w:shd w:val="clear" w:color="auto" w:fill="D9D9D9" w:themeFill="background1" w:themeFillShade="D9"/>
          </w:tcPr>
          <w:p w14:paraId="7E30C419" w14:textId="77777777" w:rsidR="00FC13B7" w:rsidRDefault="00FC13B7" w:rsidP="00F04E1D">
            <w:r>
              <w:t>The Fair Work Commission should set minimum standards that:</w:t>
            </w:r>
          </w:p>
          <w:p w14:paraId="2FDFEC8B" w14:textId="77777777" w:rsidR="00FC13B7" w:rsidRDefault="00FC13B7" w:rsidP="00534DB2">
            <w:pPr>
              <w:pStyle w:val="List"/>
              <w:numPr>
                <w:ilvl w:val="0"/>
                <w:numId w:val="13"/>
              </w:numPr>
            </w:pPr>
            <w:r>
              <w:t>are fair, relevant, proportionate, sustainable and responsive</w:t>
            </w:r>
          </w:p>
          <w:p w14:paraId="3C8254E8" w14:textId="77777777" w:rsidR="00FC13B7" w:rsidRDefault="00FC13B7" w:rsidP="00534DB2">
            <w:pPr>
              <w:pStyle w:val="List"/>
              <w:numPr>
                <w:ilvl w:val="0"/>
                <w:numId w:val="13"/>
              </w:numPr>
            </w:pPr>
            <w:r>
              <w:t>reflect workers’ independence and flexible working arrangements, for example choosing which tasks to accept and refuse, how to undertake their work, where and when they work, and which businesses to contract with</w:t>
            </w:r>
          </w:p>
          <w:p w14:paraId="6F001BE6" w14:textId="77777777" w:rsidR="00FC13B7" w:rsidRDefault="00FC13B7" w:rsidP="00534DB2">
            <w:pPr>
              <w:pStyle w:val="List"/>
              <w:numPr>
                <w:ilvl w:val="0"/>
                <w:numId w:val="13"/>
              </w:numPr>
            </w:pPr>
            <w:r>
              <w:t xml:space="preserve">mitigate to the greatest extent possible unintended consequences for workers, businesses, consumers and other aspects of the labour market </w:t>
            </w:r>
          </w:p>
        </w:tc>
        <w:tc>
          <w:tcPr>
            <w:tcW w:w="992" w:type="dxa"/>
            <w:shd w:val="clear" w:color="auto" w:fill="F7A07A" w:themeFill="accent2" w:themeFillTint="99"/>
          </w:tcPr>
          <w:p w14:paraId="723B3BAA" w14:textId="6F8B471E" w:rsidR="00FC13B7" w:rsidRDefault="0099649F" w:rsidP="00F04E1D">
            <w:r>
              <w:t xml:space="preserve">Poor </w:t>
            </w:r>
          </w:p>
        </w:tc>
        <w:tc>
          <w:tcPr>
            <w:tcW w:w="7088" w:type="dxa"/>
            <w:shd w:val="clear" w:color="auto" w:fill="auto"/>
          </w:tcPr>
          <w:p w14:paraId="614D9DFB" w14:textId="272B938A" w:rsidR="00FC13B7" w:rsidRDefault="0099649F" w:rsidP="00F04E1D">
            <w:r>
              <w:t xml:space="preserve">The Fair Work Commission cannot set minimum standards for </w:t>
            </w:r>
            <w:r w:rsidR="00711991">
              <w:t xml:space="preserve">digital platform or </w:t>
            </w:r>
            <w:r w:rsidR="00BC7D30">
              <w:t>road transport</w:t>
            </w:r>
            <w:r w:rsidR="004D4FA0">
              <w:t xml:space="preserve"> workers under the status quo. </w:t>
            </w:r>
            <w:r w:rsidR="00777283">
              <w:t xml:space="preserve"> </w:t>
            </w:r>
          </w:p>
        </w:tc>
      </w:tr>
      <w:tr w:rsidR="00FC13B7" w14:paraId="54541652" w14:textId="3814CA2D" w:rsidTr="008B793A">
        <w:trPr>
          <w:trHeight w:val="871"/>
        </w:trPr>
        <w:tc>
          <w:tcPr>
            <w:tcW w:w="5949" w:type="dxa"/>
            <w:shd w:val="clear" w:color="auto" w:fill="D9D9D9" w:themeFill="background1" w:themeFillShade="D9"/>
          </w:tcPr>
          <w:p w14:paraId="7EEC949A" w14:textId="60D4E3A3" w:rsidR="00FC13B7" w:rsidRDefault="00FC13B7" w:rsidP="00F04E1D">
            <w:r>
              <w:t>The standard-setting framework should be accessible, transparent, fair and offer a high degree of certainty to affected parties.</w:t>
            </w:r>
          </w:p>
        </w:tc>
        <w:tc>
          <w:tcPr>
            <w:tcW w:w="992" w:type="dxa"/>
            <w:shd w:val="clear" w:color="auto" w:fill="F7A07A" w:themeFill="accent2" w:themeFillTint="99"/>
          </w:tcPr>
          <w:p w14:paraId="550DE3C3" w14:textId="620DBD1A" w:rsidR="00FC13B7" w:rsidRDefault="005A5635" w:rsidP="00F04E1D">
            <w:r>
              <w:t>Poor</w:t>
            </w:r>
          </w:p>
        </w:tc>
        <w:tc>
          <w:tcPr>
            <w:tcW w:w="7088" w:type="dxa"/>
          </w:tcPr>
          <w:p w14:paraId="109D049B" w14:textId="5B4F4DDE" w:rsidR="00FC13B7" w:rsidRDefault="005A5635" w:rsidP="00F04E1D">
            <w:r>
              <w:t>There is no standard</w:t>
            </w:r>
            <w:r w:rsidR="00CA1208">
              <w:t xml:space="preserve">-setting framework under the </w:t>
            </w:r>
            <w:r w:rsidR="00012918">
              <w:t xml:space="preserve">status quo. </w:t>
            </w:r>
          </w:p>
        </w:tc>
      </w:tr>
    </w:tbl>
    <w:p w14:paraId="795710B4" w14:textId="77777777" w:rsidR="00DA6F33" w:rsidRDefault="00DA6F33" w:rsidP="00182766">
      <w:pPr>
        <w:sectPr w:rsidR="00DA6F33" w:rsidSect="008B793A">
          <w:pgSz w:w="16838" w:h="11906" w:orient="landscape"/>
          <w:pgMar w:top="1418" w:right="1418" w:bottom="1418" w:left="1418" w:header="0" w:footer="454" w:gutter="0"/>
          <w:cols w:space="708"/>
          <w:docGrid w:linePitch="360"/>
        </w:sectPr>
      </w:pPr>
    </w:p>
    <w:p w14:paraId="42247056" w14:textId="0DC4F30B" w:rsidR="00F87ABC" w:rsidRPr="00F9171A" w:rsidRDefault="00F87ABC" w:rsidP="00D5170B">
      <w:pPr>
        <w:pStyle w:val="Heading3"/>
      </w:pPr>
      <w:bookmarkStart w:id="59" w:name="_Toc139295568"/>
      <w:r w:rsidRPr="00F9171A">
        <w:t xml:space="preserve">Option 2: </w:t>
      </w:r>
      <w:r w:rsidR="00987645" w:rsidRPr="00F9171A">
        <w:t>Empower the Fair Work Commission to set minimum standards for digital platform workers</w:t>
      </w:r>
      <w:bookmarkEnd w:id="59"/>
      <w:r w:rsidR="00987645" w:rsidRPr="00F9171A">
        <w:t xml:space="preserve"> </w:t>
      </w:r>
    </w:p>
    <w:p w14:paraId="2C069760" w14:textId="086BC1D4" w:rsidR="00CC056B" w:rsidRDefault="00CC056B" w:rsidP="00573634">
      <w:pPr>
        <w:pStyle w:val="Heading4"/>
      </w:pPr>
      <w:r>
        <w:t>Direct regulatory impacts</w:t>
      </w:r>
    </w:p>
    <w:p w14:paraId="1CCB6BC0" w14:textId="32584FB7" w:rsidR="001A49B1" w:rsidRDefault="001A49B1" w:rsidP="00D0765C">
      <w:pPr>
        <w:pStyle w:val="Heading5"/>
      </w:pPr>
      <w:r>
        <w:t>C</w:t>
      </w:r>
      <w:r w:rsidRPr="009074A7">
        <w:t xml:space="preserve">ompliance </w:t>
      </w:r>
    </w:p>
    <w:p w14:paraId="126C6DA7" w14:textId="189E68CC" w:rsidR="00501788" w:rsidRPr="00501788" w:rsidRDefault="00501788" w:rsidP="000077CC">
      <w:pPr>
        <w:pStyle w:val="Heading6"/>
        <w:spacing w:after="200"/>
      </w:pPr>
      <w:r>
        <w:t>Compliance with minimum standards</w:t>
      </w:r>
    </w:p>
    <w:p w14:paraId="42F1681C" w14:textId="4ABD74F5" w:rsidR="001A49B1" w:rsidRDefault="001A49B1" w:rsidP="004B4F63">
      <w:r>
        <w:t xml:space="preserve">The compliance cost of introducing minimum standards will fall on digital platform businesses. This cost will be estimated as a comparison to the baseline established under the Status Quo Option, which </w:t>
      </w:r>
      <w:r w:rsidR="5B9FDD64">
        <w:t>i</w:t>
      </w:r>
      <w:r>
        <w:t xml:space="preserve">s </w:t>
      </w:r>
      <w:r w:rsidRPr="00F960E2">
        <w:rPr>
          <w:b/>
          <w:bCs/>
        </w:rPr>
        <w:t>nil</w:t>
      </w:r>
      <w:r>
        <w:t xml:space="preserve">. </w:t>
      </w:r>
    </w:p>
    <w:p w14:paraId="4233DF53" w14:textId="77777777" w:rsidR="001A49B1" w:rsidRDefault="001A49B1" w:rsidP="004B4F63">
      <w:r>
        <w:t>The department estimates that digital platform businesses are likely to face the following compliance costs under Option 2:</w:t>
      </w:r>
    </w:p>
    <w:p w14:paraId="5B0B553B" w14:textId="613CAA47" w:rsidR="001A49B1" w:rsidRDefault="001A49B1" w:rsidP="003807D2">
      <w:pPr>
        <w:pStyle w:val="ListParagraph"/>
        <w:numPr>
          <w:ilvl w:val="0"/>
          <w:numId w:val="29"/>
        </w:numPr>
        <w:spacing w:line="276" w:lineRule="auto"/>
        <w:ind w:left="714" w:hanging="357"/>
        <w:contextualSpacing w:val="0"/>
      </w:pPr>
      <w:r>
        <w:t>Initial costs of ensuring that contracts</w:t>
      </w:r>
      <w:r w:rsidR="3EFC4125">
        <w:t xml:space="preserve"> and</w:t>
      </w:r>
      <w:r>
        <w:t xml:space="preserve"> systems are compliant with new minimum standards.</w:t>
      </w:r>
    </w:p>
    <w:p w14:paraId="5CD1AFB8" w14:textId="77777777" w:rsidR="001A49B1" w:rsidRDefault="001A49B1" w:rsidP="003807D2">
      <w:pPr>
        <w:pStyle w:val="ListParagraph"/>
        <w:numPr>
          <w:ilvl w:val="0"/>
          <w:numId w:val="29"/>
        </w:numPr>
        <w:spacing w:line="276" w:lineRule="auto"/>
        <w:ind w:left="714" w:hanging="357"/>
        <w:contextualSpacing w:val="0"/>
      </w:pPr>
      <w:r>
        <w:t>Ongoing compliance costs of record-keeping and ensuring compliance with varied standards</w:t>
      </w:r>
    </w:p>
    <w:p w14:paraId="7F2C71EC" w14:textId="77777777" w:rsidR="006459EA" w:rsidRDefault="006459EA" w:rsidP="004B4F63">
      <w:r>
        <w:t>There is no existing data on the number of digital platform businesses in the digital platform economy. Therefore, the compliance cost is expressed as a cost per business.</w:t>
      </w:r>
    </w:p>
    <w:p w14:paraId="671B714E" w14:textId="6F5D465F" w:rsidR="006459EA" w:rsidRDefault="006459EA" w:rsidP="004B4F63">
      <w:r>
        <w:t xml:space="preserve">As technology companies, digital platforms are likely to have robust IT systems to implement new minimum standards. They are also </w:t>
      </w:r>
      <w:r w:rsidR="00441296">
        <w:t>likely to have standard form contracts</w:t>
      </w:r>
      <w:r>
        <w:t xml:space="preserve"> applying to their workers. Therefore, the department assumes that the likely regulatory cost of ensuring compliance with new minimum standards will include:</w:t>
      </w:r>
    </w:p>
    <w:p w14:paraId="22D69FDE" w14:textId="77777777" w:rsidR="006459EA" w:rsidRDefault="006459EA" w:rsidP="003807D2">
      <w:pPr>
        <w:pStyle w:val="ListParagraph"/>
        <w:numPr>
          <w:ilvl w:val="0"/>
          <w:numId w:val="29"/>
        </w:numPr>
        <w:spacing w:line="276" w:lineRule="auto"/>
        <w:ind w:left="714" w:hanging="357"/>
        <w:contextualSpacing w:val="0"/>
      </w:pPr>
      <w:r>
        <w:t>Understanding new obligations and regulation.</w:t>
      </w:r>
    </w:p>
    <w:p w14:paraId="1EBFDC05" w14:textId="77777777" w:rsidR="006459EA" w:rsidRDefault="006459EA" w:rsidP="003807D2">
      <w:pPr>
        <w:pStyle w:val="ListParagraph"/>
        <w:numPr>
          <w:ilvl w:val="0"/>
          <w:numId w:val="29"/>
        </w:numPr>
        <w:spacing w:line="276" w:lineRule="auto"/>
        <w:ind w:left="714" w:hanging="357"/>
        <w:contextualSpacing w:val="0"/>
      </w:pPr>
      <w:r>
        <w:t xml:space="preserve">Updating their service contract and other documents to ensure it incorporates new minimum standards. This process is also likely to look at other necessary steps the business needs to take, such as updating websites and their app to ensure that information on pay rates is accurate. </w:t>
      </w:r>
    </w:p>
    <w:p w14:paraId="41687386" w14:textId="77777777" w:rsidR="006459EA" w:rsidRDefault="006459EA" w:rsidP="003807D2">
      <w:pPr>
        <w:pStyle w:val="ListParagraph"/>
        <w:numPr>
          <w:ilvl w:val="0"/>
          <w:numId w:val="29"/>
        </w:numPr>
        <w:spacing w:line="276" w:lineRule="auto"/>
        <w:ind w:left="714" w:hanging="357"/>
        <w:contextualSpacing w:val="0"/>
      </w:pPr>
      <w:r>
        <w:t xml:space="preserve">The cost of updating IT systems (such as algorithms setting pay rates for workers) to ensure compliance with new minimum standards. </w:t>
      </w:r>
    </w:p>
    <w:p w14:paraId="00FFA613" w14:textId="585D2E50" w:rsidR="00B008F4" w:rsidRPr="00A54C6D" w:rsidRDefault="0058689D" w:rsidP="004B4F63">
      <w:pPr>
        <w:rPr>
          <w:i/>
          <w:iCs/>
        </w:rPr>
      </w:pPr>
      <w:r>
        <w:rPr>
          <w:i/>
          <w:iCs/>
        </w:rPr>
        <w:t>Understanding new obligations</w:t>
      </w:r>
    </w:p>
    <w:p w14:paraId="5F24AF00" w14:textId="2B78CE54" w:rsidR="006459EA" w:rsidRPr="006459EA" w:rsidRDefault="00812285" w:rsidP="004B4F63">
      <w:r>
        <w:t xml:space="preserve">There are no </w:t>
      </w:r>
      <w:r w:rsidR="000F410E">
        <w:t xml:space="preserve">publicly available estimates of how long it would take businesses to understand new obligations. </w:t>
      </w:r>
      <w:r w:rsidR="006F6DA0">
        <w:t>T</w:t>
      </w:r>
      <w:r w:rsidR="000F410E">
        <w:t>ak</w:t>
      </w:r>
      <w:r w:rsidR="006F6DA0">
        <w:t>ing</w:t>
      </w:r>
      <w:r w:rsidR="000F410E">
        <w:t xml:space="preserve"> into account that there are </w:t>
      </w:r>
      <w:r w:rsidR="00A32BC4">
        <w:t xml:space="preserve">different orders that could be made </w:t>
      </w:r>
      <w:r w:rsidR="00D81884">
        <w:t xml:space="preserve">which could range </w:t>
      </w:r>
      <w:r w:rsidR="00A32BC4">
        <w:t xml:space="preserve">from those that may be simpler to understand, to those that may be more complicated, </w:t>
      </w:r>
      <w:r w:rsidR="006F6DA0">
        <w:t>t</w:t>
      </w:r>
      <w:r w:rsidR="006459EA">
        <w:t xml:space="preserve">he department estimates that it would take a </w:t>
      </w:r>
      <w:r w:rsidR="006459EA" w:rsidRPr="00F9171A">
        <w:t>business</w:t>
      </w:r>
      <w:r w:rsidR="006459EA">
        <w:t xml:space="preserve"> </w:t>
      </w:r>
      <w:r w:rsidR="006F6DA0">
        <w:t>on average</w:t>
      </w:r>
      <w:r w:rsidR="006459EA" w:rsidRPr="00F9171A">
        <w:t xml:space="preserve"> 2</w:t>
      </w:r>
      <w:r w:rsidR="008E42A4" w:rsidRPr="00F9171A">
        <w:t>0</w:t>
      </w:r>
      <w:r w:rsidR="006459EA" w:rsidRPr="00F9171A">
        <w:t xml:space="preserve"> </w:t>
      </w:r>
      <w:r w:rsidR="009B4B12" w:rsidRPr="00F9171A">
        <w:t>h</w:t>
      </w:r>
      <w:r w:rsidR="006459EA" w:rsidRPr="00F9171A">
        <w:t>ours</w:t>
      </w:r>
      <w:r w:rsidR="006459EA">
        <w:t xml:space="preserve"> to understand their new obligations.</w:t>
      </w:r>
      <w:r w:rsidR="006459EA" w:rsidRPr="002D0F27">
        <w:t xml:space="preserve"> </w:t>
      </w:r>
      <w:r w:rsidR="00224D42" w:rsidRPr="002D0F27">
        <w:t>These 20 hours of work are likely to be undertaken by a legal professional.</w:t>
      </w:r>
      <w:r w:rsidR="006459EA">
        <w:t xml:space="preserve"> </w:t>
      </w:r>
      <w:r w:rsidR="008E42A4">
        <w:t xml:space="preserve">This </w:t>
      </w:r>
      <w:r w:rsidR="000E2345">
        <w:t>estimate factors in</w:t>
      </w:r>
      <w:r w:rsidR="008E42A4">
        <w:t xml:space="preserve"> that the </w:t>
      </w:r>
      <w:r w:rsidR="00AE7553">
        <w:t xml:space="preserve">Fair Work Commission is likely to take </w:t>
      </w:r>
      <w:r w:rsidR="00365820">
        <w:t xml:space="preserve">some time to make a Minimum Standards Order, and that prior to making an Order, the Fair Work Commission would consult with affected entities including digital platforms. </w:t>
      </w:r>
      <w:r w:rsidR="006459EA">
        <w:t xml:space="preserve">Digital platform businesses would be able to </w:t>
      </w:r>
      <w:r w:rsidR="006459EA" w:rsidRPr="006459EA">
        <w:t>access fact sheets and other information published on the Fair Work</w:t>
      </w:r>
      <w:r w:rsidR="000E2345">
        <w:t xml:space="preserve"> Commission and Fair Work </w:t>
      </w:r>
      <w:r w:rsidR="006459EA" w:rsidRPr="006459EA">
        <w:t xml:space="preserve">Ombudsman’s website. </w:t>
      </w:r>
    </w:p>
    <w:p w14:paraId="3B7DF82F" w14:textId="75740740" w:rsidR="0058689D" w:rsidRPr="00A54C6D" w:rsidRDefault="0058689D" w:rsidP="004B4F63">
      <w:pPr>
        <w:rPr>
          <w:i/>
          <w:iCs/>
        </w:rPr>
      </w:pPr>
      <w:r>
        <w:rPr>
          <w:i/>
          <w:iCs/>
        </w:rPr>
        <w:t>Updating contracts and other key documents</w:t>
      </w:r>
    </w:p>
    <w:p w14:paraId="52DB51A2" w14:textId="064E388E" w:rsidR="00BA1B3A" w:rsidRDefault="002C713D" w:rsidP="004B4F63">
      <w:r>
        <w:t xml:space="preserve">Given this is a new jurisdiction, there is no publicly available </w:t>
      </w:r>
      <w:r w:rsidR="00D53210">
        <w:t xml:space="preserve">documentation available on how long it would take business to update contracts and key documents to comply with Minimum Standards Orders. The </w:t>
      </w:r>
      <w:r w:rsidR="00F0207C">
        <w:t>different types of orders, different levels of maturity of platforms and different business models</w:t>
      </w:r>
      <w:r w:rsidR="00633056">
        <w:t xml:space="preserve"> also</w:t>
      </w:r>
      <w:r w:rsidR="00F0207C">
        <w:t xml:space="preserve"> make it challenging to accurately estimate</w:t>
      </w:r>
      <w:r w:rsidR="00633056">
        <w:t>. Given this comple</w:t>
      </w:r>
      <w:r w:rsidR="002033AC">
        <w:t xml:space="preserve">xity, the </w:t>
      </w:r>
      <w:r w:rsidR="006459EA" w:rsidRPr="006459EA">
        <w:t xml:space="preserve">department assumes that as an initial cost, it would take a business </w:t>
      </w:r>
      <w:r w:rsidR="006459EA" w:rsidRPr="00F9171A">
        <w:t>10</w:t>
      </w:r>
      <w:r w:rsidR="008F2EC6" w:rsidRPr="00F9171A">
        <w:t>0</w:t>
      </w:r>
      <w:r w:rsidR="006459EA" w:rsidRPr="00F9171A">
        <w:t xml:space="preserve"> hours </w:t>
      </w:r>
      <w:r w:rsidR="006459EA" w:rsidRPr="006459EA">
        <w:t xml:space="preserve">to ensure their </w:t>
      </w:r>
      <w:r w:rsidR="000036A7">
        <w:t xml:space="preserve">contracts and </w:t>
      </w:r>
      <w:r w:rsidR="008F2EC6">
        <w:t xml:space="preserve">processes (for example </w:t>
      </w:r>
      <w:r w:rsidR="006459EA" w:rsidRPr="006459EA">
        <w:t>service</w:t>
      </w:r>
      <w:r w:rsidR="000036A7">
        <w:t>s</w:t>
      </w:r>
      <w:r w:rsidR="006459EA" w:rsidRPr="006459EA">
        <w:t xml:space="preserve"> contract</w:t>
      </w:r>
      <w:r w:rsidR="000036A7">
        <w:t>s</w:t>
      </w:r>
      <w:r w:rsidR="006459EA" w:rsidRPr="006459EA">
        <w:t xml:space="preserve"> </w:t>
      </w:r>
      <w:r w:rsidR="008F2EC6">
        <w:t>provided to</w:t>
      </w:r>
      <w:r w:rsidR="009B4B12">
        <w:t xml:space="preserve"> workers) </w:t>
      </w:r>
      <w:r w:rsidR="00C609C2">
        <w:t>are</w:t>
      </w:r>
      <w:r w:rsidR="006459EA" w:rsidRPr="006459EA">
        <w:t xml:space="preserve"> compliant with the new minimum standards that are implemented.</w:t>
      </w:r>
      <w:r w:rsidR="008817C7">
        <w:t xml:space="preserve"> </w:t>
      </w:r>
      <w:r w:rsidR="002033AC">
        <w:t xml:space="preserve">This is a deliberately generous estimate given the </w:t>
      </w:r>
      <w:r w:rsidR="002C278B">
        <w:t>highly variable costs</w:t>
      </w:r>
      <w:r w:rsidR="002033AC">
        <w:t xml:space="preserve"> </w:t>
      </w:r>
      <w:r w:rsidR="002C278B">
        <w:t xml:space="preserve">that may be </w:t>
      </w:r>
      <w:r w:rsidR="002033AC">
        <w:t>involved in responding to a new type of</w:t>
      </w:r>
      <w:r w:rsidR="002C278B">
        <w:t xml:space="preserve"> Minimum Standards</w:t>
      </w:r>
      <w:r w:rsidR="002033AC">
        <w:t xml:space="preserve"> </w:t>
      </w:r>
      <w:r w:rsidR="00E30230">
        <w:t>O</w:t>
      </w:r>
      <w:r w:rsidR="002033AC">
        <w:t>rder</w:t>
      </w:r>
      <w:r w:rsidR="002C278B">
        <w:t>.</w:t>
      </w:r>
      <w:r w:rsidR="002033AC" w:rsidDel="002C278B">
        <w:t xml:space="preserve"> </w:t>
      </w:r>
      <w:r w:rsidR="002C278B">
        <w:t>I</w:t>
      </w:r>
      <w:r w:rsidR="002033AC">
        <w:t>t may well cost less depending on</w:t>
      </w:r>
      <w:r w:rsidR="00CA5E47">
        <w:t xml:space="preserve"> the specific circumstances</w:t>
      </w:r>
      <w:r w:rsidR="5C56EBB3">
        <w:t>,</w:t>
      </w:r>
      <w:r w:rsidR="00CA5E47">
        <w:t xml:space="preserve"> such as</w:t>
      </w:r>
      <w:r w:rsidR="002033AC">
        <w:t xml:space="preserve"> </w:t>
      </w:r>
      <w:r w:rsidR="00E30230">
        <w:t xml:space="preserve">the terms of </w:t>
      </w:r>
      <w:r w:rsidR="002033AC">
        <w:t>the</w:t>
      </w:r>
      <w:r w:rsidR="00E30230">
        <w:t xml:space="preserve"> Minimum Standards O</w:t>
      </w:r>
      <w:r w:rsidR="002033AC">
        <w:t xml:space="preserve">rder. </w:t>
      </w:r>
    </w:p>
    <w:p w14:paraId="1D5A6C3E" w14:textId="737F90FA" w:rsidR="006459EA" w:rsidRPr="006459EA" w:rsidRDefault="008D3077" w:rsidP="004B4F63">
      <w:r w:rsidRPr="002D0F27">
        <w:t xml:space="preserve">This work </w:t>
      </w:r>
      <w:r w:rsidR="00816D25">
        <w:t>is also estimated</w:t>
      </w:r>
      <w:r w:rsidR="00A735E9">
        <w:t xml:space="preserve"> </w:t>
      </w:r>
      <w:r w:rsidR="00816D25">
        <w:t>to</w:t>
      </w:r>
      <w:r w:rsidR="00816D25" w:rsidRPr="002D0F27">
        <w:t xml:space="preserve"> </w:t>
      </w:r>
      <w:r w:rsidRPr="002D0F27">
        <w:t xml:space="preserve">be undertaken by a legal professional. </w:t>
      </w:r>
      <w:r w:rsidR="00F40BAE">
        <w:t>Th</w:t>
      </w:r>
      <w:r w:rsidR="004B0130">
        <w:t>e</w:t>
      </w:r>
      <w:r w:rsidR="00F40BAE">
        <w:t xml:space="preserve"> estimate </w:t>
      </w:r>
      <w:r w:rsidR="004B0130">
        <w:t xml:space="preserve">that this will take a legal professional 100 hours </w:t>
      </w:r>
      <w:r w:rsidR="00F40BAE">
        <w:t xml:space="preserve">factors in that </w:t>
      </w:r>
      <w:r w:rsidR="00C52CB9">
        <w:t>compliance with minimum standards is</w:t>
      </w:r>
      <w:r w:rsidR="004B0130">
        <w:t xml:space="preserve"> likely to be</w:t>
      </w:r>
      <w:r w:rsidR="00C52CB9">
        <w:t xml:space="preserve"> a significant change to these businesses’ existing </w:t>
      </w:r>
      <w:r w:rsidR="00DB0D12">
        <w:t>arrangements</w:t>
      </w:r>
      <w:r w:rsidR="007A6BA2">
        <w:t xml:space="preserve">, and that ensuring </w:t>
      </w:r>
      <w:r w:rsidR="003275E0">
        <w:t xml:space="preserve">that </w:t>
      </w:r>
      <w:r w:rsidR="00A6632E">
        <w:t xml:space="preserve">contracts and </w:t>
      </w:r>
      <w:r w:rsidR="007502B4">
        <w:t>processes</w:t>
      </w:r>
      <w:r w:rsidR="00A6632E">
        <w:t xml:space="preserve"> </w:t>
      </w:r>
      <w:r w:rsidR="003275E0">
        <w:t>are compliant will be a complex task.</w:t>
      </w:r>
      <w:r w:rsidR="006459EA" w:rsidRPr="006459EA">
        <w:t xml:space="preserve"> If standards are varied in the future, this cost is likely to be significantly lower and primarily involve ensuring compliance with a new pay rate. The department estimates that this will </w:t>
      </w:r>
      <w:r w:rsidR="006459EA" w:rsidRPr="00F9171A">
        <w:t>take 1</w:t>
      </w:r>
      <w:r w:rsidR="003275E0" w:rsidRPr="00F9171A">
        <w:t>0</w:t>
      </w:r>
      <w:r w:rsidR="006459EA" w:rsidRPr="00F9171A">
        <w:t xml:space="preserve"> hour</w:t>
      </w:r>
      <w:r w:rsidR="003275E0" w:rsidRPr="00F9171A">
        <w:t>s</w:t>
      </w:r>
      <w:r w:rsidR="006459EA" w:rsidRPr="006459EA">
        <w:t xml:space="preserve"> every time a Minimum Standards Order is varied</w:t>
      </w:r>
      <w:r w:rsidR="00FB6008">
        <w:t xml:space="preserve"> given that i</w:t>
      </w:r>
      <w:r w:rsidR="007F2993">
        <w:t>t will be a less complex task to update documentation for an order already in place</w:t>
      </w:r>
      <w:r w:rsidR="006459EA" w:rsidRPr="006459EA">
        <w:t xml:space="preserve">. </w:t>
      </w:r>
    </w:p>
    <w:p w14:paraId="2495D1BB" w14:textId="216A17B6" w:rsidR="0058689D" w:rsidRPr="00A54C6D" w:rsidRDefault="0058689D" w:rsidP="004B4F63">
      <w:pPr>
        <w:rPr>
          <w:i/>
          <w:iCs/>
        </w:rPr>
      </w:pPr>
      <w:r>
        <w:rPr>
          <w:i/>
          <w:iCs/>
        </w:rPr>
        <w:t>Updating IT systems</w:t>
      </w:r>
    </w:p>
    <w:p w14:paraId="344B4938" w14:textId="77777777" w:rsidR="00953D85" w:rsidRDefault="00BA1B3A" w:rsidP="004B4F63">
      <w:r>
        <w:t xml:space="preserve">Again, there </w:t>
      </w:r>
      <w:r w:rsidR="00216594">
        <w:t>is</w:t>
      </w:r>
      <w:r>
        <w:t xml:space="preserve"> no publicly available documentation available on </w:t>
      </w:r>
      <w:r w:rsidR="004D3E30">
        <w:t xml:space="preserve">the </w:t>
      </w:r>
      <w:r w:rsidR="00162102">
        <w:t xml:space="preserve">likely </w:t>
      </w:r>
      <w:r w:rsidR="004D3E30">
        <w:t xml:space="preserve">regulatory burden for updating IT systems in response to Minimum Standards Orders. </w:t>
      </w:r>
      <w:r w:rsidR="00A476E7">
        <w:t xml:space="preserve">Discussion with the department’s </w:t>
      </w:r>
      <w:r w:rsidR="00C53399">
        <w:t xml:space="preserve">IT </w:t>
      </w:r>
      <w:r w:rsidR="00416364">
        <w:t>team</w:t>
      </w:r>
      <w:r w:rsidR="00A476E7">
        <w:t xml:space="preserve"> indicate</w:t>
      </w:r>
      <w:r w:rsidR="00416364">
        <w:t>s</w:t>
      </w:r>
      <w:r w:rsidR="00A476E7">
        <w:t xml:space="preserve"> that it is challenging to provide </w:t>
      </w:r>
      <w:r w:rsidR="00A76B97">
        <w:t xml:space="preserve">an accurate estimate of </w:t>
      </w:r>
      <w:r w:rsidR="00A86EF7">
        <w:t>the hours required to update IT systems</w:t>
      </w:r>
      <w:r w:rsidR="58AECAB7">
        <w:t>,</w:t>
      </w:r>
      <w:r w:rsidR="00A86EF7">
        <w:t xml:space="preserve"> as it will depend on a number of factors, including the complexity of the IT systems, whether the IT systems already deal with the concepts</w:t>
      </w:r>
      <w:r w:rsidR="00917A3D">
        <w:t xml:space="preserve"> in the Minimum Standards Orders</w:t>
      </w:r>
      <w:r w:rsidR="000A1A1A">
        <w:t xml:space="preserve">, and whether the digital platform has </w:t>
      </w:r>
      <w:r w:rsidR="00A90D92">
        <w:t>responded</w:t>
      </w:r>
      <w:r w:rsidR="000A1A1A">
        <w:t xml:space="preserve"> to </w:t>
      </w:r>
      <w:r w:rsidR="00A90D92">
        <w:t xml:space="preserve">similar regulatory environments overseas. </w:t>
      </w:r>
    </w:p>
    <w:p w14:paraId="235910DF" w14:textId="31C3AAE8" w:rsidR="00CA36E1" w:rsidRDefault="00A90D92" w:rsidP="00CA0612">
      <w:r>
        <w:t xml:space="preserve">For example, </w:t>
      </w:r>
      <w:r w:rsidR="00EB5F83">
        <w:t>if a platform</w:t>
      </w:r>
      <w:r w:rsidR="6AB9B554">
        <w:t xml:space="preserve"> simply needs to update a minimum hourly rate where it already sets one, the amount of time taken will be minimal. However, if the platform </w:t>
      </w:r>
      <w:r w:rsidR="00EB5F83">
        <w:t>needs to incorporate a completely new element into a</w:t>
      </w:r>
      <w:r w:rsidR="00FC5BBC">
        <w:t xml:space="preserve"> </w:t>
      </w:r>
      <w:r w:rsidR="05386D58">
        <w:t>com</w:t>
      </w:r>
      <w:r w:rsidR="00EB5F83">
        <w:t>plex system it could potentially take weeks of work from a team of coders</w:t>
      </w:r>
      <w:r w:rsidR="00DF058C">
        <w:t xml:space="preserve">. </w:t>
      </w:r>
      <w:r w:rsidR="00953D85">
        <w:t>This was supported by</w:t>
      </w:r>
      <w:r w:rsidR="00CA0612">
        <w:t xml:space="preserve"> feedback from platforms during consultation</w:t>
      </w:r>
      <w:r w:rsidR="0023064C">
        <w:t>, including that</w:t>
      </w:r>
      <w:r w:rsidR="00CA0612">
        <w:t xml:space="preserve"> the implementation cost of minimum standards would depend on the extent to which it differs from their existing business model. They</w:t>
      </w:r>
      <w:r w:rsidR="006E7326">
        <w:t xml:space="preserve"> also</w:t>
      </w:r>
      <w:r w:rsidR="00CA0612">
        <w:t xml:space="preserve"> advised that it </w:t>
      </w:r>
      <w:r w:rsidR="00CD231A">
        <w:t>could</w:t>
      </w:r>
      <w:r w:rsidR="00CA0612">
        <w:t xml:space="preserve"> take a long period of time to update systems to implement any changes. </w:t>
      </w:r>
    </w:p>
    <w:p w14:paraId="0E160CD6" w14:textId="68026FF2" w:rsidR="00CA0612" w:rsidRDefault="00CA0612" w:rsidP="00CA0612">
      <w:r>
        <w:t xml:space="preserve">The department’s costing assumptions are based on minimum standards introducing changes that would not fundamentally shift platforms’ business models. Given the views put forward by platforms, if these changes were more significant, compliance costs would be likely to be higher. </w:t>
      </w:r>
    </w:p>
    <w:p w14:paraId="4D05484A" w14:textId="7EF7306D" w:rsidR="00917A3D" w:rsidRDefault="00917A3D" w:rsidP="004B4F63"/>
    <w:p w14:paraId="30F746D0" w14:textId="4D13A1C4" w:rsidR="006459EA" w:rsidRPr="006459EA" w:rsidRDefault="00C775BC" w:rsidP="004B4F63">
      <w:r w:rsidRPr="00B119A4">
        <w:t xml:space="preserve">Given </w:t>
      </w:r>
      <w:r w:rsidR="008859EC" w:rsidRPr="00B119A4">
        <w:t>these uncertainties</w:t>
      </w:r>
      <w:r w:rsidR="005954B7" w:rsidRPr="00B119A4">
        <w:t xml:space="preserve">, </w:t>
      </w:r>
      <w:r w:rsidR="008F5EC3">
        <w:t>and noting that the provisions are not intended to change the nature of the worker’s engagement</w:t>
      </w:r>
      <w:r w:rsidR="005954B7" w:rsidRPr="00B119A4">
        <w:t xml:space="preserve">, </w:t>
      </w:r>
      <w:r w:rsidR="006459EA" w:rsidRPr="00B119A4">
        <w:t xml:space="preserve">the department estimates that on average, it will take </w:t>
      </w:r>
      <w:r w:rsidR="00C704E1" w:rsidRPr="00A54C6D">
        <w:t>2</w:t>
      </w:r>
      <w:r w:rsidR="006459EA" w:rsidRPr="00B119A4">
        <w:t>0</w:t>
      </w:r>
      <w:r w:rsidR="009B4B12" w:rsidRPr="00B119A4">
        <w:t>0</w:t>
      </w:r>
      <w:r w:rsidR="006459EA" w:rsidRPr="00B119A4">
        <w:t xml:space="preserve"> hours </w:t>
      </w:r>
      <w:r w:rsidR="00EA2F3B" w:rsidRPr="00B119A4">
        <w:t>(</w:t>
      </w:r>
      <w:r w:rsidR="002136A2">
        <w:t>o</w:t>
      </w:r>
      <w:r w:rsidR="006969B4">
        <w:t>r</w:t>
      </w:r>
      <w:r w:rsidR="00EA2F3B">
        <w:t xml:space="preserve"> around 2.5 weeks of </w:t>
      </w:r>
      <w:r w:rsidR="006969B4">
        <w:t>two IT professionals)</w:t>
      </w:r>
      <w:r w:rsidR="006459EA" w:rsidRPr="006459EA">
        <w:t xml:space="preserve"> of IT work to implement new minimum standards per digital platform business. </w:t>
      </w:r>
      <w:r w:rsidR="00E4149B">
        <w:t xml:space="preserve">As with </w:t>
      </w:r>
      <w:r w:rsidR="0061426C">
        <w:t xml:space="preserve">the cost </w:t>
      </w:r>
      <w:r w:rsidR="00633338">
        <w:t xml:space="preserve">of </w:t>
      </w:r>
      <w:r w:rsidR="0061426C">
        <w:t xml:space="preserve">ensuring that </w:t>
      </w:r>
      <w:r w:rsidR="00633338">
        <w:t xml:space="preserve">systems and processes are compliant with new minimum standards, </w:t>
      </w:r>
      <w:r w:rsidR="00C6558D">
        <w:t xml:space="preserve">system updates in response to a new </w:t>
      </w:r>
      <w:r w:rsidR="001268C2">
        <w:t>Minimum</w:t>
      </w:r>
      <w:r w:rsidR="0060728B">
        <w:t xml:space="preserve"> Standards O</w:t>
      </w:r>
      <w:r w:rsidR="00C6558D">
        <w:t xml:space="preserve">rder </w:t>
      </w:r>
      <w:r w:rsidR="00E045D5">
        <w:t xml:space="preserve">are </w:t>
      </w:r>
      <w:r w:rsidR="002D7999">
        <w:t xml:space="preserve">likely to </w:t>
      </w:r>
      <w:r w:rsidR="00633338">
        <w:t xml:space="preserve">be a </w:t>
      </w:r>
      <w:r w:rsidR="00C6558D">
        <w:t>more</w:t>
      </w:r>
      <w:r w:rsidR="00633338">
        <w:t xml:space="preserve"> significant change to existing arrangements</w:t>
      </w:r>
      <w:r w:rsidR="00C6558D">
        <w:t xml:space="preserve"> than updating in response to </w:t>
      </w:r>
      <w:r w:rsidR="0060728B">
        <w:t>an order being varied</w:t>
      </w:r>
      <w:r w:rsidR="00633338">
        <w:t xml:space="preserve">. </w:t>
      </w:r>
      <w:r w:rsidR="006459EA" w:rsidRPr="006459EA">
        <w:t>When updating systems to implement variations to minimum standards</w:t>
      </w:r>
      <w:r w:rsidR="00A124BC">
        <w:t xml:space="preserve"> (for example, </w:t>
      </w:r>
      <w:r w:rsidR="001B66C9">
        <w:t>changes to minimum rates</w:t>
      </w:r>
      <w:r w:rsidR="0060728B">
        <w:t>)</w:t>
      </w:r>
      <w:r w:rsidR="006459EA" w:rsidRPr="006459EA">
        <w:t xml:space="preserve">, this will be estimated to take </w:t>
      </w:r>
      <w:r w:rsidR="006459EA" w:rsidRPr="00F9171A">
        <w:t>2</w:t>
      </w:r>
      <w:r w:rsidR="00572C18" w:rsidRPr="00F9171A">
        <w:t>0</w:t>
      </w:r>
      <w:r w:rsidR="006459EA" w:rsidRPr="00F9171A">
        <w:t xml:space="preserve"> hours per variation</w:t>
      </w:r>
      <w:r w:rsidR="006459EA" w:rsidRPr="006459EA">
        <w:t>.</w:t>
      </w:r>
      <w:r w:rsidR="008D3077" w:rsidRPr="002D0F27">
        <w:t xml:space="preserve"> This work will</w:t>
      </w:r>
      <w:r w:rsidR="00E045D5">
        <w:t xml:space="preserve"> also</w:t>
      </w:r>
      <w:r w:rsidR="008D3077" w:rsidRPr="002D0F27">
        <w:t xml:space="preserve"> be undertaken by an IT professional.</w:t>
      </w:r>
    </w:p>
    <w:p w14:paraId="445BF1B2" w14:textId="6ED33F48" w:rsidR="00C609C2" w:rsidRPr="00A54C6D" w:rsidRDefault="00C609C2" w:rsidP="004B4F63">
      <w:pPr>
        <w:rPr>
          <w:i/>
          <w:iCs/>
        </w:rPr>
      </w:pPr>
      <w:r>
        <w:rPr>
          <w:i/>
          <w:iCs/>
        </w:rPr>
        <w:t>Relevant pay rates for costing</w:t>
      </w:r>
    </w:p>
    <w:p w14:paraId="44DFF0F2" w14:textId="668217EC" w:rsidR="00087BC6" w:rsidRDefault="006B42B3" w:rsidP="004B4F63">
      <w:r>
        <w:t>The</w:t>
      </w:r>
      <w:r w:rsidR="004642AE">
        <w:t xml:space="preserve"> Office of Impact Analysis pro</w:t>
      </w:r>
      <w:r w:rsidR="000A29CC">
        <w:t xml:space="preserve">vides an hourly rate </w:t>
      </w:r>
      <w:r w:rsidR="00CA5578">
        <w:t xml:space="preserve">of </w:t>
      </w:r>
      <w:r w:rsidR="00CB09D8">
        <w:t xml:space="preserve">$79.63 </w:t>
      </w:r>
      <w:r w:rsidR="00CA5578">
        <w:t xml:space="preserve">for </w:t>
      </w:r>
      <w:r w:rsidR="00CC7E9A">
        <w:t>‘work related labour rates’.</w:t>
      </w:r>
      <w:r w:rsidR="00CC7E9A">
        <w:rPr>
          <w:rStyle w:val="FootnoteReference"/>
        </w:rPr>
        <w:footnoteReference w:id="109"/>
      </w:r>
      <w:r w:rsidR="00CC7E9A">
        <w:t xml:space="preserve"> This rate </w:t>
      </w:r>
      <w:r w:rsidR="00CB09D8">
        <w:t xml:space="preserve">takes into </w:t>
      </w:r>
      <w:r w:rsidR="00DF2589">
        <w:t xml:space="preserve">account </w:t>
      </w:r>
      <w:r w:rsidR="00CC7E9A">
        <w:t xml:space="preserve">an average </w:t>
      </w:r>
      <w:r w:rsidR="00DF2589">
        <w:t>worker’s wage and other bus</w:t>
      </w:r>
      <w:r w:rsidR="00124A4F">
        <w:t>iness cost</w:t>
      </w:r>
      <w:r w:rsidR="00137714">
        <w:t>s</w:t>
      </w:r>
      <w:r w:rsidR="00124A4F">
        <w:t xml:space="preserve"> associated with employing that worker</w:t>
      </w:r>
      <w:r w:rsidR="00FA0BBC">
        <w:t xml:space="preserve"> (an extra </w:t>
      </w:r>
      <w:r w:rsidR="000C3FA1">
        <w:t>75 per cent loading is added to the base wage to reflect these costs)</w:t>
      </w:r>
      <w:r w:rsidR="00E0177A">
        <w:t>.</w:t>
      </w:r>
      <w:r w:rsidR="001966E7">
        <w:t xml:space="preserve"> </w:t>
      </w:r>
      <w:r w:rsidR="00390FDD">
        <w:t>Given that IT and legal professionals often have a higher average wage</w:t>
      </w:r>
      <w:r w:rsidR="00B578BE">
        <w:t>, t</w:t>
      </w:r>
      <w:r w:rsidR="001966E7">
        <w:t xml:space="preserve">he department has </w:t>
      </w:r>
      <w:r w:rsidR="00565393">
        <w:t xml:space="preserve">taken </w:t>
      </w:r>
      <w:r w:rsidR="00B578BE">
        <w:t>the</w:t>
      </w:r>
      <w:r w:rsidR="00565393">
        <w:t xml:space="preserve"> methodology </w:t>
      </w:r>
      <w:r w:rsidR="00B578BE">
        <w:t>of the O</w:t>
      </w:r>
      <w:r w:rsidR="009F1725">
        <w:t xml:space="preserve">ffice of Impact </w:t>
      </w:r>
      <w:r w:rsidR="00B578BE">
        <w:t>A</w:t>
      </w:r>
      <w:r w:rsidR="009F1725">
        <w:t>nalysis</w:t>
      </w:r>
      <w:r w:rsidR="00B578BE">
        <w:t xml:space="preserve"> </w:t>
      </w:r>
      <w:r w:rsidR="00565393">
        <w:t>and appl</w:t>
      </w:r>
      <w:r w:rsidR="00515301">
        <w:t>ied</w:t>
      </w:r>
      <w:r w:rsidR="00565393">
        <w:t xml:space="preserve"> it to </w:t>
      </w:r>
      <w:r w:rsidR="00A654EA">
        <w:t xml:space="preserve">the </w:t>
      </w:r>
      <w:r w:rsidR="00443074">
        <w:t xml:space="preserve">average hourly earnings of </w:t>
      </w:r>
      <w:r w:rsidR="004824D6">
        <w:t>IT and legal professionals</w:t>
      </w:r>
      <w:r w:rsidR="00B578BE">
        <w:t xml:space="preserve"> (i.e. </w:t>
      </w:r>
      <w:r w:rsidR="002079AA">
        <w:t>inflating</w:t>
      </w:r>
      <w:r w:rsidR="00077CFD">
        <w:t xml:space="preserve"> the average</w:t>
      </w:r>
      <w:r w:rsidR="002079AA">
        <w:t xml:space="preserve"> hourly wage by 75 per cent)</w:t>
      </w:r>
      <w:r w:rsidR="00077CFD">
        <w:t xml:space="preserve">. </w:t>
      </w:r>
      <w:r w:rsidR="002A5CCA">
        <w:t xml:space="preserve">For all other </w:t>
      </w:r>
      <w:r w:rsidR="00BF6C30">
        <w:t>workers, the department has used the O</w:t>
      </w:r>
      <w:r w:rsidR="009F1725">
        <w:t xml:space="preserve">ffice of </w:t>
      </w:r>
      <w:r w:rsidR="00BF6C30">
        <w:t>I</w:t>
      </w:r>
      <w:r w:rsidR="009F1725">
        <w:t xml:space="preserve">mpact </w:t>
      </w:r>
      <w:r w:rsidR="00BF6C30">
        <w:t>A</w:t>
      </w:r>
      <w:r w:rsidR="009F1725">
        <w:t>nalysis</w:t>
      </w:r>
      <w:r w:rsidR="00BF6C30">
        <w:t xml:space="preserve"> hourly rate of $79.63.</w:t>
      </w:r>
    </w:p>
    <w:p w14:paraId="0187F4DF" w14:textId="27DC9DBD" w:rsidR="0009348B" w:rsidRDefault="007F0249" w:rsidP="004B4F63">
      <w:r>
        <w:t xml:space="preserve">The department has also </w:t>
      </w:r>
      <w:r w:rsidR="002D7999">
        <w:t>used the cost of</w:t>
      </w:r>
      <w:r>
        <w:t xml:space="preserve"> senior legal </w:t>
      </w:r>
      <w:r w:rsidR="00850231">
        <w:t xml:space="preserve">and ICT professionals engaged directly by a business. </w:t>
      </w:r>
      <w:r w:rsidR="0009348B">
        <w:t>Not all of the work to implement these measures would necessarily</w:t>
      </w:r>
      <w:r w:rsidR="003C4545">
        <w:t xml:space="preserve"> need to</w:t>
      </w:r>
      <w:r w:rsidR="0009348B">
        <w:t xml:space="preserve"> be undertaken by senior legal</w:t>
      </w:r>
      <w:r w:rsidR="00087BC6">
        <w:t xml:space="preserve"> </w:t>
      </w:r>
      <w:r w:rsidR="008B2EF0" w:rsidDel="00087BC6">
        <w:t>or</w:t>
      </w:r>
      <w:r w:rsidR="008B2EF0">
        <w:t xml:space="preserve"> </w:t>
      </w:r>
      <w:r w:rsidR="0009348B">
        <w:t>ICT professionals. However, the use of a higher</w:t>
      </w:r>
      <w:r w:rsidR="008B2EF0">
        <w:t xml:space="preserve"> rate </w:t>
      </w:r>
      <w:r w:rsidR="007B691B">
        <w:t xml:space="preserve">recognises that </w:t>
      </w:r>
      <w:r w:rsidR="00B410C3">
        <w:t xml:space="preserve">while some platforms may be able to comply with Minimum Standards Orders </w:t>
      </w:r>
      <w:r w:rsidR="00F25CE7">
        <w:t>at a lower cost</w:t>
      </w:r>
      <w:r w:rsidR="00B410C3">
        <w:t xml:space="preserve"> using in-house or </w:t>
      </w:r>
      <w:r w:rsidR="00BC3BAC">
        <w:t xml:space="preserve">more junior professionals, others will need to engage the </w:t>
      </w:r>
      <w:r w:rsidR="00144138">
        <w:t>services</w:t>
      </w:r>
      <w:r w:rsidR="00BC3BAC">
        <w:t xml:space="preserve"> of </w:t>
      </w:r>
      <w:r w:rsidR="00144138">
        <w:t>third</w:t>
      </w:r>
      <w:r w:rsidR="75CCE95B">
        <w:t>-</w:t>
      </w:r>
      <w:r w:rsidR="00144138">
        <w:t xml:space="preserve">party services such as a legal firm and this may incur a higher cost. The assumptions around the number of hours taken and the seniority of the professionals used intends to balance these </w:t>
      </w:r>
      <w:r w:rsidR="001E21E7">
        <w:t xml:space="preserve">different scenarios and provide an average cost for the purposes of estimating the regulatory impact. </w:t>
      </w:r>
    </w:p>
    <w:p w14:paraId="5EE7422B" w14:textId="1576C365" w:rsidR="00A67F7E" w:rsidRDefault="008B2EF0" w:rsidP="004B4F63">
      <w:r>
        <w:t>For</w:t>
      </w:r>
      <w:r w:rsidR="00146333">
        <w:t xml:space="preserve"> IT professionals</w:t>
      </w:r>
      <w:r w:rsidR="00087BC6">
        <w:t>,</w:t>
      </w:r>
      <w:r w:rsidR="00146333">
        <w:t xml:space="preserve"> the department has used the weekly wages of a full-time ICT manager</w:t>
      </w:r>
      <w:r w:rsidR="00087BC6">
        <w:t xml:space="preserve">, using </w:t>
      </w:r>
      <w:r w:rsidR="00152661">
        <w:t xml:space="preserve">ABS </w:t>
      </w:r>
      <w:r w:rsidR="00152661" w:rsidRPr="00F9171A">
        <w:rPr>
          <w:i/>
        </w:rPr>
        <w:t>Employee Earnings and Hours</w:t>
      </w:r>
      <w:r w:rsidR="00087BC6">
        <w:rPr>
          <w:i/>
          <w:iCs/>
        </w:rPr>
        <w:t>,</w:t>
      </w:r>
      <w:r w:rsidR="00470C13" w:rsidRPr="00F9171A">
        <w:rPr>
          <w:i/>
        </w:rPr>
        <w:t xml:space="preserve"> May 2021</w:t>
      </w:r>
      <w:r w:rsidR="00470C13">
        <w:t xml:space="preserve"> </w:t>
      </w:r>
      <w:r w:rsidR="0084080F">
        <w:t>data</w:t>
      </w:r>
      <w:r w:rsidR="00A67F7E">
        <w:t xml:space="preserve"> ($3,100.10 per week)</w:t>
      </w:r>
      <w:r w:rsidR="00146333">
        <w:t xml:space="preserve">, and divided that by 35 hours (the </w:t>
      </w:r>
      <w:r w:rsidR="00087BC6">
        <w:t>number</w:t>
      </w:r>
      <w:r w:rsidR="00146333">
        <w:t xml:space="preserve"> of hours that </w:t>
      </w:r>
      <w:r w:rsidR="00F22D91">
        <w:t xml:space="preserve">denotes a full-time worker by the ABS) to </w:t>
      </w:r>
      <w:r w:rsidR="00144614">
        <w:t>get an average hourly rate of $88.57</w:t>
      </w:r>
      <w:r w:rsidR="002B20F2">
        <w:t xml:space="preserve">. </w:t>
      </w:r>
      <w:r w:rsidR="008249EE">
        <w:t xml:space="preserve">Applying the 75 per cent loading to that figure gives an </w:t>
      </w:r>
      <w:r w:rsidR="00396849">
        <w:t xml:space="preserve">average business cost of $155.01 per hour for an IT professional. </w:t>
      </w:r>
      <w:r w:rsidR="00882A35">
        <w:t xml:space="preserve">This aligns with </w:t>
      </w:r>
      <w:r w:rsidR="00130244">
        <w:t>the</w:t>
      </w:r>
      <w:r w:rsidR="00882A35">
        <w:t xml:space="preserve"> average annual salaries</w:t>
      </w:r>
      <w:r w:rsidR="00205209">
        <w:t xml:space="preserve"> </w:t>
      </w:r>
      <w:r w:rsidR="003E5978">
        <w:t xml:space="preserve">for a range of IT professionals </w:t>
      </w:r>
      <w:r w:rsidR="00205209">
        <w:t>pu</w:t>
      </w:r>
      <w:r w:rsidR="00464177">
        <w:t>blished by Hudson</w:t>
      </w:r>
      <w:r w:rsidR="003E5978">
        <w:t xml:space="preserve">, </w:t>
      </w:r>
      <w:r w:rsidR="00130244">
        <w:t xml:space="preserve">e.g. </w:t>
      </w:r>
      <w:r w:rsidR="003E5978">
        <w:t>platform developer</w:t>
      </w:r>
      <w:r w:rsidR="00130244">
        <w:t>s</w:t>
      </w:r>
      <w:r w:rsidR="003E5978">
        <w:t xml:space="preserve"> </w:t>
      </w:r>
      <w:r w:rsidR="00130244">
        <w:t xml:space="preserve">have </w:t>
      </w:r>
      <w:r w:rsidR="003E5978">
        <w:t>annual salar</w:t>
      </w:r>
      <w:r w:rsidR="00130244">
        <w:t>ies</w:t>
      </w:r>
      <w:r w:rsidR="003E5978">
        <w:t xml:space="preserve"> of $141,000 per year</w:t>
      </w:r>
      <w:r w:rsidR="00130244">
        <w:t xml:space="preserve"> (</w:t>
      </w:r>
      <w:r w:rsidR="00322DAB">
        <w:t>which equates to an hourly wage of $77.47)</w:t>
      </w:r>
      <w:r w:rsidR="003E5978">
        <w:t>.</w:t>
      </w:r>
      <w:r w:rsidR="00B02F7C">
        <w:t xml:space="preserve"> The</w:t>
      </w:r>
      <w:r w:rsidR="009216DA">
        <w:t xml:space="preserve">se rates are also broadly consistent with the </w:t>
      </w:r>
      <w:r w:rsidR="00CA5254">
        <w:t xml:space="preserve">range of </w:t>
      </w:r>
      <w:r w:rsidR="009216DA">
        <w:t xml:space="preserve">rates that the department </w:t>
      </w:r>
      <w:r w:rsidR="00DC708F">
        <w:t xml:space="preserve">pays to ICT professionals </w:t>
      </w:r>
      <w:r w:rsidR="00D73AC8">
        <w:t xml:space="preserve">engaged to </w:t>
      </w:r>
      <w:r w:rsidR="002B3448">
        <w:t xml:space="preserve">write applications or update online platforms for the department. </w:t>
      </w:r>
    </w:p>
    <w:p w14:paraId="023F0A59" w14:textId="47685BA5" w:rsidR="005C4237" w:rsidRPr="006459EA" w:rsidRDefault="0017487E" w:rsidP="006459EA">
      <w:pPr>
        <w:spacing w:after="160" w:line="259" w:lineRule="auto"/>
      </w:pPr>
      <w:bookmarkStart w:id="60" w:name="_Hlk139010482"/>
      <w:r w:rsidRPr="00010735">
        <w:t>To estimate the hourly earnings for an appropriate legal professional</w:t>
      </w:r>
      <w:r w:rsidR="00A67F7E" w:rsidRPr="00010735">
        <w:t>,</w:t>
      </w:r>
      <w:r w:rsidRPr="00010735">
        <w:t xml:space="preserve"> the department </w:t>
      </w:r>
      <w:r w:rsidR="00A67F7E" w:rsidRPr="00010735">
        <w:t xml:space="preserve">has </w:t>
      </w:r>
      <w:r w:rsidRPr="00010735">
        <w:t xml:space="preserve">used </w:t>
      </w:r>
      <w:r w:rsidR="00714A04" w:rsidRPr="00010735">
        <w:t>annual salaries for</w:t>
      </w:r>
      <w:r w:rsidR="005A4AFF">
        <w:t xml:space="preserve"> senior</w:t>
      </w:r>
      <w:r w:rsidR="00714A04" w:rsidRPr="00010735">
        <w:t xml:space="preserve"> </w:t>
      </w:r>
      <w:r w:rsidR="0052089F" w:rsidRPr="00F9171A">
        <w:t>corporate lawyers</w:t>
      </w:r>
      <w:r w:rsidR="00C00E28" w:rsidRPr="00010735">
        <w:t xml:space="preserve"> </w:t>
      </w:r>
      <w:r w:rsidR="005274DA" w:rsidRPr="00010735">
        <w:t>from Mahlab</w:t>
      </w:r>
      <w:r w:rsidR="00270E61" w:rsidRPr="00F9171A">
        <w:t>.</w:t>
      </w:r>
      <w:r w:rsidR="00B863C3" w:rsidRPr="00010735">
        <w:rPr>
          <w:rStyle w:val="FootnoteReference"/>
        </w:rPr>
        <w:footnoteReference w:id="110"/>
      </w:r>
      <w:r w:rsidR="005274DA" w:rsidRPr="00010735">
        <w:t xml:space="preserve"> </w:t>
      </w:r>
      <w:r w:rsidR="00B0519F" w:rsidRPr="00010735">
        <w:t xml:space="preserve">These gave average </w:t>
      </w:r>
      <w:r w:rsidR="00502E42" w:rsidRPr="00010735">
        <w:t>annual salarie</w:t>
      </w:r>
      <w:r w:rsidR="008D7D96" w:rsidRPr="00010735">
        <w:t xml:space="preserve">s of </w:t>
      </w:r>
      <w:r w:rsidR="0085503A" w:rsidRPr="00010735">
        <w:t>approximately</w:t>
      </w:r>
      <w:r w:rsidR="008D7D96" w:rsidRPr="00010735">
        <w:t xml:space="preserve"> $</w:t>
      </w:r>
      <w:r w:rsidR="003A084F" w:rsidRPr="00F9171A">
        <w:t>190,000-$260,000</w:t>
      </w:r>
      <w:r w:rsidR="0085503A" w:rsidRPr="00010735">
        <w:t xml:space="preserve"> for senior </w:t>
      </w:r>
      <w:r w:rsidR="00B1657D">
        <w:t xml:space="preserve">corporate </w:t>
      </w:r>
      <w:r w:rsidR="00431969" w:rsidRPr="00010735">
        <w:t>lawyers with 8-10 years</w:t>
      </w:r>
      <w:r w:rsidR="00B1657D">
        <w:t>’</w:t>
      </w:r>
      <w:r w:rsidR="00431969" w:rsidRPr="00010735">
        <w:t xml:space="preserve"> experience</w:t>
      </w:r>
      <w:r w:rsidR="008D7D96" w:rsidRPr="00010735">
        <w:t xml:space="preserve">. </w:t>
      </w:r>
      <w:r w:rsidR="005F6B44">
        <w:t xml:space="preserve">These </w:t>
      </w:r>
      <w:r w:rsidR="00651082">
        <w:t xml:space="preserve">approximate </w:t>
      </w:r>
      <w:r w:rsidR="005F6B44">
        <w:t>a</w:t>
      </w:r>
      <w:r w:rsidR="00AA49F6">
        <w:t>verage salaries were co</w:t>
      </w:r>
      <w:r w:rsidR="0074222C">
        <w:t xml:space="preserve">rroborated </w:t>
      </w:r>
      <w:r w:rsidR="00651082">
        <w:t xml:space="preserve">by the department’s internal </w:t>
      </w:r>
      <w:r w:rsidR="00E05123">
        <w:t>lawyers</w:t>
      </w:r>
      <w:r w:rsidR="00244FBE">
        <w:t>.</w:t>
      </w:r>
      <w:r w:rsidR="00AA49F6">
        <w:t xml:space="preserve"> </w:t>
      </w:r>
      <w:r w:rsidR="00B260E3" w:rsidRPr="00F9171A">
        <w:t xml:space="preserve">Using the published mode of $245,000 </w:t>
      </w:r>
      <w:r w:rsidR="00DD3A92" w:rsidRPr="00F9171A">
        <w:t xml:space="preserve">for </w:t>
      </w:r>
      <w:r w:rsidR="005A4AFF">
        <w:t xml:space="preserve">senior </w:t>
      </w:r>
      <w:r w:rsidR="00DD3A92" w:rsidRPr="00F9171A">
        <w:t>corporate lawyers in Sydney,</w:t>
      </w:r>
      <w:r w:rsidR="00B260E3" w:rsidRPr="00F9171A">
        <w:t xml:space="preserve"> and a</w:t>
      </w:r>
      <w:r w:rsidR="008D7D96" w:rsidRPr="00010735">
        <w:t>pplying a similar methodology</w:t>
      </w:r>
      <w:r w:rsidR="005F4273" w:rsidRPr="00F9171A">
        <w:t xml:space="preserve"> as above</w:t>
      </w:r>
      <w:r w:rsidR="005C4237" w:rsidRPr="00010735">
        <w:t xml:space="preserve">, the department divided </w:t>
      </w:r>
      <w:r w:rsidR="0085503A" w:rsidRPr="00010735">
        <w:t>the annual salary of $</w:t>
      </w:r>
      <w:r w:rsidR="00650ABA" w:rsidRPr="00F9171A">
        <w:t>245</w:t>
      </w:r>
      <w:r w:rsidR="0085503A" w:rsidRPr="00010735">
        <w:t xml:space="preserve">,000 </w:t>
      </w:r>
      <w:r w:rsidR="005C4237" w:rsidRPr="00010735">
        <w:t>by 52 and then again</w:t>
      </w:r>
      <w:r w:rsidR="00AC7330" w:rsidRPr="00010735">
        <w:t xml:space="preserve"> by 35 </w:t>
      </w:r>
      <w:r w:rsidR="0085503A" w:rsidRPr="00010735">
        <w:t xml:space="preserve">to calculate </w:t>
      </w:r>
      <w:r w:rsidR="00AC7330" w:rsidRPr="00010735">
        <w:t>an hourly wage of $1</w:t>
      </w:r>
      <w:r w:rsidR="00650ABA" w:rsidRPr="00F9171A">
        <w:t>34.62</w:t>
      </w:r>
      <w:r w:rsidR="0085503A" w:rsidRPr="00010735">
        <w:t>. Then a</w:t>
      </w:r>
      <w:r w:rsidR="00141486" w:rsidRPr="00010735">
        <w:t>pplying the 75 per cent loading</w:t>
      </w:r>
      <w:r w:rsidR="003332A4" w:rsidRPr="00010735">
        <w:t xml:space="preserve"> the department estimates that the hourly </w:t>
      </w:r>
      <w:r w:rsidR="0085503A" w:rsidRPr="00010735">
        <w:t xml:space="preserve">work related labour rate </w:t>
      </w:r>
      <w:r w:rsidR="003332A4" w:rsidRPr="00010735">
        <w:t xml:space="preserve">of employing </w:t>
      </w:r>
      <w:r w:rsidR="00F866C4">
        <w:t xml:space="preserve">a </w:t>
      </w:r>
      <w:r w:rsidR="005A4AFF">
        <w:t xml:space="preserve">senior </w:t>
      </w:r>
      <w:r w:rsidR="00F866C4">
        <w:t xml:space="preserve">corporate lawyer </w:t>
      </w:r>
      <w:r w:rsidR="00C65EEC" w:rsidRPr="00010735">
        <w:t>to be $2</w:t>
      </w:r>
      <w:r w:rsidR="00650ABA" w:rsidRPr="00010735">
        <w:t>35.58.</w:t>
      </w:r>
      <w:bookmarkEnd w:id="60"/>
    </w:p>
    <w:p w14:paraId="49AADD26" w14:textId="09909C1E" w:rsidR="000077CC" w:rsidRDefault="006459EA" w:rsidP="000077CC">
      <w:pPr>
        <w:rPr>
          <w:highlight w:val="yellow"/>
        </w:rPr>
      </w:pPr>
      <w:r w:rsidRPr="006459EA">
        <w:t xml:space="preserve">As above, it is </w:t>
      </w:r>
      <w:r w:rsidRPr="009F7D68">
        <w:t xml:space="preserve">estimated that the Fair Work Commission would set the first Minimum Standards Orders to be implemented in 2025-26, and then vary these every 3 years, </w:t>
      </w:r>
      <w:r w:rsidRPr="00397882">
        <w:t xml:space="preserve">the department estimates that each business would face </w:t>
      </w:r>
      <w:r w:rsidRPr="00397882">
        <w:rPr>
          <w:b/>
        </w:rPr>
        <w:t>$</w:t>
      </w:r>
      <w:r w:rsidR="1428270D" w:rsidRPr="00A54C6D">
        <w:rPr>
          <w:b/>
        </w:rPr>
        <w:t>7,018.</w:t>
      </w:r>
      <w:r w:rsidR="1428270D" w:rsidRPr="00A54C6D">
        <w:rPr>
          <w:b/>
          <w:bCs/>
        </w:rPr>
        <w:t>20</w:t>
      </w:r>
      <w:r w:rsidRPr="00397882">
        <w:t xml:space="preserve"> as an annual cost, averaged over the next 10 years.</w:t>
      </w:r>
    </w:p>
    <w:p w14:paraId="4ADA50ED" w14:textId="6E6C11A0" w:rsidR="006459EA" w:rsidRPr="00265584" w:rsidRDefault="00D30C96" w:rsidP="004B4F63">
      <w:pPr>
        <w:rPr>
          <w:b/>
        </w:rPr>
      </w:pPr>
      <w:r w:rsidRPr="00265584">
        <w:rPr>
          <w:b/>
        </w:rPr>
        <w:t xml:space="preserve">Table </w:t>
      </w:r>
      <w:r w:rsidR="454F9EB4" w:rsidRPr="1294E642">
        <w:rPr>
          <w:b/>
          <w:bCs/>
        </w:rPr>
        <w:t>8</w:t>
      </w:r>
      <w:r w:rsidRPr="00265584">
        <w:rPr>
          <w:b/>
        </w:rPr>
        <w:t xml:space="preserve"> </w:t>
      </w:r>
      <w:r w:rsidR="267D5229" w:rsidRPr="166584AA">
        <w:rPr>
          <w:b/>
          <w:bCs/>
        </w:rPr>
        <w:t xml:space="preserve">- </w:t>
      </w:r>
      <w:r w:rsidR="00640B29" w:rsidRPr="00265584">
        <w:rPr>
          <w:b/>
        </w:rPr>
        <w:t>Compliance costs over 10 years</w:t>
      </w:r>
    </w:p>
    <w:tbl>
      <w:tblPr>
        <w:tblStyle w:val="DESE"/>
        <w:tblW w:w="9493" w:type="dxa"/>
        <w:tblLayout w:type="fixed"/>
        <w:tblLook w:val="04A0" w:firstRow="1" w:lastRow="0" w:firstColumn="1" w:lastColumn="0" w:noHBand="0" w:noVBand="1"/>
      </w:tblPr>
      <w:tblGrid>
        <w:gridCol w:w="1838"/>
        <w:gridCol w:w="2268"/>
        <w:gridCol w:w="2126"/>
        <w:gridCol w:w="1985"/>
        <w:gridCol w:w="1276"/>
      </w:tblGrid>
      <w:tr w:rsidR="00251D29" w:rsidRPr="009F7D68" w14:paraId="2923450A" w14:textId="77777777" w:rsidTr="00A54C6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838" w:type="dxa"/>
          </w:tcPr>
          <w:p w14:paraId="3CCBD22E" w14:textId="77777777" w:rsidR="006459EA" w:rsidRPr="009F7D68" w:rsidRDefault="006459EA">
            <w:pPr>
              <w:spacing w:after="0" w:line="259" w:lineRule="auto"/>
              <w:jc w:val="center"/>
              <w:rPr>
                <w:b/>
              </w:rPr>
            </w:pPr>
            <w:r w:rsidRPr="009F7D68">
              <w:rPr>
                <w:b/>
              </w:rPr>
              <w:t>Year</w:t>
            </w:r>
          </w:p>
        </w:tc>
        <w:tc>
          <w:tcPr>
            <w:tcW w:w="2268" w:type="dxa"/>
          </w:tcPr>
          <w:p w14:paraId="724AF045" w14:textId="77777777" w:rsidR="006459EA" w:rsidRPr="009F7D68" w:rsidRDefault="006459EA">
            <w:pPr>
              <w:spacing w:after="0" w:line="259" w:lineRule="auto"/>
              <w:jc w:val="center"/>
              <w:cnfStyle w:val="100000000000" w:firstRow="1" w:lastRow="0" w:firstColumn="0" w:lastColumn="0" w:oddVBand="0" w:evenVBand="0" w:oddHBand="0" w:evenHBand="0" w:firstRowFirstColumn="0" w:firstRowLastColumn="0" w:lastRowFirstColumn="0" w:lastRowLastColumn="0"/>
              <w:rPr>
                <w:b/>
              </w:rPr>
            </w:pPr>
            <w:r w:rsidRPr="009F7D68">
              <w:rPr>
                <w:b/>
              </w:rPr>
              <w:t>Understanding new obligations</w:t>
            </w:r>
          </w:p>
        </w:tc>
        <w:tc>
          <w:tcPr>
            <w:tcW w:w="2126" w:type="dxa"/>
          </w:tcPr>
          <w:p w14:paraId="3FF084CC" w14:textId="77777777" w:rsidR="006459EA" w:rsidRPr="009F7D68" w:rsidRDefault="006459EA">
            <w:pPr>
              <w:spacing w:after="0" w:line="259" w:lineRule="auto"/>
              <w:jc w:val="center"/>
              <w:cnfStyle w:val="100000000000" w:firstRow="1" w:lastRow="0" w:firstColumn="0" w:lastColumn="0" w:oddVBand="0" w:evenVBand="0" w:oddHBand="0" w:evenHBand="0" w:firstRowFirstColumn="0" w:firstRowLastColumn="0" w:lastRowFirstColumn="0" w:lastRowLastColumn="0"/>
              <w:rPr>
                <w:b/>
              </w:rPr>
            </w:pPr>
            <w:r w:rsidRPr="009F7D68">
              <w:rPr>
                <w:b/>
              </w:rPr>
              <w:t>Updating contract and other documents</w:t>
            </w:r>
          </w:p>
        </w:tc>
        <w:tc>
          <w:tcPr>
            <w:tcW w:w="1985" w:type="dxa"/>
          </w:tcPr>
          <w:p w14:paraId="09235829" w14:textId="77777777" w:rsidR="006459EA" w:rsidRPr="009F7D68" w:rsidRDefault="006459EA">
            <w:pPr>
              <w:spacing w:after="0" w:line="259" w:lineRule="auto"/>
              <w:jc w:val="center"/>
              <w:cnfStyle w:val="100000000000" w:firstRow="1" w:lastRow="0" w:firstColumn="0" w:lastColumn="0" w:oddVBand="0" w:evenVBand="0" w:oddHBand="0" w:evenHBand="0" w:firstRowFirstColumn="0" w:firstRowLastColumn="0" w:lastRowFirstColumn="0" w:lastRowLastColumn="0"/>
              <w:rPr>
                <w:b/>
              </w:rPr>
            </w:pPr>
            <w:r w:rsidRPr="009F7D68">
              <w:rPr>
                <w:b/>
              </w:rPr>
              <w:t>Updating IT systems</w:t>
            </w:r>
          </w:p>
        </w:tc>
        <w:tc>
          <w:tcPr>
            <w:tcW w:w="1276" w:type="dxa"/>
          </w:tcPr>
          <w:p w14:paraId="2BF9CC67" w14:textId="46D63852" w:rsidR="006459EA" w:rsidRPr="009F7D68" w:rsidRDefault="006459EA">
            <w:pPr>
              <w:spacing w:after="0" w:line="259" w:lineRule="auto"/>
              <w:jc w:val="center"/>
              <w:cnfStyle w:val="100000000000" w:firstRow="1" w:lastRow="0" w:firstColumn="0" w:lastColumn="0" w:oddVBand="0" w:evenVBand="0" w:oddHBand="0" w:evenHBand="0" w:firstRowFirstColumn="0" w:firstRowLastColumn="0" w:lastRowFirstColumn="0" w:lastRowLastColumn="0"/>
              <w:rPr>
                <w:b/>
              </w:rPr>
            </w:pPr>
            <w:r w:rsidRPr="009F7D68">
              <w:rPr>
                <w:b/>
              </w:rPr>
              <w:t>Total</w:t>
            </w:r>
          </w:p>
        </w:tc>
      </w:tr>
      <w:tr w:rsidR="00251D29" w:rsidRPr="009F7D68" w14:paraId="0AAA817B" w14:textId="77777777" w:rsidTr="00A54C6D">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91C5E42" w14:textId="77777777" w:rsidR="006459EA" w:rsidRPr="009F7D68" w:rsidRDefault="006459EA">
            <w:pPr>
              <w:spacing w:after="0" w:line="259" w:lineRule="auto"/>
              <w:rPr>
                <w:b/>
              </w:rPr>
            </w:pPr>
            <w:r w:rsidRPr="009F7D68">
              <w:rPr>
                <w:b/>
              </w:rPr>
              <w:t>2025-26</w:t>
            </w:r>
          </w:p>
        </w:tc>
        <w:tc>
          <w:tcPr>
            <w:tcW w:w="2268" w:type="dxa"/>
          </w:tcPr>
          <w:p w14:paraId="6058EAB5" w14:textId="7FB4F0BF" w:rsidR="006459EA" w:rsidRPr="009F7D68"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9F7D68">
              <w:t>= $</w:t>
            </w:r>
            <w:r w:rsidR="00B96BBE" w:rsidRPr="009F7D68">
              <w:t>2</w:t>
            </w:r>
            <w:r w:rsidR="00650ABA" w:rsidRPr="009F7D68">
              <w:t>35.58</w:t>
            </w:r>
            <w:r w:rsidRPr="009F7D68">
              <w:t xml:space="preserve"> x 2</w:t>
            </w:r>
            <w:r w:rsidR="00572C18" w:rsidRPr="009F7D68">
              <w:t>0</w:t>
            </w:r>
            <w:r w:rsidRPr="009F7D68">
              <w:t xml:space="preserve"> hrs</w:t>
            </w:r>
          </w:p>
          <w:p w14:paraId="4E310EB3" w14:textId="50537796" w:rsidR="006459EA" w:rsidRPr="009F7D68"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9F7D68">
              <w:t>= $</w:t>
            </w:r>
            <w:r w:rsidR="00650ABA" w:rsidRPr="009F7D68">
              <w:t>4,711.54</w:t>
            </w:r>
          </w:p>
        </w:tc>
        <w:tc>
          <w:tcPr>
            <w:tcW w:w="2126" w:type="dxa"/>
          </w:tcPr>
          <w:p w14:paraId="4B0DC6EA" w14:textId="7A7FDE94" w:rsidR="006459EA" w:rsidRPr="009F7D68"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9F7D68">
              <w:t>= $</w:t>
            </w:r>
            <w:r w:rsidR="00B96BBE" w:rsidRPr="009F7D68">
              <w:t>2</w:t>
            </w:r>
            <w:r w:rsidR="00650ABA" w:rsidRPr="009F7D68">
              <w:t>35.58</w:t>
            </w:r>
            <w:r w:rsidRPr="009F7D68">
              <w:t xml:space="preserve"> x 10</w:t>
            </w:r>
            <w:r w:rsidR="00572C18" w:rsidRPr="009F7D68">
              <w:t>0</w:t>
            </w:r>
            <w:r w:rsidRPr="009F7D68">
              <w:t xml:space="preserve"> hrs</w:t>
            </w:r>
          </w:p>
          <w:p w14:paraId="6A94C956" w14:textId="7D539A51" w:rsidR="006459EA" w:rsidRPr="009F7D68"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9F7D68">
              <w:t>= $</w:t>
            </w:r>
            <w:r w:rsidR="00241C20" w:rsidRPr="009F7D68">
              <w:t>2</w:t>
            </w:r>
            <w:r w:rsidR="000461AB" w:rsidRPr="009F7D68">
              <w:t>3,557.69</w:t>
            </w:r>
          </w:p>
        </w:tc>
        <w:tc>
          <w:tcPr>
            <w:tcW w:w="1985" w:type="dxa"/>
          </w:tcPr>
          <w:p w14:paraId="68FCC946" w14:textId="0BC1CFD7" w:rsidR="006459EA" w:rsidRPr="00A54C6D"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F826D0">
              <w:t>= $</w:t>
            </w:r>
            <w:r w:rsidR="008B5AB1" w:rsidRPr="00F826D0">
              <w:t>155.01</w:t>
            </w:r>
            <w:r w:rsidRPr="00F826D0">
              <w:t xml:space="preserve"> x </w:t>
            </w:r>
            <w:r w:rsidR="4FD30A67" w:rsidRPr="00F826D0">
              <w:t>2</w:t>
            </w:r>
            <w:r w:rsidRPr="00F826D0">
              <w:t>0</w:t>
            </w:r>
            <w:r w:rsidR="00572C18" w:rsidRPr="00F826D0">
              <w:t>0</w:t>
            </w:r>
            <w:r w:rsidRPr="00F826D0">
              <w:t xml:space="preserve"> hrs</w:t>
            </w:r>
          </w:p>
          <w:p w14:paraId="44C264E3" w14:textId="3030457D" w:rsidR="006459EA" w:rsidRPr="00A54C6D"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F826D0">
              <w:t>= $</w:t>
            </w:r>
            <w:r w:rsidR="4911ED08" w:rsidRPr="00F826D0">
              <w:t>31</w:t>
            </w:r>
            <w:r w:rsidR="582B7859" w:rsidRPr="00F826D0">
              <w:t>,</w:t>
            </w:r>
            <w:r w:rsidR="00AFC100" w:rsidRPr="00F826D0">
              <w:t>001</w:t>
            </w:r>
            <w:r w:rsidR="582B7859" w:rsidRPr="00F826D0">
              <w:t>.</w:t>
            </w:r>
            <w:r w:rsidR="20E6E786" w:rsidRPr="00F826D0">
              <w:t>0</w:t>
            </w:r>
            <w:r w:rsidR="00730582" w:rsidRPr="00F826D0">
              <w:t>0</w:t>
            </w:r>
          </w:p>
        </w:tc>
        <w:tc>
          <w:tcPr>
            <w:tcW w:w="0" w:type="dxa"/>
          </w:tcPr>
          <w:p w14:paraId="70A525DD" w14:textId="189621A9" w:rsidR="006459EA" w:rsidRPr="00A54C6D" w:rsidRDefault="05C7ECEF">
            <w:pPr>
              <w:spacing w:after="0" w:line="259" w:lineRule="auto"/>
              <w:cnfStyle w:val="000000000000" w:firstRow="0" w:lastRow="0" w:firstColumn="0" w:lastColumn="0" w:oddVBand="0" w:evenVBand="0" w:oddHBand="0" w:evenHBand="0" w:firstRowFirstColumn="0" w:firstRowLastColumn="0" w:lastRowFirstColumn="0" w:lastRowLastColumn="0"/>
            </w:pPr>
            <w:r w:rsidRPr="00F826D0">
              <w:t>$59,270.23</w:t>
            </w:r>
          </w:p>
        </w:tc>
      </w:tr>
      <w:tr w:rsidR="00251D29" w:rsidRPr="009F7D68" w14:paraId="76A0B916" w14:textId="77777777" w:rsidTr="00A54C6D">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4A35F844" w14:textId="77777777" w:rsidR="006459EA" w:rsidRPr="009F7D68" w:rsidRDefault="006459EA">
            <w:pPr>
              <w:spacing w:after="0" w:line="259" w:lineRule="auto"/>
              <w:rPr>
                <w:b/>
              </w:rPr>
            </w:pPr>
            <w:r w:rsidRPr="009F7D68">
              <w:rPr>
                <w:b/>
              </w:rPr>
              <w:t>2028-29</w:t>
            </w:r>
          </w:p>
        </w:tc>
        <w:tc>
          <w:tcPr>
            <w:tcW w:w="2268" w:type="dxa"/>
          </w:tcPr>
          <w:p w14:paraId="13822578" w14:textId="77777777" w:rsidR="006459EA" w:rsidRPr="009F7D68"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9F7D68">
              <w:t>Nil</w:t>
            </w:r>
          </w:p>
        </w:tc>
        <w:tc>
          <w:tcPr>
            <w:tcW w:w="2126" w:type="dxa"/>
          </w:tcPr>
          <w:p w14:paraId="02E41B21" w14:textId="7B55D368" w:rsidR="006459EA" w:rsidRPr="009F7D68"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9F7D68">
              <w:t>= $</w:t>
            </w:r>
            <w:r w:rsidR="008B5AB1" w:rsidRPr="009F7D68">
              <w:t>2</w:t>
            </w:r>
            <w:r w:rsidR="000461AB" w:rsidRPr="009F7D68">
              <w:t>35.58</w:t>
            </w:r>
            <w:r w:rsidRPr="009F7D68">
              <w:t xml:space="preserve"> x 1</w:t>
            </w:r>
            <w:r w:rsidR="00572C18" w:rsidRPr="009F7D68">
              <w:t>0</w:t>
            </w:r>
            <w:r w:rsidRPr="009F7D68">
              <w:t xml:space="preserve"> hr</w:t>
            </w:r>
          </w:p>
          <w:p w14:paraId="03F16CC0" w14:textId="60E3854B" w:rsidR="006459EA" w:rsidRPr="009F7D68"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9F7D68">
              <w:t>= $</w:t>
            </w:r>
            <w:r w:rsidR="003C4B5D" w:rsidRPr="009F7D68">
              <w:t>2,</w:t>
            </w:r>
            <w:r w:rsidR="000461AB" w:rsidRPr="009F7D68">
              <w:t>355.77</w:t>
            </w:r>
          </w:p>
        </w:tc>
        <w:tc>
          <w:tcPr>
            <w:tcW w:w="1985" w:type="dxa"/>
          </w:tcPr>
          <w:p w14:paraId="5FE5B839" w14:textId="137D7294" w:rsidR="006459EA" w:rsidRPr="00F826D0"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F826D0">
              <w:t>= $</w:t>
            </w:r>
            <w:r w:rsidR="008B5AB1" w:rsidRPr="00F826D0">
              <w:t>155.01</w:t>
            </w:r>
            <w:r w:rsidRPr="00F826D0">
              <w:t xml:space="preserve"> x 2</w:t>
            </w:r>
            <w:r w:rsidR="00572C18" w:rsidRPr="00F826D0">
              <w:t>0</w:t>
            </w:r>
            <w:r w:rsidRPr="00F826D0">
              <w:t xml:space="preserve"> hrs</w:t>
            </w:r>
          </w:p>
          <w:p w14:paraId="0AD95591" w14:textId="4EA1538F" w:rsidR="006459EA" w:rsidRPr="00F826D0"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F826D0">
              <w:t>= $</w:t>
            </w:r>
            <w:r w:rsidR="00730582" w:rsidRPr="00F826D0">
              <w:t>3,100.10</w:t>
            </w:r>
          </w:p>
        </w:tc>
        <w:tc>
          <w:tcPr>
            <w:tcW w:w="0" w:type="dxa"/>
          </w:tcPr>
          <w:p w14:paraId="4EB45153" w14:textId="221373DE" w:rsidR="006459EA" w:rsidRPr="00F826D0"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F826D0">
              <w:t>$</w:t>
            </w:r>
            <w:r w:rsidR="003761CA" w:rsidRPr="00F826D0">
              <w:t>5,</w:t>
            </w:r>
            <w:r w:rsidR="000461AB" w:rsidRPr="00F826D0">
              <w:t>455.87</w:t>
            </w:r>
          </w:p>
        </w:tc>
      </w:tr>
      <w:tr w:rsidR="00251D29" w:rsidRPr="009F7D68" w14:paraId="2424CCD1" w14:textId="77777777" w:rsidTr="00A54C6D">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EE97C54" w14:textId="77777777" w:rsidR="006459EA" w:rsidRPr="009F7D68" w:rsidRDefault="006459EA">
            <w:pPr>
              <w:spacing w:after="0" w:line="259" w:lineRule="auto"/>
              <w:rPr>
                <w:b/>
              </w:rPr>
            </w:pPr>
            <w:r w:rsidRPr="009F7D68">
              <w:rPr>
                <w:b/>
              </w:rPr>
              <w:t>2031-32</w:t>
            </w:r>
          </w:p>
        </w:tc>
        <w:tc>
          <w:tcPr>
            <w:tcW w:w="2268" w:type="dxa"/>
          </w:tcPr>
          <w:p w14:paraId="2E535565" w14:textId="77777777" w:rsidR="006459EA" w:rsidRPr="009F7D68"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9F7D68">
              <w:t xml:space="preserve">Nil </w:t>
            </w:r>
          </w:p>
        </w:tc>
        <w:tc>
          <w:tcPr>
            <w:tcW w:w="2126" w:type="dxa"/>
          </w:tcPr>
          <w:p w14:paraId="53B0FF9B" w14:textId="77777777" w:rsidR="000461AB" w:rsidRPr="009F7D68" w:rsidRDefault="006459EA" w:rsidP="000461AB">
            <w:pPr>
              <w:spacing w:after="0" w:line="259" w:lineRule="auto"/>
              <w:cnfStyle w:val="000000000000" w:firstRow="0" w:lastRow="0" w:firstColumn="0" w:lastColumn="0" w:oddVBand="0" w:evenVBand="0" w:oddHBand="0" w:evenHBand="0" w:firstRowFirstColumn="0" w:firstRowLastColumn="0" w:lastRowFirstColumn="0" w:lastRowLastColumn="0"/>
            </w:pPr>
            <w:r w:rsidRPr="009F7D68">
              <w:t>= $</w:t>
            </w:r>
            <w:r w:rsidR="000461AB" w:rsidRPr="009F7D68">
              <w:t>235.58 x 10 hr</w:t>
            </w:r>
          </w:p>
          <w:p w14:paraId="680E482D" w14:textId="49394DEE" w:rsidR="006459EA" w:rsidRPr="009F7D68" w:rsidRDefault="000461AB">
            <w:pPr>
              <w:spacing w:after="0" w:line="259" w:lineRule="auto"/>
              <w:cnfStyle w:val="000000000000" w:firstRow="0" w:lastRow="0" w:firstColumn="0" w:lastColumn="0" w:oddVBand="0" w:evenVBand="0" w:oddHBand="0" w:evenHBand="0" w:firstRowFirstColumn="0" w:firstRowLastColumn="0" w:lastRowFirstColumn="0" w:lastRowLastColumn="0"/>
            </w:pPr>
            <w:r w:rsidRPr="009F7D68">
              <w:t>= $2,355.77</w:t>
            </w:r>
          </w:p>
        </w:tc>
        <w:tc>
          <w:tcPr>
            <w:tcW w:w="1985" w:type="dxa"/>
          </w:tcPr>
          <w:p w14:paraId="06F3D7F1" w14:textId="366F8804" w:rsidR="006459EA" w:rsidRPr="00F826D0"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F826D0">
              <w:t>= $</w:t>
            </w:r>
            <w:r w:rsidR="008B5AB1" w:rsidRPr="00F826D0">
              <w:t>155.01</w:t>
            </w:r>
            <w:r w:rsidRPr="00F826D0">
              <w:t xml:space="preserve"> x 2</w:t>
            </w:r>
            <w:r w:rsidR="00572C18" w:rsidRPr="00F826D0">
              <w:t>0</w:t>
            </w:r>
            <w:r w:rsidRPr="00F826D0">
              <w:t xml:space="preserve"> hrs</w:t>
            </w:r>
          </w:p>
          <w:p w14:paraId="53AFFA1D" w14:textId="79A7EDB1" w:rsidR="006459EA" w:rsidRPr="00F826D0"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F826D0">
              <w:t>= $</w:t>
            </w:r>
            <w:r w:rsidR="00730582" w:rsidRPr="00F826D0">
              <w:t>3,100.10</w:t>
            </w:r>
          </w:p>
        </w:tc>
        <w:tc>
          <w:tcPr>
            <w:tcW w:w="0" w:type="dxa"/>
          </w:tcPr>
          <w:p w14:paraId="211B01E7" w14:textId="28BBE367" w:rsidR="006459EA" w:rsidRPr="00F826D0" w:rsidRDefault="003761CA">
            <w:pPr>
              <w:spacing w:after="0" w:line="259" w:lineRule="auto"/>
              <w:cnfStyle w:val="000000000000" w:firstRow="0" w:lastRow="0" w:firstColumn="0" w:lastColumn="0" w:oddVBand="0" w:evenVBand="0" w:oddHBand="0" w:evenHBand="0" w:firstRowFirstColumn="0" w:firstRowLastColumn="0" w:lastRowFirstColumn="0" w:lastRowLastColumn="0"/>
            </w:pPr>
            <w:r w:rsidRPr="00F826D0">
              <w:t>$5,</w:t>
            </w:r>
            <w:r w:rsidR="000461AB" w:rsidRPr="00F826D0">
              <w:t>455.87</w:t>
            </w:r>
          </w:p>
        </w:tc>
      </w:tr>
      <w:tr w:rsidR="00251D29" w:rsidRPr="009F7D68" w14:paraId="4A7BDED1" w14:textId="77777777" w:rsidTr="00A54C6D">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32D235DC" w14:textId="77777777" w:rsidR="006459EA" w:rsidRPr="009F7D68" w:rsidRDefault="006459EA">
            <w:pPr>
              <w:spacing w:after="0" w:line="259" w:lineRule="auto"/>
              <w:rPr>
                <w:b/>
              </w:rPr>
            </w:pPr>
            <w:r w:rsidRPr="009F7D68">
              <w:rPr>
                <w:b/>
              </w:rPr>
              <w:t>TOTAL</w:t>
            </w:r>
          </w:p>
        </w:tc>
        <w:tc>
          <w:tcPr>
            <w:tcW w:w="2268" w:type="dxa"/>
          </w:tcPr>
          <w:p w14:paraId="4568FAC9" w14:textId="366394BE" w:rsidR="006459EA" w:rsidRPr="009F7D68" w:rsidRDefault="009F0F87">
            <w:pPr>
              <w:spacing w:after="0" w:line="259" w:lineRule="auto"/>
              <w:cnfStyle w:val="000000000000" w:firstRow="0" w:lastRow="0" w:firstColumn="0" w:lastColumn="0" w:oddVBand="0" w:evenVBand="0" w:oddHBand="0" w:evenHBand="0" w:firstRowFirstColumn="0" w:firstRowLastColumn="0" w:lastRowFirstColumn="0" w:lastRowLastColumn="0"/>
            </w:pPr>
            <w:r w:rsidRPr="009F7D68">
              <w:t>$</w:t>
            </w:r>
            <w:r w:rsidR="00650ABA" w:rsidRPr="009F7D68">
              <w:t>4,711.54</w:t>
            </w:r>
          </w:p>
        </w:tc>
        <w:tc>
          <w:tcPr>
            <w:tcW w:w="2126" w:type="dxa"/>
          </w:tcPr>
          <w:p w14:paraId="6769BDE5" w14:textId="504EFC3B" w:rsidR="006459EA" w:rsidRPr="009F7D68"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9F7D68">
              <w:t>$</w:t>
            </w:r>
            <w:r w:rsidR="000461AB" w:rsidRPr="009F7D68">
              <w:t>28,269.23</w:t>
            </w:r>
          </w:p>
        </w:tc>
        <w:tc>
          <w:tcPr>
            <w:tcW w:w="1985" w:type="dxa"/>
          </w:tcPr>
          <w:p w14:paraId="5EA6E1F7" w14:textId="52960033" w:rsidR="006459EA" w:rsidRPr="00F826D0"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F826D0">
              <w:t>$</w:t>
            </w:r>
            <w:r w:rsidR="45727A4A" w:rsidRPr="00F826D0">
              <w:t>37,201.20</w:t>
            </w:r>
          </w:p>
        </w:tc>
        <w:tc>
          <w:tcPr>
            <w:tcW w:w="0" w:type="dxa"/>
          </w:tcPr>
          <w:p w14:paraId="4337B086" w14:textId="5F927A05" w:rsidR="006459EA" w:rsidRPr="00F826D0"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F826D0">
              <w:t>$</w:t>
            </w:r>
            <w:r w:rsidR="239AEA6D" w:rsidRPr="00F826D0">
              <w:t>70,181.97</w:t>
            </w:r>
          </w:p>
        </w:tc>
      </w:tr>
      <w:tr w:rsidR="00251D29" w:rsidRPr="009F7D68" w14:paraId="1A23D401" w14:textId="77777777" w:rsidTr="00A54C6D">
        <w:trPr>
          <w:trHeight w:val="300"/>
        </w:trPr>
        <w:tc>
          <w:tcPr>
            <w:cnfStyle w:val="001000000000" w:firstRow="0" w:lastRow="0" w:firstColumn="1" w:lastColumn="0" w:oddVBand="0" w:evenVBand="0" w:oddHBand="0" w:evenHBand="0" w:firstRowFirstColumn="0" w:firstRowLastColumn="0" w:lastRowFirstColumn="0" w:lastRowLastColumn="0"/>
            <w:tcW w:w="1838" w:type="dxa"/>
          </w:tcPr>
          <w:p w14:paraId="0D1FE579" w14:textId="77777777" w:rsidR="006459EA" w:rsidRPr="009F7D68" w:rsidRDefault="006459EA">
            <w:pPr>
              <w:spacing w:after="0" w:line="259" w:lineRule="auto"/>
              <w:rPr>
                <w:b/>
              </w:rPr>
            </w:pPr>
            <w:r w:rsidRPr="009F7D68">
              <w:rPr>
                <w:b/>
              </w:rPr>
              <w:t>Yearly average (10 years)</w:t>
            </w:r>
          </w:p>
        </w:tc>
        <w:tc>
          <w:tcPr>
            <w:tcW w:w="2268" w:type="dxa"/>
          </w:tcPr>
          <w:p w14:paraId="1BB31BDD" w14:textId="21CB856F" w:rsidR="006459EA" w:rsidRPr="009F7D68"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9F7D68">
              <w:t>$</w:t>
            </w:r>
            <w:r w:rsidR="004C1EBA" w:rsidRPr="009F7D68">
              <w:t>471.15</w:t>
            </w:r>
          </w:p>
        </w:tc>
        <w:tc>
          <w:tcPr>
            <w:tcW w:w="2126" w:type="dxa"/>
          </w:tcPr>
          <w:p w14:paraId="4140BD02" w14:textId="58AF65BA" w:rsidR="006459EA" w:rsidRPr="009F7D68"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9F7D68">
              <w:t>$</w:t>
            </w:r>
            <w:r w:rsidR="004C1EBA" w:rsidRPr="009F7D68">
              <w:t>2,826.92</w:t>
            </w:r>
          </w:p>
        </w:tc>
        <w:tc>
          <w:tcPr>
            <w:tcW w:w="1985" w:type="dxa"/>
          </w:tcPr>
          <w:p w14:paraId="6B9FD9C1" w14:textId="115FF553" w:rsidR="006459EA" w:rsidRPr="00F826D0" w:rsidRDefault="006459EA">
            <w:pPr>
              <w:spacing w:after="0" w:line="259" w:lineRule="auto"/>
              <w:cnfStyle w:val="000000000000" w:firstRow="0" w:lastRow="0" w:firstColumn="0" w:lastColumn="0" w:oddVBand="0" w:evenVBand="0" w:oddHBand="0" w:evenHBand="0" w:firstRowFirstColumn="0" w:firstRowLastColumn="0" w:lastRowFirstColumn="0" w:lastRowLastColumn="0"/>
            </w:pPr>
            <w:r w:rsidRPr="00F826D0">
              <w:t>$</w:t>
            </w:r>
            <w:r w:rsidR="222476D5" w:rsidRPr="00F826D0">
              <w:t>3,720.12</w:t>
            </w:r>
          </w:p>
        </w:tc>
        <w:tc>
          <w:tcPr>
            <w:tcW w:w="0" w:type="dxa"/>
          </w:tcPr>
          <w:p w14:paraId="6E71ADC2" w14:textId="29532D06" w:rsidR="006459EA" w:rsidRPr="00F826D0" w:rsidRDefault="006459EA">
            <w:pPr>
              <w:spacing w:after="0" w:line="259" w:lineRule="auto"/>
              <w:cnfStyle w:val="000000000000" w:firstRow="0" w:lastRow="0" w:firstColumn="0" w:lastColumn="0" w:oddVBand="0" w:evenVBand="0" w:oddHBand="0" w:evenHBand="0" w:firstRowFirstColumn="0" w:firstRowLastColumn="0" w:lastRowFirstColumn="0" w:lastRowLastColumn="0"/>
              <w:rPr>
                <w:b/>
              </w:rPr>
            </w:pPr>
            <w:r w:rsidRPr="00F826D0">
              <w:rPr>
                <w:b/>
              </w:rPr>
              <w:t>$</w:t>
            </w:r>
            <w:r w:rsidR="62829B71" w:rsidRPr="00F826D0">
              <w:rPr>
                <w:b/>
              </w:rPr>
              <w:t>7,018.20</w:t>
            </w:r>
          </w:p>
        </w:tc>
      </w:tr>
    </w:tbl>
    <w:p w14:paraId="7B8B8AA5" w14:textId="24EC54F6" w:rsidR="007A27D7" w:rsidRPr="007A27D7" w:rsidRDefault="00501788" w:rsidP="000077CC">
      <w:pPr>
        <w:pStyle w:val="Heading6"/>
        <w:spacing w:after="200"/>
      </w:pPr>
      <w:r w:rsidRPr="009F7D68">
        <w:t>Compliance with deactivation disputes</w:t>
      </w:r>
    </w:p>
    <w:p w14:paraId="4F42DA03" w14:textId="6FF748D0" w:rsidR="007A27D7" w:rsidRDefault="007A27D7" w:rsidP="007A27D7">
      <w:r>
        <w:t xml:space="preserve">There are additional regulatory costs for businesses engaging digital platform workers who will be able to dispute an unfair contract termination or ‘deactivation’ at the Fair Work Commission. These businesses would face costs associated with implementing new policies and procedures to ensure that terminations of contracts are compliant. For example, this may include steps to afford the other party procedural fairness. </w:t>
      </w:r>
    </w:p>
    <w:p w14:paraId="03353FB5" w14:textId="33F31657" w:rsidR="000B2CBB" w:rsidRPr="000B2CBB" w:rsidRDefault="00B61841" w:rsidP="000B2CBB">
      <w:r>
        <w:t>Consistent with the approach t</w:t>
      </w:r>
      <w:r w:rsidR="005F5C1D">
        <w:t xml:space="preserve">aken above for the cost of compliance with a new Minimum Standards Order, </w:t>
      </w:r>
      <w:r w:rsidR="00CC1B8F">
        <w:t>the</w:t>
      </w:r>
      <w:r w:rsidR="000B2CBB" w:rsidRPr="000B2CBB">
        <w:t xml:space="preserve"> department estimates that it would take a business 2</w:t>
      </w:r>
      <w:r w:rsidR="007F0D8B">
        <w:t>0</w:t>
      </w:r>
      <w:r w:rsidR="000B2CBB" w:rsidRPr="000B2CBB">
        <w:t xml:space="preserve"> hours to understand the new obligations and a further 10</w:t>
      </w:r>
      <w:r w:rsidR="007F0D8B">
        <w:t>0</w:t>
      </w:r>
      <w:r w:rsidR="000B2CBB" w:rsidRPr="000B2CBB">
        <w:t xml:space="preserve"> hours to develop policies and procedures to ensure that future contract terminations are compliant. </w:t>
      </w:r>
      <w:r w:rsidR="00BD49DE">
        <w:t>The number of hours taken is intended to provide an average level of regulatory burde</w:t>
      </w:r>
      <w:r w:rsidR="0EFAB396">
        <w:t>n</w:t>
      </w:r>
      <w:r w:rsidR="00BD49DE">
        <w:t xml:space="preserve">, but it is likely that the time taken would vary depending on the </w:t>
      </w:r>
      <w:r w:rsidR="672C656B">
        <w:t>final</w:t>
      </w:r>
      <w:r w:rsidR="00BD49DE">
        <w:t xml:space="preserve"> form of the deactivation code, the Fair Work Commission</w:t>
      </w:r>
      <w:r w:rsidR="006A68CD">
        <w:t xml:space="preserve">’s approach to implementation and platform’s current approaches to deactivation. </w:t>
      </w:r>
      <w:r w:rsidR="00CC1B8F">
        <w:t>Th</w:t>
      </w:r>
      <w:r w:rsidR="007D299B">
        <w:t>is work would be undertaken by a legal professional at the rates outlined above.</w:t>
      </w:r>
      <w:r w:rsidR="000B2CBB" w:rsidRPr="000B2CBB">
        <w:t xml:space="preserve"> These would be a one-off cost to businesses.</w:t>
      </w:r>
    </w:p>
    <w:p w14:paraId="2CD9A693" w14:textId="6333DF52" w:rsidR="000B2CBB" w:rsidRPr="0056784D" w:rsidRDefault="000B2CBB" w:rsidP="000B2CBB">
      <w:r w:rsidRPr="0056784D">
        <w:t>= (2</w:t>
      </w:r>
      <w:r w:rsidR="00CC30C3" w:rsidRPr="0056784D">
        <w:t>0</w:t>
      </w:r>
      <w:r w:rsidRPr="0056784D">
        <w:t xml:space="preserve"> hours x $</w:t>
      </w:r>
      <w:r w:rsidR="00BA7ABC" w:rsidRPr="0056784D">
        <w:t>235.58</w:t>
      </w:r>
      <w:r w:rsidRPr="0056784D">
        <w:t>) + (1</w:t>
      </w:r>
      <w:r w:rsidR="00CC30C3" w:rsidRPr="0056784D">
        <w:t>0</w:t>
      </w:r>
      <w:r w:rsidRPr="0056784D">
        <w:t>0 hours x $</w:t>
      </w:r>
      <w:r w:rsidR="00BA7ABC" w:rsidRPr="0056784D">
        <w:t>235.58</w:t>
      </w:r>
      <w:r w:rsidRPr="0056784D">
        <w:t>)</w:t>
      </w:r>
    </w:p>
    <w:p w14:paraId="34D80DA2" w14:textId="449F7B50" w:rsidR="000B2CBB" w:rsidRPr="0056784D" w:rsidRDefault="000B2CBB" w:rsidP="000B2CBB">
      <w:r w:rsidRPr="0056784D">
        <w:t>= $</w:t>
      </w:r>
      <w:r w:rsidR="008A6D7A" w:rsidRPr="0056784D">
        <w:t>4,711.54 + $23,557.69</w:t>
      </w:r>
    </w:p>
    <w:p w14:paraId="5F8FE231" w14:textId="089EC011" w:rsidR="000B2CBB" w:rsidRPr="000B2CBB" w:rsidRDefault="000B2CBB" w:rsidP="000B2CBB">
      <w:r w:rsidRPr="0056784D">
        <w:t xml:space="preserve">= </w:t>
      </w:r>
      <w:r w:rsidRPr="0056784D">
        <w:rPr>
          <w:b/>
        </w:rPr>
        <w:t>$</w:t>
      </w:r>
      <w:r w:rsidR="004C31A2" w:rsidRPr="0056784D">
        <w:rPr>
          <w:b/>
        </w:rPr>
        <w:t>28,269.23</w:t>
      </w:r>
      <w:r w:rsidRPr="0056784D">
        <w:rPr>
          <w:b/>
        </w:rPr>
        <w:t xml:space="preserve"> per business</w:t>
      </w:r>
      <w:r w:rsidRPr="0056784D">
        <w:t>.</w:t>
      </w:r>
    </w:p>
    <w:p w14:paraId="2A686237" w14:textId="0FACC979" w:rsidR="003D7C48" w:rsidRPr="00C7467E" w:rsidRDefault="000B2CBB" w:rsidP="008B793A">
      <w:r w:rsidRPr="000B2CBB">
        <w:t xml:space="preserve">There is no available data on how many </w:t>
      </w:r>
      <w:r w:rsidR="00974FC8">
        <w:t>digital platforms</w:t>
      </w:r>
      <w:r w:rsidR="00974FC8" w:rsidRPr="000B2CBB">
        <w:t xml:space="preserve"> </w:t>
      </w:r>
      <w:r w:rsidRPr="000B2CBB">
        <w:t>engage independent contractors.</w:t>
      </w:r>
      <w:r w:rsidR="00EF722F">
        <w:t xml:space="preserve"> T</w:t>
      </w:r>
      <w:r w:rsidRPr="000B2CBB">
        <w:t>he per business cost is estimated as $</w:t>
      </w:r>
      <w:r w:rsidR="0B5005F9">
        <w:t>28,269.23</w:t>
      </w:r>
      <w:r w:rsidRPr="000B2CBB">
        <w:t xml:space="preserve">, including time to understand new obligations and to </w:t>
      </w:r>
      <w:r w:rsidRPr="00D10B50">
        <w:t>implement policies and procedures to ensure that any contract terminations are compliant.</w:t>
      </w:r>
    </w:p>
    <w:p w14:paraId="0A048A26" w14:textId="72B9CD78" w:rsidR="003D7C48" w:rsidRPr="00F826D0" w:rsidRDefault="27FBF7E6" w:rsidP="008B793A">
      <w:r w:rsidRPr="00F826D0">
        <w:t>This cost will be in addition to the $59,270.23 compliance cost referred to in Table 8, which is expected to come into effect in 2025-26.</w:t>
      </w:r>
      <w:r w:rsidR="009243B8" w:rsidRPr="00A54C6D">
        <w:t xml:space="preserve"> </w:t>
      </w:r>
    </w:p>
    <w:p w14:paraId="6CDF905A" w14:textId="5E59F908" w:rsidR="00402599" w:rsidRDefault="001A49B1" w:rsidP="007F78F0">
      <w:pPr>
        <w:pStyle w:val="Heading5"/>
      </w:pPr>
      <w:r>
        <w:t>Economic</w:t>
      </w:r>
    </w:p>
    <w:p w14:paraId="5F6AF42F" w14:textId="4BDD93AF" w:rsidR="00B076A0" w:rsidRPr="007A27D7" w:rsidRDefault="00ED1268" w:rsidP="000077CC">
      <w:pPr>
        <w:pStyle w:val="Heading6"/>
        <w:spacing w:after="200"/>
      </w:pPr>
      <w:r>
        <w:t xml:space="preserve">Economic impact of </w:t>
      </w:r>
      <w:r w:rsidR="00B076A0">
        <w:t xml:space="preserve">minimum standards </w:t>
      </w:r>
    </w:p>
    <w:p w14:paraId="526C7659" w14:textId="36A8486C" w:rsidR="008C2676" w:rsidRDefault="008C2676" w:rsidP="004B4F63">
      <w:r w:rsidRPr="00687947">
        <w:t xml:space="preserve">Despite the benefits that digital platform work has brought to workers, businesses and consumers, this model sees legal and operational risk transferred from business to individual </w:t>
      </w:r>
      <w:r>
        <w:t>worker</w:t>
      </w:r>
      <w:r w:rsidR="246554A2">
        <w:t>s</w:t>
      </w:r>
      <w:r w:rsidRPr="00687947">
        <w:t>, while leading to some workers operating at below the equivalent of national minimum wage.</w:t>
      </w:r>
    </w:p>
    <w:p w14:paraId="5285CB41" w14:textId="62DB88EF" w:rsidR="00794443" w:rsidRDefault="00794443" w:rsidP="004B4F63">
      <w:r>
        <w:t>I</w:t>
      </w:r>
      <w:r w:rsidR="009E1112">
        <w:t>ntroducing</w:t>
      </w:r>
      <w:r w:rsidR="00BF19D7">
        <w:t xml:space="preserve"> minimum standards for digital platform worker</w:t>
      </w:r>
      <w:r>
        <w:t>s</w:t>
      </w:r>
      <w:r w:rsidR="00C85DB8">
        <w:t xml:space="preserve"> will </w:t>
      </w:r>
      <w:r>
        <w:t>have</w:t>
      </w:r>
      <w:r w:rsidR="00C85DB8">
        <w:t xml:space="preserve"> a direct </w:t>
      </w:r>
      <w:r w:rsidR="00227ADD">
        <w:t>financial</w:t>
      </w:r>
      <w:r w:rsidR="00ED3818">
        <w:t xml:space="preserve"> </w:t>
      </w:r>
      <w:r w:rsidR="009C2824">
        <w:t>impact</w:t>
      </w:r>
      <w:r w:rsidR="00ED3818">
        <w:t xml:space="preserve"> </w:t>
      </w:r>
      <w:r w:rsidR="009C2824">
        <w:t>on</w:t>
      </w:r>
      <w:r>
        <w:t>:</w:t>
      </w:r>
    </w:p>
    <w:p w14:paraId="129D490F" w14:textId="0EB0CD0A" w:rsidR="009E1112" w:rsidRDefault="00ED3818" w:rsidP="003807D2">
      <w:pPr>
        <w:pStyle w:val="ListParagraph"/>
        <w:numPr>
          <w:ilvl w:val="0"/>
          <w:numId w:val="29"/>
        </w:numPr>
        <w:spacing w:line="276" w:lineRule="auto"/>
        <w:ind w:left="714" w:hanging="357"/>
        <w:contextualSpacing w:val="0"/>
      </w:pPr>
      <w:r w:rsidRPr="001558E0">
        <w:rPr>
          <w:b/>
          <w:bCs/>
        </w:rPr>
        <w:t>digital platform</w:t>
      </w:r>
      <w:r w:rsidR="007654CD" w:rsidRPr="001558E0">
        <w:rPr>
          <w:b/>
          <w:bCs/>
        </w:rPr>
        <w:t xml:space="preserve"> businesses</w:t>
      </w:r>
      <w:r>
        <w:t xml:space="preserve"> </w:t>
      </w:r>
      <w:r w:rsidR="001558E0">
        <w:t>who will</w:t>
      </w:r>
      <w:r>
        <w:t xml:space="preserve"> have to pay </w:t>
      </w:r>
      <w:r w:rsidR="00794443">
        <w:t>minimum pay rates and entitlements</w:t>
      </w:r>
      <w:r w:rsidR="003B66C9">
        <w:t>.</w:t>
      </w:r>
    </w:p>
    <w:p w14:paraId="12B7B427" w14:textId="0DBCD90D" w:rsidR="00544780" w:rsidRDefault="009B02CF" w:rsidP="003807D2">
      <w:pPr>
        <w:pStyle w:val="ListParagraph"/>
        <w:numPr>
          <w:ilvl w:val="0"/>
          <w:numId w:val="29"/>
        </w:numPr>
        <w:spacing w:line="276" w:lineRule="auto"/>
        <w:ind w:left="714" w:hanging="357"/>
        <w:contextualSpacing w:val="0"/>
      </w:pPr>
      <w:r w:rsidRPr="003B66C9">
        <w:rPr>
          <w:b/>
          <w:bCs/>
        </w:rPr>
        <w:t>digital platform workers</w:t>
      </w:r>
      <w:r>
        <w:t xml:space="preserve"> </w:t>
      </w:r>
      <w:r w:rsidR="001558E0">
        <w:t xml:space="preserve">who </w:t>
      </w:r>
      <w:r w:rsidR="003B66C9">
        <w:t xml:space="preserve">will receive minimum pay rates and entitlements. </w:t>
      </w:r>
    </w:p>
    <w:p w14:paraId="616D8633" w14:textId="7674B0F3" w:rsidR="00D50990" w:rsidRPr="00D50990" w:rsidRDefault="00D50990" w:rsidP="004B4F63">
      <w:r w:rsidRPr="00D50990">
        <w:t xml:space="preserve">Depending on the action taken by these businesses in the face of increased labour costs, it is likely that at least part of this cost will be passed on to the consumers of these platforms. </w:t>
      </w:r>
      <w:r w:rsidR="00014ADA">
        <w:t>The Actuaries Institute estimated in 2019 that consumers spent $6.3 billion in the gig economy, and 46 per cent of Australian residents are estimated to have used at least one digital platform as a consumer.</w:t>
      </w:r>
      <w:r w:rsidR="00014ADA">
        <w:rPr>
          <w:rStyle w:val="FootnoteReference"/>
        </w:rPr>
        <w:footnoteReference w:id="111"/>
      </w:r>
      <w:r w:rsidR="00483948">
        <w:t xml:space="preserve"> I</w:t>
      </w:r>
      <w:r w:rsidRPr="00D50990">
        <w:t>t will be up to each digital platform to decide how much of these costs they absorb</w:t>
      </w:r>
      <w:r w:rsidR="002401A2">
        <w:t xml:space="preserve"> and how much they pass onto consumers</w:t>
      </w:r>
      <w:r w:rsidR="00991409">
        <w:t xml:space="preserve"> through higher prices</w:t>
      </w:r>
      <w:r w:rsidRPr="00D50990">
        <w:t xml:space="preserve">. </w:t>
      </w:r>
      <w:r w:rsidR="0057312B">
        <w:t xml:space="preserve">This depends on a range of </w:t>
      </w:r>
      <w:r w:rsidR="0058796C">
        <w:t>complex</w:t>
      </w:r>
      <w:r w:rsidR="0057312B">
        <w:t xml:space="preserve"> factors </w:t>
      </w:r>
      <w:r w:rsidR="0058796C">
        <w:t xml:space="preserve">and the interactions between them, </w:t>
      </w:r>
      <w:r w:rsidR="0057312B">
        <w:t xml:space="preserve">including the profit margins of the digital platforms and various elasticities. </w:t>
      </w:r>
      <w:r w:rsidR="005E5597">
        <w:t xml:space="preserve">It is therefore not possible to estimate </w:t>
      </w:r>
      <w:r w:rsidR="00CC3F14">
        <w:t>how this cost may flow on to consumers.</w:t>
      </w:r>
      <w:r w:rsidRPr="00D50990" w:rsidDel="0058796C">
        <w:t xml:space="preserve"> </w:t>
      </w:r>
    </w:p>
    <w:p w14:paraId="41C243BF" w14:textId="5106B919" w:rsidR="00D50990" w:rsidRPr="00D50990" w:rsidRDefault="00C83FC8" w:rsidP="004B4F63">
      <w:r>
        <w:t>The</w:t>
      </w:r>
      <w:r w:rsidR="00F824CB">
        <w:t xml:space="preserve"> department anticipates that there would be an initial </w:t>
      </w:r>
      <w:r w:rsidR="004C5F1F">
        <w:t xml:space="preserve">impact to these parties created by moving from </w:t>
      </w:r>
      <w:r w:rsidR="00136F34">
        <w:t xml:space="preserve">the status quo to introducing minimum standards, and then further ongoing costs as </w:t>
      </w:r>
      <w:r w:rsidR="00096DF6">
        <w:t xml:space="preserve">these standards are varied </w:t>
      </w:r>
      <w:r w:rsidR="00B04829">
        <w:t xml:space="preserve">in the future. </w:t>
      </w:r>
      <w:r w:rsidR="00D50990" w:rsidRPr="00D50990">
        <w:t>Over the next 10 years, the department estimates that the total impact would be $4.</w:t>
      </w:r>
      <w:r w:rsidR="002920DB">
        <w:t>0</w:t>
      </w:r>
      <w:r w:rsidR="00D50990" w:rsidRPr="00D50990">
        <w:t xml:space="preserve"> billion in a wage bill plus $</w:t>
      </w:r>
      <w:r w:rsidR="007917F1">
        <w:t>96,700.</w:t>
      </w:r>
      <w:r w:rsidR="00023E47">
        <w:t>70</w:t>
      </w:r>
      <w:r w:rsidR="00D50990" w:rsidRPr="00D50990">
        <w:t xml:space="preserve"> per business (initial and ongoing costs). As we do not know how many businesses will be impacted by this policy change, we cannot sum these </w:t>
      </w:r>
      <w:r w:rsidR="00A433E7">
        <w:t>2</w:t>
      </w:r>
      <w:r w:rsidR="00D50990" w:rsidRPr="00D50990">
        <w:t xml:space="preserve"> figures. This is the costs to digital platform businesses and benefits to digital platform workers. </w:t>
      </w:r>
    </w:p>
    <w:p w14:paraId="1FD3690A" w14:textId="77777777" w:rsidR="00763AA9" w:rsidRPr="000B2CBB" w:rsidRDefault="00763AA9" w:rsidP="00763AA9">
      <w:pPr>
        <w:rPr>
          <w:u w:val="single"/>
        </w:rPr>
      </w:pPr>
      <w:r w:rsidRPr="00D50990">
        <w:rPr>
          <w:u w:val="single"/>
        </w:rPr>
        <w:t>Estimated number of digital platform workers</w:t>
      </w:r>
    </w:p>
    <w:p w14:paraId="0C7176FC" w14:textId="7F26F94B" w:rsidR="00763AA9" w:rsidRPr="000B2CBB" w:rsidRDefault="00763AA9" w:rsidP="00763AA9">
      <w:r w:rsidRPr="000B2CBB">
        <w:t xml:space="preserve">The number of digital platform workers has been estimated </w:t>
      </w:r>
      <w:r w:rsidR="00974B65">
        <w:t xml:space="preserve">based on the </w:t>
      </w:r>
      <w:r w:rsidR="007750EE">
        <w:t xml:space="preserve">Victorian </w:t>
      </w:r>
      <w:r w:rsidR="008F245A">
        <w:t>National Survey</w:t>
      </w:r>
      <w:r w:rsidRPr="000B2CBB">
        <w:t xml:space="preserve"> by using the proportion of people who had worked or offered services through digital platforms in the last 12 months (7.1 per cent as at April 2019)</w:t>
      </w:r>
      <w:r w:rsidR="00CE22C6">
        <w:t>,</w:t>
      </w:r>
      <w:r w:rsidRPr="000B2CBB">
        <w:rPr>
          <w:rStyle w:val="FootnoteReference"/>
        </w:rPr>
        <w:footnoteReference w:id="112"/>
      </w:r>
      <w:r w:rsidRPr="000B2CBB">
        <w:t xml:space="preserve"> applying it to the number of employed persons at the time this survey was conducted, i.e. April 2019 (12,810,563 persons)</w:t>
      </w:r>
      <w:r w:rsidR="00CE22C6">
        <w:t>,</w:t>
      </w:r>
      <w:r w:rsidRPr="000B2CBB">
        <w:rPr>
          <w:rStyle w:val="FootnoteReference"/>
        </w:rPr>
        <w:footnoteReference w:id="113"/>
      </w:r>
      <w:r w:rsidRPr="000B2CBB">
        <w:t xml:space="preserve"> and then discounting this estimate by the proportion of digital platform workers who worked less than once a month (28.3 per cent)</w:t>
      </w:r>
      <w:r w:rsidR="00C67C03">
        <w:t>.</w:t>
      </w:r>
      <w:r w:rsidRPr="000B2CBB">
        <w:rPr>
          <w:rStyle w:val="FootnoteReference"/>
        </w:rPr>
        <w:footnoteReference w:id="114"/>
      </w:r>
    </w:p>
    <w:p w14:paraId="77EE468F" w14:textId="77777777" w:rsidR="00763AA9" w:rsidRPr="000B2CBB" w:rsidRDefault="00763AA9" w:rsidP="00763AA9">
      <w:r w:rsidRPr="000B2CBB">
        <w:t>Number of digital platform workers = 7.1% x 12,810,563 x (100% – 28.3%)</w:t>
      </w:r>
    </w:p>
    <w:p w14:paraId="0B15D1D1" w14:textId="6A860E4C" w:rsidR="00763AA9" w:rsidRPr="000B2CBB" w:rsidRDefault="00763AA9" w:rsidP="00763AA9">
      <w:r w:rsidRPr="000B2CBB">
        <w:t xml:space="preserve">= </w:t>
      </w:r>
      <w:r w:rsidRPr="000B2CBB">
        <w:rPr>
          <w:b/>
        </w:rPr>
        <w:t xml:space="preserve">652,147 </w:t>
      </w:r>
      <w:r w:rsidRPr="000B2CBB">
        <w:rPr>
          <w:b/>
          <w:bCs/>
        </w:rPr>
        <w:t>digital platform</w:t>
      </w:r>
      <w:r w:rsidRPr="000B2CBB">
        <w:rPr>
          <w:b/>
        </w:rPr>
        <w:t xml:space="preserve"> workers</w:t>
      </w:r>
      <w:r w:rsidRPr="000B2CBB">
        <w:t xml:space="preserve"> (as at April 2019)</w:t>
      </w:r>
    </w:p>
    <w:p w14:paraId="5F1EE7C3" w14:textId="77777777" w:rsidR="00763AA9" w:rsidRPr="000B2CBB" w:rsidRDefault="00763AA9" w:rsidP="00763AA9">
      <w:pPr>
        <w:rPr>
          <w:u w:val="single"/>
        </w:rPr>
      </w:pPr>
      <w:r w:rsidRPr="000B2CBB">
        <w:rPr>
          <w:u w:val="single"/>
        </w:rPr>
        <w:t>Likely scenarios</w:t>
      </w:r>
    </w:p>
    <w:p w14:paraId="3FADFD74" w14:textId="69FCF68B" w:rsidR="00763AA9" w:rsidRPr="000B2CBB" w:rsidRDefault="00D25BB1" w:rsidP="00763AA9">
      <w:r>
        <w:t>F</w:t>
      </w:r>
      <w:r w:rsidR="00763AA9" w:rsidRPr="000B2CBB">
        <w:t>ood delivery, rideshare</w:t>
      </w:r>
      <w:r w:rsidR="00BE053F">
        <w:t>,</w:t>
      </w:r>
      <w:r w:rsidR="00763AA9" w:rsidRPr="000B2CBB">
        <w:t xml:space="preserve"> and caring workers are primary areas of focus</w:t>
      </w:r>
      <w:r w:rsidR="00941B95">
        <w:t xml:space="preserve"> and consis</w:t>
      </w:r>
      <w:r>
        <w:t>tent with the requirement for workers to be employee-like. Therefore</w:t>
      </w:r>
      <w:r w:rsidR="00763AA9" w:rsidRPr="000B2CBB">
        <w:t xml:space="preserve">, we consider it a likely scenario that the Fair Work Commission </w:t>
      </w:r>
      <w:r w:rsidR="002044E6">
        <w:t>would</w:t>
      </w:r>
      <w:r w:rsidR="00763AA9" w:rsidRPr="000B2CBB">
        <w:t xml:space="preserve"> choose to prioritise setting minimum standards for these </w:t>
      </w:r>
      <w:r w:rsidR="000A21C2">
        <w:t>cohorts</w:t>
      </w:r>
      <w:r w:rsidR="00763AA9" w:rsidRPr="000B2CBB">
        <w:t>. As such, we have estimated the wage bill of granting minimum standards in the form of the relevant casual award rates for these groups of digital platform workers.</w:t>
      </w:r>
      <w:r w:rsidR="00763AA9" w:rsidRPr="000B2CBB" w:rsidDel="00C312F6">
        <w:t xml:space="preserve"> </w:t>
      </w:r>
      <w:r w:rsidR="00CC30B7">
        <w:t xml:space="preserve">The awards listed below in Table 9 are the most appropriate awards in the department’s analysis. </w:t>
      </w:r>
      <w:r w:rsidR="00171DDE">
        <w:rPr>
          <w:rStyle w:val="normaltextrun"/>
          <w:rFonts w:cs="Calibri"/>
          <w:color w:val="000000"/>
          <w:shd w:val="clear" w:color="auto" w:fill="FFFFFF"/>
        </w:rPr>
        <w:t xml:space="preserve">There is no data available </w:t>
      </w:r>
      <w:r w:rsidR="00CC30B7">
        <w:rPr>
          <w:rStyle w:val="normaltextrun"/>
          <w:rFonts w:cs="Calibri"/>
          <w:color w:val="000000"/>
          <w:shd w:val="clear" w:color="auto" w:fill="FFFFFF"/>
        </w:rPr>
        <w:t>about</w:t>
      </w:r>
      <w:r w:rsidR="00171DDE">
        <w:rPr>
          <w:rStyle w:val="normaltextrun"/>
          <w:rFonts w:cs="Calibri"/>
          <w:color w:val="000000"/>
          <w:shd w:val="clear" w:color="auto" w:fill="FFFFFF"/>
        </w:rPr>
        <w:t xml:space="preserve"> how many employees </w:t>
      </w:r>
      <w:r w:rsidR="00CC30B7">
        <w:rPr>
          <w:rStyle w:val="normaltextrun"/>
          <w:rFonts w:cs="Calibri"/>
          <w:color w:val="000000"/>
          <w:shd w:val="clear" w:color="auto" w:fill="FFFFFF"/>
        </w:rPr>
        <w:t xml:space="preserve">are engaged </w:t>
      </w:r>
      <w:r w:rsidR="00171DDE">
        <w:rPr>
          <w:rStyle w:val="normaltextrun"/>
          <w:rFonts w:cs="Calibri"/>
          <w:color w:val="000000"/>
          <w:shd w:val="clear" w:color="auto" w:fill="FFFFFF"/>
        </w:rPr>
        <w:t xml:space="preserve">at </w:t>
      </w:r>
      <w:r w:rsidR="00CC30B7">
        <w:rPr>
          <w:rStyle w:val="normaltextrun"/>
          <w:rFonts w:cs="Calibri"/>
          <w:color w:val="000000"/>
          <w:shd w:val="clear" w:color="auto" w:fill="FFFFFF"/>
        </w:rPr>
        <w:t>each level</w:t>
      </w:r>
      <w:r w:rsidR="00171DDE">
        <w:rPr>
          <w:rStyle w:val="normaltextrun"/>
          <w:rFonts w:cs="Calibri"/>
          <w:color w:val="000000"/>
          <w:shd w:val="clear" w:color="auto" w:fill="FFFFFF"/>
        </w:rPr>
        <w:t xml:space="preserve">, so </w:t>
      </w:r>
      <w:r w:rsidR="00CC30B7">
        <w:rPr>
          <w:rStyle w:val="normaltextrun"/>
          <w:rFonts w:cs="Calibri"/>
          <w:color w:val="000000"/>
          <w:shd w:val="clear" w:color="auto" w:fill="FFFFFF"/>
        </w:rPr>
        <w:t>we have chosen level 2</w:t>
      </w:r>
      <w:r w:rsidR="00171DDE">
        <w:rPr>
          <w:rStyle w:val="normaltextrun"/>
          <w:rFonts w:cs="Calibri"/>
          <w:color w:val="000000"/>
          <w:shd w:val="clear" w:color="auto" w:fill="FFFFFF"/>
        </w:rPr>
        <w:t xml:space="preserve"> for the </w:t>
      </w:r>
      <w:r w:rsidR="00CC30B7">
        <w:rPr>
          <w:rStyle w:val="normaltextrun"/>
          <w:rFonts w:cs="Calibri"/>
          <w:color w:val="000000"/>
          <w:shd w:val="clear" w:color="auto" w:fill="FFFFFF"/>
        </w:rPr>
        <w:t xml:space="preserve">purpose of this analysis as </w:t>
      </w:r>
      <w:r w:rsidR="0087761D">
        <w:rPr>
          <w:rStyle w:val="normaltextrun"/>
          <w:rFonts w:cs="Calibri"/>
          <w:color w:val="000000"/>
          <w:shd w:val="clear" w:color="auto" w:fill="FFFFFF"/>
        </w:rPr>
        <w:t>a comparator rate</w:t>
      </w:r>
      <w:r w:rsidR="00171DDE">
        <w:rPr>
          <w:rStyle w:val="normaltextrun"/>
          <w:rFonts w:cs="Calibri"/>
          <w:color w:val="000000"/>
          <w:shd w:val="clear" w:color="auto" w:fill="FFFFFF"/>
        </w:rPr>
        <w:t xml:space="preserve">. </w:t>
      </w:r>
      <w:r w:rsidR="00C312F6">
        <w:t>T</w:t>
      </w:r>
      <w:r w:rsidR="00AB7936">
        <w:t>he</w:t>
      </w:r>
      <w:r w:rsidR="00FB0BDE" w:rsidRPr="00F9171A">
        <w:t xml:space="preserve"> </w:t>
      </w:r>
      <w:r w:rsidR="00A5512F" w:rsidRPr="00F9171A">
        <w:t xml:space="preserve">Fair Work Commission </w:t>
      </w:r>
      <w:r w:rsidR="00FB0BDE" w:rsidRPr="00F9171A">
        <w:t>may</w:t>
      </w:r>
      <w:r w:rsidR="00225650" w:rsidRPr="00F9171A">
        <w:t xml:space="preserve"> also</w:t>
      </w:r>
      <w:r w:rsidR="00A5512F" w:rsidRPr="00F9171A">
        <w:t xml:space="preserve"> account for </w:t>
      </w:r>
      <w:r w:rsidR="00CE5795" w:rsidRPr="00F9171A">
        <w:t xml:space="preserve">additional </w:t>
      </w:r>
      <w:r w:rsidR="00BF058B" w:rsidRPr="00F9171A">
        <w:t>factors</w:t>
      </w:r>
      <w:r w:rsidR="00CE5795" w:rsidRPr="00F9171A">
        <w:t xml:space="preserve"> </w:t>
      </w:r>
      <w:r w:rsidR="00A5512F" w:rsidRPr="00F9171A">
        <w:t xml:space="preserve">when setting minimum </w:t>
      </w:r>
      <w:r w:rsidR="00E40D71" w:rsidRPr="00F9171A">
        <w:t>standards</w:t>
      </w:r>
      <w:r w:rsidR="00DE0B21" w:rsidRPr="00F9171A">
        <w:t>, f</w:t>
      </w:r>
      <w:r w:rsidR="00E40D71" w:rsidRPr="00F9171A">
        <w:t>or example, independent contractors bear their own operating costs</w:t>
      </w:r>
      <w:r w:rsidR="00FB0BDE" w:rsidRPr="00F9171A">
        <w:t xml:space="preserve"> and</w:t>
      </w:r>
      <w:r w:rsidR="00E40D71" w:rsidRPr="00F9171A">
        <w:t xml:space="preserve"> pay their own superannuation</w:t>
      </w:r>
      <w:r w:rsidR="00FB0BDE" w:rsidRPr="00F9171A">
        <w:t>.</w:t>
      </w:r>
      <w:r w:rsidR="00FB0BDE">
        <w:t xml:space="preserve"> </w:t>
      </w:r>
      <w:r w:rsidR="00763AA9" w:rsidRPr="000B2CBB" w:rsidDel="00B03A70">
        <w:t>The actual costs will depend on the decision-making of the Fair Work Commission.</w:t>
      </w:r>
    </w:p>
    <w:p w14:paraId="10E12E46" w14:textId="5D0C5C5E" w:rsidR="00763AA9" w:rsidRPr="000B2CBB" w:rsidRDefault="00763AA9" w:rsidP="004B4F63">
      <w:pPr>
        <w:keepNext/>
      </w:pPr>
      <w:r w:rsidRPr="00F9171A">
        <w:rPr>
          <w:b/>
        </w:rPr>
        <w:t xml:space="preserve">Table </w:t>
      </w:r>
      <w:r w:rsidR="3A29200F" w:rsidRPr="761D15C3">
        <w:rPr>
          <w:b/>
          <w:bCs/>
        </w:rPr>
        <w:t>9</w:t>
      </w:r>
      <w:r w:rsidRPr="0019709C">
        <w:rPr>
          <w:b/>
        </w:rPr>
        <w:t xml:space="preserve"> – Estimated average hourly pay rates for digital platform workers, compared to award rates, </w:t>
      </w:r>
      <w:r w:rsidR="00EB7C45">
        <w:rPr>
          <w:b/>
          <w:bCs/>
        </w:rPr>
        <w:t xml:space="preserve">April </w:t>
      </w:r>
      <w:r w:rsidRPr="000B2CBB">
        <w:rPr>
          <w:b/>
          <w:bCs/>
        </w:rPr>
        <w:t>2019</w:t>
      </w:r>
    </w:p>
    <w:tbl>
      <w:tblPr>
        <w:tblStyle w:val="DESE"/>
        <w:tblW w:w="9605" w:type="dxa"/>
        <w:tblLook w:val="04A0" w:firstRow="1" w:lastRow="0" w:firstColumn="1" w:lastColumn="0" w:noHBand="0" w:noVBand="1"/>
      </w:tblPr>
      <w:tblGrid>
        <w:gridCol w:w="2032"/>
        <w:gridCol w:w="2233"/>
        <w:gridCol w:w="2894"/>
        <w:gridCol w:w="2446"/>
      </w:tblGrid>
      <w:tr w:rsidR="00E54DF0" w:rsidRPr="000B2CBB" w14:paraId="4415EDC6" w14:textId="77777777" w:rsidTr="568C4560">
        <w:trPr>
          <w:cnfStyle w:val="100000000000" w:firstRow="1" w:lastRow="0" w:firstColumn="0" w:lastColumn="0" w:oddVBand="0" w:evenVBand="0" w:oddHBand="0" w:evenHBand="0" w:firstRowFirstColumn="0" w:firstRowLastColumn="0" w:lastRowFirstColumn="0" w:lastRowLastColumn="0"/>
          <w:trHeight w:val="341"/>
        </w:trPr>
        <w:tc>
          <w:tcPr>
            <w:cnfStyle w:val="001000000100" w:firstRow="0" w:lastRow="0" w:firstColumn="1" w:lastColumn="0" w:oddVBand="0" w:evenVBand="0" w:oddHBand="0" w:evenHBand="0" w:firstRowFirstColumn="1" w:firstRowLastColumn="0" w:lastRowFirstColumn="0" w:lastRowLastColumn="0"/>
            <w:tcW w:w="0" w:type="dxa"/>
          </w:tcPr>
          <w:p w14:paraId="29B8F2D2" w14:textId="77777777" w:rsidR="00763AA9" w:rsidRPr="000B2CBB" w:rsidRDefault="00763AA9" w:rsidP="004B4F63">
            <w:pPr>
              <w:keepNext/>
            </w:pPr>
          </w:p>
        </w:tc>
        <w:tc>
          <w:tcPr>
            <w:tcW w:w="0" w:type="dxa"/>
          </w:tcPr>
          <w:p w14:paraId="37482F64" w14:textId="77777777" w:rsidR="00763AA9" w:rsidRPr="000B2CBB" w:rsidRDefault="00763AA9" w:rsidP="004B4F63">
            <w:pPr>
              <w:keepNext/>
              <w:spacing w:after="0"/>
              <w:jc w:val="center"/>
              <w:cnfStyle w:val="100000000000" w:firstRow="1" w:lastRow="0" w:firstColumn="0" w:lastColumn="0" w:oddVBand="0" w:evenVBand="0" w:oddHBand="0" w:evenHBand="0" w:firstRowFirstColumn="0" w:firstRowLastColumn="0" w:lastRowFirstColumn="0" w:lastRowLastColumn="0"/>
              <w:rPr>
                <w:b/>
                <w:bCs/>
              </w:rPr>
            </w:pPr>
            <w:r w:rsidRPr="000B2CBB">
              <w:rPr>
                <w:b/>
                <w:bCs/>
              </w:rPr>
              <w:t>Food delivery</w:t>
            </w:r>
          </w:p>
        </w:tc>
        <w:tc>
          <w:tcPr>
            <w:tcW w:w="0" w:type="dxa"/>
          </w:tcPr>
          <w:p w14:paraId="674EE5A5" w14:textId="77777777" w:rsidR="00763AA9" w:rsidRPr="000B2CBB" w:rsidRDefault="00763AA9" w:rsidP="004B4F63">
            <w:pPr>
              <w:keepNext/>
              <w:spacing w:after="0"/>
              <w:jc w:val="center"/>
              <w:cnfStyle w:val="100000000000" w:firstRow="1" w:lastRow="0" w:firstColumn="0" w:lastColumn="0" w:oddVBand="0" w:evenVBand="0" w:oddHBand="0" w:evenHBand="0" w:firstRowFirstColumn="0" w:firstRowLastColumn="0" w:lastRowFirstColumn="0" w:lastRowLastColumn="0"/>
              <w:rPr>
                <w:rFonts w:cstheme="minorHAnsi"/>
                <w:b/>
                <w:bCs/>
                <w:color w:val="212529"/>
                <w:shd w:val="clear" w:color="auto" w:fill="FFFFFF"/>
              </w:rPr>
            </w:pPr>
            <w:r w:rsidRPr="000B2CBB">
              <w:rPr>
                <w:b/>
                <w:bCs/>
              </w:rPr>
              <w:t>Rideshare</w:t>
            </w:r>
          </w:p>
        </w:tc>
        <w:tc>
          <w:tcPr>
            <w:tcW w:w="0" w:type="dxa"/>
          </w:tcPr>
          <w:p w14:paraId="58CCCE5F" w14:textId="77777777" w:rsidR="00763AA9" w:rsidRPr="000B2CBB" w:rsidRDefault="00763AA9" w:rsidP="004B4F63">
            <w:pPr>
              <w:keepNext/>
              <w:spacing w:after="0"/>
              <w:jc w:val="center"/>
              <w:cnfStyle w:val="100000000000" w:firstRow="1" w:lastRow="0" w:firstColumn="0" w:lastColumn="0" w:oddVBand="0" w:evenVBand="0" w:oddHBand="0" w:evenHBand="0" w:firstRowFirstColumn="0" w:firstRowLastColumn="0" w:lastRowFirstColumn="0" w:lastRowLastColumn="0"/>
              <w:rPr>
                <w:b/>
                <w:bCs/>
              </w:rPr>
            </w:pPr>
            <w:r w:rsidRPr="000B2CBB">
              <w:rPr>
                <w:b/>
                <w:bCs/>
              </w:rPr>
              <w:t>Care (aged care or disability support)</w:t>
            </w:r>
          </w:p>
        </w:tc>
      </w:tr>
      <w:tr w:rsidR="00763AA9" w:rsidRPr="000B2CBB" w14:paraId="0FD659A8" w14:textId="77777777" w:rsidTr="00A54C6D">
        <w:trPr>
          <w:trHeight w:val="551"/>
        </w:trPr>
        <w:tc>
          <w:tcPr>
            <w:cnfStyle w:val="001000000000" w:firstRow="0" w:lastRow="0" w:firstColumn="1" w:lastColumn="0" w:oddVBand="0" w:evenVBand="0" w:oddHBand="0" w:evenHBand="0" w:firstRowFirstColumn="0" w:firstRowLastColumn="0" w:lastRowFirstColumn="0" w:lastRowLastColumn="0"/>
            <w:tcW w:w="0" w:type="dxa"/>
          </w:tcPr>
          <w:p w14:paraId="184FA7EA" w14:textId="2E26AD1F" w:rsidR="00763AA9" w:rsidRPr="000B2CBB" w:rsidRDefault="00763AA9" w:rsidP="008B793A">
            <w:pPr>
              <w:spacing w:after="0"/>
              <w:rPr>
                <w:rFonts w:cstheme="minorHAnsi"/>
                <w:color w:val="212529"/>
                <w:shd w:val="clear" w:color="auto" w:fill="FFFFFF"/>
              </w:rPr>
            </w:pPr>
            <w:r w:rsidRPr="790CE6E4">
              <w:rPr>
                <w:color w:val="212529"/>
                <w:shd w:val="clear" w:color="auto" w:fill="FFFFFF"/>
              </w:rPr>
              <w:t>Hourly casual wage under relevant award</w:t>
            </w:r>
            <w:r w:rsidR="006C1FAF" w:rsidRPr="790CE6E4">
              <w:rPr>
                <w:rStyle w:val="FootnoteReference"/>
                <w:color w:val="212529"/>
                <w:shd w:val="clear" w:color="auto" w:fill="FFFFFF"/>
              </w:rPr>
              <w:footnoteReference w:id="115"/>
            </w:r>
          </w:p>
        </w:tc>
        <w:tc>
          <w:tcPr>
            <w:tcW w:w="0" w:type="dxa"/>
          </w:tcPr>
          <w:p w14:paraId="42E96D76" w14:textId="77777777" w:rsidR="00763AA9" w:rsidRPr="000B2CBB" w:rsidRDefault="00763AA9" w:rsidP="004724E4">
            <w:pP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0B2CBB">
              <w:rPr>
                <w:rFonts w:cstheme="minorHAnsi"/>
                <w:color w:val="212529"/>
                <w:shd w:val="clear" w:color="auto" w:fill="FFFFFF"/>
              </w:rPr>
              <w:t>$25.28</w:t>
            </w:r>
          </w:p>
          <w:p w14:paraId="10191D37" w14:textId="6BC0B58D" w:rsidR="00763AA9" w:rsidRPr="000B2CBB" w:rsidRDefault="00763AA9" w:rsidP="008B793A">
            <w:pPr>
              <w:spacing w:after="0"/>
              <w:cnfStyle w:val="000000000000" w:firstRow="0" w:lastRow="0" w:firstColumn="0" w:lastColumn="0" w:oddVBand="0" w:evenVBand="0" w:oddHBand="0" w:evenHBand="0" w:firstRowFirstColumn="0" w:firstRowLastColumn="0" w:lastRowFirstColumn="0" w:lastRowLastColumn="0"/>
              <w:rPr>
                <w:color w:val="212529"/>
                <w:shd w:val="clear" w:color="auto" w:fill="FFFFFF"/>
              </w:rPr>
            </w:pPr>
            <w:r w:rsidRPr="6B473E83">
              <w:rPr>
                <w:color w:val="212529"/>
                <w:shd w:val="clear" w:color="auto" w:fill="FFFFFF"/>
              </w:rPr>
              <w:t>Restaurant Industry Award, Employee Level 2</w:t>
            </w:r>
            <w:r w:rsidRPr="6B473E83">
              <w:rPr>
                <w:rStyle w:val="FootnoteReference"/>
                <w:color w:val="212529"/>
                <w:shd w:val="clear" w:color="auto" w:fill="FFFFFF"/>
              </w:rPr>
              <w:footnoteReference w:id="116"/>
            </w:r>
          </w:p>
        </w:tc>
        <w:tc>
          <w:tcPr>
            <w:tcW w:w="0" w:type="dxa"/>
          </w:tcPr>
          <w:p w14:paraId="2E827630" w14:textId="77777777" w:rsidR="00763AA9" w:rsidRPr="000B2CBB" w:rsidRDefault="00763AA9" w:rsidP="004724E4">
            <w:pP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0B2CBB">
              <w:rPr>
                <w:rFonts w:cstheme="minorHAnsi"/>
                <w:color w:val="212529"/>
                <w:shd w:val="clear" w:color="auto" w:fill="FFFFFF"/>
              </w:rPr>
              <w:t>$26.14</w:t>
            </w:r>
          </w:p>
          <w:p w14:paraId="474C7FF8" w14:textId="7C050DF1" w:rsidR="00763AA9" w:rsidRPr="000B2CBB" w:rsidRDefault="00763AA9" w:rsidP="008B793A">
            <w:pPr>
              <w:spacing w:after="0"/>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6B473E83">
              <w:rPr>
                <w:color w:val="212529"/>
                <w:shd w:val="clear" w:color="auto" w:fill="FFFFFF"/>
              </w:rPr>
              <w:t>Passenger Vehicle Transportation Award, Grade 2 Employee</w:t>
            </w:r>
            <w:r w:rsidRPr="6B473E83">
              <w:rPr>
                <w:rStyle w:val="FootnoteReference"/>
                <w:color w:val="212529"/>
                <w:shd w:val="clear" w:color="auto" w:fill="FFFFFF"/>
              </w:rPr>
              <w:footnoteReference w:id="117"/>
            </w:r>
          </w:p>
        </w:tc>
        <w:tc>
          <w:tcPr>
            <w:tcW w:w="0" w:type="dxa"/>
          </w:tcPr>
          <w:p w14:paraId="5CD62C54" w14:textId="77777777" w:rsidR="00763AA9" w:rsidRPr="000B2CBB" w:rsidRDefault="00763AA9" w:rsidP="004724E4">
            <w:pPr>
              <w:cnfStyle w:val="000000000000" w:firstRow="0" w:lastRow="0" w:firstColumn="0" w:lastColumn="0" w:oddVBand="0" w:evenVBand="0" w:oddHBand="0" w:evenHBand="0" w:firstRowFirstColumn="0" w:firstRowLastColumn="0" w:lastRowFirstColumn="0" w:lastRowLastColumn="0"/>
            </w:pPr>
            <w:r w:rsidRPr="000B2CBB">
              <w:t>$26.99</w:t>
            </w:r>
          </w:p>
          <w:p w14:paraId="1F6F6730" w14:textId="77777777" w:rsidR="00763AA9" w:rsidRPr="000B2CBB" w:rsidRDefault="00763AA9" w:rsidP="008B793A">
            <w:pPr>
              <w:spacing w:after="0"/>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0B2CBB">
              <w:t xml:space="preserve">Social, Community, Home Care and Disability Services Industry Award, </w:t>
            </w:r>
            <w:r w:rsidRPr="6B473E83">
              <w:rPr>
                <w:color w:val="212529"/>
                <w:shd w:val="clear" w:color="auto" w:fill="FFFFFF"/>
              </w:rPr>
              <w:t>Home Care Employee Level 2</w:t>
            </w:r>
            <w:r w:rsidRPr="6B473E83">
              <w:rPr>
                <w:rStyle w:val="FootnoteReference"/>
                <w:color w:val="212529"/>
                <w:shd w:val="clear" w:color="auto" w:fill="FFFFFF"/>
              </w:rPr>
              <w:footnoteReference w:id="118"/>
            </w:r>
          </w:p>
        </w:tc>
      </w:tr>
      <w:tr w:rsidR="00763AA9" w:rsidRPr="000B2CBB" w14:paraId="686DC279" w14:textId="77777777" w:rsidTr="00A54C6D">
        <w:trPr>
          <w:trHeight w:val="341"/>
        </w:trPr>
        <w:tc>
          <w:tcPr>
            <w:cnfStyle w:val="001000000000" w:firstRow="0" w:lastRow="0" w:firstColumn="1" w:lastColumn="0" w:oddVBand="0" w:evenVBand="0" w:oddHBand="0" w:evenHBand="0" w:firstRowFirstColumn="0" w:firstRowLastColumn="0" w:lastRowFirstColumn="0" w:lastRowLastColumn="0"/>
            <w:tcW w:w="0" w:type="dxa"/>
          </w:tcPr>
          <w:p w14:paraId="2D3A44DE" w14:textId="5481539E" w:rsidR="00763AA9" w:rsidRPr="000B2CBB" w:rsidRDefault="00763AA9" w:rsidP="008B793A">
            <w:pPr>
              <w:spacing w:after="0"/>
              <w:rPr>
                <w:rFonts w:cstheme="minorHAnsi"/>
                <w:color w:val="212529"/>
                <w:shd w:val="clear" w:color="auto" w:fill="FFFFFF"/>
              </w:rPr>
            </w:pPr>
            <w:r w:rsidRPr="000B2CBB">
              <w:rPr>
                <w:rFonts w:cstheme="minorHAnsi"/>
                <w:color w:val="212529"/>
                <w:shd w:val="clear" w:color="auto" w:fill="FFFFFF"/>
              </w:rPr>
              <w:t>Average hourly wage for digital platform workers (Vi</w:t>
            </w:r>
            <w:r w:rsidR="004724E4">
              <w:rPr>
                <w:rFonts w:cstheme="minorHAnsi"/>
                <w:color w:val="212529"/>
                <w:shd w:val="clear" w:color="auto" w:fill="FFFFFF"/>
              </w:rPr>
              <w:t>c</w:t>
            </w:r>
            <w:r w:rsidRPr="000B2CBB">
              <w:rPr>
                <w:rFonts w:cstheme="minorHAnsi"/>
                <w:color w:val="212529"/>
                <w:shd w:val="clear" w:color="auto" w:fill="FFFFFF"/>
              </w:rPr>
              <w:t xml:space="preserve">torian </w:t>
            </w:r>
            <w:r w:rsidR="006B679B">
              <w:rPr>
                <w:rFonts w:cstheme="minorHAnsi"/>
                <w:color w:val="212529"/>
                <w:shd w:val="clear" w:color="auto" w:fill="FFFFFF"/>
              </w:rPr>
              <w:t>National Survey</w:t>
            </w:r>
            <w:r w:rsidRPr="000B2CBB">
              <w:rPr>
                <w:rFonts w:cstheme="minorHAnsi"/>
                <w:color w:val="212529"/>
                <w:shd w:val="clear" w:color="auto" w:fill="FFFFFF"/>
              </w:rPr>
              <w:t>)</w:t>
            </w:r>
          </w:p>
        </w:tc>
        <w:tc>
          <w:tcPr>
            <w:tcW w:w="0" w:type="dxa"/>
          </w:tcPr>
          <w:p w14:paraId="2F70D363" w14:textId="7D24647E" w:rsidR="00763AA9" w:rsidRPr="000B2CBB" w:rsidRDefault="00763AA9" w:rsidP="008B793A">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0B2CBB">
              <w:rPr>
                <w:rFonts w:cstheme="minorHAnsi"/>
                <w:color w:val="212529"/>
                <w:shd w:val="clear" w:color="auto" w:fill="FFFFFF"/>
              </w:rPr>
              <w:t>$22.19</w:t>
            </w:r>
          </w:p>
        </w:tc>
        <w:tc>
          <w:tcPr>
            <w:tcW w:w="0" w:type="dxa"/>
          </w:tcPr>
          <w:p w14:paraId="166A5588" w14:textId="77777777" w:rsidR="00763AA9" w:rsidRPr="000B2CBB" w:rsidRDefault="00763AA9" w:rsidP="008B793A">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0B2CBB">
              <w:rPr>
                <w:rFonts w:cstheme="minorHAnsi"/>
                <w:color w:val="212529"/>
                <w:shd w:val="clear" w:color="auto" w:fill="FFFFFF"/>
              </w:rPr>
              <w:t xml:space="preserve">$22.19 </w:t>
            </w:r>
          </w:p>
        </w:tc>
        <w:tc>
          <w:tcPr>
            <w:tcW w:w="0" w:type="dxa"/>
          </w:tcPr>
          <w:p w14:paraId="086010B6" w14:textId="77777777" w:rsidR="00763AA9" w:rsidRPr="000B2CBB" w:rsidRDefault="00763AA9" w:rsidP="008B793A">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0B2CBB">
              <w:rPr>
                <w:rFonts w:cstheme="minorHAnsi"/>
                <w:color w:val="212529"/>
                <w:shd w:val="clear" w:color="auto" w:fill="FFFFFF"/>
              </w:rPr>
              <w:t>$21.60</w:t>
            </w:r>
          </w:p>
        </w:tc>
      </w:tr>
      <w:tr w:rsidR="00763AA9" w:rsidRPr="000B2CBB" w14:paraId="6A68629C" w14:textId="77777777" w:rsidTr="00A54C6D">
        <w:trPr>
          <w:trHeight w:val="341"/>
        </w:trPr>
        <w:tc>
          <w:tcPr>
            <w:cnfStyle w:val="001000000000" w:firstRow="0" w:lastRow="0" w:firstColumn="1" w:lastColumn="0" w:oddVBand="0" w:evenVBand="0" w:oddHBand="0" w:evenHBand="0" w:firstRowFirstColumn="0" w:firstRowLastColumn="0" w:lastRowFirstColumn="0" w:lastRowLastColumn="0"/>
            <w:tcW w:w="0" w:type="dxa"/>
          </w:tcPr>
          <w:p w14:paraId="55CA8A2D" w14:textId="77777777" w:rsidR="00763AA9" w:rsidRPr="000B2CBB" w:rsidRDefault="00763AA9" w:rsidP="008B793A">
            <w:pPr>
              <w:spacing w:after="0"/>
              <w:jc w:val="center"/>
              <w:rPr>
                <w:rFonts w:cstheme="minorHAnsi"/>
                <w:color w:val="212529"/>
                <w:shd w:val="clear" w:color="auto" w:fill="FFFFFF"/>
              </w:rPr>
            </w:pPr>
            <w:r w:rsidRPr="000B2CBB">
              <w:rPr>
                <w:rFonts w:cstheme="minorHAnsi"/>
                <w:color w:val="212529"/>
                <w:shd w:val="clear" w:color="auto" w:fill="FFFFFF"/>
              </w:rPr>
              <w:t>Hourly pay gap ($)</w:t>
            </w:r>
          </w:p>
        </w:tc>
        <w:tc>
          <w:tcPr>
            <w:tcW w:w="0" w:type="dxa"/>
          </w:tcPr>
          <w:p w14:paraId="5623C19B" w14:textId="77777777" w:rsidR="00763AA9" w:rsidRPr="000B2CBB" w:rsidRDefault="00763AA9" w:rsidP="008B793A">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0B2CBB">
              <w:rPr>
                <w:rFonts w:cstheme="minorHAnsi"/>
                <w:color w:val="212529"/>
                <w:shd w:val="clear" w:color="auto" w:fill="FFFFFF"/>
              </w:rPr>
              <w:t>$3.09</w:t>
            </w:r>
          </w:p>
        </w:tc>
        <w:tc>
          <w:tcPr>
            <w:tcW w:w="0" w:type="dxa"/>
          </w:tcPr>
          <w:p w14:paraId="34C7284F" w14:textId="77777777" w:rsidR="00763AA9" w:rsidRPr="000B2CBB" w:rsidRDefault="00763AA9" w:rsidP="008B793A">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0B2CBB">
              <w:rPr>
                <w:rFonts w:cstheme="minorHAnsi"/>
                <w:color w:val="212529"/>
                <w:shd w:val="clear" w:color="auto" w:fill="FFFFFF"/>
              </w:rPr>
              <w:t>$3.95</w:t>
            </w:r>
          </w:p>
        </w:tc>
        <w:tc>
          <w:tcPr>
            <w:tcW w:w="0" w:type="dxa"/>
          </w:tcPr>
          <w:p w14:paraId="57621FBC" w14:textId="77777777" w:rsidR="00763AA9" w:rsidRPr="000B2CBB" w:rsidRDefault="00763AA9" w:rsidP="008B793A">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0B2CBB">
              <w:rPr>
                <w:rFonts w:cstheme="minorHAnsi"/>
                <w:color w:val="212529"/>
                <w:shd w:val="clear" w:color="auto" w:fill="FFFFFF"/>
              </w:rPr>
              <w:t>$5.39</w:t>
            </w:r>
          </w:p>
        </w:tc>
      </w:tr>
    </w:tbl>
    <w:p w14:paraId="419BE96B" w14:textId="77777777" w:rsidR="00763AA9" w:rsidRPr="000B2CBB" w:rsidRDefault="00763AA9" w:rsidP="00763AA9"/>
    <w:p w14:paraId="1556732F" w14:textId="6CF31AEB" w:rsidR="00763AA9" w:rsidRPr="000B2CBB" w:rsidRDefault="00763AA9" w:rsidP="00763AA9">
      <w:pPr>
        <w:rPr>
          <w:u w:val="single"/>
        </w:rPr>
      </w:pPr>
      <w:r w:rsidRPr="000B2CBB">
        <w:rPr>
          <w:u w:val="single"/>
        </w:rPr>
        <w:t>Estimate of weeks worked in a year</w:t>
      </w:r>
    </w:p>
    <w:p w14:paraId="308D863A" w14:textId="0DC528BE" w:rsidR="00763AA9" w:rsidRPr="000B2CBB" w:rsidRDefault="00763AA9" w:rsidP="00763AA9">
      <w:r w:rsidRPr="000B2CBB">
        <w:t>The Vi</w:t>
      </w:r>
      <w:r w:rsidR="004724E4">
        <w:t>c</w:t>
      </w:r>
      <w:r w:rsidRPr="000B2CBB">
        <w:t>torian Government Inquiry found that 27.5 per cent of current digital platform workers engaged with their digital platform at least a few times per week, 24.4 per cent engaged about once a week, 19.8 per cent engaged less than once a week but at least once a month, and 28</w:t>
      </w:r>
      <w:r w:rsidR="00947AA0">
        <w:t>.3</w:t>
      </w:r>
      <w:r w:rsidRPr="000B2CBB">
        <w:t xml:space="preserve"> per cent engaged less than once a month.</w:t>
      </w:r>
      <w:r w:rsidRPr="000B2CBB">
        <w:rPr>
          <w:rStyle w:val="FootnoteReference"/>
        </w:rPr>
        <w:footnoteReference w:id="119"/>
      </w:r>
      <w:r w:rsidRPr="000B2CBB">
        <w:t xml:space="preserve"> This data is not disaggregated by occupation.</w:t>
      </w:r>
    </w:p>
    <w:p w14:paraId="406322BB" w14:textId="77777777" w:rsidR="00763AA9" w:rsidRPr="000B2CBB" w:rsidRDefault="00763AA9" w:rsidP="00763AA9">
      <w:r w:rsidRPr="000B2CBB">
        <w:t>In our estimate of number of gig workers, we have already excluded the group of 28.3 per cent of digital platform workers who engaged with digital platforms less than once a month. We have estimated the number of weeks worked for each of the other 3 groups and weighted these accordingly. For those who worked at least a few times per week, we assumed they worked 52 weeks in the year. For those who worked about once a week, we also assumed they worked 52 weeks in a year. For those who worked less than once a week but at least once a month, we assumed they worked 26 weeks in a year.</w:t>
      </w:r>
    </w:p>
    <w:p w14:paraId="36383A99" w14:textId="77777777" w:rsidR="00763AA9" w:rsidRPr="000B2CBB" w:rsidRDefault="00763AA9" w:rsidP="00763AA9">
      <w:r w:rsidRPr="000B2CBB">
        <w:t xml:space="preserve">Applying these assumptions and proportions gives us an estimate of </w:t>
      </w:r>
      <w:r w:rsidRPr="00573634">
        <w:t>average weeks worked in a year</w:t>
      </w:r>
      <w:r w:rsidRPr="000B2CBB">
        <w:t xml:space="preserve"> below:</w:t>
      </w:r>
    </w:p>
    <w:p w14:paraId="32B43D48" w14:textId="2AA2225E" w:rsidR="00FF0E7C" w:rsidRDefault="00A534CA" w:rsidP="00763AA9">
      <w:r>
        <w:t>= (27.5% / 71.7% x 52 weeks) + (24</w:t>
      </w:r>
      <w:r w:rsidR="006B01FE">
        <w:t>.4% / 71.7% x 52 weeks) + (</w:t>
      </w:r>
      <w:r w:rsidR="00B05E30">
        <w:t xml:space="preserve">19.8% / 71.7% x 26 weeks) </w:t>
      </w:r>
    </w:p>
    <w:p w14:paraId="2061A422" w14:textId="18D7B828" w:rsidR="00763AA9" w:rsidRPr="000B2CBB" w:rsidRDefault="00763AA9" w:rsidP="00763AA9">
      <w:pPr>
        <w:rPr>
          <w:b/>
          <w:bCs/>
        </w:rPr>
      </w:pPr>
      <w:r w:rsidRPr="000B2CBB">
        <w:t xml:space="preserve">= </w:t>
      </w:r>
      <w:r w:rsidRPr="000B2CBB">
        <w:rPr>
          <w:b/>
          <w:bCs/>
        </w:rPr>
        <w:t>44.8 weeks in a year</w:t>
      </w:r>
    </w:p>
    <w:p w14:paraId="5CE27EB2" w14:textId="455C95A4" w:rsidR="00763AA9" w:rsidRPr="000B2CBB" w:rsidRDefault="00763AA9" w:rsidP="00AB0231">
      <w:pPr>
        <w:keepNext/>
        <w:rPr>
          <w:u w:val="single"/>
        </w:rPr>
      </w:pPr>
      <w:r w:rsidRPr="000B2CBB">
        <w:rPr>
          <w:u w:val="single"/>
        </w:rPr>
        <w:t>Adjustment of pay gap to reflect 2023 earnings</w:t>
      </w:r>
    </w:p>
    <w:p w14:paraId="78236467" w14:textId="2C32D411" w:rsidR="00763AA9" w:rsidRPr="000B2CBB" w:rsidRDefault="00763AA9" w:rsidP="00763AA9">
      <w:r w:rsidRPr="000B2CBB">
        <w:t xml:space="preserve">As the earnings data available is from 2019, we have adjusted the pay gap between the earnings of digital platform workers and the relevant award to be aligned with the Annual Wage Review decisions from 2019-2023. The increases to award wages were 3.0 per cent in 2019, 1.75 per cent in 2020, 2.5 per cent in 2021, and 5.75 per cent in 2023. </w:t>
      </w:r>
      <w:r w:rsidR="005F0492">
        <w:t>In 2022, award wages increased by 4.5 per cent but were subject to a $40 per week minimum increase. For the award</w:t>
      </w:r>
      <w:r w:rsidR="00183ABE">
        <w:t xml:space="preserve"> rates</w:t>
      </w:r>
      <w:r w:rsidR="005F0492">
        <w:t xml:space="preserve"> </w:t>
      </w:r>
      <w:r w:rsidR="00D16269">
        <w:t xml:space="preserve">listed in Table </w:t>
      </w:r>
      <w:r w:rsidR="0F923136">
        <w:t>5</w:t>
      </w:r>
      <w:r w:rsidR="00D16269" w:rsidRPr="6CE36A9E">
        <w:rPr>
          <w:color w:val="FF0000"/>
        </w:rPr>
        <w:t xml:space="preserve"> </w:t>
      </w:r>
      <w:r w:rsidR="00D16269">
        <w:t>a</w:t>
      </w:r>
      <w:r w:rsidR="00183ABE">
        <w:t xml:space="preserve">bove, increases ranged from 4.6 per cent to 4.8 per cent. </w:t>
      </w:r>
      <w:r w:rsidRPr="000B2CBB">
        <w:t>This assumes that both the earnings of digital platform workers and the relevant award rates increased at the same rate from 2019 to 2023, so the pay gap remains proportionate.</w:t>
      </w:r>
    </w:p>
    <w:p w14:paraId="00CFB949" w14:textId="7797AD21" w:rsidR="00763AA9" w:rsidRPr="000B2CBB" w:rsidRDefault="00763AA9" w:rsidP="00763AA9">
      <w:r w:rsidRPr="000B2CBB">
        <w:t xml:space="preserve">For food delivery drivers and rideshare, the average pay gap of $3.52 has therefore been adjusted to become </w:t>
      </w:r>
      <w:r w:rsidRPr="000B2CBB">
        <w:rPr>
          <w:b/>
          <w:bCs/>
        </w:rPr>
        <w:t>$4.1</w:t>
      </w:r>
      <w:r w:rsidR="00154805">
        <w:rPr>
          <w:b/>
          <w:bCs/>
        </w:rPr>
        <w:t>9</w:t>
      </w:r>
      <w:r w:rsidRPr="000B2CBB">
        <w:t xml:space="preserve">. For caring workers, the pay gap of $5.39 has been adjusted to become </w:t>
      </w:r>
      <w:r w:rsidRPr="000B2CBB">
        <w:rPr>
          <w:b/>
          <w:bCs/>
        </w:rPr>
        <w:t>$6.40.</w:t>
      </w:r>
    </w:p>
    <w:p w14:paraId="3C03CE5B" w14:textId="76A7EF1A" w:rsidR="00763AA9" w:rsidRPr="009325DA" w:rsidRDefault="00763AA9" w:rsidP="00763AA9">
      <w:pPr>
        <w:rPr>
          <w:u w:val="single"/>
        </w:rPr>
      </w:pPr>
      <w:r w:rsidRPr="009325DA">
        <w:rPr>
          <w:u w:val="single"/>
        </w:rPr>
        <w:t>Food delivery drivers and rideshare</w:t>
      </w:r>
    </w:p>
    <w:p w14:paraId="1F877A77" w14:textId="3867A9E4" w:rsidR="003C53E0" w:rsidRPr="009325DA" w:rsidRDefault="00E42026" w:rsidP="00763AA9">
      <w:r>
        <w:t>As indicated in the ‘scenarios for impact analysis’</w:t>
      </w:r>
      <w:r w:rsidR="00F1344B">
        <w:t>, the estimated cohort size for this group is 150,000</w:t>
      </w:r>
      <w:r w:rsidR="000C20C6">
        <w:t>.</w:t>
      </w:r>
    </w:p>
    <w:p w14:paraId="170B95C5" w14:textId="735C4567" w:rsidR="0064348F" w:rsidRPr="009325DA" w:rsidRDefault="0064348F" w:rsidP="00763AA9">
      <w:r w:rsidRPr="009325DA">
        <w:t>The annual cost of Option 2 is calculated as follows:</w:t>
      </w:r>
    </w:p>
    <w:p w14:paraId="02407F15" w14:textId="1EB130F2" w:rsidR="00763AA9" w:rsidRPr="009325DA" w:rsidRDefault="0064348F" w:rsidP="00763AA9">
      <w:r w:rsidRPr="009325DA">
        <w:t xml:space="preserve">= 150,000 x average </w:t>
      </w:r>
      <w:r w:rsidR="00763AA9" w:rsidRPr="009325DA">
        <w:t>difference in hourly wage x average hours worked by transport and food delivery workers x estimate of weeks worked in a year</w:t>
      </w:r>
    </w:p>
    <w:p w14:paraId="7F57FFFF" w14:textId="0EAF6EE3" w:rsidR="00763AA9" w:rsidRPr="009325DA" w:rsidRDefault="00763AA9" w:rsidP="00763AA9">
      <w:r w:rsidRPr="009325DA">
        <w:t xml:space="preserve">= </w:t>
      </w:r>
      <w:r w:rsidR="0064348F" w:rsidRPr="009325DA">
        <w:t xml:space="preserve">150,000 </w:t>
      </w:r>
      <w:r w:rsidRPr="009325DA">
        <w:t>x $4.1</w:t>
      </w:r>
      <w:r w:rsidR="00F310BE" w:rsidRPr="009325DA">
        <w:t>9</w:t>
      </w:r>
      <w:r w:rsidRPr="009325DA">
        <w:t xml:space="preserve"> x 14.5 hours x 44.8 weeks</w:t>
      </w:r>
    </w:p>
    <w:p w14:paraId="6E04E2C1" w14:textId="07FEEB76" w:rsidR="00763AA9" w:rsidRPr="009325DA" w:rsidRDefault="00763AA9" w:rsidP="00763AA9">
      <w:r w:rsidRPr="009325DA">
        <w:t>= 1</w:t>
      </w:r>
      <w:r w:rsidR="0064348F" w:rsidRPr="009325DA">
        <w:t>50,000</w:t>
      </w:r>
      <w:r w:rsidRPr="009325DA">
        <w:t xml:space="preserve"> workers x $2,7</w:t>
      </w:r>
      <w:r w:rsidR="00E44B19" w:rsidRPr="009325DA">
        <w:t>2</w:t>
      </w:r>
      <w:r w:rsidR="000E3D6E" w:rsidRPr="009325DA">
        <w:t>1</w:t>
      </w:r>
      <w:r w:rsidRPr="009325DA">
        <w:t>.</w:t>
      </w:r>
      <w:r w:rsidR="000E3D6E" w:rsidRPr="009325DA">
        <w:t>22</w:t>
      </w:r>
      <w:r w:rsidRPr="009325DA">
        <w:t xml:space="preserve"> per worker</w:t>
      </w:r>
    </w:p>
    <w:p w14:paraId="4C7C0677" w14:textId="3F7F7D55" w:rsidR="00763AA9" w:rsidRPr="009325DA" w:rsidRDefault="00763AA9" w:rsidP="00763AA9">
      <w:pPr>
        <w:rPr>
          <w:b/>
        </w:rPr>
      </w:pPr>
      <w:r w:rsidRPr="009325DA">
        <w:rPr>
          <w:b/>
        </w:rPr>
        <w:t>= $</w:t>
      </w:r>
      <w:r w:rsidR="00182276" w:rsidRPr="009325DA">
        <w:rPr>
          <w:b/>
        </w:rPr>
        <w:t>408,182,524.64</w:t>
      </w:r>
      <w:r w:rsidRPr="009325DA">
        <w:rPr>
          <w:b/>
        </w:rPr>
        <w:t xml:space="preserve"> (0.0</w:t>
      </w:r>
      <w:r w:rsidR="00182276" w:rsidRPr="009325DA">
        <w:rPr>
          <w:b/>
        </w:rPr>
        <w:t>4</w:t>
      </w:r>
      <w:r w:rsidRPr="009325DA">
        <w:rPr>
          <w:b/>
        </w:rPr>
        <w:t xml:space="preserve"> per cent of total wage bill</w:t>
      </w:r>
      <w:r w:rsidR="00096A29">
        <w:rPr>
          <w:b/>
        </w:rPr>
        <w:t>)</w:t>
      </w:r>
      <w:r w:rsidRPr="009325DA">
        <w:rPr>
          <w:rStyle w:val="FootnoteReference"/>
        </w:rPr>
        <w:footnoteReference w:id="120"/>
      </w:r>
    </w:p>
    <w:p w14:paraId="4D10E2EA" w14:textId="0DC59268" w:rsidR="00763AA9" w:rsidRPr="00DF1DF6" w:rsidRDefault="004A1AC2" w:rsidP="00763AA9">
      <w:r w:rsidRPr="00DF1DF6">
        <w:t>Uber has also noted that only 7</w:t>
      </w:r>
      <w:r w:rsidR="0023723E" w:rsidRPr="00DF1DF6">
        <w:t xml:space="preserve"> per cent of drivers and delivery people use the platform for what resembles full-time work (38 hours per week and 48 weeks per year).</w:t>
      </w:r>
      <w:r w:rsidR="0023723E" w:rsidRPr="00DF1DF6">
        <w:rPr>
          <w:rStyle w:val="FootnoteReference"/>
        </w:rPr>
        <w:footnoteReference w:id="121"/>
      </w:r>
      <w:r w:rsidR="0023723E" w:rsidRPr="00DF1DF6">
        <w:t xml:space="preserve"> However, there is no data publicly available on average weeks per year worked by Uber drivers and delivery people.</w:t>
      </w:r>
      <w:r w:rsidR="0029722D" w:rsidRPr="00DF1DF6">
        <w:t xml:space="preserve"> We have therefore used the estimate of weeks worked in a year from the Vic</w:t>
      </w:r>
      <w:r w:rsidR="00986424">
        <w:t>torian</w:t>
      </w:r>
      <w:r w:rsidR="0029722D" w:rsidRPr="00DF1DF6">
        <w:t xml:space="preserve"> </w:t>
      </w:r>
      <w:r w:rsidR="00986424">
        <w:t>National Survey</w:t>
      </w:r>
      <w:r w:rsidR="0029722D" w:rsidRPr="00DF1DF6">
        <w:t>, noting this may well be an overestimate.</w:t>
      </w:r>
    </w:p>
    <w:p w14:paraId="1BDE0320" w14:textId="034D1140" w:rsidR="00763AA9" w:rsidRPr="00DF1DF6" w:rsidRDefault="00763AA9" w:rsidP="00763AA9">
      <w:pPr>
        <w:rPr>
          <w:u w:val="single"/>
        </w:rPr>
      </w:pPr>
      <w:r w:rsidRPr="00DF1DF6">
        <w:rPr>
          <w:u w:val="single"/>
        </w:rPr>
        <w:t>Care (aged care or disability support)</w:t>
      </w:r>
    </w:p>
    <w:p w14:paraId="2F2AAD7B" w14:textId="47372B71" w:rsidR="00763AA9" w:rsidRPr="00DF1DF6" w:rsidRDefault="009F7D68" w:rsidP="00763AA9">
      <w:r>
        <w:t xml:space="preserve">As set out in the ‘scenarios for estimating net benefits’, the estimated cohort size is 16,304 workers. </w:t>
      </w:r>
      <w:r w:rsidR="00763AA9" w:rsidRPr="00DF1DF6">
        <w:t xml:space="preserve">The annual cost of </w:t>
      </w:r>
      <w:r w:rsidR="00BD190F" w:rsidRPr="00DF1DF6">
        <w:t xml:space="preserve">Option 2 with </w:t>
      </w:r>
      <w:r w:rsidR="00763AA9" w:rsidRPr="00DF1DF6">
        <w:t>regard to caring workers is calculated as follows:</w:t>
      </w:r>
    </w:p>
    <w:p w14:paraId="134E0CC5" w14:textId="2A8A7946" w:rsidR="00763AA9" w:rsidRPr="00DF1DF6" w:rsidRDefault="00763AA9" w:rsidP="00763AA9">
      <w:r w:rsidRPr="00DF1DF6">
        <w:t xml:space="preserve">= </w:t>
      </w:r>
      <w:r w:rsidR="00560327" w:rsidRPr="00DF1DF6">
        <w:t>proportion</w:t>
      </w:r>
      <w:r w:rsidRPr="00DF1DF6">
        <w:t xml:space="preserve"> of digital platform workers in ‘caring’</w:t>
      </w:r>
      <w:r w:rsidR="00847691" w:rsidRPr="00DF1DF6">
        <w:t xml:space="preserve">, excluding those in pet caring platforms </w:t>
      </w:r>
      <w:r w:rsidR="00560327" w:rsidRPr="00DF1DF6">
        <w:t xml:space="preserve">x number of digital platform workers </w:t>
      </w:r>
      <w:r w:rsidRPr="00DF1DF6">
        <w:t>x average difference in hourly wage x average hours worked by caring workers x estimate of weeks worked in a year</w:t>
      </w:r>
    </w:p>
    <w:p w14:paraId="344CA72D" w14:textId="142206BD" w:rsidR="00763AA9" w:rsidRPr="00DF1DF6" w:rsidRDefault="00763AA9" w:rsidP="00763AA9">
      <w:r w:rsidRPr="00DF1DF6">
        <w:t xml:space="preserve">= </w:t>
      </w:r>
      <w:r w:rsidR="00847691" w:rsidRPr="00DF1DF6">
        <w:t>(</w:t>
      </w:r>
      <w:r w:rsidRPr="00DF1DF6">
        <w:t>7.0%</w:t>
      </w:r>
      <w:r w:rsidR="00847691" w:rsidRPr="00DF1DF6">
        <w:t xml:space="preserve"> - 4.5%)</w:t>
      </w:r>
      <w:r w:rsidRPr="00DF1DF6">
        <w:t xml:space="preserve"> x 652,147 x $6.40 x 8.6 x 44.8 weeks</w:t>
      </w:r>
    </w:p>
    <w:p w14:paraId="7BB6395E" w14:textId="1D5B4980" w:rsidR="00763AA9" w:rsidRPr="00566456" w:rsidRDefault="00763AA9" w:rsidP="00763AA9">
      <w:r w:rsidRPr="00DF1DF6">
        <w:t xml:space="preserve">= </w:t>
      </w:r>
      <w:r w:rsidR="00847691" w:rsidRPr="00DF1DF6">
        <w:t xml:space="preserve">2.5% x 652,147 workers x </w:t>
      </w:r>
      <w:r w:rsidRPr="00DF1DF6">
        <w:t>$2,46</w:t>
      </w:r>
      <w:r w:rsidR="006631AD" w:rsidRPr="00DF1DF6">
        <w:t>8</w:t>
      </w:r>
      <w:r w:rsidRPr="00DF1DF6">
        <w:t>.</w:t>
      </w:r>
      <w:r w:rsidR="006631AD" w:rsidRPr="00DF1DF6">
        <w:t>64</w:t>
      </w:r>
      <w:r w:rsidRPr="00DF1DF6">
        <w:t xml:space="preserve"> per worker</w:t>
      </w:r>
    </w:p>
    <w:p w14:paraId="6CF3DAFB" w14:textId="6A3E86DC" w:rsidR="00ED1F5D" w:rsidRPr="00DF1DF6" w:rsidRDefault="00ED1F5D" w:rsidP="00763AA9">
      <w:r w:rsidRPr="00F9171A">
        <w:t>= 16,304 workers x $2,468.64 per worker</w:t>
      </w:r>
    </w:p>
    <w:p w14:paraId="18C3CB0E" w14:textId="12875752" w:rsidR="00763AA9" w:rsidRPr="00566456" w:rsidDel="004B773D" w:rsidRDefault="21C0B4AC" w:rsidP="00763AA9">
      <w:pPr>
        <w:rPr>
          <w:b/>
        </w:rPr>
      </w:pPr>
      <w:r w:rsidRPr="5974407A">
        <w:rPr>
          <w:b/>
          <w:bCs/>
        </w:rPr>
        <w:t>= $</w:t>
      </w:r>
      <w:r w:rsidR="3FB1449C" w:rsidRPr="5974407A">
        <w:rPr>
          <w:b/>
          <w:bCs/>
        </w:rPr>
        <w:t>40</w:t>
      </w:r>
      <w:r w:rsidRPr="5974407A">
        <w:rPr>
          <w:b/>
          <w:bCs/>
        </w:rPr>
        <w:t>,</w:t>
      </w:r>
      <w:r w:rsidR="3FB1449C" w:rsidRPr="5974407A">
        <w:rPr>
          <w:b/>
          <w:bCs/>
        </w:rPr>
        <w:t>247</w:t>
      </w:r>
      <w:r w:rsidRPr="5974407A">
        <w:rPr>
          <w:b/>
          <w:bCs/>
        </w:rPr>
        <w:t>,</w:t>
      </w:r>
      <w:r w:rsidR="3FB1449C" w:rsidRPr="5974407A">
        <w:rPr>
          <w:b/>
          <w:bCs/>
        </w:rPr>
        <w:t>864</w:t>
      </w:r>
      <w:r w:rsidRPr="5974407A">
        <w:rPr>
          <w:b/>
          <w:bCs/>
        </w:rPr>
        <w:t>.</w:t>
      </w:r>
      <w:r w:rsidR="3FB1449C" w:rsidRPr="5974407A">
        <w:rPr>
          <w:b/>
          <w:bCs/>
        </w:rPr>
        <w:t xml:space="preserve">99 </w:t>
      </w:r>
      <w:r w:rsidR="28693F68" w:rsidRPr="5974407A">
        <w:rPr>
          <w:b/>
          <w:bCs/>
        </w:rPr>
        <w:t>(</w:t>
      </w:r>
      <w:r w:rsidRPr="5974407A">
        <w:rPr>
          <w:b/>
          <w:bCs/>
        </w:rPr>
        <w:t>0.0</w:t>
      </w:r>
      <w:r w:rsidR="0E61B988" w:rsidRPr="5974407A">
        <w:rPr>
          <w:b/>
          <w:bCs/>
        </w:rPr>
        <w:t>04</w:t>
      </w:r>
      <w:r w:rsidRPr="5974407A">
        <w:rPr>
          <w:b/>
          <w:bCs/>
        </w:rPr>
        <w:t xml:space="preserve"> per cent of total wage bill</w:t>
      </w:r>
      <w:r w:rsidR="00FE1B4B">
        <w:rPr>
          <w:b/>
          <w:bCs/>
        </w:rPr>
        <w:t>)</w:t>
      </w:r>
      <w:r w:rsidR="00763AA9" w:rsidRPr="00DF1DF6">
        <w:rPr>
          <w:rStyle w:val="FootnoteReference"/>
        </w:rPr>
        <w:footnoteReference w:id="122"/>
      </w:r>
    </w:p>
    <w:p w14:paraId="2A518DF6" w14:textId="3E9B776D" w:rsidR="00763AA9" w:rsidRPr="00D622B8" w:rsidRDefault="00763AA9" w:rsidP="00E5309D">
      <w:pPr>
        <w:keepNext/>
        <w:rPr>
          <w:u w:val="single"/>
        </w:rPr>
      </w:pPr>
      <w:r w:rsidRPr="00D622B8">
        <w:rPr>
          <w:u w:val="single"/>
        </w:rPr>
        <w:t>Total</w:t>
      </w:r>
    </w:p>
    <w:p w14:paraId="15BFE0D9" w14:textId="77777777" w:rsidR="00763AA9" w:rsidRPr="00D622B8" w:rsidRDefault="00763AA9" w:rsidP="00763AA9">
      <w:r w:rsidRPr="00D622B8">
        <w:t>The number of workers covered by Fair Work Commission’s Minimum Standards Orders will be dependent on the scope of the orders, for example, only food delivery drivers, rideshare drivers or personal support carers. We consider that a likely scenario is that transport and food delivery workers and caring sector workers are 2 of the primary areas of concern, so we have used the cost of these two worker groups as an indicative estimate of the wage bill.</w:t>
      </w:r>
    </w:p>
    <w:p w14:paraId="7D21AD6F" w14:textId="0A7922ED" w:rsidR="00763AA9" w:rsidRPr="00D622B8" w:rsidRDefault="00763AA9" w:rsidP="00763AA9">
      <w:r w:rsidRPr="00D622B8">
        <w:t xml:space="preserve">The annual cost of </w:t>
      </w:r>
      <w:r w:rsidR="00333DF3" w:rsidRPr="00D622B8">
        <w:t>Option 2</w:t>
      </w:r>
      <w:r w:rsidRPr="00D622B8">
        <w:t>, adding the above 2 totals together, is:</w:t>
      </w:r>
    </w:p>
    <w:p w14:paraId="10077BE8" w14:textId="43708DC0" w:rsidR="00763AA9" w:rsidRPr="00D622B8" w:rsidRDefault="00763AA9" w:rsidP="00763AA9">
      <w:r w:rsidRPr="00D622B8">
        <w:t>= $</w:t>
      </w:r>
      <w:r w:rsidR="00971165" w:rsidRPr="00F9171A">
        <w:t>408,182,524.64</w:t>
      </w:r>
      <w:r w:rsidR="00971165" w:rsidRPr="00D622B8">
        <w:rPr>
          <w:b/>
        </w:rPr>
        <w:t xml:space="preserve"> </w:t>
      </w:r>
      <w:r w:rsidRPr="00D622B8">
        <w:t>+ $</w:t>
      </w:r>
      <w:r w:rsidR="001A6F0E" w:rsidRPr="00D622B8">
        <w:t>40,247,864.99</w:t>
      </w:r>
    </w:p>
    <w:p w14:paraId="0A291B12" w14:textId="06A07B4B" w:rsidR="00763AA9" w:rsidRPr="003C5E9F" w:rsidRDefault="00763AA9" w:rsidP="00763AA9">
      <w:pPr>
        <w:rPr>
          <w:b/>
          <w:bCs/>
        </w:rPr>
      </w:pPr>
      <w:r w:rsidRPr="49F43296">
        <w:rPr>
          <w:b/>
          <w:bCs/>
        </w:rPr>
        <w:t>= $44</w:t>
      </w:r>
      <w:r w:rsidR="00B24EA0" w:rsidRPr="49F43296">
        <w:rPr>
          <w:b/>
          <w:bCs/>
        </w:rPr>
        <w:t>8</w:t>
      </w:r>
      <w:r w:rsidRPr="49F43296">
        <w:rPr>
          <w:b/>
          <w:bCs/>
        </w:rPr>
        <w:t>,</w:t>
      </w:r>
      <w:r w:rsidR="00B24EA0" w:rsidRPr="49F43296">
        <w:rPr>
          <w:b/>
          <w:bCs/>
        </w:rPr>
        <w:t>430</w:t>
      </w:r>
      <w:r w:rsidR="00F24F17" w:rsidRPr="49F43296">
        <w:rPr>
          <w:b/>
          <w:bCs/>
        </w:rPr>
        <w:t>,</w:t>
      </w:r>
      <w:r w:rsidR="00B24EA0" w:rsidRPr="49F43296">
        <w:rPr>
          <w:b/>
          <w:bCs/>
        </w:rPr>
        <w:t>389</w:t>
      </w:r>
      <w:r w:rsidR="00F24F17" w:rsidRPr="49F43296">
        <w:rPr>
          <w:b/>
          <w:bCs/>
        </w:rPr>
        <w:t>.</w:t>
      </w:r>
      <w:r w:rsidR="00B24EA0" w:rsidRPr="49F43296">
        <w:rPr>
          <w:b/>
          <w:bCs/>
        </w:rPr>
        <w:t xml:space="preserve">63 </w:t>
      </w:r>
      <w:r w:rsidRPr="49F43296">
        <w:rPr>
          <w:b/>
          <w:bCs/>
        </w:rPr>
        <w:t>(0.0</w:t>
      </w:r>
      <w:r w:rsidR="001C4406" w:rsidRPr="49F43296">
        <w:rPr>
          <w:b/>
          <w:bCs/>
        </w:rPr>
        <w:t>4</w:t>
      </w:r>
      <w:r w:rsidRPr="49F43296">
        <w:rPr>
          <w:b/>
          <w:bCs/>
        </w:rPr>
        <w:t xml:space="preserve"> per cent of total wage bill</w:t>
      </w:r>
      <w:r w:rsidR="00E354ED">
        <w:rPr>
          <w:b/>
          <w:bCs/>
        </w:rPr>
        <w:t>)</w:t>
      </w:r>
      <w:r w:rsidRPr="00D622B8">
        <w:rPr>
          <w:rStyle w:val="FootnoteReference"/>
        </w:rPr>
        <w:footnoteReference w:id="123"/>
      </w:r>
    </w:p>
    <w:p w14:paraId="0694303D" w14:textId="6D416CC2" w:rsidR="003C5E9F" w:rsidRPr="003C5E9F" w:rsidRDefault="003C5E9F" w:rsidP="003C5E9F">
      <w:pPr>
        <w:spacing w:after="160" w:line="259" w:lineRule="auto"/>
        <w:rPr>
          <w:u w:val="single"/>
        </w:rPr>
      </w:pPr>
      <w:r w:rsidRPr="003C5E9F">
        <w:rPr>
          <w:u w:val="single"/>
        </w:rPr>
        <w:t>Initial one-off impact of introducing minimum standards</w:t>
      </w:r>
    </w:p>
    <w:p w14:paraId="7E0B5A70" w14:textId="2757A3FA" w:rsidR="003C5E9F" w:rsidRPr="003C5E9F" w:rsidRDefault="00F91692" w:rsidP="004B4F63">
      <w:r>
        <w:t>T</w:t>
      </w:r>
      <w:r w:rsidR="003C5E9F" w:rsidRPr="003C5E9F">
        <w:t xml:space="preserve">his option assumes that a hypothetical minimum standard set by the Fair Work Commission would be </w:t>
      </w:r>
      <w:r>
        <w:t>set</w:t>
      </w:r>
      <w:r w:rsidR="003C5E9F" w:rsidRPr="003C5E9F">
        <w:t xml:space="preserve"> at </w:t>
      </w:r>
      <w:r w:rsidR="00161D6D">
        <w:t>award rates.</w:t>
      </w:r>
      <w:r w:rsidR="003C5E9F" w:rsidRPr="003C5E9F">
        <w:t xml:space="preserve"> </w:t>
      </w:r>
      <w:r w:rsidR="00161D6D">
        <w:t>Under</w:t>
      </w:r>
      <w:r w:rsidR="003C5E9F" w:rsidRPr="003C5E9F">
        <w:t xml:space="preserve"> this </w:t>
      </w:r>
      <w:r w:rsidR="00161D6D">
        <w:t>option</w:t>
      </w:r>
      <w:r w:rsidR="003838A6">
        <w:t xml:space="preserve">, </w:t>
      </w:r>
      <w:r w:rsidR="003C5E9F" w:rsidRPr="003C5E9F">
        <w:t xml:space="preserve">workers will </w:t>
      </w:r>
      <w:r w:rsidR="003838A6">
        <w:t xml:space="preserve">receive </w:t>
      </w:r>
      <w:r w:rsidR="003C5E9F" w:rsidRPr="003C5E9F">
        <w:t>a benefit of $</w:t>
      </w:r>
      <w:r w:rsidR="00320174">
        <w:t>448.4</w:t>
      </w:r>
      <w:r w:rsidR="003C5E9F" w:rsidRPr="003C5E9F" w:rsidDel="008425F7">
        <w:t xml:space="preserve"> </w:t>
      </w:r>
      <w:r w:rsidR="003C5E9F" w:rsidRPr="003C5E9F">
        <w:t xml:space="preserve">million </w:t>
      </w:r>
      <w:r w:rsidR="00864D7E">
        <w:t>in 2023</w:t>
      </w:r>
      <w:r w:rsidR="003C5E9F" w:rsidRPr="003C5E9F">
        <w:t>. The cost to business will be a transfer of their previous benefit to workers, and therefore a cost of $44</w:t>
      </w:r>
      <w:r w:rsidR="00E66029">
        <w:t>8</w:t>
      </w:r>
      <w:r w:rsidR="00320174">
        <w:t>.</w:t>
      </w:r>
      <w:r w:rsidR="00E66029">
        <w:t>4</w:t>
      </w:r>
      <w:r w:rsidR="003C5E9F" w:rsidRPr="003C5E9F">
        <w:t xml:space="preserve"> million per year. This is only the cost of the additional wages that may be paid to digital platform workers. As previously stated, the department cannot estimate the total compliance costs to all businesses as data on the number of digital platform businesses is unavailable.</w:t>
      </w:r>
    </w:p>
    <w:p w14:paraId="1499896E" w14:textId="77777777" w:rsidR="003C5E9F" w:rsidRPr="003C5E9F" w:rsidRDefault="003C5E9F" w:rsidP="004B4F63">
      <w:r w:rsidRPr="003C5E9F">
        <w:t xml:space="preserve">Given the assumption that the Fair Work Commission will make a maximum of 3 orders per year, and that there are 3 broad sectors that are likely to be within the scope of the Fair Work Commission’s decision-making, the Impact Analysis estimates that a maximum impact will be that of introducing minimum standards covering all of these workers in the first year of the jurisdiction’s operation. However, the Fair Work Commission may choose to consider fewer matters or to limit a standard to only certain workers within a sector (for example, only food delivery workers who deliver food by bicycle). </w:t>
      </w:r>
    </w:p>
    <w:p w14:paraId="6139F57C" w14:textId="22F86F2E" w:rsidR="003C5E9F" w:rsidRPr="003C5E9F" w:rsidRDefault="003C5E9F" w:rsidP="004B4F63">
      <w:r w:rsidRPr="003C5E9F">
        <w:t>If the Fair Work Commission makes 3 Minimum Standards Orders one year after the jurisdiction commences</w:t>
      </w:r>
      <w:r w:rsidR="08CCED9F" w:rsidRPr="003C5E9F">
        <w:t>,</w:t>
      </w:r>
      <w:r w:rsidRPr="003C5E9F">
        <w:t xml:space="preserve"> to be implemented the following financial year (</w:t>
      </w:r>
      <w:r w:rsidR="001B04BF">
        <w:t xml:space="preserve">i.e. </w:t>
      </w:r>
      <w:r w:rsidR="00353231">
        <w:t>based on a 1 July 2024 commencement</w:t>
      </w:r>
      <w:r w:rsidR="001B04BF">
        <w:t xml:space="preserve"> the first order would </w:t>
      </w:r>
      <w:r w:rsidRPr="003C5E9F">
        <w:t xml:space="preserve">be </w:t>
      </w:r>
      <w:r w:rsidR="001B04BF">
        <w:t>made</w:t>
      </w:r>
      <w:r w:rsidRPr="003C5E9F">
        <w:t xml:space="preserve"> on 1 July 2025), this initial impact would be in the 2025-2026 Financial Year. </w:t>
      </w:r>
      <w:r w:rsidR="005A1FBA">
        <w:t xml:space="preserve">The department </w:t>
      </w:r>
      <w:r w:rsidR="00C52E62">
        <w:t xml:space="preserve">has adjusted the figure </w:t>
      </w:r>
      <w:r w:rsidR="00495E46">
        <w:t>for</w:t>
      </w:r>
      <w:r w:rsidR="00E759E7">
        <w:t xml:space="preserve"> 2023 to account for the </w:t>
      </w:r>
      <w:r w:rsidR="00E02B6F">
        <w:t xml:space="preserve">forecast inflation for </w:t>
      </w:r>
      <w:r w:rsidR="0060429D">
        <w:t>2025-26</w:t>
      </w:r>
      <w:r w:rsidR="00E02B6F">
        <w:t>.</w:t>
      </w:r>
      <w:r w:rsidR="00E02B6F">
        <w:rPr>
          <w:rStyle w:val="FootnoteReference"/>
        </w:rPr>
        <w:footnoteReference w:id="124"/>
      </w:r>
      <w:r w:rsidR="00E02B6F">
        <w:t xml:space="preserve"> </w:t>
      </w:r>
      <w:r w:rsidRPr="003C5E9F" w:rsidDel="00E02B6F">
        <w:t>T</w:t>
      </w:r>
      <w:r w:rsidRPr="003C5E9F">
        <w:t xml:space="preserve">he estimated impact in </w:t>
      </w:r>
      <w:r w:rsidR="008D7BFC">
        <w:t>2025-26</w:t>
      </w:r>
      <w:r w:rsidRPr="003C5E9F">
        <w:t xml:space="preserve"> is:</w:t>
      </w:r>
    </w:p>
    <w:p w14:paraId="078B7C8D" w14:textId="7EF5F796" w:rsidR="003C5E9F" w:rsidRPr="003C5E9F" w:rsidRDefault="003C5E9F" w:rsidP="003807D2">
      <w:pPr>
        <w:pStyle w:val="ListParagraph"/>
        <w:numPr>
          <w:ilvl w:val="0"/>
          <w:numId w:val="29"/>
        </w:numPr>
        <w:spacing w:line="276" w:lineRule="auto"/>
        <w:ind w:left="714" w:hanging="357"/>
        <w:contextualSpacing w:val="0"/>
      </w:pPr>
      <w:r w:rsidRPr="003C5E9F">
        <w:t>Benefit of $</w:t>
      </w:r>
      <w:r w:rsidR="00C70583" w:rsidRPr="00172728">
        <w:t>472.3</w:t>
      </w:r>
      <w:r w:rsidRPr="003C5E9F">
        <w:t xml:space="preserve"> million for digital platform workers </w:t>
      </w:r>
    </w:p>
    <w:p w14:paraId="5A1BCD1A" w14:textId="73A5B821" w:rsidR="00C148E7" w:rsidRDefault="003C5E9F">
      <w:pPr>
        <w:pStyle w:val="ListParagraph"/>
        <w:numPr>
          <w:ilvl w:val="0"/>
          <w:numId w:val="29"/>
        </w:numPr>
        <w:spacing w:line="276" w:lineRule="auto"/>
        <w:ind w:left="714" w:hanging="357"/>
      </w:pPr>
      <w:r w:rsidRPr="003C5E9F">
        <w:t>Cost of $</w:t>
      </w:r>
      <w:r w:rsidR="00F24BB8" w:rsidRPr="00172728">
        <w:t>4</w:t>
      </w:r>
      <w:r w:rsidR="00C70583" w:rsidRPr="00172728">
        <w:t>72.3</w:t>
      </w:r>
      <w:r w:rsidR="00F24BB8" w:rsidRPr="00172728">
        <w:t xml:space="preserve"> </w:t>
      </w:r>
      <w:r w:rsidRPr="003C5E9F">
        <w:t>million</w:t>
      </w:r>
      <w:r w:rsidR="00011E4E">
        <w:t xml:space="preserve"> to businesses</w:t>
      </w:r>
      <w:r w:rsidR="00C148E7">
        <w:t>.</w:t>
      </w:r>
    </w:p>
    <w:p w14:paraId="0D35F349" w14:textId="6F024C5F" w:rsidR="003C5E9F" w:rsidRPr="003C5E9F" w:rsidRDefault="00011E4E" w:rsidP="00A54C6D">
      <w:r>
        <w:t xml:space="preserve">This is in addition to the additional compliance costs estimated to be </w:t>
      </w:r>
      <w:r w:rsidR="003C5E9F" w:rsidRPr="00F23DBB">
        <w:t>$</w:t>
      </w:r>
      <w:r w:rsidR="38F22B6E" w:rsidRPr="00F23DBB">
        <w:t>87,539.46</w:t>
      </w:r>
      <w:r w:rsidR="003C5E9F" w:rsidRPr="00F23DBB">
        <w:t xml:space="preserve"> per business </w:t>
      </w:r>
      <w:r w:rsidR="002C6BBC" w:rsidRPr="00F23DBB">
        <w:t>(</w:t>
      </w:r>
      <w:r w:rsidR="00097002" w:rsidRPr="00F23DBB">
        <w:t xml:space="preserve">the estimated </w:t>
      </w:r>
      <w:r w:rsidR="00797E95" w:rsidRPr="00A54C6D">
        <w:t>$59,270.23</w:t>
      </w:r>
      <w:r w:rsidR="00797E95" w:rsidRPr="00F23DBB">
        <w:t xml:space="preserve"> </w:t>
      </w:r>
      <w:r w:rsidR="00097002" w:rsidRPr="00F23DBB">
        <w:t xml:space="preserve">cost of complying with minimum standards and </w:t>
      </w:r>
      <w:r w:rsidR="00797E95" w:rsidRPr="00A54C6D">
        <w:t>$28,269.23</w:t>
      </w:r>
      <w:r w:rsidR="00E6786C" w:rsidRPr="00A54C6D">
        <w:t xml:space="preserve"> of complying with </w:t>
      </w:r>
      <w:r w:rsidR="00097002">
        <w:t xml:space="preserve">deactivation protections in 2025-26) </w:t>
      </w:r>
      <w:r w:rsidR="003C5E9F" w:rsidRPr="003C5E9F">
        <w:t>for digital platform businesses</w:t>
      </w:r>
    </w:p>
    <w:p w14:paraId="69C2E4A0" w14:textId="4638D2DF" w:rsidR="003C5E9F" w:rsidRPr="003C5E9F" w:rsidRDefault="003C5E9F" w:rsidP="004B4F63">
      <w:r w:rsidRPr="003C5E9F">
        <w:t>Given the prevalence of low pay rates in digital platform work, this is likely to have a significant benefit to the economic security and livelihoods</w:t>
      </w:r>
      <w:r w:rsidR="2E7333B4">
        <w:t xml:space="preserve"> of the relevant workers</w:t>
      </w:r>
      <w:r>
        <w:t>.</w:t>
      </w:r>
      <w:r w:rsidRPr="003C5E9F">
        <w:t xml:space="preserve"> For digital platforms, many of which are large businesses and generally supported the introduction of minimum rates of pay during consultation, these costs will need to be absorbed. These businesses would likely be able to pass on some of these costs through higher prices for consumers or third</w:t>
      </w:r>
      <w:r w:rsidR="7B22E8D8">
        <w:t>-</w:t>
      </w:r>
      <w:r w:rsidRPr="003C5E9F">
        <w:t>party businesses. This may have further effects for the competitiveness of digital platforms who currently rely on lower labour costs to generate a competitive advantage in their industries. Absorption of higher labour costs may have flow-on effects for the total business costs.</w:t>
      </w:r>
    </w:p>
    <w:p w14:paraId="3A696959" w14:textId="01F64F5B" w:rsidR="003C5E9F" w:rsidRPr="003C5E9F" w:rsidRDefault="003C5E9F" w:rsidP="003C5E9F">
      <w:pPr>
        <w:spacing w:after="160" w:line="259" w:lineRule="auto"/>
        <w:rPr>
          <w:u w:val="single"/>
        </w:rPr>
      </w:pPr>
      <w:r w:rsidRPr="003C5E9F">
        <w:rPr>
          <w:u w:val="single"/>
        </w:rPr>
        <w:t xml:space="preserve">Ongoing costs </w:t>
      </w:r>
    </w:p>
    <w:p w14:paraId="78FB3F97" w14:textId="5FE03AB6" w:rsidR="003C5E9F" w:rsidRPr="003C5E9F" w:rsidRDefault="003C5E9F" w:rsidP="004B4F63">
      <w:r w:rsidRPr="003C5E9F">
        <w:t xml:space="preserve">The department </w:t>
      </w:r>
      <w:r>
        <w:t>assume</w:t>
      </w:r>
      <w:r w:rsidR="17AE83A6">
        <w:t>s</w:t>
      </w:r>
      <w:r w:rsidRPr="003C5E9F">
        <w:t xml:space="preserve"> that parties will apply for a variation to a Minimum Standards Order, on average, every 3 years. Similar to the content of initial standards, the impact of varying a Minimum Standards Order will depend on the parties and the Fair Work Commission’s decision-making. The department </w:t>
      </w:r>
      <w:r w:rsidR="00F6768C">
        <w:t>has</w:t>
      </w:r>
      <w:r w:rsidRPr="003C5E9F" w:rsidDel="001E2405">
        <w:t xml:space="preserve"> </w:t>
      </w:r>
      <w:r w:rsidRPr="003C5E9F">
        <w:t>estimate</w:t>
      </w:r>
      <w:r w:rsidR="00F6768C">
        <w:t>d</w:t>
      </w:r>
      <w:r w:rsidRPr="003C5E9F">
        <w:t xml:space="preserve"> the cost of an increase in minimum pay rates </w:t>
      </w:r>
      <w:r w:rsidR="001511A8">
        <w:t xml:space="preserve">in line with </w:t>
      </w:r>
      <w:r w:rsidRPr="003C5E9F">
        <w:t>inflation. This assumes that the increases to minimum pay rates will maintain the real value of wages for these workers</w:t>
      </w:r>
      <w:r w:rsidR="00D64FAC">
        <w:t xml:space="preserve">. However, </w:t>
      </w:r>
      <w:r w:rsidR="009D2612">
        <w:t>this figure</w:t>
      </w:r>
      <w:r w:rsidR="00D64FAC">
        <w:t xml:space="preserve"> will depend on the </w:t>
      </w:r>
      <w:r w:rsidR="009D2612">
        <w:t>actions of the parties, economic conditions such as inflation at the time of the variation, and the decision-making of the independent Fair Work Commission.</w:t>
      </w:r>
    </w:p>
    <w:p w14:paraId="59C36FE7" w14:textId="5A14D55E" w:rsidR="003C5E9F" w:rsidRPr="003C5E9F" w:rsidRDefault="003C5E9F" w:rsidP="004B4F63">
      <w:r w:rsidRPr="003C5E9F">
        <w:t>The 2023-24 Budget papers forecast that inflation is likely to ease in the coming years, with the Consumer Price Index (CPI) forecasted to fall to 3¼ per cent in 2023-24, 2¾ per cent in 2024-25, and 2½ per cent in 2025-26 and 2026-27.</w:t>
      </w:r>
      <w:r w:rsidRPr="003C5E9F">
        <w:rPr>
          <w:rStyle w:val="FootnoteReference"/>
        </w:rPr>
        <w:footnoteReference w:id="125"/>
      </w:r>
      <w:r w:rsidRPr="003C5E9F">
        <w:t xml:space="preserve"> Given that initial minimum standards are anticipated in 2025-26, variations could occur in 2028-29</w:t>
      </w:r>
      <w:r w:rsidR="00685679" w:rsidRPr="00F64A6E">
        <w:t xml:space="preserve"> and 2031-32</w:t>
      </w:r>
      <w:r w:rsidRPr="00F64A6E">
        <w:t>.</w:t>
      </w:r>
      <w:r w:rsidRPr="003C5E9F">
        <w:t xml:space="preserve"> The Impact Analysis will assume that all 3 hypothetical Minimum Standards Orders are varied in th</w:t>
      </w:r>
      <w:r w:rsidR="711C3351" w:rsidRPr="003C5E9F">
        <w:t>at</w:t>
      </w:r>
      <w:r w:rsidRPr="003C5E9F">
        <w:t xml:space="preserve"> year. While not an indication of a possible inflation rate in 2028-29, the department will use the furthest forecast CPI rate of 2½ per cent as an estimated figure for a possible increase in </w:t>
      </w:r>
      <w:r w:rsidR="000E1072">
        <w:t xml:space="preserve">each year </w:t>
      </w:r>
      <w:r w:rsidR="00475A1E">
        <w:t xml:space="preserve">from </w:t>
      </w:r>
      <w:r w:rsidR="00356B4F">
        <w:t>2025-26 onwards</w:t>
      </w:r>
      <w:r w:rsidR="00A00488">
        <w:t>, with a</w:t>
      </w:r>
      <w:r w:rsidR="009D1DE7">
        <w:t>n inflation adjustment of 7.</w:t>
      </w:r>
      <w:r w:rsidR="00111E5B" w:rsidRPr="00F64A6E">
        <w:t>7</w:t>
      </w:r>
      <w:r w:rsidR="009D1DE7">
        <w:t xml:space="preserve"> per cent in 2028-29</w:t>
      </w:r>
      <w:r w:rsidR="00111E5B" w:rsidRPr="00F64A6E">
        <w:t xml:space="preserve"> (2</w:t>
      </w:r>
      <w:r w:rsidR="003A0689" w:rsidRPr="00F9171A">
        <w:t xml:space="preserve"> ½</w:t>
      </w:r>
      <w:r w:rsidR="00111E5B" w:rsidRPr="00F9171A">
        <w:t xml:space="preserve"> </w:t>
      </w:r>
      <w:r w:rsidR="00111E5B" w:rsidRPr="00F64A6E">
        <w:t xml:space="preserve">per cent compounded over </w:t>
      </w:r>
      <w:r w:rsidR="001C63BE" w:rsidRPr="00F9171A">
        <w:t>3</w:t>
      </w:r>
      <w:r w:rsidR="00111E5B" w:rsidRPr="00F64A6E">
        <w:t xml:space="preserve"> years)</w:t>
      </w:r>
      <w:r w:rsidRPr="00F64A6E">
        <w:t>.</w:t>
      </w:r>
      <w:r w:rsidRPr="003C5E9F">
        <w:t xml:space="preserve"> Over the next 10 years, there would be a further possible increase in standards in 203</w:t>
      </w:r>
      <w:r w:rsidR="00BF218C">
        <w:t>1</w:t>
      </w:r>
      <w:r w:rsidRPr="003C5E9F">
        <w:t>-3</w:t>
      </w:r>
      <w:r w:rsidR="00BF218C">
        <w:t>2</w:t>
      </w:r>
      <w:r w:rsidR="009D1DE7">
        <w:t xml:space="preserve"> of 7.</w:t>
      </w:r>
      <w:r w:rsidR="00B92AEC" w:rsidRPr="00F64A6E">
        <w:t>7</w:t>
      </w:r>
      <w:r w:rsidR="009D1DE7" w:rsidRPr="00F64A6E">
        <w:t xml:space="preserve"> per cent</w:t>
      </w:r>
      <w:r w:rsidR="00B92AEC" w:rsidRPr="00F64A6E">
        <w:t xml:space="preserve"> (again using the compounded rate)</w:t>
      </w:r>
      <w:r w:rsidRPr="00F64A6E">
        <w:t xml:space="preserve">. </w:t>
      </w:r>
      <w:r w:rsidR="004306C1" w:rsidRPr="00F64A6E">
        <w:t xml:space="preserve">It is difficult to forecast inflation rates </w:t>
      </w:r>
      <w:r w:rsidR="001454D4" w:rsidRPr="00F9171A">
        <w:t>several</w:t>
      </w:r>
      <w:r w:rsidR="00573DDA" w:rsidRPr="00F64A6E">
        <w:t xml:space="preserve"> years </w:t>
      </w:r>
      <w:r w:rsidR="004306C1" w:rsidRPr="00F64A6E">
        <w:t xml:space="preserve">in advance, but </w:t>
      </w:r>
      <w:r w:rsidR="000D4358" w:rsidRPr="00F64A6E">
        <w:t>in the long-term inflation is expected to return to the Reserve Bank of Australia’s inflation target of 2-3 per cent.</w:t>
      </w:r>
      <w:r w:rsidR="001454D4" w:rsidRPr="00F64A6E">
        <w:t xml:space="preserve"> Given the estimates </w:t>
      </w:r>
      <w:r w:rsidR="00EA78CD" w:rsidRPr="00F64A6E">
        <w:t>of inflation do not affect the expected wage bill cost until 2028-29, the 2.5 per cent per year forecast is as robust of a</w:t>
      </w:r>
      <w:r w:rsidR="00EA78CD" w:rsidRPr="00F9171A">
        <w:t>n inflation</w:t>
      </w:r>
      <w:r w:rsidR="00EA78CD" w:rsidRPr="00F64A6E">
        <w:t xml:space="preserve"> forecast as is </w:t>
      </w:r>
      <w:r w:rsidR="00FD3A96" w:rsidRPr="00F9171A">
        <w:t>achievable</w:t>
      </w:r>
      <w:r w:rsidR="00EA78CD" w:rsidRPr="00F64A6E">
        <w:t>.</w:t>
      </w:r>
      <w:r w:rsidR="001454D4" w:rsidRPr="00F64A6E">
        <w:t xml:space="preserve"> </w:t>
      </w:r>
    </w:p>
    <w:p w14:paraId="39A8C80F" w14:textId="350FCDB5" w:rsidR="003C5E9F" w:rsidRPr="003C5E9F" w:rsidRDefault="003C5E9F" w:rsidP="004B4F63">
      <w:r w:rsidRPr="003C5E9F">
        <w:t xml:space="preserve">Using the initial impact estimated, this would suggest that there would be a future economic impact </w:t>
      </w:r>
      <w:r w:rsidR="008B42C5">
        <w:t xml:space="preserve">in the form of increased wages to workers </w:t>
      </w:r>
      <w:r w:rsidRPr="00F64A6E">
        <w:t xml:space="preserve">of: </w:t>
      </w:r>
    </w:p>
    <w:p w14:paraId="1B0FCACF" w14:textId="000F7015" w:rsidR="003C5E9F" w:rsidRPr="003C5E9F" w:rsidRDefault="003C5E9F" w:rsidP="003807D2">
      <w:pPr>
        <w:pStyle w:val="ListParagraph"/>
        <w:numPr>
          <w:ilvl w:val="0"/>
          <w:numId w:val="29"/>
        </w:numPr>
        <w:spacing w:line="276" w:lineRule="auto"/>
        <w:ind w:left="714" w:hanging="357"/>
        <w:contextualSpacing w:val="0"/>
      </w:pPr>
      <w:r w:rsidRPr="003C5E9F">
        <w:t>$</w:t>
      </w:r>
      <w:r w:rsidRPr="00F64A6E">
        <w:t>4</w:t>
      </w:r>
      <w:r w:rsidR="00484A1F" w:rsidRPr="00F9171A">
        <w:t>72.3</w:t>
      </w:r>
      <w:r w:rsidRPr="003C5E9F">
        <w:t xml:space="preserve"> million in 2025-26</w:t>
      </w:r>
    </w:p>
    <w:p w14:paraId="47E41521" w14:textId="5B2B63D8" w:rsidR="003C5E9F" w:rsidRPr="003C5E9F" w:rsidRDefault="003C5E9F" w:rsidP="003807D2">
      <w:pPr>
        <w:pStyle w:val="ListParagraph"/>
        <w:numPr>
          <w:ilvl w:val="0"/>
          <w:numId w:val="29"/>
        </w:numPr>
        <w:spacing w:line="276" w:lineRule="auto"/>
        <w:ind w:left="714" w:hanging="357"/>
        <w:contextualSpacing w:val="0"/>
      </w:pPr>
      <w:r w:rsidRPr="003C5E9F">
        <w:t>$</w:t>
      </w:r>
      <w:r w:rsidR="00484A1F" w:rsidRPr="00F9171A">
        <w:t>508.6</w:t>
      </w:r>
      <w:r w:rsidRPr="003C5E9F">
        <w:t xml:space="preserve"> million in 2028-29 </w:t>
      </w:r>
    </w:p>
    <w:p w14:paraId="140B7A18" w14:textId="24D981C5" w:rsidR="003C5E9F" w:rsidRPr="003C5E9F" w:rsidRDefault="003C5E9F" w:rsidP="003807D2">
      <w:pPr>
        <w:pStyle w:val="ListParagraph"/>
        <w:numPr>
          <w:ilvl w:val="0"/>
          <w:numId w:val="29"/>
        </w:numPr>
        <w:spacing w:line="276" w:lineRule="auto"/>
        <w:ind w:left="714" w:hanging="357"/>
        <w:contextualSpacing w:val="0"/>
      </w:pPr>
      <w:r w:rsidRPr="003C5E9F">
        <w:t>$</w:t>
      </w:r>
      <w:r w:rsidR="00CF5E93" w:rsidRPr="00F64A6E">
        <w:t>5</w:t>
      </w:r>
      <w:r w:rsidR="00484A1F" w:rsidRPr="00F9171A">
        <w:t>47.7</w:t>
      </w:r>
      <w:r w:rsidRPr="003C5E9F">
        <w:t xml:space="preserve"> million in 2031-32. </w:t>
      </w:r>
    </w:p>
    <w:p w14:paraId="7B3DA5F4" w14:textId="40ED43BA" w:rsidR="003C5E9F" w:rsidRPr="008B793A" w:rsidRDefault="003C5E9F" w:rsidP="004B4F63">
      <w:r w:rsidRPr="003C5E9F">
        <w:t xml:space="preserve">This results in an average annual </w:t>
      </w:r>
      <w:r w:rsidR="005D222B">
        <w:t xml:space="preserve">increase in </w:t>
      </w:r>
      <w:r w:rsidR="008B42C5">
        <w:t>wages</w:t>
      </w:r>
      <w:r w:rsidRPr="003C5E9F">
        <w:t xml:space="preserve"> over the next 10 years of $</w:t>
      </w:r>
      <w:r w:rsidR="00484A1F" w:rsidRPr="00F9171A">
        <w:t>403.8</w:t>
      </w:r>
      <w:r w:rsidRPr="003C5E9F">
        <w:t xml:space="preserve"> million. </w:t>
      </w:r>
    </w:p>
    <w:p w14:paraId="52F9D683" w14:textId="112CC7E0" w:rsidR="00ED1268" w:rsidRPr="007A27D7" w:rsidRDefault="00ED1268" w:rsidP="000077CC">
      <w:pPr>
        <w:pStyle w:val="Heading6"/>
        <w:spacing w:after="200"/>
      </w:pPr>
      <w:r>
        <w:t>Economic impact of deactivation disputes</w:t>
      </w:r>
    </w:p>
    <w:p w14:paraId="70466457" w14:textId="596CB3B4" w:rsidR="00DC1D12" w:rsidRDefault="00DC1D12" w:rsidP="004B4F63">
      <w:r>
        <w:t>While there is no available data on the cost to digital platform workers of having their contract terminated, in an employment context job loss can result in significant financial hardship in addition to mental and physical health impacts.</w:t>
      </w:r>
      <w:r>
        <w:rPr>
          <w:rStyle w:val="FootnoteReference"/>
        </w:rPr>
        <w:footnoteReference w:id="126"/>
      </w:r>
      <w:r>
        <w:t xml:space="preserve"> As digital platform workers can work for multiple platforms, the impact of a contract termination is not the equivalent of a job loss for employees. However, those that are more dependent on platform work for income are more likely to experience significant costs following a deactivation.</w:t>
      </w:r>
    </w:p>
    <w:p w14:paraId="64A39788" w14:textId="288B25E3" w:rsidR="00B076A0" w:rsidRDefault="00ED1268" w:rsidP="004B4F63">
      <w:r>
        <w:t xml:space="preserve">Introducing deactivation disputes </w:t>
      </w:r>
      <w:r w:rsidR="0002726B">
        <w:t>is likely to have a</w:t>
      </w:r>
      <w:r w:rsidR="00DC1D12">
        <w:t xml:space="preserve"> social and</w:t>
      </w:r>
      <w:r w:rsidR="0002726B">
        <w:t xml:space="preserve"> economic benefit for digital platform workers. This includes</w:t>
      </w:r>
      <w:r w:rsidR="00B076A0" w:rsidRPr="00ED1268">
        <w:t xml:space="preserve"> improved security of income and protection from job loss for the independent contractors that make a successful application to the Fair Work Commission. There are also likely to be flow-on benefits, particularly that legislated protections are likely to discourage unfair terminations from occurring in the first place.</w:t>
      </w:r>
      <w:r w:rsidR="00B076A0">
        <w:t xml:space="preserve"> </w:t>
      </w:r>
    </w:p>
    <w:p w14:paraId="1394187D" w14:textId="694C1D72" w:rsidR="007D6730" w:rsidRDefault="007D6730" w:rsidP="004B4F63">
      <w:r>
        <w:t>The impact of deactivation rights on digital platform businesses is likely to be compliance-related rather than economic.</w:t>
      </w:r>
    </w:p>
    <w:p w14:paraId="52D90271" w14:textId="03D7EDF1" w:rsidR="00F46AD2" w:rsidRDefault="00650F67" w:rsidP="004B4F63">
      <w:r w:rsidRPr="008B42C5">
        <w:t xml:space="preserve">There is no data available on how often digital platform workers have their access to a digital platform ‘deactivated’. </w:t>
      </w:r>
      <w:r w:rsidR="00F032B3" w:rsidRPr="008B42C5">
        <w:t>Applying</w:t>
      </w:r>
      <w:r w:rsidRPr="008B42C5">
        <w:t xml:space="preserve"> the </w:t>
      </w:r>
      <w:r w:rsidR="00EE5B87" w:rsidRPr="008B42C5">
        <w:t>proportion of all workers who were dismissed from their job (0.2 per cent)</w:t>
      </w:r>
      <w:r w:rsidR="00F032B3" w:rsidRPr="008B42C5">
        <w:t xml:space="preserve"> to the estimate of the number of digital platform workers gives an estimate of </w:t>
      </w:r>
      <w:r w:rsidR="00662902" w:rsidRPr="008B42C5">
        <w:t>1,273 digital platform workers per year who may have their accounts deactivated.</w:t>
      </w:r>
      <w:r w:rsidR="00AD75C3" w:rsidRPr="00F9171A">
        <w:rPr>
          <w:rStyle w:val="FootnoteReference"/>
        </w:rPr>
        <w:footnoteReference w:id="127"/>
      </w:r>
      <w:r w:rsidR="00662902" w:rsidRPr="008B42C5">
        <w:t xml:space="preserve"> </w:t>
      </w:r>
      <w:r w:rsidR="00A2165B" w:rsidRPr="008B42C5">
        <w:t>This</w:t>
      </w:r>
      <w:r w:rsidR="00EF384C" w:rsidRPr="008B42C5">
        <w:t xml:space="preserve"> </w:t>
      </w:r>
      <w:r w:rsidR="00A2165B" w:rsidRPr="008B42C5">
        <w:t>may not be reflective of the true number of digital platform deactivations</w:t>
      </w:r>
      <w:r w:rsidR="00AE26EE" w:rsidRPr="00F9171A">
        <w:t xml:space="preserve"> due to the difference </w:t>
      </w:r>
      <w:r w:rsidR="00246582" w:rsidRPr="00F9171A">
        <w:t>i</w:t>
      </w:r>
      <w:r w:rsidR="007914F3" w:rsidRPr="00F9171A">
        <w:t xml:space="preserve">n legislative protection between </w:t>
      </w:r>
      <w:r w:rsidR="00244FF8" w:rsidRPr="00F9171A">
        <w:t xml:space="preserve">dismissal of </w:t>
      </w:r>
      <w:r w:rsidR="009E1285" w:rsidRPr="00F9171A">
        <w:t xml:space="preserve">employees and </w:t>
      </w:r>
      <w:r w:rsidR="00244FF8" w:rsidRPr="00F9171A">
        <w:t xml:space="preserve">deactivations of </w:t>
      </w:r>
      <w:r w:rsidR="009E1285" w:rsidRPr="00F9171A">
        <w:t>independent contractors</w:t>
      </w:r>
      <w:r w:rsidR="00C039A6">
        <w:t>, as well as their different characteristics</w:t>
      </w:r>
      <w:r w:rsidR="00C5051F" w:rsidRPr="00F9171A">
        <w:t>.</w:t>
      </w:r>
      <w:r w:rsidR="00B06ED8" w:rsidRPr="008B42C5">
        <w:t xml:space="preserve"> In addition, digital platform workers who are deactivated from one platform may still be able to engage with other platform</w:t>
      </w:r>
      <w:r w:rsidR="00AE7739" w:rsidRPr="00F9171A">
        <w:t>s</w:t>
      </w:r>
      <w:r w:rsidR="00B06ED8" w:rsidRPr="008B42C5">
        <w:t xml:space="preserve">. </w:t>
      </w:r>
    </w:p>
    <w:p w14:paraId="4EB371BC" w14:textId="07A4E594" w:rsidR="00650F67" w:rsidRDefault="00E726A3" w:rsidP="004B4F63">
      <w:r>
        <w:t xml:space="preserve">Under this option </w:t>
      </w:r>
      <w:r w:rsidR="00B06ED8" w:rsidRPr="008B42C5">
        <w:t xml:space="preserve">these </w:t>
      </w:r>
      <w:r>
        <w:t>estimated</w:t>
      </w:r>
      <w:r w:rsidR="00B06ED8" w:rsidRPr="008B42C5">
        <w:t xml:space="preserve"> 1,273 digital platform workers </w:t>
      </w:r>
      <w:r w:rsidR="00AD75C3" w:rsidRPr="008B42C5">
        <w:t>will be able to make an application to the Fair Work Commission to</w:t>
      </w:r>
      <w:r>
        <w:t xml:space="preserve"> dispute</w:t>
      </w:r>
      <w:r w:rsidR="00AD75C3" w:rsidRPr="008B42C5">
        <w:t xml:space="preserve"> their deactivation.</w:t>
      </w:r>
      <w:r w:rsidR="00F46AD2">
        <w:t xml:space="preserve"> The introduction of these proposed protections may also encourage digital platform businesses to ensure that </w:t>
      </w:r>
      <w:r w:rsidR="008C0C0D">
        <w:t>any</w:t>
      </w:r>
      <w:r w:rsidR="00F46AD2">
        <w:t xml:space="preserve"> ‘deactivations’ are fair </w:t>
      </w:r>
      <w:r w:rsidR="003D36B6">
        <w:t xml:space="preserve">(for example, reviewing reasons for deactivation, </w:t>
      </w:r>
      <w:r w:rsidR="001C6564">
        <w:t>developing clear guidelines and processes</w:t>
      </w:r>
      <w:r w:rsidR="00B97032">
        <w:t>), which</w:t>
      </w:r>
      <w:r w:rsidR="00704B5A">
        <w:t xml:space="preserve"> may reduce the number of deactivations that occur.</w:t>
      </w:r>
    </w:p>
    <w:p w14:paraId="1797ED18" w14:textId="0B710966" w:rsidR="003D50D7" w:rsidRDefault="003D50D7" w:rsidP="00573634">
      <w:pPr>
        <w:pStyle w:val="Heading4"/>
        <w:spacing w:after="240"/>
      </w:pPr>
      <w:r>
        <w:t>Broader economic impacts</w:t>
      </w:r>
    </w:p>
    <w:p w14:paraId="2F77C262" w14:textId="27BA2870" w:rsidR="00F641E0" w:rsidRDefault="00F641E0" w:rsidP="00F641E0">
      <w:pPr>
        <w:rPr>
          <w:rFonts w:eastAsiaTheme="minorEastAsia"/>
        </w:rPr>
      </w:pPr>
      <w:r>
        <w:rPr>
          <w:rFonts w:eastAsiaTheme="minorEastAsia"/>
        </w:rPr>
        <w:t>Estimating the economic impacts of</w:t>
      </w:r>
      <w:r w:rsidRPr="59146F78">
        <w:rPr>
          <w:rFonts w:eastAsiaTheme="minorEastAsia"/>
        </w:rPr>
        <w:t xml:space="preserve"> workplace relations reforms is difficult. Specific outcomes are dependent on the approach that independent parties, such as employers, unions</w:t>
      </w:r>
      <w:r>
        <w:rPr>
          <w:rFonts w:eastAsiaTheme="minorEastAsia"/>
        </w:rPr>
        <w:t>,</w:t>
      </w:r>
      <w:r w:rsidRPr="59146F78">
        <w:rPr>
          <w:rFonts w:eastAsiaTheme="minorEastAsia"/>
        </w:rPr>
        <w:t xml:space="preserve"> and the Fair Work Commission, take to the provisions. Assumptions would need to be made about </w:t>
      </w:r>
      <w:r w:rsidRPr="004B4F63">
        <w:t>the</w:t>
      </w:r>
      <w:r w:rsidRPr="59146F78">
        <w:rPr>
          <w:rFonts w:eastAsiaTheme="minorEastAsia"/>
        </w:rPr>
        <w:t xml:space="preserve"> behaviour and decisions of independent parties, as well as the interaction between various other measures being considered and other government reforms. It is also difficult to isolate the impact of these measures from other externalities, such as changes in the economic climate. Accordingly, the department is unable to estimate these flow-on costs, consistent with the approach for other recent </w:t>
      </w:r>
      <w:r>
        <w:rPr>
          <w:rFonts w:eastAsiaTheme="minorEastAsia"/>
        </w:rPr>
        <w:t>legislation</w:t>
      </w:r>
      <w:r w:rsidRPr="59146F78">
        <w:rPr>
          <w:rFonts w:eastAsiaTheme="minorEastAsia"/>
        </w:rPr>
        <w:t xml:space="preserve">, such as the Secure Jobs, Better Pay Act </w:t>
      </w:r>
      <w:r w:rsidR="00A13D06">
        <w:rPr>
          <w:rFonts w:eastAsiaTheme="minorEastAsia"/>
        </w:rPr>
        <w:t xml:space="preserve">2022 </w:t>
      </w:r>
      <w:r w:rsidRPr="59146F78">
        <w:rPr>
          <w:rFonts w:eastAsiaTheme="minorEastAsia"/>
        </w:rPr>
        <w:t>and the Fair Work Amendment (</w:t>
      </w:r>
      <w:r w:rsidRPr="003C5E9F">
        <w:rPr>
          <w:rFonts w:eastAsiaTheme="minorEastAsia"/>
        </w:rPr>
        <w:t>Supporting Australia’s Jobs and Economic Recovery) Bill 2021.</w:t>
      </w:r>
    </w:p>
    <w:p w14:paraId="2068E34C" w14:textId="45D49B7A" w:rsidR="00F641E0" w:rsidRDefault="00F641E0" w:rsidP="00F641E0">
      <w:pPr>
        <w:spacing w:after="160" w:line="259" w:lineRule="auto"/>
        <w:rPr>
          <w:rFonts w:ascii="Calibri" w:eastAsia="Calibri" w:hAnsi="Calibri" w:cs="Calibri"/>
          <w:color w:val="000000" w:themeColor="text1"/>
        </w:rPr>
      </w:pPr>
      <w:r w:rsidRPr="5C033F64">
        <w:rPr>
          <w:rFonts w:ascii="Calibri" w:eastAsia="Calibri" w:hAnsi="Calibri" w:cs="Calibri"/>
          <w:color w:val="000000" w:themeColor="text1"/>
        </w:rPr>
        <w:t xml:space="preserve">While the department is unable to </w:t>
      </w:r>
      <w:r>
        <w:rPr>
          <w:rFonts w:ascii="Calibri" w:eastAsia="Calibri" w:hAnsi="Calibri" w:cs="Calibri"/>
          <w:color w:val="000000" w:themeColor="text1"/>
        </w:rPr>
        <w:t xml:space="preserve">robustly estimate </w:t>
      </w:r>
      <w:r w:rsidRPr="5C033F64">
        <w:rPr>
          <w:rFonts w:ascii="Calibri" w:eastAsia="Calibri" w:hAnsi="Calibri" w:cs="Calibri"/>
          <w:color w:val="000000" w:themeColor="text1"/>
        </w:rPr>
        <w:t xml:space="preserve">the flow-on costs of this </w:t>
      </w:r>
      <w:r>
        <w:rPr>
          <w:rFonts w:ascii="Calibri" w:eastAsia="Calibri" w:hAnsi="Calibri" w:cs="Calibri"/>
          <w:color w:val="000000" w:themeColor="text1"/>
        </w:rPr>
        <w:t>policy due to the reasons mentioned earlier</w:t>
      </w:r>
      <w:r w:rsidRPr="5C033F64">
        <w:rPr>
          <w:rFonts w:ascii="Calibri" w:eastAsia="Calibri" w:hAnsi="Calibri" w:cs="Calibri"/>
          <w:color w:val="000000" w:themeColor="text1"/>
        </w:rPr>
        <w:t xml:space="preserve">, it is assumed that the introduction </w:t>
      </w:r>
      <w:r w:rsidR="00417A5F">
        <w:rPr>
          <w:rFonts w:ascii="Calibri" w:eastAsia="Calibri" w:hAnsi="Calibri" w:cs="Calibri"/>
          <w:color w:val="000000" w:themeColor="text1"/>
        </w:rPr>
        <w:t>of</w:t>
      </w:r>
      <w:r w:rsidRPr="5C033F64">
        <w:rPr>
          <w:rFonts w:ascii="Calibri" w:eastAsia="Calibri" w:hAnsi="Calibri" w:cs="Calibri"/>
          <w:color w:val="000000" w:themeColor="text1"/>
        </w:rPr>
        <w:t xml:space="preserve"> minimum standards would lead to a more reliable income stream and an increase to weekly income for digital platform workers. This </w:t>
      </w:r>
      <w:r w:rsidR="00865E60">
        <w:rPr>
          <w:rFonts w:ascii="Calibri" w:eastAsia="Calibri" w:hAnsi="Calibri" w:cs="Calibri"/>
          <w:color w:val="000000" w:themeColor="text1"/>
        </w:rPr>
        <w:t>could</w:t>
      </w:r>
      <w:r w:rsidRPr="5C033F64">
        <w:rPr>
          <w:rFonts w:ascii="Calibri" w:eastAsia="Calibri" w:hAnsi="Calibri" w:cs="Calibri"/>
          <w:color w:val="000000" w:themeColor="text1"/>
        </w:rPr>
        <w:t xml:space="preserve"> </w:t>
      </w:r>
      <w:r w:rsidR="00865E60">
        <w:rPr>
          <w:rFonts w:ascii="Calibri" w:eastAsia="Calibri" w:hAnsi="Calibri" w:cs="Calibri"/>
          <w:color w:val="000000" w:themeColor="text1"/>
        </w:rPr>
        <w:t>assist</w:t>
      </w:r>
      <w:r w:rsidRPr="5C033F64">
        <w:rPr>
          <w:rFonts w:ascii="Calibri" w:eastAsia="Calibri" w:hAnsi="Calibri" w:cs="Calibri"/>
          <w:color w:val="000000" w:themeColor="text1"/>
        </w:rPr>
        <w:t xml:space="preserve"> digital platform workers to </w:t>
      </w:r>
      <w:r w:rsidR="00865E60">
        <w:rPr>
          <w:rFonts w:ascii="Calibri" w:eastAsia="Calibri" w:hAnsi="Calibri" w:cs="Calibri"/>
          <w:color w:val="000000" w:themeColor="text1"/>
        </w:rPr>
        <w:t>meet</w:t>
      </w:r>
      <w:r w:rsidRPr="5C033F64">
        <w:rPr>
          <w:rFonts w:ascii="Calibri" w:eastAsia="Calibri" w:hAnsi="Calibri" w:cs="Calibri"/>
          <w:color w:val="000000" w:themeColor="text1"/>
        </w:rPr>
        <w:t xml:space="preserve"> elevated living costs</w:t>
      </w:r>
      <w:r w:rsidR="00865E60">
        <w:rPr>
          <w:rFonts w:ascii="Calibri" w:eastAsia="Calibri" w:hAnsi="Calibri" w:cs="Calibri"/>
          <w:color w:val="000000" w:themeColor="text1"/>
        </w:rPr>
        <w:t>, which may</w:t>
      </w:r>
      <w:r w:rsidRPr="5C033F64">
        <w:rPr>
          <w:rFonts w:ascii="Calibri" w:eastAsia="Calibri" w:hAnsi="Calibri" w:cs="Calibri"/>
          <w:color w:val="000000" w:themeColor="text1"/>
        </w:rPr>
        <w:t xml:space="preserve"> </w:t>
      </w:r>
      <w:r w:rsidR="00865E60">
        <w:rPr>
          <w:rFonts w:ascii="Calibri" w:eastAsia="Calibri" w:hAnsi="Calibri" w:cs="Calibri"/>
          <w:color w:val="000000" w:themeColor="text1"/>
        </w:rPr>
        <w:t xml:space="preserve">also </w:t>
      </w:r>
      <w:r w:rsidRPr="5C033F64">
        <w:rPr>
          <w:rFonts w:ascii="Calibri" w:eastAsia="Calibri" w:hAnsi="Calibri" w:cs="Calibri"/>
          <w:color w:val="000000" w:themeColor="text1"/>
        </w:rPr>
        <w:t>provid</w:t>
      </w:r>
      <w:r w:rsidR="00865E60">
        <w:rPr>
          <w:rFonts w:ascii="Calibri" w:eastAsia="Calibri" w:hAnsi="Calibri" w:cs="Calibri"/>
          <w:color w:val="000000" w:themeColor="text1"/>
        </w:rPr>
        <w:t>e</w:t>
      </w:r>
      <w:r w:rsidRPr="5C033F64">
        <w:rPr>
          <w:rFonts w:ascii="Calibri" w:eastAsia="Calibri" w:hAnsi="Calibri" w:cs="Calibri"/>
          <w:color w:val="000000" w:themeColor="text1"/>
        </w:rPr>
        <w:t xml:space="preserve"> a boost to their local economies.</w:t>
      </w:r>
      <w:r>
        <w:rPr>
          <w:rFonts w:ascii="Calibri" w:eastAsia="Calibri" w:hAnsi="Calibri" w:cs="Calibri"/>
          <w:color w:val="000000" w:themeColor="text1"/>
        </w:rPr>
        <w:t xml:space="preserve"> </w:t>
      </w:r>
    </w:p>
    <w:p w14:paraId="2545BF14" w14:textId="1C0A03D1" w:rsidR="007F78F0" w:rsidRDefault="00323F1F" w:rsidP="000077CC">
      <w:pPr>
        <w:pStyle w:val="Heading5"/>
        <w:spacing w:after="200"/>
      </w:pPr>
      <w:r>
        <w:t>Competition</w:t>
      </w:r>
    </w:p>
    <w:p w14:paraId="2B50E207" w14:textId="78714FC8" w:rsidR="003E15CF" w:rsidRDefault="00D320E2" w:rsidP="007B56D1">
      <w:r w:rsidRPr="00687947">
        <w:t>The emerging digital platform economy</w:t>
      </w:r>
      <w:r w:rsidR="00C1753B" w:rsidRPr="00687947">
        <w:t xml:space="preserve"> allows </w:t>
      </w:r>
      <w:r w:rsidR="00FF2DF6">
        <w:t xml:space="preserve">for </w:t>
      </w:r>
      <w:r w:rsidR="00C1753B" w:rsidRPr="00687947">
        <w:t xml:space="preserve">the engagement of contractors at scale to meet growing consumer demand for services, </w:t>
      </w:r>
      <w:r w:rsidR="0074158D">
        <w:t>without</w:t>
      </w:r>
      <w:r w:rsidR="00C1753B" w:rsidRPr="00687947">
        <w:t xml:space="preserve"> the </w:t>
      </w:r>
      <w:r w:rsidR="0074158D">
        <w:t>obligations</w:t>
      </w:r>
      <w:r w:rsidR="0074158D" w:rsidRPr="00687947">
        <w:t xml:space="preserve"> </w:t>
      </w:r>
      <w:r w:rsidR="00C1753B" w:rsidRPr="00687947">
        <w:t>of an employer.</w:t>
      </w:r>
      <w:r w:rsidR="00F329ED">
        <w:t xml:space="preserve"> </w:t>
      </w:r>
      <w:r w:rsidR="007B56D1">
        <w:t>These resulting</w:t>
      </w:r>
      <w:r w:rsidR="003E15CF">
        <w:t xml:space="preserve"> lower labour costs give digital labour platforms their competitive edge compared to traditional businesses. Evidence provided to the Victorian Government Inquiry indicated that using non-employee digital platform workers to deliver food to consumers can cost half to two thirds the price of </w:t>
      </w:r>
      <w:r w:rsidR="003E15CF" w:rsidRPr="20EC82BA">
        <w:rPr>
          <w:rStyle w:val="normaltextrun"/>
          <w:rFonts w:eastAsiaTheme="minorEastAsia"/>
          <w:lang w:val="en-GB"/>
        </w:rPr>
        <w:t>employee</w:t>
      </w:r>
      <w:r w:rsidR="003E15CF">
        <w:t xml:space="preserve"> labour due to a lack of minimum standards.</w:t>
      </w:r>
      <w:r w:rsidR="003E15CF">
        <w:rPr>
          <w:rStyle w:val="FootnoteReference"/>
        </w:rPr>
        <w:footnoteReference w:id="128"/>
      </w:r>
      <w:r w:rsidR="003E15CF">
        <w:t xml:space="preserve"> This can have a competitive impact on businesses that directly </w:t>
      </w:r>
      <w:r w:rsidR="007B56D1">
        <w:t>engage</w:t>
      </w:r>
      <w:r w:rsidR="003E15CF">
        <w:t xml:space="preserve"> employees, who are entitled to minimum pay rates and other employee entitlements.</w:t>
      </w:r>
      <w:r w:rsidR="003E15CF">
        <w:rPr>
          <w:rStyle w:val="FootnoteReference"/>
        </w:rPr>
        <w:footnoteReference w:id="129"/>
      </w:r>
    </w:p>
    <w:p w14:paraId="2D977C86" w14:textId="085D7B81" w:rsidR="00CC09F5" w:rsidRPr="00573634" w:rsidRDefault="00AE5CA8" w:rsidP="00CC09F5">
      <w:pPr>
        <w:rPr>
          <w:rFonts w:ascii="Times New Roman" w:hAnsi="Times New Roman" w:cs="Times New Roman"/>
          <w:sz w:val="24"/>
          <w:szCs w:val="24"/>
        </w:rPr>
      </w:pPr>
      <w:r w:rsidRPr="008B793A">
        <w:t xml:space="preserve">By giving the Fair Work Commission the power to set standards for workers engaged by platforms, </w:t>
      </w:r>
      <w:r w:rsidR="008C6233">
        <w:t>businesses</w:t>
      </w:r>
      <w:r w:rsidR="008C6233" w:rsidRPr="008B793A">
        <w:t xml:space="preserve"> </w:t>
      </w:r>
      <w:r w:rsidR="00F56682">
        <w:t>would</w:t>
      </w:r>
      <w:r w:rsidR="00F56682" w:rsidRPr="008B793A">
        <w:t xml:space="preserve"> </w:t>
      </w:r>
      <w:r w:rsidRPr="008B793A">
        <w:t xml:space="preserve">have the opportunity to compete on a </w:t>
      </w:r>
      <w:r w:rsidR="00FD7A65">
        <w:t xml:space="preserve">more </w:t>
      </w:r>
      <w:r w:rsidRPr="008B793A">
        <w:t>level playing field</w:t>
      </w:r>
      <w:r w:rsidR="00FD7A65">
        <w:t>,</w:t>
      </w:r>
      <w:r w:rsidR="008C6233">
        <w:t xml:space="preserve"> in relation to labour</w:t>
      </w:r>
      <w:r w:rsidR="00FD7A65">
        <w:t xml:space="preserve"> costs</w:t>
      </w:r>
      <w:r w:rsidRPr="008B793A">
        <w:t>.</w:t>
      </w:r>
      <w:r w:rsidR="00FD7A65">
        <w:rPr>
          <w:rStyle w:val="eop"/>
          <w:rFonts w:eastAsiaTheme="majorEastAsia"/>
          <w:color w:val="262626"/>
        </w:rPr>
        <w:t xml:space="preserve"> </w:t>
      </w:r>
      <w:r w:rsidR="00CC09F5">
        <w:rPr>
          <w:rStyle w:val="eop"/>
          <w:rFonts w:eastAsiaTheme="majorEastAsia"/>
          <w:color w:val="262626"/>
        </w:rPr>
        <w:t xml:space="preserve">For example, </w:t>
      </w:r>
      <w:r w:rsidR="00CC09F5" w:rsidRPr="20EC82BA">
        <w:rPr>
          <w:rStyle w:val="eop"/>
          <w:rFonts w:eastAsiaTheme="majorEastAsia"/>
          <w:color w:val="262626"/>
        </w:rPr>
        <w:t xml:space="preserve">Hireup, a major </w:t>
      </w:r>
      <w:r w:rsidR="00CC09F5" w:rsidRPr="20EC82BA">
        <w:rPr>
          <w:rStyle w:val="normaltextrun"/>
          <w:rFonts w:eastAsiaTheme="minorEastAsia"/>
          <w:lang w:val="en-GB"/>
        </w:rPr>
        <w:t>digital</w:t>
      </w:r>
      <w:r w:rsidR="00CC09F5" w:rsidRPr="20EC82BA">
        <w:rPr>
          <w:rStyle w:val="eop"/>
          <w:rFonts w:eastAsiaTheme="majorEastAsia"/>
          <w:color w:val="262626"/>
        </w:rPr>
        <w:t xml:space="preserve"> platform in the care sector</w:t>
      </w:r>
      <w:r w:rsidR="00CC09F5">
        <w:rPr>
          <w:rStyle w:val="eop"/>
          <w:rFonts w:eastAsiaTheme="majorEastAsia"/>
          <w:color w:val="262626"/>
        </w:rPr>
        <w:t>,</w:t>
      </w:r>
      <w:r w:rsidR="00CC09F5" w:rsidRPr="20EC82BA">
        <w:rPr>
          <w:rStyle w:val="eop"/>
          <w:rFonts w:eastAsiaTheme="majorEastAsia"/>
          <w:color w:val="262626"/>
        </w:rPr>
        <w:t xml:space="preserve"> engages its workers as employees. This shows that it is possible </w:t>
      </w:r>
      <w:r w:rsidR="00FD7A65">
        <w:rPr>
          <w:rStyle w:val="eop"/>
          <w:rFonts w:eastAsiaTheme="majorEastAsia"/>
          <w:color w:val="262626"/>
        </w:rPr>
        <w:t xml:space="preserve">for a digital platform </w:t>
      </w:r>
      <w:r w:rsidR="00CC09F5" w:rsidRPr="20EC82BA">
        <w:rPr>
          <w:rStyle w:val="eop"/>
          <w:rFonts w:eastAsiaTheme="majorEastAsia"/>
          <w:color w:val="262626"/>
        </w:rPr>
        <w:t xml:space="preserve">to </w:t>
      </w:r>
      <w:r w:rsidR="00FD7A65">
        <w:rPr>
          <w:rStyle w:val="eop"/>
          <w:rFonts w:eastAsiaTheme="majorEastAsia"/>
          <w:color w:val="262626"/>
        </w:rPr>
        <w:t>operate</w:t>
      </w:r>
      <w:r w:rsidR="00CC09F5" w:rsidRPr="20EC82BA">
        <w:rPr>
          <w:rStyle w:val="eop"/>
          <w:rFonts w:eastAsiaTheme="majorEastAsia"/>
          <w:color w:val="262626"/>
        </w:rPr>
        <w:t xml:space="preserve"> in the car</w:t>
      </w:r>
      <w:r w:rsidR="00CC09F5" w:rsidRPr="20EC82BA">
        <w:rPr>
          <w:rStyle w:val="eop"/>
          <w:rFonts w:eastAsiaTheme="majorEastAsia"/>
          <w:color w:val="262626" w:themeColor="text1" w:themeTint="D9"/>
        </w:rPr>
        <w:t>e</w:t>
      </w:r>
      <w:r w:rsidR="00CC09F5" w:rsidRPr="20EC82BA">
        <w:rPr>
          <w:rStyle w:val="eop"/>
          <w:rFonts w:eastAsiaTheme="majorEastAsia"/>
          <w:color w:val="262626"/>
        </w:rPr>
        <w:t xml:space="preserve"> sector with employee costs. </w:t>
      </w:r>
      <w:r w:rsidR="00CC09F5" w:rsidRPr="20EC82BA">
        <w:rPr>
          <w:rStyle w:val="eop"/>
          <w:rFonts w:eastAsiaTheme="majorEastAsia"/>
          <w:color w:val="262626" w:themeColor="text1" w:themeTint="D9"/>
        </w:rPr>
        <w:t>Hireup states that it pays award aligned pay,</w:t>
      </w:r>
      <w:r w:rsidR="00CC09F5">
        <w:rPr>
          <w:rStyle w:val="FootnoteReference"/>
          <w:color w:val="262626"/>
        </w:rPr>
        <w:footnoteReference w:id="130"/>
      </w:r>
      <w:r w:rsidR="00CC09F5" w:rsidRPr="20EC82BA">
        <w:rPr>
          <w:rStyle w:val="eop"/>
          <w:rFonts w:eastAsiaTheme="majorEastAsia"/>
          <w:color w:val="262626" w:themeColor="text1" w:themeTint="D9"/>
        </w:rPr>
        <w:t xml:space="preserve"> and the minimum hourly wage for support workers at the time of the Victorian National Survey was $30.98, excluding super.</w:t>
      </w:r>
      <w:r w:rsidR="00CC09F5">
        <w:rPr>
          <w:rStyle w:val="FootnoteReference"/>
          <w:color w:val="262626"/>
        </w:rPr>
        <w:footnoteReference w:id="131"/>
      </w:r>
      <w:r w:rsidR="00CC09F5" w:rsidRPr="20EC82BA">
        <w:rPr>
          <w:rStyle w:val="eop"/>
          <w:rFonts w:eastAsiaTheme="majorEastAsia"/>
          <w:color w:val="262626" w:themeColor="text1" w:themeTint="D9"/>
        </w:rPr>
        <w:t xml:space="preserve"> </w:t>
      </w:r>
      <w:r w:rsidR="00CC09F5" w:rsidRPr="20EC82BA">
        <w:rPr>
          <w:rStyle w:val="eop"/>
          <w:rFonts w:eastAsiaTheme="majorEastAsia"/>
          <w:color w:val="262626"/>
        </w:rPr>
        <w:t xml:space="preserve">The introduction of minimum standards for digital platforms competing with employing businesses such as Hireup may help to facilitate fairer competition by leveling the costs of engaging employees compared to independent contractors. </w:t>
      </w:r>
    </w:p>
    <w:p w14:paraId="02FE0FC2" w14:textId="0557B1B9" w:rsidR="00E30C6C" w:rsidRDefault="00CC09F5" w:rsidP="00CC09F5">
      <w:pPr>
        <w:spacing w:after="160" w:line="257" w:lineRule="auto"/>
        <w:rPr>
          <w:rFonts w:ascii="Calibri" w:eastAsia="Calibri" w:hAnsi="Calibri" w:cs="Calibri"/>
          <w:color w:val="000000" w:themeColor="text1"/>
        </w:rPr>
      </w:pPr>
      <w:r w:rsidRPr="169A253A">
        <w:rPr>
          <w:rFonts w:ascii="Calibri" w:eastAsia="Calibri" w:hAnsi="Calibri" w:cs="Calibri"/>
          <w:color w:val="000000" w:themeColor="text1"/>
        </w:rPr>
        <w:t xml:space="preserve">There is a risk that the impact of compliance with minimum standards may lead to some digital </w:t>
      </w:r>
      <w:r w:rsidRPr="169A253A" w:rsidDel="0228CFC6">
        <w:rPr>
          <w:rFonts w:ascii="Calibri" w:eastAsia="Calibri" w:hAnsi="Calibri" w:cs="Calibri"/>
          <w:color w:val="000000" w:themeColor="text1"/>
        </w:rPr>
        <w:t xml:space="preserve">labour </w:t>
      </w:r>
      <w:r w:rsidRPr="169A253A">
        <w:rPr>
          <w:rFonts w:ascii="Calibri" w:eastAsia="Calibri" w:hAnsi="Calibri" w:cs="Calibri"/>
          <w:color w:val="000000" w:themeColor="text1"/>
        </w:rPr>
        <w:t xml:space="preserve">platforms exiting the Australian market </w:t>
      </w:r>
      <w:r w:rsidR="00EC6556">
        <w:rPr>
          <w:rFonts w:ascii="Calibri" w:eastAsia="Calibri" w:hAnsi="Calibri" w:cs="Calibri"/>
          <w:color w:val="000000" w:themeColor="text1"/>
        </w:rPr>
        <w:t xml:space="preserve">and a reduction in new entrants </w:t>
      </w:r>
      <w:r w:rsidRPr="169A253A">
        <w:rPr>
          <w:rFonts w:ascii="Calibri" w:eastAsia="Calibri" w:hAnsi="Calibri" w:cs="Calibri"/>
          <w:color w:val="000000" w:themeColor="text1"/>
        </w:rPr>
        <w:t xml:space="preserve">due to their inability to absorb or manage the additional costs in a sustainable manner. </w:t>
      </w:r>
      <w:r w:rsidR="00EC6556">
        <w:rPr>
          <w:rFonts w:ascii="Calibri" w:eastAsia="Calibri" w:hAnsi="Calibri" w:cs="Calibri"/>
          <w:color w:val="000000" w:themeColor="text1"/>
        </w:rPr>
        <w:t xml:space="preserve">The implications for firm productivity will depend on a variety of factors, including the extent to which businesses are able to plan and adapt to the changes, and the extent to which costs are passed onto consumers or businesses partnering with digital platforms. </w:t>
      </w:r>
      <w:r w:rsidR="00E30C6C">
        <w:t>T</w:t>
      </w:r>
      <w:r w:rsidR="00E30C6C" w:rsidRPr="008B793A">
        <w:t xml:space="preserve">he Minimum Standards Objective will require the Fair Work Commission to actively consider the potential impacts of minimum standards on businesses (including their viability), </w:t>
      </w:r>
      <w:r w:rsidR="00E30C6C">
        <w:t>which will help to mitigate this risk</w:t>
      </w:r>
      <w:r w:rsidR="00E30C6C" w:rsidRPr="008B793A">
        <w:t>.</w:t>
      </w:r>
    </w:p>
    <w:p w14:paraId="46AEF025" w14:textId="54B4C50A" w:rsidR="00E30C6C" w:rsidRDefault="00E30C6C" w:rsidP="00E30C6C">
      <w:pPr>
        <w:spacing w:after="160" w:line="257" w:lineRule="auto"/>
        <w:rPr>
          <w:rFonts w:ascii="Calibri" w:eastAsia="Calibri" w:hAnsi="Calibri" w:cs="Calibri"/>
          <w:color w:val="000000" w:themeColor="text1"/>
        </w:rPr>
      </w:pPr>
      <w:r>
        <w:rPr>
          <w:rFonts w:ascii="Calibri" w:eastAsia="Calibri" w:hAnsi="Calibri" w:cs="Calibri"/>
          <w:color w:val="000000" w:themeColor="text1"/>
        </w:rPr>
        <w:t>Additionally,</w:t>
      </w:r>
      <w:r w:rsidR="007C4008">
        <w:t xml:space="preserve"> the purpose of </w:t>
      </w:r>
      <w:r w:rsidR="004C5087">
        <w:t>this measure</w:t>
      </w:r>
      <w:r w:rsidR="007C4008">
        <w:t xml:space="preserve"> is to provide fair </w:t>
      </w:r>
      <w:r w:rsidR="004C5087">
        <w:t>terms and conditions for digital platform workers.</w:t>
      </w:r>
      <w:r w:rsidR="000A25A4" w:rsidRPr="008B793A">
        <w:t xml:space="preserve"> If platforms find that they are unable to operate within the parameters of fair minimum standards, it </w:t>
      </w:r>
      <w:r w:rsidR="009546B9">
        <w:t>may</w:t>
      </w:r>
      <w:r w:rsidR="009546B9" w:rsidRPr="008B793A">
        <w:t xml:space="preserve"> </w:t>
      </w:r>
      <w:r w:rsidR="000A25A4" w:rsidRPr="008B793A">
        <w:t>not</w:t>
      </w:r>
      <w:r w:rsidR="009546B9">
        <w:t xml:space="preserve"> be</w:t>
      </w:r>
      <w:r w:rsidR="000A25A4" w:rsidRPr="008B793A">
        <w:t xml:space="preserve"> appropriate </w:t>
      </w:r>
      <w:r w:rsidR="009546B9">
        <w:t>for them</w:t>
      </w:r>
      <w:r w:rsidR="000A25A4" w:rsidRPr="008B793A">
        <w:t xml:space="preserve"> to operate and in turn compete with platforms that do.</w:t>
      </w:r>
      <w:r w:rsidR="004C5087">
        <w:t xml:space="preserve"> </w:t>
      </w:r>
      <w:r>
        <w:rPr>
          <w:rFonts w:ascii="Calibri" w:eastAsia="Calibri" w:hAnsi="Calibri" w:cs="Calibri"/>
          <w:color w:val="000000" w:themeColor="text1"/>
        </w:rPr>
        <w:t>It should also be noted that</w:t>
      </w:r>
      <w:r w:rsidRPr="169A253A">
        <w:rPr>
          <w:rFonts w:ascii="Calibri" w:eastAsia="Calibri" w:hAnsi="Calibri" w:cs="Calibri"/>
          <w:color w:val="000000" w:themeColor="text1"/>
        </w:rPr>
        <w:t xml:space="preserve"> digital platforms </w:t>
      </w:r>
      <w:r>
        <w:rPr>
          <w:rFonts w:ascii="Calibri" w:eastAsia="Calibri" w:hAnsi="Calibri" w:cs="Calibri"/>
          <w:color w:val="000000" w:themeColor="text1"/>
        </w:rPr>
        <w:t>have also exited the market under the</w:t>
      </w:r>
      <w:r w:rsidRPr="169A253A">
        <w:rPr>
          <w:rFonts w:ascii="Calibri" w:eastAsia="Calibri" w:hAnsi="Calibri" w:cs="Calibri"/>
          <w:color w:val="000000" w:themeColor="text1"/>
        </w:rPr>
        <w:t xml:space="preserve"> status quo</w:t>
      </w:r>
      <w:r>
        <w:rPr>
          <w:rFonts w:ascii="Calibri" w:eastAsia="Calibri" w:hAnsi="Calibri" w:cs="Calibri"/>
          <w:color w:val="000000" w:themeColor="text1"/>
        </w:rPr>
        <w:t xml:space="preserve">, as has been shown </w:t>
      </w:r>
      <w:r w:rsidRPr="169A253A">
        <w:rPr>
          <w:rFonts w:ascii="Calibri" w:eastAsia="Calibri" w:hAnsi="Calibri" w:cs="Calibri"/>
          <w:color w:val="000000" w:themeColor="text1"/>
        </w:rPr>
        <w:t>by Deliveroo and Milk Run’s recent closures.</w:t>
      </w:r>
    </w:p>
    <w:p w14:paraId="3AC37CDB" w14:textId="77777777" w:rsidR="00AF6E0C" w:rsidRDefault="00AF6E0C" w:rsidP="00573634">
      <w:pPr>
        <w:pStyle w:val="Heading5"/>
        <w:spacing w:after="200"/>
      </w:pPr>
      <w:r>
        <w:t>Employment</w:t>
      </w:r>
    </w:p>
    <w:p w14:paraId="7899C089" w14:textId="31794918" w:rsidR="00AF6E0C" w:rsidRDefault="00AF6E0C" w:rsidP="00AF6E0C">
      <w:r>
        <w:t xml:space="preserve">During consultation, some stakeholders raised concerns that minimum standards could lead to job losses for employee-like digital platform workers. However, these concerns appear to be premised on minimum standards containing matters that could impact workers’ method of engagement, such as the inclusion of overtime rates or rostering arrangements. Stakeholders raised concerns that these types of entitlements could impact on workers’ ability to choose when to work and would risk platforms needing to move towards an employment-like rostering model. By requiring platforms to provide workers with minimum shifts and engagement times, platforms may need to limit the number of workers they engage to ensure they can meet these commitments. </w:t>
      </w:r>
    </w:p>
    <w:p w14:paraId="3D7C45F3" w14:textId="19C1ED38" w:rsidR="00AF6E0C" w:rsidRDefault="00AF6E0C" w:rsidP="00AF6E0C">
      <w:r>
        <w:t>The current policy model addresses these concerns. Following stakeholder consultation, the legislation would provide that the Fair Work Commission must not include terms about rostering or overtime arrangements in minimum standards orders. The legislation would also contain an explicit requirement that minimum standards orders do not contain terms that would change the form of the engagement of regulated workers.</w:t>
      </w:r>
    </w:p>
    <w:p w14:paraId="001A0410" w14:textId="20A8F730" w:rsidR="00844687" w:rsidRDefault="00844687" w:rsidP="000077CC">
      <w:pPr>
        <w:pStyle w:val="Heading5"/>
        <w:spacing w:after="200"/>
      </w:pPr>
      <w:r>
        <w:t>Consumers and third</w:t>
      </w:r>
      <w:r w:rsidR="317BFB64">
        <w:t>-</w:t>
      </w:r>
      <w:r>
        <w:t>party businesses</w:t>
      </w:r>
      <w:r w:rsidR="00835C90">
        <w:t xml:space="preserve"> of food delivery and rideshare services</w:t>
      </w:r>
    </w:p>
    <w:p w14:paraId="36717268" w14:textId="0D3E5241" w:rsidR="002D674B" w:rsidRDefault="003624FE" w:rsidP="004B4F63">
      <w:r>
        <w:t>If subject to a minimum standards order that increases their operating costs, d</w:t>
      </w:r>
      <w:r w:rsidR="002D674B">
        <w:t>igital platform businesses may pass on some of this cost to consumers and/or third</w:t>
      </w:r>
      <w:r w:rsidR="394D4137">
        <w:t>-</w:t>
      </w:r>
      <w:r w:rsidR="002D674B">
        <w:t xml:space="preserve">party businesses (for example, restaurants that use digital platforms to connect with workers to deliver food to consumers). </w:t>
      </w:r>
      <w:r w:rsidR="00BA7337">
        <w:t>T</w:t>
      </w:r>
      <w:r w:rsidR="002D674B">
        <w:t>he size of this impact</w:t>
      </w:r>
      <w:r w:rsidR="00BA7337">
        <w:t xml:space="preserve"> would</w:t>
      </w:r>
      <w:r w:rsidR="002D674B">
        <w:t xml:space="preserve"> depend on the decisions of individual businesses</w:t>
      </w:r>
      <w:r w:rsidR="00BA7337">
        <w:t>.</w:t>
      </w:r>
      <w:r w:rsidR="00480478">
        <w:t xml:space="preserve"> </w:t>
      </w:r>
      <w:r w:rsidR="00023987">
        <w:t>I</w:t>
      </w:r>
      <w:r w:rsidR="002242FD">
        <w:t xml:space="preserve">f prices become significantly higher, it is possible that consumers </w:t>
      </w:r>
      <w:r w:rsidR="00CA77F5">
        <w:t xml:space="preserve">will </w:t>
      </w:r>
      <w:r w:rsidR="00CB6390">
        <w:t xml:space="preserve">reduce consumption </w:t>
      </w:r>
      <w:r w:rsidR="001818B3">
        <w:t xml:space="preserve">from digital platform businesses. </w:t>
      </w:r>
      <w:r w:rsidR="0087572F">
        <w:t>However, the Fair Work Commission is required to make balanced decisions, having regard to factors such as the need to avoid unreasonable adverse impacts on business viability and the national economy, which would help to mitigate this impact.</w:t>
      </w:r>
    </w:p>
    <w:p w14:paraId="7C7625CD" w14:textId="55D31C67" w:rsidR="008A7F65" w:rsidRPr="008A1F9C" w:rsidRDefault="008A7F65" w:rsidP="00573634">
      <w:pPr>
        <w:pStyle w:val="Heading5"/>
      </w:pPr>
      <w:r>
        <w:t>Clients of</w:t>
      </w:r>
      <w:r w:rsidRPr="008A1F9C">
        <w:t xml:space="preserve"> care services</w:t>
      </w:r>
      <w:r>
        <w:t xml:space="preserve"> provided through digital platforms</w:t>
      </w:r>
    </w:p>
    <w:p w14:paraId="11B4171E" w14:textId="14F5E521" w:rsidR="0098081D" w:rsidRDefault="008A7F65" w:rsidP="008A7F65">
      <w:pPr>
        <w:rPr>
          <w:rStyle w:val="normaltextrun"/>
          <w:rFonts w:ascii="Calibri" w:hAnsi="Calibri" w:cs="Calibri"/>
          <w:color w:val="000000" w:themeColor="text1"/>
          <w:lang w:val="en-GB"/>
        </w:rPr>
      </w:pPr>
      <w:r>
        <w:t>Recent commentary has suggested that proposed minimum standards may raise costs in the NDIS.</w:t>
      </w:r>
      <w:r>
        <w:rPr>
          <w:rStyle w:val="FootnoteReference"/>
        </w:rPr>
        <w:footnoteReference w:id="132"/>
      </w:r>
      <w:r>
        <w:t xml:space="preserve"> </w:t>
      </w:r>
      <w:r w:rsidRPr="3147F644">
        <w:rPr>
          <w:rStyle w:val="normaltextrun"/>
          <w:rFonts w:ascii="Calibri" w:hAnsi="Calibri" w:cs="Calibri"/>
          <w:color w:val="000000" w:themeColor="text1"/>
          <w:lang w:val="en-GB"/>
        </w:rPr>
        <w:t xml:space="preserve">However, </w:t>
      </w:r>
      <w:r>
        <w:rPr>
          <w:rStyle w:val="normaltextrun"/>
          <w:rFonts w:ascii="Calibri" w:hAnsi="Calibri" w:cs="Calibri"/>
          <w:color w:val="000000" w:themeColor="text1"/>
          <w:lang w:val="en-GB"/>
        </w:rPr>
        <w:t>the department has assumed that the Fair Work Commission would set minimum pay rates at a level similar to existing award rates. T</w:t>
      </w:r>
      <w:r w:rsidRPr="3147F644">
        <w:rPr>
          <w:rStyle w:val="normaltextrun"/>
          <w:rFonts w:ascii="Calibri" w:hAnsi="Calibri" w:cs="Calibri"/>
          <w:color w:val="000000" w:themeColor="text1"/>
          <w:lang w:val="en-GB"/>
        </w:rPr>
        <w:t xml:space="preserve">he NDIS’ </w:t>
      </w:r>
      <w:r>
        <w:t>Disability</w:t>
      </w:r>
      <w:r w:rsidRPr="3147F644">
        <w:rPr>
          <w:rStyle w:val="normaltextrun"/>
          <w:rFonts w:ascii="Calibri" w:hAnsi="Calibri" w:cs="Calibri"/>
          <w:color w:val="000000" w:themeColor="text1"/>
          <w:lang w:val="en-GB"/>
        </w:rPr>
        <w:t xml:space="preserve"> Support Worker Cost Model </w:t>
      </w:r>
      <w:r>
        <w:rPr>
          <w:rStyle w:val="normaltextrun"/>
          <w:rFonts w:ascii="Calibri" w:hAnsi="Calibri" w:cs="Calibri"/>
          <w:color w:val="000000" w:themeColor="text1"/>
          <w:lang w:val="en-GB"/>
        </w:rPr>
        <w:t xml:space="preserve">already </w:t>
      </w:r>
      <w:r w:rsidRPr="3147F644">
        <w:rPr>
          <w:rStyle w:val="normaltextrun"/>
          <w:rFonts w:ascii="Calibri" w:hAnsi="Calibri" w:cs="Calibri"/>
          <w:color w:val="000000" w:themeColor="text1"/>
          <w:lang w:val="en-GB"/>
        </w:rPr>
        <w:t>accounts for applicable award rates</w:t>
      </w:r>
      <w:r>
        <w:rPr>
          <w:rStyle w:val="normaltextrun"/>
          <w:rFonts w:ascii="Calibri" w:hAnsi="Calibri" w:cs="Calibri"/>
          <w:color w:val="000000" w:themeColor="text1"/>
          <w:lang w:val="en-GB"/>
        </w:rPr>
        <w:t>, and other direct on-costs such as superannuation and leave entitlements</w:t>
      </w:r>
      <w:r w:rsidRPr="3147F644">
        <w:rPr>
          <w:rStyle w:val="normaltextrun"/>
          <w:rFonts w:ascii="Calibri" w:hAnsi="Calibri" w:cs="Calibri"/>
          <w:color w:val="000000" w:themeColor="text1"/>
          <w:lang w:val="en-GB"/>
        </w:rPr>
        <w:t>.</w:t>
      </w:r>
      <w:r>
        <w:rPr>
          <w:rStyle w:val="FootnoteReference"/>
          <w:rFonts w:ascii="Calibri" w:hAnsi="Calibri" w:cs="Calibri"/>
          <w:color w:val="000000"/>
          <w:shd w:val="clear" w:color="auto" w:fill="FFFFFF"/>
          <w:lang w:val="en-GB"/>
        </w:rPr>
        <w:footnoteReference w:id="133"/>
      </w:r>
      <w:r w:rsidRPr="3147F644">
        <w:rPr>
          <w:rStyle w:val="normaltextrun"/>
          <w:rFonts w:ascii="Calibri" w:hAnsi="Calibri" w:cs="Calibri"/>
          <w:color w:val="000000" w:themeColor="text1"/>
          <w:lang w:val="en-GB"/>
        </w:rPr>
        <w:t xml:space="preserve"> </w:t>
      </w:r>
    </w:p>
    <w:p w14:paraId="044FE4E4" w14:textId="7BEAB782" w:rsidR="008A7F65" w:rsidRDefault="008A7F65" w:rsidP="008A7F65">
      <w:pPr>
        <w:rPr>
          <w:rStyle w:val="normaltextrun"/>
          <w:rFonts w:ascii="Calibri" w:hAnsi="Calibri" w:cs="Calibri"/>
          <w:color w:val="000000"/>
          <w:shd w:val="clear" w:color="auto" w:fill="FFFFFF"/>
          <w:vertAlign w:val="superscript"/>
          <w:lang w:val="en-GB"/>
        </w:rPr>
      </w:pPr>
      <w:r w:rsidRPr="3147F644">
        <w:rPr>
          <w:rStyle w:val="normaltextrun"/>
          <w:rFonts w:ascii="Calibri" w:hAnsi="Calibri" w:cs="Calibri"/>
          <w:color w:val="000000" w:themeColor="text1"/>
          <w:lang w:val="en-GB"/>
        </w:rPr>
        <w:t xml:space="preserve">As a result of this existing price </w:t>
      </w:r>
      <w:r>
        <w:rPr>
          <w:rStyle w:val="normaltextrun"/>
          <w:rFonts w:ascii="Calibri" w:hAnsi="Calibri" w:cs="Calibri"/>
          <w:color w:val="000000" w:themeColor="text1"/>
          <w:lang w:val="en-GB"/>
        </w:rPr>
        <w:t>model</w:t>
      </w:r>
      <w:r w:rsidRPr="3147F644">
        <w:rPr>
          <w:rStyle w:val="normaltextrun"/>
          <w:rFonts w:ascii="Calibri" w:hAnsi="Calibri" w:cs="Calibri"/>
          <w:color w:val="000000" w:themeColor="text1"/>
          <w:lang w:val="en-GB"/>
        </w:rPr>
        <w:t>, this measure is unlikely to have a significant budgetary impact if the Fair Work Commission sets rates that are similar to the relevant award.</w:t>
      </w:r>
      <w:r w:rsidR="001B6480">
        <w:rPr>
          <w:rStyle w:val="normaltextrun"/>
          <w:rFonts w:ascii="Calibri" w:hAnsi="Calibri" w:cs="Calibri"/>
          <w:color w:val="000000" w:themeColor="text1"/>
          <w:lang w:val="en-GB"/>
        </w:rPr>
        <w:t xml:space="preserve"> </w:t>
      </w:r>
      <w:r>
        <w:rPr>
          <w:rStyle w:val="normaltextrun"/>
          <w:rFonts w:ascii="Calibri" w:hAnsi="Calibri" w:cs="Calibri"/>
          <w:color w:val="000000" w:themeColor="text1"/>
          <w:lang w:val="en-GB"/>
        </w:rPr>
        <w:t>Beyond pay rates, minimum standards</w:t>
      </w:r>
      <w:r w:rsidRPr="00573634">
        <w:rPr>
          <w:rStyle w:val="normaltextrun"/>
          <w:rFonts w:ascii="Calibri" w:hAnsi="Calibri" w:cs="Calibri"/>
          <w:lang w:val="en-GB"/>
        </w:rPr>
        <w:t xml:space="preserve"> may support a level playing field in the sector, for example specifying the obligations that platforms</w:t>
      </w:r>
      <w:r>
        <w:rPr>
          <w:rFonts w:eastAsiaTheme="minorEastAsia"/>
          <w:color w:val="000000" w:themeColor="text1"/>
        </w:rPr>
        <w:t xml:space="preserve"> may owe to the workers that use the platforms, such as insurance. </w:t>
      </w:r>
    </w:p>
    <w:p w14:paraId="080CBBAC" w14:textId="768EFEAB" w:rsidR="008A7F65" w:rsidRDefault="008A7F65" w:rsidP="008A7F65">
      <w:r>
        <w:t>In addition, the use of independent contractors in aged care and the NDIS, including those engaged through digital labour platforms, is growing.</w:t>
      </w:r>
      <w:r>
        <w:rPr>
          <w:rStyle w:val="FootnoteReference"/>
        </w:rPr>
        <w:footnoteReference w:id="134"/>
      </w:r>
      <w:r>
        <w:t xml:space="preserve"> The introduction of minimum rates of pay may help to attract more workers to the sector, which is an objective of the Government’s Aged Care Workforce Strategy.</w:t>
      </w:r>
      <w:r>
        <w:rPr>
          <w:rStyle w:val="FootnoteReference"/>
        </w:rPr>
        <w:footnoteReference w:id="135"/>
      </w:r>
      <w:r>
        <w:t xml:space="preserve"> This would be likely to have a positive impact on the quality and availability of services for clients. </w:t>
      </w:r>
    </w:p>
    <w:p w14:paraId="34FD7A95" w14:textId="77777777" w:rsidR="0098081D" w:rsidRDefault="0098081D" w:rsidP="00573634">
      <w:pPr>
        <w:pStyle w:val="Heading5"/>
      </w:pPr>
      <w:r>
        <w:t>Distributional impacts</w:t>
      </w:r>
    </w:p>
    <w:p w14:paraId="7B548822" w14:textId="394BE48B" w:rsidR="0098081D" w:rsidRDefault="0098081D" w:rsidP="0098081D">
      <w:r>
        <w:t xml:space="preserve">Digital platform workers do not receive minimum standards. This has a higher impact on temporary visa holders, unemployed people and students </w:t>
      </w:r>
      <w:r w:rsidR="009F27DD">
        <w:t xml:space="preserve">who </w:t>
      </w:r>
      <w:r>
        <w:t xml:space="preserve">are highly represented in the cohort of digital platform workers. While the digital platform economy is generally male-dominated, women are overrepresented in care-related work. </w:t>
      </w:r>
    </w:p>
    <w:p w14:paraId="74F770AB" w14:textId="66CCDD7B" w:rsidR="0098081D" w:rsidRDefault="0098081D" w:rsidP="0098081D">
      <w:r>
        <w:t xml:space="preserve">There may also be stronger impacts on some cohorts of consumers. During consultation, some stakeholders raised that minimum standards would have a stronger impact on regional and remote areas, where markets are smaller, and on consumers with limited mobility who rely on the convenience of services in the digital platform economy. </w:t>
      </w:r>
    </w:p>
    <w:p w14:paraId="673C8F66" w14:textId="568C086B" w:rsidR="009074A7" w:rsidRDefault="00EC7EB8" w:rsidP="000077CC">
      <w:pPr>
        <w:pStyle w:val="Heading5"/>
        <w:spacing w:after="200"/>
      </w:pPr>
      <w:r>
        <w:t>Impact on</w:t>
      </w:r>
      <w:r w:rsidR="003C5F5D">
        <w:t xml:space="preserve"> g</w:t>
      </w:r>
      <w:r w:rsidR="007B4A17">
        <w:t xml:space="preserve">overnment </w:t>
      </w:r>
    </w:p>
    <w:p w14:paraId="6D35F27B" w14:textId="6B5888E0" w:rsidR="00C04BEA" w:rsidRPr="0010021C" w:rsidRDefault="00C04BEA" w:rsidP="00C04BEA">
      <w:pPr>
        <w:rPr>
          <w:rStyle w:val="normaltextrun"/>
          <w:rFonts w:ascii="Calibri" w:hAnsi="Calibri" w:cs="Calibri"/>
          <w:color w:val="000000"/>
          <w:shd w:val="clear" w:color="auto" w:fill="FFFFFF"/>
          <w:lang w:val="en-GB"/>
        </w:rPr>
      </w:pPr>
      <w:r w:rsidRPr="0010021C">
        <w:rPr>
          <w:rStyle w:val="normaltextrun"/>
          <w:rFonts w:ascii="Calibri" w:hAnsi="Calibri" w:cs="Calibri"/>
          <w:color w:val="000000"/>
          <w:shd w:val="clear" w:color="auto" w:fill="FFFFFF"/>
          <w:lang w:val="en-GB"/>
        </w:rPr>
        <w:t xml:space="preserve">The options would impact the Government through </w:t>
      </w:r>
      <w:r w:rsidR="00F91A5D">
        <w:rPr>
          <w:rStyle w:val="normaltextrun"/>
          <w:rFonts w:ascii="Calibri" w:hAnsi="Calibri" w:cs="Calibri"/>
          <w:color w:val="000000"/>
          <w:shd w:val="clear" w:color="auto" w:fill="FFFFFF"/>
          <w:lang w:val="en-GB"/>
        </w:rPr>
        <w:t>increased tax revenue due to increased wages of workers in the sector</w:t>
      </w:r>
      <w:r w:rsidR="00F91A5D" w:rsidRPr="0010021C">
        <w:rPr>
          <w:rStyle w:val="normaltextrun"/>
          <w:rFonts w:ascii="Calibri" w:hAnsi="Calibri" w:cs="Calibri"/>
          <w:color w:val="000000"/>
          <w:shd w:val="clear" w:color="auto" w:fill="FFFFFF"/>
          <w:lang w:val="en-GB"/>
        </w:rPr>
        <w:t xml:space="preserve"> </w:t>
      </w:r>
      <w:r w:rsidR="00F91A5D">
        <w:rPr>
          <w:rStyle w:val="normaltextrun"/>
          <w:rFonts w:ascii="Calibri" w:hAnsi="Calibri" w:cs="Calibri"/>
          <w:color w:val="000000"/>
          <w:shd w:val="clear" w:color="auto" w:fill="FFFFFF"/>
          <w:lang w:val="en-GB"/>
        </w:rPr>
        <w:t xml:space="preserve">as well as through </w:t>
      </w:r>
      <w:r w:rsidRPr="0010021C">
        <w:rPr>
          <w:rStyle w:val="normaltextrun"/>
          <w:rFonts w:ascii="Calibri" w:hAnsi="Calibri" w:cs="Calibri"/>
          <w:color w:val="000000"/>
          <w:shd w:val="clear" w:color="auto" w:fill="FFFFFF"/>
          <w:lang w:val="en-GB"/>
        </w:rPr>
        <w:t>an increased burden on the Fair Work Commission</w:t>
      </w:r>
      <w:r w:rsidR="00B3031C">
        <w:rPr>
          <w:rStyle w:val="normaltextrun"/>
          <w:rFonts w:ascii="Calibri" w:hAnsi="Calibri" w:cs="Calibri"/>
          <w:color w:val="000000"/>
          <w:shd w:val="clear" w:color="auto" w:fill="FFFFFF"/>
          <w:lang w:val="en-GB"/>
        </w:rPr>
        <w:t xml:space="preserve"> and</w:t>
      </w:r>
      <w:r w:rsidRPr="0010021C">
        <w:rPr>
          <w:rStyle w:val="normaltextrun"/>
          <w:rFonts w:ascii="Calibri" w:hAnsi="Calibri" w:cs="Calibri"/>
          <w:color w:val="000000"/>
          <w:shd w:val="clear" w:color="auto" w:fill="FFFFFF"/>
          <w:lang w:val="en-GB"/>
        </w:rPr>
        <w:t xml:space="preserve"> Fair Work </w:t>
      </w:r>
      <w:r w:rsidRPr="004B4F63">
        <w:t>Ombudsman</w:t>
      </w:r>
      <w:r w:rsidRPr="0010021C">
        <w:rPr>
          <w:rStyle w:val="normaltextrun"/>
          <w:rFonts w:ascii="Calibri" w:hAnsi="Calibri" w:cs="Calibri"/>
          <w:color w:val="000000"/>
          <w:shd w:val="clear" w:color="auto" w:fill="FFFFFF"/>
          <w:lang w:val="en-GB"/>
        </w:rPr>
        <w:t>. This burden is likely to have the strongest impact on the Fair Work Commission as the primary Government body implementing the proposals.</w:t>
      </w:r>
      <w:r w:rsidR="00D035B8">
        <w:rPr>
          <w:rStyle w:val="normaltextrun"/>
          <w:rFonts w:ascii="Calibri" w:hAnsi="Calibri" w:cs="Calibri"/>
          <w:color w:val="000000"/>
          <w:shd w:val="clear" w:color="auto" w:fill="FFFFFF"/>
          <w:lang w:val="en-GB"/>
        </w:rPr>
        <w:t xml:space="preserve"> </w:t>
      </w:r>
    </w:p>
    <w:p w14:paraId="6DDE22F6" w14:textId="2EBBDF25" w:rsidR="00C04BEA" w:rsidRPr="0010021C" w:rsidRDefault="00C04BEA" w:rsidP="00C04BEA">
      <w:pPr>
        <w:rPr>
          <w:rStyle w:val="normaltextrun"/>
          <w:rFonts w:ascii="Calibri" w:hAnsi="Calibri" w:cs="Calibri"/>
          <w:i/>
          <w:iCs/>
          <w:color w:val="000000"/>
          <w:shd w:val="clear" w:color="auto" w:fill="FFFFFF"/>
          <w:lang w:val="en-GB"/>
        </w:rPr>
      </w:pPr>
      <w:r w:rsidRPr="0010021C">
        <w:rPr>
          <w:rStyle w:val="normaltextrun"/>
          <w:rFonts w:ascii="Calibri" w:hAnsi="Calibri" w:cs="Calibri"/>
          <w:i/>
          <w:iCs/>
          <w:color w:val="000000"/>
          <w:shd w:val="clear" w:color="auto" w:fill="FFFFFF"/>
          <w:lang w:val="en-GB"/>
        </w:rPr>
        <w:t>Fair Work Commission</w:t>
      </w:r>
    </w:p>
    <w:p w14:paraId="7DF023EF" w14:textId="5C6C029D" w:rsidR="00C04BEA" w:rsidRPr="0010021C" w:rsidRDefault="00C04BEA" w:rsidP="00C04BEA">
      <w:pPr>
        <w:rPr>
          <w:rStyle w:val="normaltextrun"/>
          <w:rFonts w:ascii="Calibri" w:hAnsi="Calibri" w:cs="Calibri"/>
          <w:color w:val="000000"/>
          <w:shd w:val="clear" w:color="auto" w:fill="FFFFFF"/>
          <w:lang w:val="en-GB"/>
        </w:rPr>
      </w:pPr>
      <w:r w:rsidRPr="0010021C">
        <w:rPr>
          <w:rStyle w:val="normaltextrun"/>
          <w:rFonts w:ascii="Calibri" w:hAnsi="Calibri" w:cs="Calibri"/>
          <w:color w:val="000000"/>
          <w:shd w:val="clear" w:color="auto" w:fill="FFFFFF"/>
          <w:lang w:val="en-GB"/>
        </w:rPr>
        <w:t xml:space="preserve">Under the proposal to introduce minimum standards for digital platform workers, the Fair Work Commission would </w:t>
      </w:r>
      <w:r w:rsidR="00E746E4">
        <w:rPr>
          <w:rStyle w:val="normaltextrun"/>
          <w:rFonts w:ascii="Calibri" w:hAnsi="Calibri" w:cs="Calibri"/>
          <w:color w:val="000000"/>
          <w:shd w:val="clear" w:color="auto" w:fill="FFFFFF"/>
          <w:lang w:val="en-GB"/>
        </w:rPr>
        <w:t xml:space="preserve">be required to </w:t>
      </w:r>
      <w:r w:rsidRPr="0010021C">
        <w:rPr>
          <w:rStyle w:val="normaltextrun"/>
          <w:rFonts w:ascii="Calibri" w:hAnsi="Calibri" w:cs="Calibri"/>
          <w:color w:val="000000"/>
          <w:shd w:val="clear" w:color="auto" w:fill="FFFFFF"/>
          <w:lang w:val="en-GB"/>
        </w:rPr>
        <w:t xml:space="preserve">consider applications for minimum standards applying to eligible cohorts of workers, determine the standards that should apply (if any) and make enforceable orders setting </w:t>
      </w:r>
      <w:r w:rsidRPr="004B4F63">
        <w:t>these</w:t>
      </w:r>
      <w:r w:rsidRPr="0010021C">
        <w:rPr>
          <w:rStyle w:val="normaltextrun"/>
          <w:rFonts w:ascii="Calibri" w:hAnsi="Calibri" w:cs="Calibri"/>
          <w:color w:val="000000"/>
          <w:shd w:val="clear" w:color="auto" w:fill="FFFFFF"/>
          <w:lang w:val="en-GB"/>
        </w:rPr>
        <w:t xml:space="preserve"> standards. </w:t>
      </w:r>
      <w:r w:rsidR="003C0703">
        <w:rPr>
          <w:rStyle w:val="normaltextrun"/>
          <w:rFonts w:ascii="Calibri" w:hAnsi="Calibri" w:cs="Calibri"/>
          <w:color w:val="000000"/>
          <w:shd w:val="clear" w:color="auto" w:fill="FFFFFF"/>
          <w:lang w:val="en-GB"/>
        </w:rPr>
        <w:t xml:space="preserve">The Fair Work Commission would be required to set </w:t>
      </w:r>
      <w:r w:rsidR="00A15B34">
        <w:rPr>
          <w:rStyle w:val="normaltextrun"/>
          <w:rFonts w:ascii="Calibri" w:hAnsi="Calibri" w:cs="Calibri"/>
          <w:color w:val="000000"/>
          <w:shd w:val="clear" w:color="auto" w:fill="FFFFFF"/>
          <w:lang w:val="en-GB"/>
        </w:rPr>
        <w:t>its priorities for standards-setting over time, including priority cohorts</w:t>
      </w:r>
      <w:r w:rsidR="00B025D8">
        <w:rPr>
          <w:rStyle w:val="normaltextrun"/>
          <w:rFonts w:ascii="Calibri" w:hAnsi="Calibri" w:cs="Calibri"/>
          <w:color w:val="000000"/>
          <w:shd w:val="clear" w:color="auto" w:fill="FFFFFF"/>
          <w:lang w:val="en-GB"/>
        </w:rPr>
        <w:t xml:space="preserve">, </w:t>
      </w:r>
      <w:r w:rsidR="003857FD">
        <w:rPr>
          <w:rStyle w:val="normaltextrun"/>
          <w:rFonts w:ascii="Calibri" w:hAnsi="Calibri" w:cs="Calibri"/>
          <w:color w:val="000000"/>
          <w:shd w:val="clear" w:color="auto" w:fill="FFFFFF"/>
          <w:lang w:val="en-GB"/>
        </w:rPr>
        <w:t xml:space="preserve">balanced by its existing caseload. </w:t>
      </w:r>
      <w:r w:rsidR="003727D9">
        <w:rPr>
          <w:rStyle w:val="normaltextrun"/>
          <w:rFonts w:ascii="Calibri" w:hAnsi="Calibri" w:cs="Calibri"/>
          <w:color w:val="000000"/>
          <w:shd w:val="clear" w:color="auto" w:fill="FFFFFF"/>
          <w:lang w:val="en-GB"/>
        </w:rPr>
        <w:t xml:space="preserve">As the primary agency implementing the proposed measures, </w:t>
      </w:r>
      <w:r w:rsidR="00A53874">
        <w:rPr>
          <w:rStyle w:val="normaltextrun"/>
          <w:rFonts w:ascii="Calibri" w:hAnsi="Calibri" w:cs="Calibri"/>
          <w:color w:val="000000"/>
          <w:shd w:val="clear" w:color="auto" w:fill="FFFFFF"/>
          <w:lang w:val="en-GB"/>
        </w:rPr>
        <w:t xml:space="preserve">the Government will provide the Fair Work Commission with resourcing to ensure it can meet its new functions. </w:t>
      </w:r>
    </w:p>
    <w:p w14:paraId="0457791A" w14:textId="77777777" w:rsidR="00C04BEA" w:rsidRPr="0010021C" w:rsidRDefault="00C04BEA" w:rsidP="00A54C6D">
      <w:pPr>
        <w:keepNext/>
        <w:rPr>
          <w:rStyle w:val="normaltextrun"/>
          <w:rFonts w:ascii="Calibri" w:hAnsi="Calibri" w:cs="Calibri"/>
          <w:i/>
          <w:iCs/>
          <w:color w:val="000000"/>
          <w:shd w:val="clear" w:color="auto" w:fill="FFFFFF"/>
          <w:lang w:val="en-GB"/>
        </w:rPr>
      </w:pPr>
      <w:r w:rsidRPr="0010021C">
        <w:rPr>
          <w:rStyle w:val="normaltextrun"/>
          <w:rFonts w:ascii="Calibri" w:hAnsi="Calibri" w:cs="Calibri"/>
          <w:i/>
          <w:iCs/>
          <w:color w:val="000000"/>
          <w:shd w:val="clear" w:color="auto" w:fill="FFFFFF"/>
          <w:lang w:val="en-GB"/>
        </w:rPr>
        <w:t>Fair Work Ombudsman</w:t>
      </w:r>
    </w:p>
    <w:p w14:paraId="5A2C5450" w14:textId="1D8D8BB4" w:rsidR="0037167B" w:rsidRDefault="00C04BEA" w:rsidP="00C04BEA">
      <w:pPr>
        <w:rPr>
          <w:rStyle w:val="normaltextrun"/>
          <w:rFonts w:ascii="Calibri" w:hAnsi="Calibri" w:cs="Calibri"/>
          <w:color w:val="000000"/>
          <w:shd w:val="clear" w:color="auto" w:fill="FFFFFF"/>
          <w:lang w:val="en-GB"/>
        </w:rPr>
      </w:pPr>
      <w:r w:rsidRPr="0010021C">
        <w:rPr>
          <w:rStyle w:val="normaltextrun"/>
          <w:rFonts w:ascii="Calibri" w:hAnsi="Calibri" w:cs="Calibri"/>
          <w:color w:val="000000"/>
          <w:shd w:val="clear" w:color="auto" w:fill="FFFFFF"/>
          <w:lang w:val="en-GB"/>
        </w:rPr>
        <w:t xml:space="preserve">The Fair Work Ombudsman would be required to educate and advise businesses and workers of their new rights and obligations under the proposal, and to enforce new minimum standards. </w:t>
      </w:r>
    </w:p>
    <w:p w14:paraId="74D62A24" w14:textId="54DF3C67" w:rsidR="00844687" w:rsidRPr="00551D1C" w:rsidRDefault="00976883" w:rsidP="00C04BEA">
      <w:pPr>
        <w:rPr>
          <w:rStyle w:val="normaltextrun"/>
          <w:rFonts w:ascii="Calibri" w:hAnsi="Calibri" w:cs="Calibri"/>
          <w:i/>
          <w:iCs/>
          <w:color w:val="000000"/>
          <w:shd w:val="clear" w:color="auto" w:fill="FFFFFF"/>
          <w:lang w:val="en-GB"/>
        </w:rPr>
      </w:pPr>
      <w:r>
        <w:rPr>
          <w:rStyle w:val="normaltextrun"/>
          <w:rFonts w:ascii="Calibri" w:hAnsi="Calibri" w:cs="Calibri"/>
          <w:i/>
          <w:iCs/>
          <w:color w:val="000000"/>
          <w:shd w:val="clear" w:color="auto" w:fill="FFFFFF"/>
          <w:lang w:val="en-GB"/>
        </w:rPr>
        <w:t>Government funding for a</w:t>
      </w:r>
      <w:r w:rsidR="00844687">
        <w:rPr>
          <w:rStyle w:val="normaltextrun"/>
          <w:rFonts w:ascii="Calibri" w:hAnsi="Calibri" w:cs="Calibri"/>
          <w:i/>
          <w:iCs/>
          <w:color w:val="000000"/>
          <w:shd w:val="clear" w:color="auto" w:fill="FFFFFF"/>
          <w:lang w:val="en-GB"/>
        </w:rPr>
        <w:t xml:space="preserve">ged care and NDIS </w:t>
      </w:r>
    </w:p>
    <w:p w14:paraId="630206EF" w14:textId="37BF50A0" w:rsidR="00BE44D9" w:rsidRDefault="00BE44D9" w:rsidP="00BE44D9">
      <w:pPr>
        <w:rPr>
          <w:rFonts w:ascii="Calibri" w:hAnsi="Calibri" w:cs="Calibri"/>
          <w:color w:val="000000"/>
          <w:shd w:val="clear" w:color="auto" w:fill="FFFFFF"/>
          <w:lang w:val="en-GB"/>
        </w:rPr>
      </w:pPr>
      <w:r w:rsidRPr="3147F644">
        <w:rPr>
          <w:rStyle w:val="normaltextrun"/>
          <w:rFonts w:ascii="Calibri" w:hAnsi="Calibri" w:cs="Calibri"/>
          <w:color w:val="000000" w:themeColor="text1"/>
          <w:lang w:val="en-GB"/>
        </w:rPr>
        <w:t>T</w:t>
      </w:r>
      <w:r>
        <w:rPr>
          <w:rStyle w:val="normaltextrun"/>
          <w:rFonts w:ascii="Calibri" w:hAnsi="Calibri" w:cs="Calibri"/>
          <w:color w:val="000000"/>
          <w:shd w:val="clear" w:color="auto" w:fill="FFFFFF"/>
          <w:lang w:val="en-GB"/>
        </w:rPr>
        <w:t xml:space="preserve">he Government has significant financial responsibility in the aged care and NDIS sectors. However, as indicated above, existing price regulation suggests that there is unlikely to be a significant increase in costs.  </w:t>
      </w:r>
    </w:p>
    <w:p w14:paraId="29B0F76C" w14:textId="57FA36B3" w:rsidR="00FA3249" w:rsidRPr="00FA3249" w:rsidRDefault="00FA3249" w:rsidP="000077CC">
      <w:pPr>
        <w:pStyle w:val="Heading4"/>
        <w:spacing w:after="200"/>
      </w:pPr>
      <w:r>
        <w:t>Summary of impacts</w:t>
      </w:r>
    </w:p>
    <w:p w14:paraId="68894B29" w14:textId="417AD9B3" w:rsidR="007C00BA" w:rsidRPr="007C00BA" w:rsidRDefault="00386CC9" w:rsidP="00F9171A">
      <w:r>
        <w:t xml:space="preserve">Compared to the status quo, </w:t>
      </w:r>
      <w:r w:rsidR="00D30DFC">
        <w:t>Option</w:t>
      </w:r>
      <w:r w:rsidR="008E2F11">
        <w:t xml:space="preserve"> 2 is estimated to deliver </w:t>
      </w:r>
      <w:r w:rsidR="00CC0D0F">
        <w:t>$</w:t>
      </w:r>
      <w:r w:rsidR="00F01AEB">
        <w:t>4.0 billion dollars in increased wages for workers</w:t>
      </w:r>
      <w:r w:rsidR="00121E20">
        <w:t xml:space="preserve"> over 10 years</w:t>
      </w:r>
      <w:r w:rsidR="00F01AEB">
        <w:t>. This amounts to $403</w:t>
      </w:r>
      <w:r w:rsidR="00CC0D0F">
        <w:t>.8 million per year.</w:t>
      </w:r>
      <w:r w:rsidR="00071C00">
        <w:t xml:space="preserve"> In addition</w:t>
      </w:r>
      <w:r w:rsidR="29549F20">
        <w:t>,</w:t>
      </w:r>
      <w:r w:rsidR="00071C00">
        <w:t xml:space="preserve"> compliance costs are set out below. </w:t>
      </w:r>
    </w:p>
    <w:p w14:paraId="30BAF61D" w14:textId="1A44D398" w:rsidR="00D32458" w:rsidRDefault="004104C1" w:rsidP="0079617D">
      <w:pPr>
        <w:pStyle w:val="Heading5"/>
      </w:pPr>
      <w:r>
        <w:t>Regulatory burden</w:t>
      </w:r>
      <w:r w:rsidR="00021D0D">
        <w:t xml:space="preserve"> estimate</w:t>
      </w:r>
      <w:r w:rsidR="0079617D">
        <w:t>s</w:t>
      </w:r>
    </w:p>
    <w:p w14:paraId="5A9DC50F" w14:textId="4BAEDDE9" w:rsidR="44CB24C7" w:rsidRDefault="4B601EA7" w:rsidP="00862C41">
      <w:r w:rsidRPr="508F0E78">
        <w:rPr>
          <w:b/>
          <w:bCs/>
        </w:rPr>
        <w:t>Table 10</w:t>
      </w:r>
      <w:r w:rsidR="1613C88E" w:rsidRPr="14670271">
        <w:rPr>
          <w:b/>
          <w:bCs/>
        </w:rPr>
        <w:t xml:space="preserve"> – </w:t>
      </w:r>
      <w:r w:rsidRPr="166584AA">
        <w:rPr>
          <w:b/>
          <w:bCs/>
        </w:rPr>
        <w:t>Average</w:t>
      </w:r>
      <w:r w:rsidRPr="508F0E78">
        <w:rPr>
          <w:b/>
          <w:bCs/>
        </w:rPr>
        <w:t xml:space="preserve"> annual regulatory costs (from business as </w:t>
      </w:r>
      <w:r w:rsidRPr="4B49A8E4">
        <w:rPr>
          <w:b/>
          <w:bCs/>
        </w:rPr>
        <w:t>usual)</w:t>
      </w:r>
    </w:p>
    <w:tbl>
      <w:tblPr>
        <w:tblStyle w:val="DESE"/>
        <w:tblW w:w="0" w:type="auto"/>
        <w:tblLook w:val="04A0" w:firstRow="1" w:lastRow="0" w:firstColumn="1" w:lastColumn="0" w:noHBand="0" w:noVBand="1"/>
      </w:tblPr>
      <w:tblGrid>
        <w:gridCol w:w="850"/>
        <w:gridCol w:w="1368"/>
        <w:gridCol w:w="1498"/>
        <w:gridCol w:w="2923"/>
        <w:gridCol w:w="2421"/>
      </w:tblGrid>
      <w:tr w:rsidR="00CA0159" w14:paraId="5511CD4B" w14:textId="77777777" w:rsidTr="7D2A69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36" w:type="dxa"/>
            <w:tcBorders>
              <w:top w:val="single" w:sz="4" w:space="0" w:color="002D3F" w:themeColor="accent1"/>
            </w:tcBorders>
          </w:tcPr>
          <w:p w14:paraId="59053A84" w14:textId="77777777" w:rsidR="00CA0159" w:rsidRPr="00B100CC" w:rsidRDefault="00CA0159">
            <w:pPr>
              <w:spacing w:after="100"/>
            </w:pPr>
          </w:p>
        </w:tc>
        <w:tc>
          <w:tcPr>
            <w:tcW w:w="8224" w:type="dxa"/>
            <w:gridSpan w:val="4"/>
            <w:tcBorders>
              <w:top w:val="single" w:sz="4" w:space="0" w:color="002D3F" w:themeColor="accent1"/>
            </w:tcBorders>
          </w:tcPr>
          <w:p w14:paraId="38A2B54B" w14:textId="77777777" w:rsidR="00CA0159" w:rsidRPr="00A646CA" w:rsidRDefault="00CA0159">
            <w:pPr>
              <w:spacing w:after="100"/>
              <w:jc w:val="center"/>
              <w:cnfStyle w:val="100000000000" w:firstRow="1" w:lastRow="0" w:firstColumn="0" w:lastColumn="0" w:oddVBand="0" w:evenVBand="0" w:oddHBand="0" w:evenHBand="0" w:firstRowFirstColumn="0" w:firstRowLastColumn="0" w:lastRowFirstColumn="0" w:lastRowLastColumn="0"/>
            </w:pPr>
            <w:r w:rsidRPr="00A54C6D">
              <w:rPr>
                <w:b/>
              </w:rPr>
              <w:t>Average annual regulatory costs (from business as usual)</w:t>
            </w:r>
          </w:p>
        </w:tc>
      </w:tr>
      <w:tr w:rsidR="00CA0159" w:rsidRPr="00F45587" w14:paraId="09E4EC28" w14:textId="77777777" w:rsidTr="7D2A69C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36" w:type="dxa"/>
            <w:tcBorders>
              <w:top w:val="single" w:sz="4" w:space="0" w:color="002D3F" w:themeColor="accent1"/>
            </w:tcBorders>
          </w:tcPr>
          <w:p w14:paraId="26FDA84A" w14:textId="77777777" w:rsidR="00CA0159" w:rsidRPr="00F45587" w:rsidRDefault="00CA0159">
            <w:pPr>
              <w:spacing w:after="100"/>
            </w:pPr>
            <w:r w:rsidRPr="00F45587">
              <w:t>Option</w:t>
            </w:r>
          </w:p>
        </w:tc>
        <w:tc>
          <w:tcPr>
            <w:tcW w:w="1344" w:type="dxa"/>
            <w:tcBorders>
              <w:top w:val="single" w:sz="4" w:space="0" w:color="002D3F" w:themeColor="accent1"/>
            </w:tcBorders>
            <w:vAlign w:val="top"/>
          </w:tcPr>
          <w:p w14:paraId="6C2DE3E4" w14:textId="77777777" w:rsidR="00CA0159" w:rsidRPr="00F45587" w:rsidRDefault="00CA0159">
            <w:pPr>
              <w:spacing w:after="100"/>
              <w:cnfStyle w:val="100000000000" w:firstRow="1" w:lastRow="0" w:firstColumn="0" w:lastColumn="0" w:oddVBand="0" w:evenVBand="0" w:oddHBand="0" w:evenHBand="0" w:firstRowFirstColumn="0" w:firstRowLastColumn="0" w:lastRowFirstColumn="0" w:lastRowLastColumn="0"/>
            </w:pPr>
            <w:r w:rsidRPr="00F45587">
              <w:t>Independent contractors</w:t>
            </w:r>
          </w:p>
        </w:tc>
        <w:tc>
          <w:tcPr>
            <w:tcW w:w="1501" w:type="dxa"/>
            <w:vAlign w:val="top"/>
          </w:tcPr>
          <w:p w14:paraId="378C86D5" w14:textId="77777777" w:rsidR="00CA0159" w:rsidRPr="00F45587" w:rsidRDefault="00CA0159">
            <w:pPr>
              <w:spacing w:after="100"/>
              <w:cnfStyle w:val="100000000000" w:firstRow="1" w:lastRow="0" w:firstColumn="0" w:lastColumn="0" w:oddVBand="0" w:evenVBand="0" w:oddHBand="0" w:evenHBand="0" w:firstRowFirstColumn="0" w:firstRowLastColumn="0" w:lastRowFirstColumn="0" w:lastRowLastColumn="0"/>
            </w:pPr>
            <w:r w:rsidRPr="00F45587">
              <w:t>Business</w:t>
            </w:r>
          </w:p>
        </w:tc>
        <w:tc>
          <w:tcPr>
            <w:tcW w:w="2942" w:type="dxa"/>
            <w:vAlign w:val="top"/>
          </w:tcPr>
          <w:p w14:paraId="251D6D86" w14:textId="77777777" w:rsidR="00CA0159" w:rsidRPr="00F45587" w:rsidRDefault="00CA0159">
            <w:pPr>
              <w:spacing w:after="100"/>
              <w:cnfStyle w:val="100000000000" w:firstRow="1" w:lastRow="0" w:firstColumn="0" w:lastColumn="0" w:oddVBand="0" w:evenVBand="0" w:oddHBand="0" w:evenHBand="0" w:firstRowFirstColumn="0" w:firstRowLastColumn="0" w:lastRowFirstColumn="0" w:lastRowLastColumn="0"/>
            </w:pPr>
            <w:r w:rsidRPr="00F45587">
              <w:t>Community organisations</w:t>
            </w:r>
          </w:p>
        </w:tc>
        <w:tc>
          <w:tcPr>
            <w:tcW w:w="2437" w:type="dxa"/>
            <w:vAlign w:val="top"/>
          </w:tcPr>
          <w:p w14:paraId="74FF86D7" w14:textId="77777777" w:rsidR="00CA0159" w:rsidRPr="00F45587" w:rsidRDefault="00CA0159">
            <w:pPr>
              <w:spacing w:after="100"/>
              <w:cnfStyle w:val="100000000000" w:firstRow="1" w:lastRow="0" w:firstColumn="0" w:lastColumn="0" w:oddVBand="0" w:evenVBand="0" w:oddHBand="0" w:evenHBand="0" w:firstRowFirstColumn="0" w:firstRowLastColumn="0" w:lastRowFirstColumn="0" w:lastRowLastColumn="0"/>
            </w:pPr>
            <w:r w:rsidRPr="00F45587">
              <w:t>Total change in costs</w:t>
            </w:r>
          </w:p>
        </w:tc>
      </w:tr>
      <w:tr w:rsidR="00CA0159" w:rsidRPr="00F45587" w14:paraId="021184EB" w14:textId="77777777" w:rsidTr="00B072C3">
        <w:tc>
          <w:tcPr>
            <w:cnfStyle w:val="001000000000" w:firstRow="0" w:lastRow="0" w:firstColumn="1" w:lastColumn="0" w:oddVBand="0" w:evenVBand="0" w:oddHBand="0" w:evenHBand="0" w:firstRowFirstColumn="0" w:firstRowLastColumn="0" w:lastRowFirstColumn="0" w:lastRowLastColumn="0"/>
            <w:tcW w:w="836" w:type="dxa"/>
            <w:vAlign w:val="top"/>
          </w:tcPr>
          <w:p w14:paraId="2E446C5C" w14:textId="77777777" w:rsidR="00CA0159" w:rsidRPr="00F45587" w:rsidRDefault="00CA0159">
            <w:pPr>
              <w:spacing w:after="100"/>
              <w:rPr>
                <w:b/>
              </w:rPr>
            </w:pPr>
            <w:r w:rsidRPr="00F45587">
              <w:rPr>
                <w:b/>
              </w:rPr>
              <w:t>Option 2</w:t>
            </w:r>
          </w:p>
        </w:tc>
        <w:tc>
          <w:tcPr>
            <w:tcW w:w="1344" w:type="dxa"/>
            <w:vAlign w:val="top"/>
          </w:tcPr>
          <w:p w14:paraId="11FDD73F" w14:textId="77777777" w:rsidR="00CA0159" w:rsidRPr="00F45587" w:rsidRDefault="00CA0159">
            <w:pPr>
              <w:spacing w:after="100"/>
              <w:cnfStyle w:val="000000000000" w:firstRow="0" w:lastRow="0" w:firstColumn="0" w:lastColumn="0" w:oddVBand="0" w:evenVBand="0" w:oddHBand="0" w:evenHBand="0" w:firstRowFirstColumn="0" w:firstRowLastColumn="0" w:lastRowFirstColumn="0" w:lastRowLastColumn="0"/>
            </w:pPr>
            <w:r w:rsidRPr="00F45587">
              <w:t>Nil</w:t>
            </w:r>
          </w:p>
        </w:tc>
        <w:tc>
          <w:tcPr>
            <w:tcW w:w="1501" w:type="dxa"/>
            <w:vAlign w:val="top"/>
          </w:tcPr>
          <w:p w14:paraId="52374CD9" w14:textId="0CFE8051" w:rsidR="00CA0159" w:rsidRPr="00A54C6D" w:rsidRDefault="00FE1C03" w:rsidP="00A54C6D">
            <w:pPr>
              <w:cnfStyle w:val="000000000000" w:firstRow="0" w:lastRow="0" w:firstColumn="0" w:lastColumn="0" w:oddVBand="0" w:evenVBand="0" w:oddHBand="0" w:evenHBand="0" w:firstRowFirstColumn="0" w:firstRowLastColumn="0" w:lastRowFirstColumn="0" w:lastRowLastColumn="0"/>
            </w:pPr>
            <w:r w:rsidRPr="00936ECE">
              <w:t>$</w:t>
            </w:r>
            <w:r w:rsidR="2CD682C5" w:rsidRPr="00936ECE">
              <w:t>9,845.12</w:t>
            </w:r>
            <w:r w:rsidR="004C31A2" w:rsidRPr="00936ECE">
              <w:t xml:space="preserve"> </w:t>
            </w:r>
            <w:r w:rsidRPr="00936ECE">
              <w:t>per business</w:t>
            </w:r>
            <w:r w:rsidR="00127DEE" w:rsidRPr="00A54C6D">
              <w:t xml:space="preserve"> in compliance costs</w:t>
            </w:r>
            <w:r w:rsidR="00B15607" w:rsidRPr="00A54C6D">
              <w:rPr>
                <w:rStyle w:val="FootnoteReference"/>
              </w:rPr>
              <w:footnoteReference w:id="136"/>
            </w:r>
            <w:r w:rsidR="00127DEE" w:rsidRPr="00A54C6D">
              <w:t xml:space="preserve"> </w:t>
            </w:r>
          </w:p>
        </w:tc>
        <w:tc>
          <w:tcPr>
            <w:tcW w:w="2942" w:type="dxa"/>
            <w:vAlign w:val="top"/>
          </w:tcPr>
          <w:p w14:paraId="2E8C0D2E" w14:textId="77777777" w:rsidR="00CA0159" w:rsidRPr="00936ECE" w:rsidRDefault="00CA0159">
            <w:pPr>
              <w:spacing w:after="100"/>
              <w:cnfStyle w:val="000000000000" w:firstRow="0" w:lastRow="0" w:firstColumn="0" w:lastColumn="0" w:oddVBand="0" w:evenVBand="0" w:oddHBand="0" w:evenHBand="0" w:firstRowFirstColumn="0" w:firstRowLastColumn="0" w:lastRowFirstColumn="0" w:lastRowLastColumn="0"/>
            </w:pPr>
            <w:r w:rsidRPr="00936ECE">
              <w:t xml:space="preserve">Nil </w:t>
            </w:r>
          </w:p>
        </w:tc>
        <w:tc>
          <w:tcPr>
            <w:tcW w:w="2437" w:type="dxa"/>
            <w:vAlign w:val="top"/>
          </w:tcPr>
          <w:p w14:paraId="4DE26A36" w14:textId="3E736940" w:rsidR="00CA0159" w:rsidRPr="00936ECE" w:rsidRDefault="29E21520">
            <w:pPr>
              <w:spacing w:after="100"/>
              <w:cnfStyle w:val="000000000000" w:firstRow="0" w:lastRow="0" w:firstColumn="0" w:lastColumn="0" w:oddVBand="0" w:evenVBand="0" w:oddHBand="0" w:evenHBand="0" w:firstRowFirstColumn="0" w:firstRowLastColumn="0" w:lastRowFirstColumn="0" w:lastRowLastColumn="0"/>
            </w:pPr>
            <w:r w:rsidRPr="00936ECE">
              <w:t xml:space="preserve">$9,845.12 </w:t>
            </w:r>
            <w:r w:rsidR="00C60C72" w:rsidRPr="00936ECE">
              <w:t>per business</w:t>
            </w:r>
            <w:r w:rsidR="00FE1C03" w:rsidRPr="00936ECE" w:rsidDel="00E073D4">
              <w:t xml:space="preserve"> </w:t>
            </w:r>
          </w:p>
        </w:tc>
      </w:tr>
    </w:tbl>
    <w:p w14:paraId="5BCB57C0" w14:textId="77777777" w:rsidR="00DA6F33" w:rsidRPr="00F45587" w:rsidRDefault="00DA6F33" w:rsidP="00662DDC"/>
    <w:p w14:paraId="3EDE85BB" w14:textId="24B1C496" w:rsidR="598E558F" w:rsidRDefault="598E558F" w:rsidP="00A54C6D">
      <w:pPr>
        <w:keepNext/>
        <w:rPr>
          <w:b/>
          <w:bCs/>
        </w:rPr>
      </w:pPr>
      <w:r w:rsidRPr="4B49A8E4">
        <w:rPr>
          <w:b/>
          <w:bCs/>
        </w:rPr>
        <w:t>Table 11</w:t>
      </w:r>
      <w:r w:rsidR="4C644537" w:rsidRPr="14670271">
        <w:rPr>
          <w:b/>
          <w:bCs/>
        </w:rPr>
        <w:t xml:space="preserve"> –</w:t>
      </w:r>
      <w:r w:rsidRPr="4B49A8E4">
        <w:rPr>
          <w:b/>
          <w:bCs/>
        </w:rPr>
        <w:t xml:space="preserve"> Total regulatory costs over 10 years (from business as usual</w:t>
      </w:r>
      <w:r w:rsidRPr="1DCF798D">
        <w:rPr>
          <w:b/>
          <w:bCs/>
        </w:rPr>
        <w:t>)</w:t>
      </w:r>
    </w:p>
    <w:tbl>
      <w:tblPr>
        <w:tblStyle w:val="DESE"/>
        <w:tblW w:w="0" w:type="auto"/>
        <w:tblLook w:val="04A0" w:firstRow="1" w:lastRow="0" w:firstColumn="1" w:lastColumn="0" w:noHBand="0" w:noVBand="1"/>
      </w:tblPr>
      <w:tblGrid>
        <w:gridCol w:w="850"/>
        <w:gridCol w:w="1594"/>
        <w:gridCol w:w="2794"/>
        <w:gridCol w:w="1417"/>
        <w:gridCol w:w="2405"/>
      </w:tblGrid>
      <w:tr w:rsidR="00F45587" w:rsidRPr="00F45587" w14:paraId="5950CCA3" w14:textId="77777777" w:rsidTr="4F927F8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00" w:type="dxa"/>
            <w:tcBorders>
              <w:top w:val="single" w:sz="4" w:space="0" w:color="002D3F" w:themeColor="accent1"/>
            </w:tcBorders>
          </w:tcPr>
          <w:p w14:paraId="616AFCB3" w14:textId="77777777" w:rsidR="00F45587" w:rsidRPr="00F45587" w:rsidRDefault="00F45587">
            <w:pPr>
              <w:spacing w:after="100"/>
            </w:pPr>
          </w:p>
        </w:tc>
        <w:tc>
          <w:tcPr>
            <w:tcW w:w="8260" w:type="dxa"/>
            <w:gridSpan w:val="4"/>
            <w:tcBorders>
              <w:top w:val="single" w:sz="4" w:space="0" w:color="002D3F" w:themeColor="accent1"/>
            </w:tcBorders>
          </w:tcPr>
          <w:p w14:paraId="606D39D7" w14:textId="77777777" w:rsidR="00F45587" w:rsidRPr="00F45587" w:rsidRDefault="00F45587">
            <w:pPr>
              <w:spacing w:after="100"/>
              <w:jc w:val="center"/>
              <w:cnfStyle w:val="100000000000" w:firstRow="1" w:lastRow="0" w:firstColumn="0" w:lastColumn="0" w:oddVBand="0" w:evenVBand="0" w:oddHBand="0" w:evenHBand="0" w:firstRowFirstColumn="0" w:firstRowLastColumn="0" w:lastRowFirstColumn="0" w:lastRowLastColumn="0"/>
            </w:pPr>
            <w:r w:rsidRPr="00A54C6D">
              <w:rPr>
                <w:b/>
              </w:rPr>
              <w:t>Total regulatory costs over 10 years (from business as usual)</w:t>
            </w:r>
          </w:p>
        </w:tc>
      </w:tr>
      <w:tr w:rsidR="00F45587" w:rsidRPr="00F45587" w14:paraId="4441017D" w14:textId="77777777" w:rsidTr="4F927F8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00" w:type="dxa"/>
            <w:tcBorders>
              <w:top w:val="single" w:sz="4" w:space="0" w:color="002D3F" w:themeColor="accent1"/>
            </w:tcBorders>
          </w:tcPr>
          <w:p w14:paraId="0BC779C3" w14:textId="77777777" w:rsidR="00F45587" w:rsidRPr="00F45587" w:rsidRDefault="00F45587">
            <w:pPr>
              <w:spacing w:after="100"/>
            </w:pPr>
            <w:r w:rsidRPr="00F45587">
              <w:t>Option</w:t>
            </w:r>
          </w:p>
        </w:tc>
        <w:tc>
          <w:tcPr>
            <w:tcW w:w="1605" w:type="dxa"/>
            <w:tcBorders>
              <w:top w:val="single" w:sz="4" w:space="0" w:color="002D3F" w:themeColor="accent1"/>
            </w:tcBorders>
            <w:vAlign w:val="top"/>
          </w:tcPr>
          <w:p w14:paraId="7E96DA92" w14:textId="77777777" w:rsidR="00F45587" w:rsidRPr="00F45587" w:rsidRDefault="00F45587">
            <w:pPr>
              <w:spacing w:after="100"/>
              <w:cnfStyle w:val="100000000000" w:firstRow="1" w:lastRow="0" w:firstColumn="0" w:lastColumn="0" w:oddVBand="0" w:evenVBand="0" w:oddHBand="0" w:evenHBand="0" w:firstRowFirstColumn="0" w:firstRowLastColumn="0" w:lastRowFirstColumn="0" w:lastRowLastColumn="0"/>
            </w:pPr>
            <w:r w:rsidRPr="00F45587">
              <w:t>Independent contractors</w:t>
            </w:r>
          </w:p>
        </w:tc>
        <w:tc>
          <w:tcPr>
            <w:tcW w:w="2869" w:type="dxa"/>
            <w:vAlign w:val="top"/>
          </w:tcPr>
          <w:p w14:paraId="7C4BFDBC" w14:textId="77777777" w:rsidR="00F45587" w:rsidRPr="00F45587" w:rsidRDefault="00F45587">
            <w:pPr>
              <w:spacing w:after="100"/>
              <w:cnfStyle w:val="100000000000" w:firstRow="1" w:lastRow="0" w:firstColumn="0" w:lastColumn="0" w:oddVBand="0" w:evenVBand="0" w:oddHBand="0" w:evenHBand="0" w:firstRowFirstColumn="0" w:firstRowLastColumn="0" w:lastRowFirstColumn="0" w:lastRowLastColumn="0"/>
            </w:pPr>
            <w:r w:rsidRPr="00F45587">
              <w:t>Business</w:t>
            </w:r>
          </w:p>
        </w:tc>
        <w:tc>
          <w:tcPr>
            <w:tcW w:w="1324" w:type="dxa"/>
            <w:vAlign w:val="top"/>
          </w:tcPr>
          <w:p w14:paraId="0A520851" w14:textId="77777777" w:rsidR="00F45587" w:rsidRPr="00F45587" w:rsidRDefault="00F45587">
            <w:pPr>
              <w:spacing w:after="100"/>
              <w:cnfStyle w:val="100000000000" w:firstRow="1" w:lastRow="0" w:firstColumn="0" w:lastColumn="0" w:oddVBand="0" w:evenVBand="0" w:oddHBand="0" w:evenHBand="0" w:firstRowFirstColumn="0" w:firstRowLastColumn="0" w:lastRowFirstColumn="0" w:lastRowLastColumn="0"/>
            </w:pPr>
            <w:r w:rsidRPr="00F45587">
              <w:t>Community organisations</w:t>
            </w:r>
          </w:p>
        </w:tc>
        <w:tc>
          <w:tcPr>
            <w:tcW w:w="2462" w:type="dxa"/>
            <w:vAlign w:val="top"/>
          </w:tcPr>
          <w:p w14:paraId="0815B803" w14:textId="77777777" w:rsidR="00F45587" w:rsidRPr="00F45587" w:rsidRDefault="00F45587">
            <w:pPr>
              <w:spacing w:after="100"/>
              <w:cnfStyle w:val="100000000000" w:firstRow="1" w:lastRow="0" w:firstColumn="0" w:lastColumn="0" w:oddVBand="0" w:evenVBand="0" w:oddHBand="0" w:evenHBand="0" w:firstRowFirstColumn="0" w:firstRowLastColumn="0" w:lastRowFirstColumn="0" w:lastRowLastColumn="0"/>
            </w:pPr>
            <w:r w:rsidRPr="00F45587">
              <w:t>Total change in costs</w:t>
            </w:r>
          </w:p>
        </w:tc>
      </w:tr>
      <w:tr w:rsidR="00F45587" w14:paraId="20C66453" w14:textId="77777777" w:rsidTr="00F9171A">
        <w:trPr>
          <w:trHeight w:val="208"/>
        </w:trPr>
        <w:tc>
          <w:tcPr>
            <w:cnfStyle w:val="001000000000" w:firstRow="0" w:lastRow="0" w:firstColumn="1" w:lastColumn="0" w:oddVBand="0" w:evenVBand="0" w:oddHBand="0" w:evenHBand="0" w:firstRowFirstColumn="0" w:firstRowLastColumn="0" w:lastRowFirstColumn="0" w:lastRowLastColumn="0"/>
            <w:tcW w:w="800" w:type="dxa"/>
            <w:vAlign w:val="top"/>
          </w:tcPr>
          <w:p w14:paraId="0CE2ED4F" w14:textId="77777777" w:rsidR="00F45587" w:rsidRPr="002E0C98" w:rsidRDefault="00F45587">
            <w:pPr>
              <w:spacing w:after="100"/>
              <w:rPr>
                <w:b/>
              </w:rPr>
            </w:pPr>
            <w:r w:rsidRPr="002E0C98">
              <w:rPr>
                <w:b/>
              </w:rPr>
              <w:t>Option 2</w:t>
            </w:r>
          </w:p>
        </w:tc>
        <w:tc>
          <w:tcPr>
            <w:tcW w:w="1605" w:type="dxa"/>
            <w:vAlign w:val="top"/>
          </w:tcPr>
          <w:p w14:paraId="78B69B74" w14:textId="77777777" w:rsidR="00F45587" w:rsidRPr="002E0C98" w:rsidRDefault="00F45587">
            <w:pPr>
              <w:spacing w:after="100"/>
              <w:cnfStyle w:val="000000000000" w:firstRow="0" w:lastRow="0" w:firstColumn="0" w:lastColumn="0" w:oddVBand="0" w:evenVBand="0" w:oddHBand="0" w:evenHBand="0" w:firstRowFirstColumn="0" w:firstRowLastColumn="0" w:lastRowFirstColumn="0" w:lastRowLastColumn="0"/>
            </w:pPr>
            <w:r w:rsidRPr="002E0C98">
              <w:t>Nil</w:t>
            </w:r>
          </w:p>
        </w:tc>
        <w:tc>
          <w:tcPr>
            <w:tcW w:w="2869" w:type="dxa"/>
            <w:vAlign w:val="top"/>
          </w:tcPr>
          <w:p w14:paraId="1076B458" w14:textId="59FD6F17" w:rsidR="00F45587" w:rsidRPr="00A54C6D" w:rsidRDefault="00FE1C03" w:rsidP="00A54C6D">
            <w:pPr>
              <w:cnfStyle w:val="000000000000" w:firstRow="0" w:lastRow="0" w:firstColumn="0" w:lastColumn="0" w:oddVBand="0" w:evenVBand="0" w:oddHBand="0" w:evenHBand="0" w:firstRowFirstColumn="0" w:firstRowLastColumn="0" w:lastRowFirstColumn="0" w:lastRowLastColumn="0"/>
            </w:pPr>
            <w:r w:rsidRPr="00936ECE">
              <w:t>$</w:t>
            </w:r>
            <w:r w:rsidR="4FDA33F2" w:rsidRPr="00936ECE">
              <w:t>98,451.20</w:t>
            </w:r>
            <w:r w:rsidRPr="00936ECE">
              <w:t xml:space="preserve"> per business</w:t>
            </w:r>
          </w:p>
        </w:tc>
        <w:tc>
          <w:tcPr>
            <w:tcW w:w="1324" w:type="dxa"/>
            <w:vAlign w:val="top"/>
          </w:tcPr>
          <w:p w14:paraId="34F1498B" w14:textId="77777777" w:rsidR="00F45587" w:rsidRPr="00936ECE" w:rsidRDefault="00F45587">
            <w:pPr>
              <w:spacing w:after="100"/>
              <w:cnfStyle w:val="000000000000" w:firstRow="0" w:lastRow="0" w:firstColumn="0" w:lastColumn="0" w:oddVBand="0" w:evenVBand="0" w:oddHBand="0" w:evenHBand="0" w:firstRowFirstColumn="0" w:firstRowLastColumn="0" w:lastRowFirstColumn="0" w:lastRowLastColumn="0"/>
            </w:pPr>
            <w:r w:rsidRPr="00936ECE">
              <w:t xml:space="preserve">Nil </w:t>
            </w:r>
          </w:p>
        </w:tc>
        <w:tc>
          <w:tcPr>
            <w:tcW w:w="2462" w:type="dxa"/>
            <w:vAlign w:val="top"/>
          </w:tcPr>
          <w:p w14:paraId="279F2E77" w14:textId="6E4B5D70" w:rsidR="00F45587" w:rsidRPr="00936ECE" w:rsidRDefault="1A4E9664" w:rsidP="00A54C6D">
            <w:pPr>
              <w:cnfStyle w:val="000000000000" w:firstRow="0" w:lastRow="0" w:firstColumn="0" w:lastColumn="0" w:oddVBand="0" w:evenVBand="0" w:oddHBand="0" w:evenHBand="0" w:firstRowFirstColumn="0" w:firstRowLastColumn="0" w:lastRowFirstColumn="0" w:lastRowLastColumn="0"/>
            </w:pPr>
            <w:r w:rsidRPr="00936ECE">
              <w:t>$98,451.20 per</w:t>
            </w:r>
            <w:r w:rsidR="0D17435A" w:rsidRPr="00936ECE">
              <w:t xml:space="preserve"> business </w:t>
            </w:r>
          </w:p>
        </w:tc>
      </w:tr>
    </w:tbl>
    <w:p w14:paraId="27978868" w14:textId="77C68E9C" w:rsidR="00DA6F33" w:rsidRDefault="00DA6F33" w:rsidP="00662DDC">
      <w:pPr>
        <w:sectPr w:rsidR="00DA6F33" w:rsidSect="00A36CC2">
          <w:pgSz w:w="11906" w:h="16838"/>
          <w:pgMar w:top="1418" w:right="1418" w:bottom="1418" w:left="1418" w:header="0" w:footer="454" w:gutter="0"/>
          <w:cols w:space="708"/>
          <w:docGrid w:linePitch="360"/>
        </w:sectPr>
      </w:pPr>
    </w:p>
    <w:p w14:paraId="3077B362" w14:textId="662C923C" w:rsidR="005608E3" w:rsidRDefault="01079CB6" w:rsidP="0079617D">
      <w:pPr>
        <w:pStyle w:val="Heading5"/>
      </w:pPr>
      <w:r>
        <w:t xml:space="preserve">Table 12 </w:t>
      </w:r>
      <w:r w:rsidR="4312E67D">
        <w:t xml:space="preserve">– </w:t>
      </w:r>
      <w:r w:rsidR="00F04E1D">
        <w:t>Consistency with guiding princip</w:t>
      </w:r>
      <w:r w:rsidR="00FB51A6">
        <w:t>les</w:t>
      </w:r>
      <w:r w:rsidR="00150FD5">
        <w:t xml:space="preserve"> – Option 2</w:t>
      </w:r>
    </w:p>
    <w:tbl>
      <w:tblPr>
        <w:tblStyle w:val="TableGrid"/>
        <w:tblW w:w="15021" w:type="dxa"/>
        <w:tblLook w:val="04A0" w:firstRow="1" w:lastRow="0" w:firstColumn="1" w:lastColumn="0" w:noHBand="0" w:noVBand="1"/>
      </w:tblPr>
      <w:tblGrid>
        <w:gridCol w:w="7083"/>
        <w:gridCol w:w="992"/>
        <w:gridCol w:w="6946"/>
      </w:tblGrid>
      <w:tr w:rsidR="004104C1" w14:paraId="3332DC87" w14:textId="77777777" w:rsidTr="008B793A">
        <w:trPr>
          <w:trHeight w:val="410"/>
        </w:trPr>
        <w:tc>
          <w:tcPr>
            <w:tcW w:w="7083" w:type="dxa"/>
            <w:shd w:val="clear" w:color="auto" w:fill="404040" w:themeFill="text1" w:themeFillTint="BF"/>
          </w:tcPr>
          <w:p w14:paraId="223B4B81" w14:textId="200EB3A6" w:rsidR="004104C1" w:rsidRPr="00A54C6D" w:rsidRDefault="004104C1"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Guiding Princip</w:t>
            </w:r>
            <w:r w:rsidR="00FB51A6" w:rsidRPr="00A54C6D">
              <w:rPr>
                <w:rFonts w:ascii="Calibri" w:hAnsi="Calibri"/>
                <w:b/>
                <w:color w:val="FFFFFF" w:themeColor="background1"/>
              </w:rPr>
              <w:t>le</w:t>
            </w:r>
          </w:p>
        </w:tc>
        <w:tc>
          <w:tcPr>
            <w:tcW w:w="992" w:type="dxa"/>
            <w:shd w:val="clear" w:color="auto" w:fill="404040" w:themeFill="text1" w:themeFillTint="BF"/>
          </w:tcPr>
          <w:p w14:paraId="57CC68AE" w14:textId="77777777" w:rsidR="004104C1" w:rsidRPr="00A54C6D" w:rsidRDefault="004104C1"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Rating</w:t>
            </w:r>
          </w:p>
        </w:tc>
        <w:tc>
          <w:tcPr>
            <w:tcW w:w="6946" w:type="dxa"/>
            <w:shd w:val="clear" w:color="auto" w:fill="404040" w:themeFill="text1" w:themeFillTint="BF"/>
          </w:tcPr>
          <w:p w14:paraId="57D8CCBA" w14:textId="07A47790" w:rsidR="004104C1" w:rsidRPr="00A54C6D" w:rsidRDefault="00777CBF"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Explanation</w:t>
            </w:r>
          </w:p>
        </w:tc>
      </w:tr>
      <w:tr w:rsidR="004104C1" w14:paraId="1001B47A" w14:textId="77777777" w:rsidTr="008B793A">
        <w:trPr>
          <w:trHeight w:val="871"/>
        </w:trPr>
        <w:tc>
          <w:tcPr>
            <w:tcW w:w="7083" w:type="dxa"/>
            <w:shd w:val="clear" w:color="auto" w:fill="D9D9D9" w:themeFill="background1" w:themeFillShade="D9"/>
          </w:tcPr>
          <w:p w14:paraId="41430288" w14:textId="77777777" w:rsidR="004104C1" w:rsidRDefault="004104C1" w:rsidP="00F04E1D">
            <w:r>
              <w:t>Australia’s workplace relations system must reflect modern working arrangements and be capable of evolving with emerging forms of work and business practices.</w:t>
            </w:r>
          </w:p>
        </w:tc>
        <w:tc>
          <w:tcPr>
            <w:tcW w:w="992" w:type="dxa"/>
            <w:shd w:val="clear" w:color="auto" w:fill="92D050"/>
          </w:tcPr>
          <w:p w14:paraId="42C4ECEE" w14:textId="7FCBE6AD" w:rsidR="004104C1" w:rsidRDefault="00492557" w:rsidP="00F04E1D">
            <w:r>
              <w:t>Good</w:t>
            </w:r>
          </w:p>
        </w:tc>
        <w:tc>
          <w:tcPr>
            <w:tcW w:w="6946" w:type="dxa"/>
            <w:shd w:val="clear" w:color="auto" w:fill="auto"/>
          </w:tcPr>
          <w:p w14:paraId="17C231EB" w14:textId="4FB9A98E" w:rsidR="004104C1" w:rsidRDefault="00DE72BA" w:rsidP="00F04E1D">
            <w:r>
              <w:t xml:space="preserve">This option would ensure that Australia’s workplace relations system can </w:t>
            </w:r>
            <w:r w:rsidR="00275DA1">
              <w:t xml:space="preserve">provide minimum standards </w:t>
            </w:r>
            <w:r w:rsidR="00EA1027">
              <w:t xml:space="preserve">to digital platform workers, responding to the emergence of new forms of work in the </w:t>
            </w:r>
            <w:r w:rsidR="00605206">
              <w:t xml:space="preserve">digital platform </w:t>
            </w:r>
            <w:r w:rsidR="00EA1027">
              <w:t xml:space="preserve">economy. </w:t>
            </w:r>
            <w:r>
              <w:t xml:space="preserve"> </w:t>
            </w:r>
          </w:p>
        </w:tc>
      </w:tr>
      <w:tr w:rsidR="004104C1" w14:paraId="780DDA40" w14:textId="77777777" w:rsidTr="00F9171A">
        <w:trPr>
          <w:trHeight w:val="410"/>
        </w:trPr>
        <w:tc>
          <w:tcPr>
            <w:tcW w:w="7083" w:type="dxa"/>
            <w:shd w:val="clear" w:color="auto" w:fill="D9D9D9" w:themeFill="background1" w:themeFillShade="D9"/>
          </w:tcPr>
          <w:p w14:paraId="2C757753" w14:textId="77777777" w:rsidR="004104C1" w:rsidRDefault="004104C1" w:rsidP="00F04E1D">
            <w:r>
              <w:t>All workers should have access to minimum rights and protections regardless of whether they are characterised as an employee or an independent contractor, including access to freedom of association and dispute resolution.</w:t>
            </w:r>
          </w:p>
        </w:tc>
        <w:tc>
          <w:tcPr>
            <w:tcW w:w="992" w:type="dxa"/>
            <w:shd w:val="clear" w:color="auto" w:fill="F3CB6F" w:themeFill="accent5" w:themeFillTint="99"/>
          </w:tcPr>
          <w:p w14:paraId="316F7E2D" w14:textId="409FB885" w:rsidR="004104C1" w:rsidRDefault="003F405C" w:rsidP="00F04E1D">
            <w:r>
              <w:t>Fair</w:t>
            </w:r>
          </w:p>
        </w:tc>
        <w:tc>
          <w:tcPr>
            <w:tcW w:w="6946" w:type="dxa"/>
            <w:shd w:val="clear" w:color="auto" w:fill="auto"/>
          </w:tcPr>
          <w:p w14:paraId="2EDAA0E6" w14:textId="6A9DAD94" w:rsidR="004104C1" w:rsidRDefault="00747516" w:rsidP="00747516">
            <w:r>
              <w:t xml:space="preserve">This option </w:t>
            </w:r>
            <w:r w:rsidR="006B4F85">
              <w:t xml:space="preserve">expands access to </w:t>
            </w:r>
            <w:r w:rsidR="00880D06">
              <w:t xml:space="preserve">minimum standards </w:t>
            </w:r>
            <w:r w:rsidR="007B7E8E">
              <w:t>and dispute resolution</w:t>
            </w:r>
            <w:r w:rsidR="00645231">
              <w:t>, including around deactivation,</w:t>
            </w:r>
            <w:r w:rsidR="007B7E8E">
              <w:t xml:space="preserve"> </w:t>
            </w:r>
            <w:r w:rsidR="006B4F85">
              <w:t xml:space="preserve">for </w:t>
            </w:r>
            <w:r w:rsidR="00880D06">
              <w:t>digital platform worker</w:t>
            </w:r>
            <w:r w:rsidR="00CF5A9E">
              <w:t>s</w:t>
            </w:r>
            <w:r w:rsidR="007B7E8E">
              <w:t>.</w:t>
            </w:r>
            <w:r w:rsidR="006B4F85">
              <w:t xml:space="preserve"> </w:t>
            </w:r>
            <w:r w:rsidR="008645F5">
              <w:t>S</w:t>
            </w:r>
            <w:r w:rsidR="006B4F85">
              <w:t xml:space="preserve">takeholder consultation </w:t>
            </w:r>
            <w:r w:rsidR="00C46A1D">
              <w:t>and the independent reviews found t</w:t>
            </w:r>
            <w:r w:rsidR="008645F5">
              <w:t xml:space="preserve">hese workers </w:t>
            </w:r>
            <w:r w:rsidR="00C46A1D">
              <w:t xml:space="preserve">to be </w:t>
            </w:r>
            <w:r w:rsidR="008645F5">
              <w:t xml:space="preserve">a key cohort </w:t>
            </w:r>
            <w:r w:rsidR="00C46A1D">
              <w:t xml:space="preserve">in need of </w:t>
            </w:r>
            <w:r w:rsidR="007B7E8E">
              <w:t xml:space="preserve">minimum rights and protections. </w:t>
            </w:r>
            <w:r w:rsidR="00934926">
              <w:t>However,</w:t>
            </w:r>
            <w:r w:rsidR="006B4F85">
              <w:t xml:space="preserve"> </w:t>
            </w:r>
            <w:r w:rsidR="00934926">
              <w:t>this option does</w:t>
            </w:r>
            <w:r w:rsidR="001624AE">
              <w:t xml:space="preserve"> not </w:t>
            </w:r>
            <w:r w:rsidR="00934926">
              <w:t>address</w:t>
            </w:r>
            <w:r w:rsidR="00D93D6E">
              <w:t xml:space="preserve"> road transport </w:t>
            </w:r>
            <w:r w:rsidR="00224D0C" w:rsidDel="00C42C01">
              <w:t>independent contractors</w:t>
            </w:r>
            <w:r w:rsidR="00C42C01">
              <w:t>, which independent reviews and stakeholder consultation identified as being a cohort in need of minimum standards</w:t>
            </w:r>
            <w:r w:rsidR="00D93D6E">
              <w:t xml:space="preserve">. </w:t>
            </w:r>
          </w:p>
          <w:p w14:paraId="47C9F0B2" w14:textId="6B6A8D73" w:rsidR="00CB5E04" w:rsidRDefault="00CB5E04" w:rsidP="00CB5E04">
            <w:r>
              <w:t xml:space="preserve">In addition, this option will not address the common law definition of employment. By not assessing the totality of the relationship when determining whether a worker is an employee, this may result in some workers being inappropriately classified as independent contractors.  Independent reviews and stakeholder consultation identified that addressing the current heavy reliance on contractual terms under the common law definition as being an essential measure to ensure fairness for workers. In addition, without addressing the common law definition, introducing minimum standards may have the unintended consequence of businesses shifting from an employment to independent contracting model.  </w:t>
            </w:r>
          </w:p>
          <w:p w14:paraId="1D4841B7" w14:textId="59F0E041" w:rsidR="00CB5E04" w:rsidRDefault="00CB5E04" w:rsidP="00747516">
            <w:r>
              <w:t xml:space="preserve">Recognising that this option </w:t>
            </w:r>
            <w:r w:rsidR="00BC3B75">
              <w:t>addresses the key</w:t>
            </w:r>
            <w:r>
              <w:t xml:space="preserve"> cohort where a lack of minimum standards has been identified as an issue, while not addressing the heavy reliance on contractual terms established by the current common law definition, the rating for this option is fair. </w:t>
            </w:r>
          </w:p>
        </w:tc>
      </w:tr>
      <w:tr w:rsidR="004104C1" w14:paraId="49A180E3" w14:textId="77777777" w:rsidTr="008B793A">
        <w:trPr>
          <w:trHeight w:val="557"/>
        </w:trPr>
        <w:tc>
          <w:tcPr>
            <w:tcW w:w="7083" w:type="dxa"/>
            <w:shd w:val="clear" w:color="auto" w:fill="D9D9D9" w:themeFill="background1" w:themeFillShade="D9"/>
          </w:tcPr>
          <w:p w14:paraId="467AC21C" w14:textId="77777777" w:rsidR="004104C1" w:rsidRDefault="004104C1" w:rsidP="00F04E1D">
            <w:r>
              <w:t>Businesses should benefit from a level playing field among industry participants while promoting competition and innovation.</w:t>
            </w:r>
          </w:p>
        </w:tc>
        <w:tc>
          <w:tcPr>
            <w:tcW w:w="992" w:type="dxa"/>
            <w:shd w:val="clear" w:color="auto" w:fill="F3CB6F" w:themeFill="accent5" w:themeFillTint="99"/>
          </w:tcPr>
          <w:p w14:paraId="6E75858F" w14:textId="77777777" w:rsidR="004104C1" w:rsidRDefault="004104C1" w:rsidP="00F04E1D">
            <w:r>
              <w:t>Fair</w:t>
            </w:r>
          </w:p>
        </w:tc>
        <w:tc>
          <w:tcPr>
            <w:tcW w:w="6946" w:type="dxa"/>
            <w:shd w:val="clear" w:color="auto" w:fill="auto"/>
          </w:tcPr>
          <w:p w14:paraId="24CF313C" w14:textId="2645BC99" w:rsidR="00610B11" w:rsidRDefault="00610B11" w:rsidP="00F04E1D">
            <w:r>
              <w:t>As indicated in the ‘competition’ section above, t</w:t>
            </w:r>
            <w:r w:rsidR="00A441F1">
              <w:t xml:space="preserve">his would </w:t>
            </w:r>
            <w:r>
              <w:t xml:space="preserve">improve </w:t>
            </w:r>
            <w:r w:rsidR="00A441F1">
              <w:t xml:space="preserve">fair competition between businesses </w:t>
            </w:r>
            <w:r>
              <w:t xml:space="preserve">in </w:t>
            </w:r>
            <w:r w:rsidR="0054565F">
              <w:t xml:space="preserve">sectors with new minimum standards. The measure will help to ensure </w:t>
            </w:r>
            <w:r w:rsidR="00A441F1">
              <w:t xml:space="preserve">that </w:t>
            </w:r>
            <w:r w:rsidR="00D82C6C">
              <w:t>certain</w:t>
            </w:r>
            <w:r w:rsidR="0054565F">
              <w:t xml:space="preserve"> </w:t>
            </w:r>
            <w:r w:rsidR="00AC275D">
              <w:t xml:space="preserve">digital </w:t>
            </w:r>
            <w:r w:rsidR="000B5C38">
              <w:t xml:space="preserve">labour </w:t>
            </w:r>
            <w:r w:rsidR="00AC275D">
              <w:t xml:space="preserve">platforms </w:t>
            </w:r>
            <w:r w:rsidR="000B5C38">
              <w:t xml:space="preserve">do not have an unfair advantage over employing businesses or </w:t>
            </w:r>
            <w:r w:rsidR="00D82C6C">
              <w:t xml:space="preserve">other businesses (including digital labour platforms) </w:t>
            </w:r>
            <w:r w:rsidR="00AC275D">
              <w:t xml:space="preserve">that </w:t>
            </w:r>
            <w:r w:rsidR="009B4D84">
              <w:t>engage independent contractors</w:t>
            </w:r>
            <w:r w:rsidR="0001200D">
              <w:t xml:space="preserve"> under fairer terms and conditions. </w:t>
            </w:r>
            <w:r w:rsidR="00463658">
              <w:t>This will help to facilitate competition on the quality of service</w:t>
            </w:r>
            <w:r w:rsidR="00A37857">
              <w:t xml:space="preserve">s rather than lower labour costs. </w:t>
            </w:r>
            <w:r w:rsidR="00463658">
              <w:t xml:space="preserve"> </w:t>
            </w:r>
          </w:p>
          <w:p w14:paraId="2D91B38A" w14:textId="6E1EA6DB" w:rsidR="004104C1" w:rsidRDefault="001B0302" w:rsidP="00F04E1D">
            <w:r>
              <w:t>However,</w:t>
            </w:r>
            <w:r w:rsidR="009E2529">
              <w:t xml:space="preserve"> </w:t>
            </w:r>
            <w:r w:rsidR="00E24200">
              <w:t xml:space="preserve">other independent </w:t>
            </w:r>
            <w:r w:rsidR="009C4370">
              <w:t>contractors</w:t>
            </w:r>
            <w:r w:rsidR="00A52891">
              <w:t xml:space="preserve">, including </w:t>
            </w:r>
            <w:r w:rsidR="00DE6B9F">
              <w:t xml:space="preserve">road transport businesses that </w:t>
            </w:r>
            <w:r w:rsidR="0051390B">
              <w:t xml:space="preserve">compete with digital platforms </w:t>
            </w:r>
            <w:r w:rsidR="00DD5B0A">
              <w:t xml:space="preserve">will not be in scope of regulation. </w:t>
            </w:r>
            <w:r w:rsidR="00E313F0">
              <w:t xml:space="preserve">As such, the rating is fair. </w:t>
            </w:r>
          </w:p>
        </w:tc>
      </w:tr>
      <w:tr w:rsidR="004104C1" w14:paraId="7D4CC149" w14:textId="77777777" w:rsidTr="008B793A">
        <w:trPr>
          <w:trHeight w:val="871"/>
        </w:trPr>
        <w:tc>
          <w:tcPr>
            <w:tcW w:w="7083" w:type="dxa"/>
            <w:shd w:val="clear" w:color="auto" w:fill="D9D9D9" w:themeFill="background1" w:themeFillShade="D9"/>
          </w:tcPr>
          <w:p w14:paraId="53DA5071" w14:textId="77777777" w:rsidR="004104C1" w:rsidRDefault="004104C1" w:rsidP="00F04E1D">
            <w:r>
              <w:t>The Fair Work Commission should set minimum standards that:</w:t>
            </w:r>
          </w:p>
          <w:p w14:paraId="794CDFEE" w14:textId="77777777" w:rsidR="004104C1" w:rsidRDefault="004104C1" w:rsidP="003807D2">
            <w:pPr>
              <w:pStyle w:val="List"/>
              <w:numPr>
                <w:ilvl w:val="0"/>
                <w:numId w:val="13"/>
              </w:numPr>
              <w:spacing w:line="276" w:lineRule="auto"/>
              <w:ind w:left="714" w:hanging="357"/>
              <w:contextualSpacing w:val="0"/>
            </w:pPr>
            <w:r>
              <w:t>are fair, relevant, proportionate, sustainable and responsive</w:t>
            </w:r>
          </w:p>
          <w:p w14:paraId="1537A859" w14:textId="77777777" w:rsidR="004104C1" w:rsidRDefault="004104C1" w:rsidP="003807D2">
            <w:pPr>
              <w:pStyle w:val="List"/>
              <w:numPr>
                <w:ilvl w:val="0"/>
                <w:numId w:val="13"/>
              </w:numPr>
              <w:spacing w:line="276" w:lineRule="auto"/>
              <w:ind w:left="714" w:hanging="357"/>
              <w:contextualSpacing w:val="0"/>
            </w:pPr>
            <w:r>
              <w:t>reflect workers’ independence and flexible working arrangements, for example choosing which tasks to accept and refuse, how to undertake their work, where and when they work, and which businesses to contract with</w:t>
            </w:r>
          </w:p>
          <w:p w14:paraId="13420D9D" w14:textId="77777777" w:rsidR="004104C1" w:rsidRDefault="004104C1" w:rsidP="003807D2">
            <w:pPr>
              <w:pStyle w:val="List"/>
              <w:numPr>
                <w:ilvl w:val="0"/>
                <w:numId w:val="13"/>
              </w:numPr>
              <w:spacing w:line="276" w:lineRule="auto"/>
              <w:ind w:left="714" w:hanging="357"/>
              <w:contextualSpacing w:val="0"/>
            </w:pPr>
            <w:r>
              <w:t xml:space="preserve">mitigate to the greatest extent possible unintended consequences for workers, businesses, consumers and other aspects of the labour market </w:t>
            </w:r>
          </w:p>
        </w:tc>
        <w:tc>
          <w:tcPr>
            <w:tcW w:w="992" w:type="dxa"/>
            <w:shd w:val="clear" w:color="auto" w:fill="F3CB6F" w:themeFill="accent5" w:themeFillTint="99"/>
          </w:tcPr>
          <w:p w14:paraId="68110B1C" w14:textId="68624666" w:rsidR="004104C1" w:rsidRDefault="00C55994" w:rsidP="00F04E1D">
            <w:r>
              <w:t>Fair</w:t>
            </w:r>
          </w:p>
        </w:tc>
        <w:tc>
          <w:tcPr>
            <w:tcW w:w="6946" w:type="dxa"/>
            <w:shd w:val="clear" w:color="auto" w:fill="auto"/>
          </w:tcPr>
          <w:p w14:paraId="70E43185" w14:textId="15F354DA" w:rsidR="004104C1" w:rsidRDefault="003A790F" w:rsidP="00F04E1D">
            <w:r>
              <w:t xml:space="preserve">This option would allow the Fair Work Commission </w:t>
            </w:r>
            <w:r w:rsidR="007C7D50">
              <w:t>to set minimum standards for digital platform workers</w:t>
            </w:r>
            <w:r w:rsidR="002E1EE8">
              <w:t xml:space="preserve">, while being guided by </w:t>
            </w:r>
            <w:r w:rsidR="00457874">
              <w:t>a Minimum Standards Objective</w:t>
            </w:r>
            <w:r w:rsidR="00833C30">
              <w:t xml:space="preserve">. </w:t>
            </w:r>
            <w:r w:rsidR="00C55994">
              <w:t xml:space="preserve">Without </w:t>
            </w:r>
            <w:r w:rsidR="00D75C1F">
              <w:t xml:space="preserve">addressing the current common law definition of </w:t>
            </w:r>
            <w:r w:rsidR="00C55994">
              <w:t xml:space="preserve">employment, there is a risk that </w:t>
            </w:r>
            <w:r w:rsidR="0023588B">
              <w:t>minimum standards for</w:t>
            </w:r>
            <w:r w:rsidR="00AA1C75">
              <w:t xml:space="preserve"> </w:t>
            </w:r>
            <w:r w:rsidR="00DE66E3">
              <w:t xml:space="preserve">digital platform workers could </w:t>
            </w:r>
            <w:r w:rsidR="006A4499">
              <w:t xml:space="preserve">result in the unintended consequence of </w:t>
            </w:r>
            <w:r w:rsidR="005F5C0C">
              <w:t xml:space="preserve">businesses shifting from an employment to </w:t>
            </w:r>
            <w:r w:rsidR="000374D6">
              <w:t>contracting model</w:t>
            </w:r>
            <w:r w:rsidR="004C4857">
              <w:t>. This would have a negative impact on employees</w:t>
            </w:r>
            <w:r w:rsidR="00A5343E">
              <w:t xml:space="preserve">. </w:t>
            </w:r>
          </w:p>
        </w:tc>
      </w:tr>
      <w:tr w:rsidR="004104C1" w14:paraId="3A8FAB22" w14:textId="77777777" w:rsidTr="00F9171A">
        <w:trPr>
          <w:trHeight w:val="1500"/>
        </w:trPr>
        <w:tc>
          <w:tcPr>
            <w:tcW w:w="7083" w:type="dxa"/>
            <w:shd w:val="clear" w:color="auto" w:fill="D9D9D9" w:themeFill="background1" w:themeFillShade="D9"/>
          </w:tcPr>
          <w:p w14:paraId="09EDD2F6" w14:textId="034D45F0" w:rsidR="004104C1" w:rsidRDefault="004104C1" w:rsidP="00F04E1D">
            <w:r>
              <w:t>The standard-setting framework should be accessible, transparent, fair and offer a high degree of certainty to affected parties.</w:t>
            </w:r>
          </w:p>
        </w:tc>
        <w:tc>
          <w:tcPr>
            <w:tcW w:w="992" w:type="dxa"/>
            <w:shd w:val="clear" w:color="auto" w:fill="92D050"/>
          </w:tcPr>
          <w:p w14:paraId="03C2CCAF" w14:textId="3DB40521" w:rsidR="00177EB9" w:rsidRPr="00177EB9" w:rsidRDefault="00833C30" w:rsidP="00177EB9">
            <w:r>
              <w:t>Good</w:t>
            </w:r>
          </w:p>
        </w:tc>
        <w:tc>
          <w:tcPr>
            <w:tcW w:w="6946" w:type="dxa"/>
          </w:tcPr>
          <w:p w14:paraId="63331A95" w14:textId="7768A54D" w:rsidR="004104C1" w:rsidRDefault="003C4802" w:rsidP="00F04E1D">
            <w:r>
              <w:t xml:space="preserve">Parties would be </w:t>
            </w:r>
            <w:r w:rsidR="00303B6F">
              <w:t xml:space="preserve">able to participate in </w:t>
            </w:r>
            <w:r w:rsidR="004811A1">
              <w:t xml:space="preserve">matters relating to minimum standards </w:t>
            </w:r>
            <w:r w:rsidR="00A136C4">
              <w:t xml:space="preserve">for digital platform workers. </w:t>
            </w:r>
            <w:r w:rsidR="00C4798D">
              <w:t xml:space="preserve">The Fair Work Commission would consider the views of affected parties </w:t>
            </w:r>
            <w:r w:rsidR="0068600B">
              <w:t xml:space="preserve">in addition to being guided by a Minimum Standards Objective in legislation. </w:t>
            </w:r>
          </w:p>
        </w:tc>
      </w:tr>
    </w:tbl>
    <w:p w14:paraId="1BC286F0" w14:textId="77777777" w:rsidR="00DA6F33" w:rsidRDefault="00DA6F33" w:rsidP="00662DDC">
      <w:pPr>
        <w:sectPr w:rsidR="00DA6F33" w:rsidSect="008B793A">
          <w:pgSz w:w="16838" w:h="11906" w:orient="landscape"/>
          <w:pgMar w:top="1418" w:right="1418" w:bottom="1418" w:left="1418" w:header="0" w:footer="454" w:gutter="0"/>
          <w:cols w:space="708"/>
          <w:docGrid w:linePitch="360"/>
        </w:sectPr>
      </w:pPr>
    </w:p>
    <w:p w14:paraId="526A553C" w14:textId="4F759812" w:rsidR="000F5A49" w:rsidRPr="00F9171A" w:rsidRDefault="000F5A49" w:rsidP="00F60F5C">
      <w:pPr>
        <w:pStyle w:val="Heading3"/>
      </w:pPr>
      <w:bookmarkStart w:id="61" w:name="_Toc139295569"/>
      <w:bookmarkEnd w:id="2"/>
      <w:r w:rsidRPr="00F9171A">
        <w:t xml:space="preserve">Option 3: </w:t>
      </w:r>
      <w:r w:rsidR="00A868C6" w:rsidRPr="00F9171A">
        <w:t xml:space="preserve">Empower the Fair Work Commission to set minimum standards for digital platform workers and </w:t>
      </w:r>
      <w:r w:rsidR="00B80CE8" w:rsidRPr="00F9171A">
        <w:t>road transport workers</w:t>
      </w:r>
      <w:bookmarkEnd w:id="61"/>
    </w:p>
    <w:p w14:paraId="5BD06681" w14:textId="3A45E486" w:rsidR="00B80CE8" w:rsidRPr="00B80CE8" w:rsidRDefault="00DC52C4" w:rsidP="004B4F63">
      <w:r>
        <w:t>As</w:t>
      </w:r>
      <w:r w:rsidR="00B80CE8">
        <w:t xml:space="preserve"> the impacts for introducing minimum standards for digital platform workers are presented under Option </w:t>
      </w:r>
      <w:r>
        <w:t>2</w:t>
      </w:r>
      <w:r w:rsidR="00B80CE8">
        <w:t xml:space="preserve">, this section will not repeat the methodology used to calculate these </w:t>
      </w:r>
      <w:r w:rsidR="00A42071">
        <w:t>cos</w:t>
      </w:r>
      <w:r w:rsidR="001A5895">
        <w:t>ts</w:t>
      </w:r>
      <w:r w:rsidR="00C324C2">
        <w:t xml:space="preserve"> and will only refer to the additional road transport cohort. </w:t>
      </w:r>
    </w:p>
    <w:p w14:paraId="2656868D" w14:textId="7D3185EC" w:rsidR="00B15C89" w:rsidRDefault="00B15C89" w:rsidP="00B15C89">
      <w:pPr>
        <w:pStyle w:val="Heading5"/>
      </w:pPr>
      <w:r>
        <w:t>C</w:t>
      </w:r>
      <w:r w:rsidRPr="009074A7">
        <w:t xml:space="preserve">ompliance </w:t>
      </w:r>
    </w:p>
    <w:p w14:paraId="3DBA54EC" w14:textId="0D18E5B7" w:rsidR="0085173A" w:rsidRPr="0085173A" w:rsidRDefault="0085173A" w:rsidP="004B4F63">
      <w:pPr>
        <w:pStyle w:val="Heading6"/>
        <w:spacing w:after="200"/>
      </w:pPr>
      <w:r>
        <w:t>Compliance with minimum standards</w:t>
      </w:r>
    </w:p>
    <w:p w14:paraId="3ADD0A59" w14:textId="51D2D064" w:rsidR="00A9624B" w:rsidRDefault="0096509D" w:rsidP="004B4F63">
      <w:r>
        <w:t>For road transport workers, the</w:t>
      </w:r>
      <w:r w:rsidR="006B5465">
        <w:t xml:space="preserve"> department will use the same methodology as under Option 2, with some </w:t>
      </w:r>
      <w:r w:rsidR="001D5105">
        <w:t>adaptations</w:t>
      </w:r>
      <w:r w:rsidR="00B73920">
        <w:t>.</w:t>
      </w:r>
      <w:r w:rsidR="004B12E4">
        <w:t xml:space="preserve"> </w:t>
      </w:r>
    </w:p>
    <w:p w14:paraId="115A990E" w14:textId="7B605EDD" w:rsidR="00B15C89" w:rsidRDefault="00B15C89" w:rsidP="004B4F63">
      <w:r>
        <w:t xml:space="preserve">The compliance cost of introducing minimum standards will fall on businesses </w:t>
      </w:r>
      <w:r w:rsidR="00BF6CE0">
        <w:t>who will need to comply with the new standards</w:t>
      </w:r>
      <w:r w:rsidR="00300EB1">
        <w:t xml:space="preserve">. </w:t>
      </w:r>
      <w:r>
        <w:t xml:space="preserve">This cost will be estimated as a comparison to the baseline established under the Status Quo Option, which was </w:t>
      </w:r>
      <w:r w:rsidRPr="00F960E2">
        <w:rPr>
          <w:b/>
          <w:bCs/>
        </w:rPr>
        <w:t>nil</w:t>
      </w:r>
      <w:r>
        <w:t xml:space="preserve">. </w:t>
      </w:r>
    </w:p>
    <w:p w14:paraId="5BAE708C" w14:textId="77777777" w:rsidR="00B15C89" w:rsidRDefault="00B15C89" w:rsidP="004B4F63">
      <w:r>
        <w:t>The department estimates that businesses are likely to face the following compliance costs under Option 3:</w:t>
      </w:r>
    </w:p>
    <w:p w14:paraId="4E20891E" w14:textId="5B2D20A9" w:rsidR="00B15C89" w:rsidRDefault="00B15C89" w:rsidP="000C31C4">
      <w:pPr>
        <w:pStyle w:val="ListParagraph"/>
        <w:numPr>
          <w:ilvl w:val="0"/>
          <w:numId w:val="29"/>
        </w:numPr>
        <w:spacing w:line="276" w:lineRule="auto"/>
        <w:ind w:left="714" w:hanging="357"/>
        <w:contextualSpacing w:val="0"/>
      </w:pPr>
      <w:r>
        <w:t xml:space="preserve">Initial costs of ensuring that contracts, payroll systems and other arrangements are compliant with new minimum standards. </w:t>
      </w:r>
    </w:p>
    <w:p w14:paraId="51393111" w14:textId="77777777" w:rsidR="00B15C89" w:rsidRDefault="00B15C89" w:rsidP="000C31C4">
      <w:pPr>
        <w:pStyle w:val="ListParagraph"/>
        <w:numPr>
          <w:ilvl w:val="0"/>
          <w:numId w:val="29"/>
        </w:numPr>
        <w:spacing w:line="276" w:lineRule="auto"/>
        <w:ind w:left="714" w:hanging="357"/>
        <w:contextualSpacing w:val="0"/>
      </w:pPr>
      <w:r>
        <w:t>Ongoing costs of ensuring compliance with varied standards.</w:t>
      </w:r>
    </w:p>
    <w:p w14:paraId="1A1C4BF8" w14:textId="4AE01900" w:rsidR="00B15C89" w:rsidRDefault="00B15C89" w:rsidP="412CBC75">
      <w:pPr>
        <w:pStyle w:val="ListParagraph"/>
        <w:numPr>
          <w:ilvl w:val="0"/>
          <w:numId w:val="29"/>
        </w:numPr>
        <w:spacing w:line="276" w:lineRule="auto"/>
        <w:ind w:left="714" w:hanging="357"/>
      </w:pPr>
      <w:r>
        <w:t xml:space="preserve">Ongoing administrative costs to comply with record-keeping requirements. </w:t>
      </w:r>
    </w:p>
    <w:p w14:paraId="56B9FAF1" w14:textId="759FDB7E" w:rsidR="00C41C02" w:rsidRPr="00F9171A" w:rsidRDefault="00C41C02" w:rsidP="00F9171A">
      <w:pPr>
        <w:spacing w:after="160" w:line="259" w:lineRule="auto"/>
        <w:rPr>
          <w:u w:val="single"/>
        </w:rPr>
      </w:pPr>
      <w:r>
        <w:rPr>
          <w:u w:val="single"/>
        </w:rPr>
        <w:t>Initial costs</w:t>
      </w:r>
    </w:p>
    <w:p w14:paraId="4141CB37" w14:textId="71661ED4" w:rsidR="000B160A" w:rsidRDefault="000B160A" w:rsidP="004B4F63">
      <w:r>
        <w:t>The department estimates that it would take a business 2</w:t>
      </w:r>
      <w:r w:rsidR="005D3F0C">
        <w:t>0</w:t>
      </w:r>
      <w:r>
        <w:t xml:space="preserve"> hours to understand their new obligations. </w:t>
      </w:r>
      <w:r w:rsidR="00CB441A">
        <w:t>B</w:t>
      </w:r>
      <w:r>
        <w:t xml:space="preserve">usinesses would be able to contact the Fair Work Ombudsman for free advice about </w:t>
      </w:r>
      <w:r w:rsidRPr="006459EA">
        <w:t xml:space="preserve">their new obligations, in addition to accessing fact sheets and other information published on the Fair Work Ombudsman’s website. </w:t>
      </w:r>
    </w:p>
    <w:p w14:paraId="1B56F18F" w14:textId="77777777" w:rsidR="00686421" w:rsidRDefault="00126CC8" w:rsidP="004B4F63">
      <w:r w:rsidRPr="00A449B8">
        <w:t xml:space="preserve">The department assumes that it would take a business </w:t>
      </w:r>
      <w:r w:rsidR="00205176">
        <w:t xml:space="preserve">a maximum of </w:t>
      </w:r>
      <w:r w:rsidRPr="00A449B8">
        <w:t>10</w:t>
      </w:r>
      <w:r w:rsidR="005D3F0C">
        <w:t>0</w:t>
      </w:r>
      <w:r w:rsidRPr="00A449B8">
        <w:t xml:space="preserve"> hours to update and ensure their service contract </w:t>
      </w:r>
      <w:r w:rsidR="00955B50">
        <w:t>or contracts are</w:t>
      </w:r>
      <w:r w:rsidRPr="00A449B8">
        <w:t xml:space="preserve"> compliant with the new minimum standards</w:t>
      </w:r>
      <w:r w:rsidR="00A968A6">
        <w:t xml:space="preserve">, </w:t>
      </w:r>
      <w:r w:rsidR="00B43E1A">
        <w:t xml:space="preserve">with more time required within that range for </w:t>
      </w:r>
      <w:r w:rsidR="00507030">
        <w:t>a larger business</w:t>
      </w:r>
      <w:r w:rsidR="00F5002B">
        <w:t xml:space="preserve"> with mu</w:t>
      </w:r>
      <w:r w:rsidR="00C870AE">
        <w:t xml:space="preserve">ltiple </w:t>
      </w:r>
      <w:r w:rsidR="002A6A5F">
        <w:t>contracts</w:t>
      </w:r>
      <w:r w:rsidRPr="00A449B8">
        <w:t>. If standards are varied in the future, this cost is likely to be significantly lower</w:t>
      </w:r>
      <w:r w:rsidR="00804BB5">
        <w:t>. For example, it may simply</w:t>
      </w:r>
      <w:r w:rsidRPr="00A449B8">
        <w:t xml:space="preserve"> involve ensuring compliance with a new pay rate. The department estimates that this will take 1</w:t>
      </w:r>
      <w:r w:rsidR="005D3F0C">
        <w:t>0</w:t>
      </w:r>
      <w:r w:rsidRPr="00A449B8">
        <w:t xml:space="preserve"> hour</w:t>
      </w:r>
      <w:r w:rsidR="00216D4D">
        <w:t>s</w:t>
      </w:r>
      <w:r w:rsidRPr="00A449B8">
        <w:t xml:space="preserve"> every time a Minimum Standards Order is varied. </w:t>
      </w:r>
    </w:p>
    <w:p w14:paraId="31EFDCC7" w14:textId="3C448F3A" w:rsidR="00126CC8" w:rsidRPr="00A449B8" w:rsidRDefault="00B168BC" w:rsidP="004B4F63">
      <w:r>
        <w:t xml:space="preserve">As outlined in Option 2, the department </w:t>
      </w:r>
      <w:r w:rsidR="00BE71F1" w:rsidRPr="00D05F0D">
        <w:t xml:space="preserve">has used </w:t>
      </w:r>
      <w:r w:rsidR="00F056C1">
        <w:t xml:space="preserve">a higher </w:t>
      </w:r>
      <w:r w:rsidR="00AA5C28">
        <w:t xml:space="preserve">labour cost </w:t>
      </w:r>
      <w:r w:rsidR="00675D7E">
        <w:t>for legal professionals</w:t>
      </w:r>
      <w:r w:rsidR="00AA68E6">
        <w:t xml:space="preserve"> who will be assumed to perform work to ensure that platforms understand new obligations, update contracts and other documents and to ensure compliance with new termination of contract protections.</w:t>
      </w:r>
      <w:r w:rsidR="00675D7E">
        <w:t xml:space="preserve"> In all other estimated costs, the department has </w:t>
      </w:r>
      <w:r w:rsidR="00BE71F1" w:rsidRPr="00D05F0D">
        <w:t xml:space="preserve">used the default labour cost of </w:t>
      </w:r>
      <w:r w:rsidR="00BE71F1" w:rsidRPr="00D05F0D">
        <w:rPr>
          <w:b/>
          <w:bCs/>
        </w:rPr>
        <w:t>$79.63</w:t>
      </w:r>
      <w:r w:rsidR="00BE71F1" w:rsidRPr="00D05F0D">
        <w:t xml:space="preserve"> according to the Office </w:t>
      </w:r>
      <w:r w:rsidR="00DC03B0">
        <w:t>of</w:t>
      </w:r>
      <w:r w:rsidR="00DC03B0" w:rsidRPr="00D05F0D">
        <w:t xml:space="preserve"> </w:t>
      </w:r>
      <w:r w:rsidR="00BE71F1" w:rsidRPr="00D05F0D">
        <w:t>Impact Analysis’ Regulatory Burden Measurement Framework.</w:t>
      </w:r>
      <w:r w:rsidR="001F6487">
        <w:t xml:space="preserve"> The department</w:t>
      </w:r>
      <w:r w:rsidR="00F116A4">
        <w:t>’s</w:t>
      </w:r>
      <w:r w:rsidR="001F6487">
        <w:t xml:space="preserve"> assum</w:t>
      </w:r>
      <w:r w:rsidR="00F116A4">
        <w:t xml:space="preserve">ptions in relation to </w:t>
      </w:r>
      <w:r w:rsidR="00D171EB">
        <w:t>costs incurred by digital platforms to upgrade IT systems has not been applied in the context of</w:t>
      </w:r>
      <w:r w:rsidR="001F6487">
        <w:t xml:space="preserve"> road transport businesses</w:t>
      </w:r>
      <w:r w:rsidR="00D171EB">
        <w:t>, on the basis that</w:t>
      </w:r>
      <w:r w:rsidR="001F6487">
        <w:t xml:space="preserve"> </w:t>
      </w:r>
      <w:r w:rsidR="00D171EB">
        <w:t xml:space="preserve">these systems are likely to be </w:t>
      </w:r>
      <w:r w:rsidR="00FF10D5">
        <w:t xml:space="preserve">less complex and </w:t>
      </w:r>
      <w:r w:rsidR="00D171EB">
        <w:t>relatively less central to the conduct of the</w:t>
      </w:r>
      <w:r w:rsidR="00FF10D5">
        <w:t xml:space="preserve"> road transport</w:t>
      </w:r>
      <w:r w:rsidR="00D171EB">
        <w:t xml:space="preserve"> businesses</w:t>
      </w:r>
      <w:r w:rsidR="00FF10D5">
        <w:t xml:space="preserve"> compared to digital platform</w:t>
      </w:r>
      <w:r w:rsidR="00D171EB">
        <w:t xml:space="preserve"> businesses.</w:t>
      </w:r>
    </w:p>
    <w:p w14:paraId="6BBCEEB7" w14:textId="0353B29B" w:rsidR="008605F7" w:rsidRDefault="008605F7" w:rsidP="008605F7">
      <w:r>
        <w:t>T</w:t>
      </w:r>
      <w:r w:rsidRPr="00911A5E">
        <w:t>he</w:t>
      </w:r>
      <w:r>
        <w:t xml:space="preserve"> department</w:t>
      </w:r>
      <w:r w:rsidRPr="00911A5E">
        <w:t xml:space="preserve"> assum</w:t>
      </w:r>
      <w:r>
        <w:t>es that road transport minimum standards will take longer than the minimum standards for employee-like digital platform workers</w:t>
      </w:r>
      <w:r w:rsidRPr="00911A5E">
        <w:t xml:space="preserve"> </w:t>
      </w:r>
      <w:r>
        <w:t>u</w:t>
      </w:r>
      <w:r w:rsidRPr="00911A5E">
        <w:t>n</w:t>
      </w:r>
      <w:r>
        <w:t xml:space="preserve">der Option 2. This is because of the additional legislative checks to ensure that road transport minimum standards are gradual and subject to robust consultation with industry. In particular, the longer process required for the Fair Work Commission to make a road transport minimum standards order is likely to extend this timeframe. </w:t>
      </w:r>
      <w:r>
        <w:br/>
      </w:r>
      <w:r>
        <w:br/>
      </w:r>
      <w:r w:rsidRPr="00573634">
        <w:t>The department</w:t>
      </w:r>
      <w:r w:rsidRPr="009E2D24">
        <w:t xml:space="preserve"> estimat</w:t>
      </w:r>
      <w:r w:rsidRPr="00573634">
        <w:t>es</w:t>
      </w:r>
      <w:r w:rsidRPr="00A449B8">
        <w:t xml:space="preserve"> that the Fair Work Commission would </w:t>
      </w:r>
      <w:r w:rsidRPr="00573634">
        <w:t>issue its first notice of intent to make an order</w:t>
      </w:r>
      <w:r w:rsidRPr="00A449B8">
        <w:t xml:space="preserve"> in 2025-26. As businesses can choose </w:t>
      </w:r>
      <w:r>
        <w:t xml:space="preserve">whether or not </w:t>
      </w:r>
      <w:r w:rsidRPr="00A449B8">
        <w:t xml:space="preserve">to adopt </w:t>
      </w:r>
      <w:r>
        <w:t>non-binding draft orders</w:t>
      </w:r>
      <w:r w:rsidRPr="00A449B8">
        <w:t xml:space="preserve">, we have not costed the impact during </w:t>
      </w:r>
      <w:r>
        <w:t xml:space="preserve">the draft order </w:t>
      </w:r>
      <w:r w:rsidRPr="00A449B8">
        <w:t>period</w:t>
      </w:r>
      <w:r>
        <w:t>. Following consultation on the draft order, the</w:t>
      </w:r>
      <w:r w:rsidRPr="00A449B8">
        <w:t xml:space="preserve"> department estimates that </w:t>
      </w:r>
      <w:r>
        <w:t>2</w:t>
      </w:r>
      <w:r w:rsidRPr="00A449B8">
        <w:t xml:space="preserve"> years after </w:t>
      </w:r>
      <w:r>
        <w:t>the notice of intent was issued</w:t>
      </w:r>
      <w:r w:rsidRPr="00A449B8">
        <w:t xml:space="preserve">, </w:t>
      </w:r>
      <w:r>
        <w:t>the Fair Work Commission would be likely to revise the draft order</w:t>
      </w:r>
      <w:r w:rsidRPr="00A449B8">
        <w:t xml:space="preserve">. </w:t>
      </w:r>
      <w:r>
        <w:t xml:space="preserve">The department considers a revision of the order to be a likely scenario due to the novelty of the standards and diversity of views amongst road transport stakeholders. </w:t>
      </w:r>
    </w:p>
    <w:p w14:paraId="4A1EC024" w14:textId="641CA30A" w:rsidR="008605F7" w:rsidRPr="00A449B8" w:rsidRDefault="008605F7" w:rsidP="008605F7">
      <w:r>
        <w:t>Following the revision of the draft road transport order, the Fair Work Commission would be required to undertake another consultation period for a minimum of 12 months. Based on this timeline, w</w:t>
      </w:r>
      <w:r w:rsidRPr="00A449B8">
        <w:t>e have estimated that the Fair Work Commission would implement the first mandatory Minimum Standards Orders in 202</w:t>
      </w:r>
      <w:r>
        <w:t>8</w:t>
      </w:r>
      <w:r w:rsidRPr="00A449B8">
        <w:t>-2</w:t>
      </w:r>
      <w:r>
        <w:t>9</w:t>
      </w:r>
      <w:r w:rsidRPr="00A449B8">
        <w:t xml:space="preserve">, and then vary these every </w:t>
      </w:r>
      <w:r>
        <w:t>4</w:t>
      </w:r>
      <w:r w:rsidRPr="00A449B8">
        <w:t xml:space="preserve"> years.</w:t>
      </w:r>
      <w:r>
        <w:t xml:space="preserve"> In addition the Fair Work Commission is not required to accept applications to make minimum standards orders and is not required to make a draft order mandatory.</w:t>
      </w:r>
      <w:r w:rsidRPr="00A449B8">
        <w:t xml:space="preserve"> </w:t>
      </w:r>
    </w:p>
    <w:p w14:paraId="18BE0105" w14:textId="70CAE7AD" w:rsidR="008605F7" w:rsidRPr="00A449B8" w:rsidRDefault="008605F7" w:rsidP="008605F7">
      <w:r w:rsidRPr="00A449B8">
        <w:t xml:space="preserve">The department estimates that each business would face </w:t>
      </w:r>
      <w:r w:rsidRPr="00A449B8">
        <w:rPr>
          <w:b/>
          <w:bCs/>
        </w:rPr>
        <w:t>$</w:t>
      </w:r>
      <w:r>
        <w:rPr>
          <w:b/>
          <w:bCs/>
        </w:rPr>
        <w:t>3,062.50</w:t>
      </w:r>
      <w:r w:rsidRPr="00A449B8">
        <w:t xml:space="preserve"> as an average annual cost, averaged over the next 10 years. </w:t>
      </w:r>
      <w:r>
        <w:t>T</w:t>
      </w:r>
      <w:r w:rsidRPr="00A449B8">
        <w:t xml:space="preserve">he number of businesses that may be affected by this policy cannot be derived, </w:t>
      </w:r>
      <w:r>
        <w:t>as while the ABS provides data on businesses and the number of employees they have, it does not indicate how many businesses engage independent contractors and as such would be affected by the proposed policy</w:t>
      </w:r>
      <w:r w:rsidRPr="00A449B8">
        <w:t xml:space="preserve">. </w:t>
      </w:r>
      <w:r>
        <w:t>For this reason, the department has chosen to represent regulatory costs to businesses on a per business basis.</w:t>
      </w:r>
    </w:p>
    <w:p w14:paraId="6146FC19" w14:textId="46DE2C0C" w:rsidR="00126CC8" w:rsidRPr="000077CC" w:rsidRDefault="00126CC8" w:rsidP="00126CC8">
      <w:pPr>
        <w:spacing w:after="160" w:line="259" w:lineRule="auto"/>
        <w:rPr>
          <w:b/>
          <w:bCs/>
        </w:rPr>
      </w:pPr>
      <w:r w:rsidRPr="000077CC">
        <w:rPr>
          <w:b/>
          <w:bCs/>
        </w:rPr>
        <w:t xml:space="preserve">Table </w:t>
      </w:r>
      <w:r w:rsidR="3538A72C" w:rsidRPr="39B012CD">
        <w:rPr>
          <w:b/>
          <w:bCs/>
        </w:rPr>
        <w:t>13</w:t>
      </w:r>
      <w:r w:rsidRPr="000077CC">
        <w:rPr>
          <w:b/>
          <w:bCs/>
        </w:rPr>
        <w:t xml:space="preserve"> – </w:t>
      </w:r>
      <w:r w:rsidR="379A9346" w:rsidRPr="1D1A5495">
        <w:rPr>
          <w:b/>
          <w:bCs/>
        </w:rPr>
        <w:t>C</w:t>
      </w:r>
      <w:r w:rsidRPr="1D1A5495">
        <w:rPr>
          <w:b/>
          <w:bCs/>
        </w:rPr>
        <w:t>osts</w:t>
      </w:r>
      <w:r w:rsidRPr="000077CC">
        <w:rPr>
          <w:b/>
          <w:bCs/>
        </w:rPr>
        <w:t xml:space="preserve"> per business</w:t>
      </w:r>
    </w:p>
    <w:tbl>
      <w:tblPr>
        <w:tblStyle w:val="DESE"/>
        <w:tblpPr w:leftFromText="180" w:rightFromText="180" w:vertAnchor="text" w:tblpY="1"/>
        <w:tblOverlap w:val="never"/>
        <w:tblW w:w="0" w:type="auto"/>
        <w:tblLook w:val="04A0" w:firstRow="1" w:lastRow="0" w:firstColumn="1" w:lastColumn="0" w:noHBand="0" w:noVBand="1"/>
      </w:tblPr>
      <w:tblGrid>
        <w:gridCol w:w="1591"/>
        <w:gridCol w:w="2435"/>
        <w:gridCol w:w="1895"/>
        <w:gridCol w:w="3139"/>
      </w:tblGrid>
      <w:tr w:rsidR="00006CAE" w:rsidRPr="00A449B8" w14:paraId="4804D0B4" w14:textId="77777777" w:rsidTr="00573634">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591" w:type="dxa"/>
            <w:shd w:val="clear" w:color="auto" w:fill="404040" w:themeFill="text1" w:themeFillTint="BF"/>
          </w:tcPr>
          <w:p w14:paraId="20087F74" w14:textId="6613A3D8" w:rsidR="00126CC8" w:rsidRPr="00A449B8" w:rsidRDefault="004523BE" w:rsidP="00464075">
            <w:pPr>
              <w:spacing w:after="0" w:line="259" w:lineRule="auto"/>
              <w:jc w:val="center"/>
              <w:rPr>
                <w:b/>
                <w:bCs/>
              </w:rPr>
            </w:pPr>
            <w:r w:rsidRPr="00D67CFA">
              <w:rPr>
                <w:b/>
                <w:bCs/>
              </w:rPr>
              <w:t>Year</w:t>
            </w:r>
            <w:r w:rsidRPr="00D67CFA" w:rsidDel="004523BE">
              <w:rPr>
                <w:b/>
                <w:bCs/>
              </w:rPr>
              <w:t xml:space="preserve"> </w:t>
            </w:r>
          </w:p>
        </w:tc>
        <w:tc>
          <w:tcPr>
            <w:tcW w:w="2435" w:type="dxa"/>
            <w:shd w:val="clear" w:color="auto" w:fill="404040" w:themeFill="text1" w:themeFillTint="BF"/>
          </w:tcPr>
          <w:p w14:paraId="1A2BB0BC" w14:textId="3669427C" w:rsidR="00126CC8" w:rsidRPr="00464075" w:rsidRDefault="004523BE" w:rsidP="00464075">
            <w:pPr>
              <w:spacing w:after="0" w:line="259" w:lineRule="auto"/>
              <w:jc w:val="center"/>
              <w:cnfStyle w:val="100000000000" w:firstRow="1" w:lastRow="0" w:firstColumn="0" w:lastColumn="0" w:oddVBand="0" w:evenVBand="0" w:oddHBand="0" w:evenHBand="0" w:firstRowFirstColumn="0" w:firstRowLastColumn="0" w:lastRowFirstColumn="0" w:lastRowLastColumn="0"/>
              <w:rPr>
                <w:b/>
              </w:rPr>
            </w:pPr>
            <w:r w:rsidRPr="00D67CFA">
              <w:rPr>
                <w:b/>
                <w:bCs/>
              </w:rPr>
              <w:t>Understanding new obligations</w:t>
            </w:r>
            <w:r w:rsidRPr="00464075" w:rsidDel="004523BE">
              <w:rPr>
                <w:b/>
                <w:bCs/>
              </w:rPr>
              <w:t xml:space="preserve"> </w:t>
            </w:r>
          </w:p>
        </w:tc>
        <w:tc>
          <w:tcPr>
            <w:tcW w:w="1895" w:type="dxa"/>
            <w:shd w:val="clear" w:color="auto" w:fill="404040" w:themeFill="text1" w:themeFillTint="BF"/>
          </w:tcPr>
          <w:p w14:paraId="2B852C20" w14:textId="2910E4E9" w:rsidR="00126CC8" w:rsidRPr="00464075" w:rsidRDefault="004523BE" w:rsidP="00464075">
            <w:pPr>
              <w:spacing w:after="0" w:line="259" w:lineRule="auto"/>
              <w:jc w:val="center"/>
              <w:cnfStyle w:val="100000000000" w:firstRow="1" w:lastRow="0" w:firstColumn="0" w:lastColumn="0" w:oddVBand="0" w:evenVBand="0" w:oddHBand="0" w:evenHBand="0" w:firstRowFirstColumn="0" w:firstRowLastColumn="0" w:lastRowFirstColumn="0" w:lastRowLastColumn="0"/>
              <w:rPr>
                <w:b/>
              </w:rPr>
            </w:pPr>
            <w:r w:rsidRPr="00D67CFA">
              <w:rPr>
                <w:b/>
                <w:bCs/>
              </w:rPr>
              <w:t>Updating contract and other documents</w:t>
            </w:r>
            <w:r w:rsidRPr="00464075" w:rsidDel="004523BE">
              <w:rPr>
                <w:b/>
                <w:bCs/>
              </w:rPr>
              <w:t xml:space="preserve"> </w:t>
            </w:r>
          </w:p>
        </w:tc>
        <w:tc>
          <w:tcPr>
            <w:tcW w:w="3139" w:type="dxa"/>
            <w:shd w:val="clear" w:color="auto" w:fill="404040" w:themeFill="text1" w:themeFillTint="BF"/>
          </w:tcPr>
          <w:p w14:paraId="6F87CE5E" w14:textId="65034066" w:rsidR="00126CC8" w:rsidRPr="00464075" w:rsidRDefault="004523BE" w:rsidP="00464075">
            <w:pPr>
              <w:spacing w:after="0" w:line="259" w:lineRule="auto"/>
              <w:jc w:val="center"/>
              <w:cnfStyle w:val="100000000000" w:firstRow="1" w:lastRow="0" w:firstColumn="0" w:lastColumn="0" w:oddVBand="0" w:evenVBand="0" w:oddHBand="0" w:evenHBand="0" w:firstRowFirstColumn="0" w:firstRowLastColumn="0" w:lastRowFirstColumn="0" w:lastRowLastColumn="0"/>
              <w:rPr>
                <w:b/>
              </w:rPr>
            </w:pPr>
            <w:r w:rsidRPr="00D67CFA">
              <w:rPr>
                <w:b/>
                <w:bCs/>
              </w:rPr>
              <w:t>Total</w:t>
            </w:r>
            <w:r w:rsidRPr="00464075" w:rsidDel="004523BE">
              <w:rPr>
                <w:b/>
                <w:bCs/>
              </w:rPr>
              <w:t xml:space="preserve"> </w:t>
            </w:r>
          </w:p>
        </w:tc>
      </w:tr>
      <w:tr w:rsidR="00AD2258" w:rsidRPr="00A449B8" w14:paraId="533A49D7" w14:textId="77777777" w:rsidTr="00573634">
        <w:trPr>
          <w:trHeight w:val="300"/>
        </w:trPr>
        <w:tc>
          <w:tcPr>
            <w:cnfStyle w:val="001000000000" w:firstRow="0" w:lastRow="0" w:firstColumn="1" w:lastColumn="0" w:oddVBand="0" w:evenVBand="0" w:oddHBand="0" w:evenHBand="0" w:firstRowFirstColumn="0" w:firstRowLastColumn="0" w:lastRowFirstColumn="0" w:lastRowLastColumn="0"/>
            <w:tcW w:w="1591" w:type="dxa"/>
            <w:vAlign w:val="top"/>
          </w:tcPr>
          <w:p w14:paraId="1A3E9ADD" w14:textId="70F1026F" w:rsidR="00AD2258" w:rsidRPr="00A449B8" w:rsidRDefault="00AD2258" w:rsidP="00AD2258">
            <w:pPr>
              <w:spacing w:after="0" w:line="259" w:lineRule="auto"/>
              <w:rPr>
                <w:b/>
                <w:bCs/>
              </w:rPr>
            </w:pPr>
            <w:r>
              <w:rPr>
                <w:b/>
                <w:bCs/>
              </w:rPr>
              <w:t>202</w:t>
            </w:r>
            <w:r w:rsidRPr="00573634">
              <w:rPr>
                <w:b/>
                <w:bCs/>
              </w:rPr>
              <w:t>8</w:t>
            </w:r>
            <w:r w:rsidRPr="00B06B1E">
              <w:rPr>
                <w:b/>
                <w:bCs/>
              </w:rPr>
              <w:t>-2</w:t>
            </w:r>
            <w:r w:rsidRPr="00573634">
              <w:rPr>
                <w:b/>
                <w:bCs/>
              </w:rPr>
              <w:t>9</w:t>
            </w:r>
          </w:p>
        </w:tc>
        <w:tc>
          <w:tcPr>
            <w:tcW w:w="2435" w:type="dxa"/>
            <w:vAlign w:val="top"/>
          </w:tcPr>
          <w:p w14:paraId="50A80057" w14:textId="77777777"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pPr>
            <w:r w:rsidRPr="00A449B8">
              <w:t>= $</w:t>
            </w:r>
            <w:r>
              <w:t>235.58</w:t>
            </w:r>
            <w:r w:rsidRPr="00A449B8">
              <w:t xml:space="preserve"> x 2</w:t>
            </w:r>
            <w:r>
              <w:t>0</w:t>
            </w:r>
            <w:r w:rsidRPr="00A449B8">
              <w:t xml:space="preserve"> hrs</w:t>
            </w:r>
          </w:p>
          <w:p w14:paraId="6EC7D0F2" w14:textId="5821E58B"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pPr>
            <w:r w:rsidRPr="00A449B8">
              <w:t>= $</w:t>
            </w:r>
            <w:r>
              <w:t>4,711.54</w:t>
            </w:r>
          </w:p>
        </w:tc>
        <w:tc>
          <w:tcPr>
            <w:tcW w:w="1895" w:type="dxa"/>
            <w:vAlign w:val="top"/>
          </w:tcPr>
          <w:p w14:paraId="091CE053" w14:textId="77777777"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pPr>
            <w:r w:rsidRPr="00A449B8">
              <w:t>= $</w:t>
            </w:r>
            <w:r>
              <w:t>235.58</w:t>
            </w:r>
            <w:r w:rsidRPr="00A449B8">
              <w:t xml:space="preserve"> x 10</w:t>
            </w:r>
            <w:r>
              <w:t>0</w:t>
            </w:r>
            <w:r w:rsidRPr="00A449B8">
              <w:t xml:space="preserve"> hrs</w:t>
            </w:r>
          </w:p>
          <w:p w14:paraId="02A7CAC1" w14:textId="33D68281"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pPr>
            <w:r w:rsidRPr="00A449B8">
              <w:t xml:space="preserve">= </w:t>
            </w:r>
            <w:r>
              <w:t>$23,557.69</w:t>
            </w:r>
          </w:p>
        </w:tc>
        <w:tc>
          <w:tcPr>
            <w:tcW w:w="3139" w:type="dxa"/>
            <w:vAlign w:val="top"/>
          </w:tcPr>
          <w:p w14:paraId="7A1A04E2" w14:textId="4C6E8EEC"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pPr>
            <w:r w:rsidRPr="00A449B8">
              <w:t>$</w:t>
            </w:r>
            <w:r>
              <w:t>28,269.23</w:t>
            </w:r>
          </w:p>
        </w:tc>
      </w:tr>
      <w:tr w:rsidR="00AD2258" w:rsidRPr="00A449B8" w14:paraId="6A526261" w14:textId="77777777" w:rsidTr="00573634">
        <w:trPr>
          <w:trHeight w:val="300"/>
        </w:trPr>
        <w:tc>
          <w:tcPr>
            <w:cnfStyle w:val="001000000000" w:firstRow="0" w:lastRow="0" w:firstColumn="1" w:lastColumn="0" w:oddVBand="0" w:evenVBand="0" w:oddHBand="0" w:evenHBand="0" w:firstRowFirstColumn="0" w:firstRowLastColumn="0" w:lastRowFirstColumn="0" w:lastRowLastColumn="0"/>
            <w:tcW w:w="1591" w:type="dxa"/>
            <w:vAlign w:val="top"/>
          </w:tcPr>
          <w:p w14:paraId="314ABD1A" w14:textId="5715E03A" w:rsidR="00AD2258" w:rsidRPr="00A449B8" w:rsidRDefault="00AD2258" w:rsidP="00AD2258">
            <w:pPr>
              <w:spacing w:after="0" w:line="259" w:lineRule="auto"/>
              <w:rPr>
                <w:b/>
                <w:bCs/>
              </w:rPr>
            </w:pPr>
            <w:r w:rsidRPr="00B06B1E">
              <w:rPr>
                <w:b/>
                <w:bCs/>
              </w:rPr>
              <w:t>203</w:t>
            </w:r>
            <w:r w:rsidRPr="00573634">
              <w:rPr>
                <w:b/>
                <w:bCs/>
              </w:rPr>
              <w:t>2</w:t>
            </w:r>
            <w:r w:rsidRPr="00B06B1E">
              <w:rPr>
                <w:b/>
                <w:bCs/>
              </w:rPr>
              <w:t>-3</w:t>
            </w:r>
            <w:r w:rsidRPr="00573634">
              <w:rPr>
                <w:b/>
                <w:bCs/>
              </w:rPr>
              <w:t>3</w:t>
            </w:r>
          </w:p>
        </w:tc>
        <w:tc>
          <w:tcPr>
            <w:tcW w:w="2435" w:type="dxa"/>
            <w:vAlign w:val="top"/>
          </w:tcPr>
          <w:p w14:paraId="1B45515C" w14:textId="4C2FEB49"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pPr>
            <w:r w:rsidRPr="00A449B8">
              <w:t>Nil</w:t>
            </w:r>
          </w:p>
        </w:tc>
        <w:tc>
          <w:tcPr>
            <w:tcW w:w="1895" w:type="dxa"/>
            <w:vAlign w:val="top"/>
          </w:tcPr>
          <w:p w14:paraId="7FB198EC" w14:textId="77777777"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pPr>
            <w:r w:rsidRPr="00A449B8">
              <w:t>= $</w:t>
            </w:r>
            <w:r>
              <w:t>235.58</w:t>
            </w:r>
            <w:r w:rsidRPr="00A449B8">
              <w:t xml:space="preserve"> x 1</w:t>
            </w:r>
            <w:r>
              <w:t>0</w:t>
            </w:r>
            <w:r w:rsidRPr="00A449B8">
              <w:t xml:space="preserve"> hr</w:t>
            </w:r>
            <w:r>
              <w:t>s</w:t>
            </w:r>
          </w:p>
          <w:p w14:paraId="4D4EF1C4" w14:textId="5B448719"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pPr>
            <w:r w:rsidRPr="00A449B8">
              <w:t>= $</w:t>
            </w:r>
            <w:r>
              <w:t>2,355.77</w:t>
            </w:r>
          </w:p>
        </w:tc>
        <w:tc>
          <w:tcPr>
            <w:tcW w:w="3139" w:type="dxa"/>
            <w:vAlign w:val="top"/>
          </w:tcPr>
          <w:p w14:paraId="06F46EFC" w14:textId="64FD6FD4"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pPr>
            <w:r w:rsidRPr="00A449B8">
              <w:t>$2</w:t>
            </w:r>
            <w:r>
              <w:t>,355.77</w:t>
            </w:r>
          </w:p>
        </w:tc>
      </w:tr>
      <w:tr w:rsidR="00AD2258" w:rsidRPr="00A449B8" w14:paraId="1EA2B1FF" w14:textId="77777777" w:rsidTr="00573634">
        <w:trPr>
          <w:trHeight w:val="381"/>
        </w:trPr>
        <w:tc>
          <w:tcPr>
            <w:cnfStyle w:val="001000000000" w:firstRow="0" w:lastRow="0" w:firstColumn="1" w:lastColumn="0" w:oddVBand="0" w:evenVBand="0" w:oddHBand="0" w:evenHBand="0" w:firstRowFirstColumn="0" w:firstRowLastColumn="0" w:lastRowFirstColumn="0" w:lastRowLastColumn="0"/>
            <w:tcW w:w="1591" w:type="dxa"/>
            <w:vAlign w:val="top"/>
          </w:tcPr>
          <w:p w14:paraId="75952336" w14:textId="548C04C7" w:rsidR="00AD2258" w:rsidRPr="00A449B8" w:rsidRDefault="00AD2258" w:rsidP="00AD2258">
            <w:pPr>
              <w:spacing w:after="0" w:line="259" w:lineRule="auto"/>
              <w:rPr>
                <w:b/>
                <w:bCs/>
              </w:rPr>
            </w:pPr>
            <w:r w:rsidRPr="00A449B8">
              <w:rPr>
                <w:b/>
                <w:bCs/>
              </w:rPr>
              <w:t>TOTAL</w:t>
            </w:r>
          </w:p>
        </w:tc>
        <w:tc>
          <w:tcPr>
            <w:tcW w:w="2435" w:type="dxa"/>
          </w:tcPr>
          <w:p w14:paraId="7574D81C" w14:textId="0B625103"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pPr>
            <w:r w:rsidRPr="00573634">
              <w:rPr>
                <w:b/>
              </w:rPr>
              <w:t>$4,711.54</w:t>
            </w:r>
          </w:p>
        </w:tc>
        <w:tc>
          <w:tcPr>
            <w:tcW w:w="1895" w:type="dxa"/>
            <w:vAlign w:val="top"/>
          </w:tcPr>
          <w:p w14:paraId="1E939000" w14:textId="68EDCD3A"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pPr>
            <w:r w:rsidRPr="00573634">
              <w:rPr>
                <w:b/>
              </w:rPr>
              <w:t>$2</w:t>
            </w:r>
            <w:r>
              <w:rPr>
                <w:b/>
              </w:rPr>
              <w:t>5,913.46</w:t>
            </w:r>
            <w:r w:rsidRPr="00B27F9D" w:rsidDel="00B27F9D">
              <w:rPr>
                <w:b/>
              </w:rPr>
              <w:t xml:space="preserve"> </w:t>
            </w:r>
          </w:p>
        </w:tc>
        <w:tc>
          <w:tcPr>
            <w:tcW w:w="3139" w:type="dxa"/>
            <w:vAlign w:val="top"/>
          </w:tcPr>
          <w:p w14:paraId="395F789B" w14:textId="1033B245" w:rsidR="00AD2258" w:rsidRPr="00A449B8" w:rsidRDefault="00AD2258" w:rsidP="00AD2258">
            <w:pPr>
              <w:spacing w:after="0" w:line="259" w:lineRule="auto"/>
              <w:cnfStyle w:val="000000000000" w:firstRow="0" w:lastRow="0" w:firstColumn="0" w:lastColumn="0" w:oddVBand="0" w:evenVBand="0" w:oddHBand="0" w:evenHBand="0" w:firstRowFirstColumn="0" w:firstRowLastColumn="0" w:lastRowFirstColumn="0" w:lastRowLastColumn="0"/>
              <w:rPr>
                <w:b/>
                <w:bCs/>
              </w:rPr>
            </w:pPr>
            <w:r w:rsidRPr="00573634">
              <w:rPr>
                <w:b/>
              </w:rPr>
              <w:t>$3</w:t>
            </w:r>
            <w:r>
              <w:rPr>
                <w:b/>
              </w:rPr>
              <w:t>0,625.00</w:t>
            </w:r>
          </w:p>
        </w:tc>
      </w:tr>
    </w:tbl>
    <w:p w14:paraId="368B0B1F" w14:textId="2D63DAF3" w:rsidR="00126CC8" w:rsidRPr="00A449B8" w:rsidRDefault="00126CC8" w:rsidP="00126CC8">
      <w:pPr>
        <w:spacing w:after="160" w:line="259" w:lineRule="auto"/>
        <w:rPr>
          <w:u w:val="single"/>
        </w:rPr>
      </w:pPr>
      <w:r w:rsidRPr="00A449B8">
        <w:rPr>
          <w:u w:val="single"/>
        </w:rPr>
        <w:t xml:space="preserve">Ongoing </w:t>
      </w:r>
      <w:r w:rsidR="00C41C02">
        <w:rPr>
          <w:u w:val="single"/>
        </w:rPr>
        <w:t xml:space="preserve">costs </w:t>
      </w:r>
      <w:r w:rsidR="00E313F0">
        <w:rPr>
          <w:u w:val="single"/>
        </w:rPr>
        <w:t>–</w:t>
      </w:r>
      <w:r w:rsidRPr="00A449B8">
        <w:rPr>
          <w:u w:val="single"/>
        </w:rPr>
        <w:t xml:space="preserve"> record-keeping </w:t>
      </w:r>
    </w:p>
    <w:p w14:paraId="0F36787C" w14:textId="5C190138" w:rsidR="00126CC8" w:rsidRPr="00A449B8" w:rsidRDefault="00126CC8" w:rsidP="004B4F63">
      <w:r w:rsidRPr="00A449B8">
        <w:t xml:space="preserve">The department assumes that minimum standards would include a record-keeping component. It is unlikely that this would present a significant burden on businesses. The department estimates that it would take one worker in a business </w:t>
      </w:r>
      <w:r w:rsidR="007624EB">
        <w:t>1</w:t>
      </w:r>
      <w:r w:rsidR="008D589F">
        <w:t>5</w:t>
      </w:r>
      <w:r w:rsidRPr="00A449B8">
        <w:t xml:space="preserve"> minutes per worker every two weeks to prepare records detailing their payment. Over a year, this would occur 26 times.</w:t>
      </w:r>
      <w:r w:rsidR="003C1A7E">
        <w:t xml:space="preserve"> This is </w:t>
      </w:r>
      <w:r w:rsidR="00200033">
        <w:t>different</w:t>
      </w:r>
      <w:r w:rsidR="003C1A7E">
        <w:t xml:space="preserve"> to the cost estimate for digital platforms as it is assumed </w:t>
      </w:r>
      <w:r w:rsidR="00200033">
        <w:t xml:space="preserve">digital platforms will include record keeping in their IT system updates, whereas road transport businesses are less likely to have complex IT systems. </w:t>
      </w:r>
    </w:p>
    <w:p w14:paraId="668EB192" w14:textId="3EF8FEB9" w:rsidR="7928D71E" w:rsidRDefault="7928D71E" w:rsidP="7615283D">
      <w:pPr>
        <w:rPr>
          <w:b/>
        </w:rPr>
      </w:pPr>
      <w:r w:rsidRPr="07FDCDD9">
        <w:rPr>
          <w:b/>
          <w:bCs/>
        </w:rPr>
        <w:t xml:space="preserve">Table 15 – </w:t>
      </w:r>
      <w:r w:rsidR="00FA443F">
        <w:rPr>
          <w:b/>
          <w:bCs/>
        </w:rPr>
        <w:t>Ongoing</w:t>
      </w:r>
      <w:r w:rsidRPr="07FDCDD9">
        <w:rPr>
          <w:b/>
          <w:bCs/>
        </w:rPr>
        <w:t xml:space="preserve"> compliance cost per worker per business</w:t>
      </w:r>
    </w:p>
    <w:tbl>
      <w:tblPr>
        <w:tblStyle w:val="DESE"/>
        <w:tblW w:w="0" w:type="auto"/>
        <w:tblLook w:val="04A0" w:firstRow="1" w:lastRow="0" w:firstColumn="1" w:lastColumn="0" w:noHBand="0" w:noVBand="1"/>
      </w:tblPr>
      <w:tblGrid>
        <w:gridCol w:w="3539"/>
      </w:tblGrid>
      <w:tr w:rsidR="00126CC8" w:rsidRPr="00A449B8" w14:paraId="64D482E6" w14:textId="77777777" w:rsidTr="00A54C6D">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39" w:type="dxa"/>
          </w:tcPr>
          <w:p w14:paraId="37B8E6D1" w14:textId="46ED0ED6" w:rsidR="00126CC8" w:rsidRPr="00A449B8" w:rsidRDefault="00126CC8">
            <w:pPr>
              <w:spacing w:after="160" w:line="259" w:lineRule="auto"/>
              <w:jc w:val="center"/>
              <w:rPr>
                <w:b/>
                <w:bCs/>
              </w:rPr>
            </w:pPr>
            <w:r w:rsidRPr="00A449B8">
              <w:rPr>
                <w:b/>
                <w:bCs/>
              </w:rPr>
              <w:t>Compliance cost (per worker)</w:t>
            </w:r>
          </w:p>
        </w:tc>
      </w:tr>
      <w:tr w:rsidR="00126CC8" w:rsidRPr="00A449B8" w14:paraId="5388AFF0" w14:textId="77777777" w:rsidTr="00A54C6D">
        <w:trPr>
          <w:trHeight w:val="938"/>
        </w:trPr>
        <w:tc>
          <w:tcPr>
            <w:cnfStyle w:val="001000000000" w:firstRow="0" w:lastRow="0" w:firstColumn="1" w:lastColumn="0" w:oddVBand="0" w:evenVBand="0" w:oddHBand="0" w:evenHBand="0" w:firstRowFirstColumn="0" w:firstRowLastColumn="0" w:lastRowFirstColumn="0" w:lastRowLastColumn="0"/>
            <w:tcW w:w="3539" w:type="dxa"/>
          </w:tcPr>
          <w:p w14:paraId="47AE9F40" w14:textId="4893262E" w:rsidR="00126CC8" w:rsidRPr="00A449B8" w:rsidRDefault="00126CC8">
            <w:pPr>
              <w:spacing w:after="160" w:line="259" w:lineRule="auto"/>
            </w:pPr>
            <w:r w:rsidRPr="00A449B8">
              <w:t xml:space="preserve">= $79.63 x </w:t>
            </w:r>
            <w:r w:rsidR="0064289F">
              <w:t>15</w:t>
            </w:r>
            <w:r w:rsidRPr="00A449B8">
              <w:t xml:space="preserve"> minutes x 26</w:t>
            </w:r>
          </w:p>
          <w:p w14:paraId="11203118" w14:textId="502C9371" w:rsidR="00126CC8" w:rsidRPr="00A449B8" w:rsidRDefault="00126CC8">
            <w:pPr>
              <w:spacing w:after="160" w:line="259" w:lineRule="auto"/>
            </w:pPr>
            <w:r w:rsidRPr="00A449B8">
              <w:t>= $</w:t>
            </w:r>
            <w:r w:rsidR="0064289F">
              <w:t>517.60</w:t>
            </w:r>
            <w:r w:rsidRPr="00A449B8">
              <w:t xml:space="preserve"> per year</w:t>
            </w:r>
          </w:p>
        </w:tc>
      </w:tr>
    </w:tbl>
    <w:p w14:paraId="3F404040" w14:textId="77777777" w:rsidR="00B677D8" w:rsidRDefault="00B677D8" w:rsidP="00B677D8"/>
    <w:p w14:paraId="02077C0E" w14:textId="3DA43912" w:rsidR="00B677D8" w:rsidRDefault="00333AAA" w:rsidP="00573634">
      <w:r>
        <w:t>As above, it is expected that this cost will come into effect in 2028-29 and be incurred every year from 2028-29 onwards. This gives a ten-year total cost of $2,587.98 and an average annual cost of $258.80.</w:t>
      </w:r>
    </w:p>
    <w:p w14:paraId="0B0AFDD2" w14:textId="3C040A2F" w:rsidR="00B15C89" w:rsidRDefault="0085173A" w:rsidP="00744636">
      <w:pPr>
        <w:pStyle w:val="Heading6"/>
        <w:spacing w:after="200"/>
      </w:pPr>
      <w:r>
        <w:t xml:space="preserve">Compliance with </w:t>
      </w:r>
      <w:r w:rsidR="00501788">
        <w:t>unfair contract termination protections</w:t>
      </w:r>
    </w:p>
    <w:p w14:paraId="455BFD5A" w14:textId="1638F02B" w:rsidR="00501788" w:rsidRPr="00A063C4" w:rsidRDefault="00501788" w:rsidP="00501788">
      <w:r>
        <w:t xml:space="preserve">There are additional regulatory costs for businesses engaging </w:t>
      </w:r>
      <w:r w:rsidR="009C24A0">
        <w:t xml:space="preserve">road transport workers </w:t>
      </w:r>
      <w:r>
        <w:t xml:space="preserve">who will be able to dispute an unfair contract termination at the Fair Work Commission. These costs </w:t>
      </w:r>
      <w:r w:rsidR="00D66752">
        <w:t>would include</w:t>
      </w:r>
      <w:r>
        <w:t xml:space="preserve"> implementing new policies and procedures to ensure that terminations of contracts are compliant. For example, this may include steps to afford the other party procedural fairness. </w:t>
      </w:r>
    </w:p>
    <w:p w14:paraId="18776F44" w14:textId="2E1B1A22" w:rsidR="000419BA" w:rsidRPr="00A063C4" w:rsidRDefault="003B22EA" w:rsidP="000419BA">
      <w:r>
        <w:t>Consistent with the assumptions set out in Option 2, t</w:t>
      </w:r>
      <w:r w:rsidR="000419BA" w:rsidRPr="00A063C4">
        <w:t>he department estimates that it would take a business 2</w:t>
      </w:r>
      <w:r w:rsidR="00F22F9B">
        <w:t>0</w:t>
      </w:r>
      <w:r w:rsidR="000419BA" w:rsidRPr="00A063C4">
        <w:t xml:space="preserve"> hours to understand the new obligations and a further 10</w:t>
      </w:r>
      <w:r w:rsidR="00F22F9B">
        <w:t>0</w:t>
      </w:r>
      <w:r w:rsidR="000419BA" w:rsidRPr="00A063C4">
        <w:t xml:space="preserve"> hours to develop policies and procedures to ensure that future contract terminations are compliant. </w:t>
      </w:r>
      <w:r w:rsidR="00111CF9">
        <w:t xml:space="preserve">This work would be undertaken by a legal professional. </w:t>
      </w:r>
      <w:r w:rsidR="006C7897">
        <w:t>This cost is expected to be incurred only once.</w:t>
      </w:r>
    </w:p>
    <w:p w14:paraId="38F4541A" w14:textId="021F1CA5" w:rsidR="000419BA" w:rsidRPr="00A063C4" w:rsidRDefault="000419BA" w:rsidP="000419BA">
      <w:r w:rsidRPr="00A063C4">
        <w:t>There is no available data on how many businesses engage independent contractors. However, the per business cost is estimated as $</w:t>
      </w:r>
      <w:r w:rsidR="00542913">
        <w:t>28,269.23</w:t>
      </w:r>
      <w:r w:rsidRPr="00A063C4">
        <w:t xml:space="preserve">, including time to understand new obligations and to implement policies and procedures to ensure that any contract terminations are compliant. </w:t>
      </w:r>
    </w:p>
    <w:p w14:paraId="104B3F77" w14:textId="152C315D" w:rsidR="000419BA" w:rsidRPr="00A063C4" w:rsidRDefault="000419BA" w:rsidP="000419BA">
      <w:r w:rsidRPr="00A063C4">
        <w:t>= (2</w:t>
      </w:r>
      <w:r w:rsidR="00361193">
        <w:t>0</w:t>
      </w:r>
      <w:r w:rsidRPr="00A063C4">
        <w:t xml:space="preserve"> hours x $</w:t>
      </w:r>
      <w:r w:rsidR="009522F0">
        <w:t>235.58</w:t>
      </w:r>
      <w:r w:rsidRPr="00A063C4">
        <w:t>) + (10</w:t>
      </w:r>
      <w:r w:rsidR="00361193">
        <w:t>0</w:t>
      </w:r>
      <w:r w:rsidRPr="00A063C4">
        <w:t xml:space="preserve"> hours x $</w:t>
      </w:r>
      <w:r w:rsidR="009522F0">
        <w:t>235.58</w:t>
      </w:r>
      <w:r w:rsidRPr="00A063C4">
        <w:t>)</w:t>
      </w:r>
    </w:p>
    <w:p w14:paraId="31CE7FCA" w14:textId="49C7438B" w:rsidR="000419BA" w:rsidRPr="00A063C4" w:rsidRDefault="000419BA" w:rsidP="000419BA">
      <w:r w:rsidRPr="00A063C4">
        <w:t>= $</w:t>
      </w:r>
      <w:r w:rsidR="009B7C98">
        <w:t xml:space="preserve">4,711.54 </w:t>
      </w:r>
      <w:r w:rsidR="00C72090" w:rsidRPr="00A063C4">
        <w:t xml:space="preserve">+ </w:t>
      </w:r>
      <w:r w:rsidR="009B7C98">
        <w:t>$</w:t>
      </w:r>
      <w:r w:rsidR="00C72090">
        <w:t>23</w:t>
      </w:r>
      <w:r w:rsidR="009B7C98">
        <w:t>,557.69</w:t>
      </w:r>
      <w:r w:rsidR="00C72090">
        <w:t xml:space="preserve"> </w:t>
      </w:r>
    </w:p>
    <w:p w14:paraId="5A092DC4" w14:textId="637594ED" w:rsidR="000419BA" w:rsidRPr="00A063C4" w:rsidRDefault="000419BA" w:rsidP="000419BA">
      <w:r w:rsidRPr="00A063C4">
        <w:t xml:space="preserve">= </w:t>
      </w:r>
      <w:r w:rsidRPr="00A063C4">
        <w:rPr>
          <w:b/>
          <w:bCs/>
        </w:rPr>
        <w:t>$</w:t>
      </w:r>
      <w:r w:rsidR="009B7C98">
        <w:rPr>
          <w:b/>
          <w:bCs/>
        </w:rPr>
        <w:t>28,269.23</w:t>
      </w:r>
      <w:r w:rsidRPr="00A063C4">
        <w:rPr>
          <w:b/>
          <w:bCs/>
        </w:rPr>
        <w:t xml:space="preserve"> per business</w:t>
      </w:r>
      <w:r w:rsidR="00C2439A">
        <w:rPr>
          <w:b/>
          <w:bCs/>
        </w:rPr>
        <w:t xml:space="preserve"> engaging </w:t>
      </w:r>
      <w:r w:rsidR="00612908">
        <w:rPr>
          <w:b/>
          <w:bCs/>
        </w:rPr>
        <w:t>independent contractors</w:t>
      </w:r>
      <w:r w:rsidRPr="00A063C4">
        <w:t>.</w:t>
      </w:r>
    </w:p>
    <w:p w14:paraId="028BB6D8" w14:textId="5B6E8218" w:rsidR="003A6957" w:rsidRDefault="003A6957" w:rsidP="00A54C6D">
      <w:pPr>
        <w:pStyle w:val="Heading6"/>
        <w:spacing w:after="200"/>
      </w:pPr>
      <w:r>
        <w:t>Total compliance costs</w:t>
      </w:r>
    </w:p>
    <w:p w14:paraId="547C0E7B" w14:textId="3C2648B1" w:rsidR="004F1621" w:rsidRDefault="004F1621" w:rsidP="000419BA">
      <w:r w:rsidRPr="00A063C4">
        <w:t xml:space="preserve">The department estimates that the total impact would be a maximum </w:t>
      </w:r>
      <w:r>
        <w:t xml:space="preserve">business cost </w:t>
      </w:r>
      <w:r w:rsidRPr="00A063C4">
        <w:t xml:space="preserve">of </w:t>
      </w:r>
      <w:r>
        <w:t>$5,889.42 per business and</w:t>
      </w:r>
      <w:r w:rsidR="004D1A7A">
        <w:t xml:space="preserve"> $258.80 per worker </w:t>
      </w:r>
      <w:r>
        <w:t>per year over 10 years</w:t>
      </w:r>
      <w:r w:rsidRPr="00A063C4">
        <w:t xml:space="preserve"> (combination of the initial and ongoing costs).</w:t>
      </w:r>
    </w:p>
    <w:p w14:paraId="5E9FFD91" w14:textId="6118F015" w:rsidR="006C7897" w:rsidRDefault="006C7897" w:rsidP="00573634">
      <w:pPr>
        <w:spacing w:before="240"/>
      </w:pPr>
      <w:r>
        <w:t>This figure is calculated by adding the initial costs of $30,625.00</w:t>
      </w:r>
      <w:r w:rsidR="002E2FA3">
        <w:t xml:space="preserve"> per business to the ongoing costs of record keeping of $2,587.98 per worker (total cost over the ten years), and the compliance with unfair contract termination protections </w:t>
      </w:r>
      <w:r w:rsidR="006D18FF">
        <w:t>of $28,269.23 per business. This totals to $58,894.23 per business plus $2,587.98 per worker, giving an average annualised estimate of $5,889.42 per business and $258.80 per worker.</w:t>
      </w:r>
    </w:p>
    <w:p w14:paraId="6AB136B4" w14:textId="4B733F27" w:rsidR="00B34122" w:rsidRPr="009074A7" w:rsidRDefault="00D66752" w:rsidP="00F9171A">
      <w:pPr>
        <w:pStyle w:val="Heading6"/>
        <w:spacing w:after="200"/>
      </w:pPr>
      <w:r>
        <w:t>Economic</w:t>
      </w:r>
      <w:r w:rsidR="00B34122" w:rsidRPr="009074A7">
        <w:t xml:space="preserve"> </w:t>
      </w:r>
      <w:r w:rsidR="00B34122">
        <w:t>impact</w:t>
      </w:r>
      <w:r w:rsidR="00B34122" w:rsidRPr="009074A7">
        <w:t xml:space="preserve"> of minimum standards</w:t>
      </w:r>
    </w:p>
    <w:p w14:paraId="2B8C85D6" w14:textId="015DFC08" w:rsidR="00B34122" w:rsidRDefault="00B34122" w:rsidP="004B4F63">
      <w:r>
        <w:t xml:space="preserve">Introducing minimum standards for </w:t>
      </w:r>
      <w:r w:rsidR="000419BA" w:rsidRPr="00A063C4">
        <w:t>road transport</w:t>
      </w:r>
      <w:r>
        <w:t xml:space="preserve"> workers will have a direct </w:t>
      </w:r>
      <w:r w:rsidR="00D66752">
        <w:t>economic</w:t>
      </w:r>
      <w:r>
        <w:t xml:space="preserve"> impact on:</w:t>
      </w:r>
    </w:p>
    <w:p w14:paraId="48F7328A" w14:textId="0D9A82F2" w:rsidR="00B34122" w:rsidRDefault="00863616" w:rsidP="000C31C4">
      <w:pPr>
        <w:pStyle w:val="ListParagraph"/>
        <w:numPr>
          <w:ilvl w:val="0"/>
          <w:numId w:val="29"/>
        </w:numPr>
        <w:spacing w:line="276" w:lineRule="auto"/>
        <w:ind w:left="714" w:hanging="357"/>
        <w:contextualSpacing w:val="0"/>
      </w:pPr>
      <w:r w:rsidRPr="20EC82BA">
        <w:rPr>
          <w:b/>
          <w:bCs/>
        </w:rPr>
        <w:t xml:space="preserve">entities engaging independent contractors providing </w:t>
      </w:r>
      <w:r w:rsidR="000419BA" w:rsidRPr="20EC82BA">
        <w:rPr>
          <w:b/>
          <w:bCs/>
        </w:rPr>
        <w:t>road transport</w:t>
      </w:r>
      <w:r w:rsidRPr="20EC82BA">
        <w:rPr>
          <w:b/>
          <w:bCs/>
        </w:rPr>
        <w:t xml:space="preserve"> services </w:t>
      </w:r>
      <w:r w:rsidR="00B34122">
        <w:t>who will have to pay minimum pay rates and entitlements.</w:t>
      </w:r>
    </w:p>
    <w:p w14:paraId="4E5AC321" w14:textId="7B9E2EB1" w:rsidR="00B34122" w:rsidRDefault="00B34122" w:rsidP="000C31C4">
      <w:pPr>
        <w:pStyle w:val="ListParagraph"/>
        <w:numPr>
          <w:ilvl w:val="0"/>
          <w:numId w:val="29"/>
        </w:numPr>
        <w:spacing w:line="276" w:lineRule="auto"/>
        <w:ind w:left="714" w:hanging="357"/>
        <w:contextualSpacing w:val="0"/>
      </w:pPr>
      <w:r w:rsidRPr="20EC82BA">
        <w:rPr>
          <w:b/>
          <w:bCs/>
        </w:rPr>
        <w:t xml:space="preserve">independent contractors providing </w:t>
      </w:r>
      <w:r w:rsidR="000419BA" w:rsidRPr="20EC82BA">
        <w:rPr>
          <w:b/>
          <w:bCs/>
        </w:rPr>
        <w:t>road transport</w:t>
      </w:r>
      <w:r w:rsidRPr="20EC82BA">
        <w:rPr>
          <w:b/>
          <w:bCs/>
        </w:rPr>
        <w:t xml:space="preserve"> services</w:t>
      </w:r>
      <w:r>
        <w:t xml:space="preserve"> who will receive minimum pay rates and entitlements. </w:t>
      </w:r>
    </w:p>
    <w:p w14:paraId="1C25525F" w14:textId="13CA5544" w:rsidR="00F7471B" w:rsidRDefault="00B16AC0" w:rsidP="00B16AC0">
      <w:r w:rsidRPr="00A063C4">
        <w:t xml:space="preserve">The department has estimated the impact of the Fair Work Commission issuing a hypothetical order to set pay rates for </w:t>
      </w:r>
      <w:r w:rsidR="00AC799F">
        <w:t xml:space="preserve">a </w:t>
      </w:r>
      <w:r w:rsidR="002B0194">
        <w:t>subset</w:t>
      </w:r>
      <w:r w:rsidRPr="00A063C4">
        <w:t xml:space="preserve"> </w:t>
      </w:r>
      <w:r w:rsidR="004150F2" w:rsidRPr="00A063C4">
        <w:t xml:space="preserve">of </w:t>
      </w:r>
      <w:r w:rsidR="00AC799F">
        <w:t>last mile delivery</w:t>
      </w:r>
      <w:r w:rsidR="004150F2" w:rsidRPr="00A063C4">
        <w:t xml:space="preserve"> workers </w:t>
      </w:r>
      <w:r w:rsidRPr="00A063C4">
        <w:t xml:space="preserve">at the level of the permanent full-time employee rate under the Road Transport and Distribution Award 2020. </w:t>
      </w:r>
      <w:r w:rsidR="00B612AD">
        <w:t>This is an illustrative example to show the difference in pay rates between the award rates and minimum standards</w:t>
      </w:r>
      <w:r w:rsidR="009011D6">
        <w:t>. The actual costs will depend on the decisions that are made by the Fair Work Commission. However, a</w:t>
      </w:r>
      <w:r w:rsidR="29C3BFA5">
        <w:t>s indicated in ‘Sce</w:t>
      </w:r>
      <w:r w:rsidR="2A2708F5">
        <w:t xml:space="preserve">nario 3’, the department estimates that this cohort is likely to become the subject of a Fair Work Commission </w:t>
      </w:r>
      <w:r w:rsidR="0F79354A">
        <w:t>road transport</w:t>
      </w:r>
      <w:r w:rsidR="2A2708F5">
        <w:t xml:space="preserve"> </w:t>
      </w:r>
      <w:r w:rsidR="0F79354A">
        <w:t xml:space="preserve">minimum standards order. This is due to its competition with the digital platform economy and </w:t>
      </w:r>
      <w:r w:rsidR="00F7471B">
        <w:t>feedback received during stakeholder consultation</w:t>
      </w:r>
      <w:r w:rsidR="00E82BFF">
        <w:t xml:space="preserve"> suggesting that this may be a priority cohort for minimum standards</w:t>
      </w:r>
      <w:r w:rsidR="6C252609">
        <w:t xml:space="preserve">. </w:t>
      </w:r>
      <w:r w:rsidR="7D281C5A">
        <w:t>Consequently, this cohort has been chosen to estimate the impacts of the regulation.</w:t>
      </w:r>
      <w:r w:rsidR="6C252609">
        <w:t xml:space="preserve"> </w:t>
      </w:r>
    </w:p>
    <w:p w14:paraId="5A744FA6" w14:textId="1393C841" w:rsidR="00B16AC0" w:rsidRPr="00A063C4" w:rsidRDefault="004113D3" w:rsidP="00B16AC0">
      <w:r>
        <w:t xml:space="preserve">There is </w:t>
      </w:r>
      <w:r w:rsidR="00733F32">
        <w:t>also</w:t>
      </w:r>
      <w:r>
        <w:t xml:space="preserve"> no data available on how many employees work at </w:t>
      </w:r>
      <w:r w:rsidR="6F9BFE40">
        <w:t xml:space="preserve">specific </w:t>
      </w:r>
      <w:r>
        <w:t xml:space="preserve">pay points of the award, </w:t>
      </w:r>
      <w:r w:rsidR="00D94B0E">
        <w:t xml:space="preserve">so </w:t>
      </w:r>
      <w:r w:rsidR="009E030C">
        <w:t>Transport Worker Grade</w:t>
      </w:r>
      <w:r w:rsidR="7B140096">
        <w:t>s 1 and</w:t>
      </w:r>
      <w:r w:rsidR="009E030C">
        <w:t xml:space="preserve"> 2 has been used as a comparator</w:t>
      </w:r>
      <w:r>
        <w:t xml:space="preserve"> </w:t>
      </w:r>
      <w:r w:rsidR="00363DDF">
        <w:t>as a potential option for the minimum standards.</w:t>
      </w:r>
      <w:r>
        <w:t xml:space="preserve"> </w:t>
      </w:r>
      <w:r w:rsidR="00B16AC0" w:rsidRPr="00A063C4">
        <w:t xml:space="preserve">The permanent employee hourly rate has been used rather than the casual hourly rate due to additional checks and balances applying to the proposed road transport jurisdiction, compared to those applying to digital platform workers. In particular, </w:t>
      </w:r>
      <w:r w:rsidR="00EF4B5D">
        <w:t xml:space="preserve">as </w:t>
      </w:r>
      <w:r w:rsidR="00B16AC0" w:rsidRPr="00A063C4">
        <w:t>legislation would provide that the Fair Work Commission must be satisfied that any Road Transport Order would not unduly impact viability in the road transport industry</w:t>
      </w:r>
      <w:r w:rsidR="00EF4B5D">
        <w:t>, a lower estimated rate is appropriate</w:t>
      </w:r>
      <w:r w:rsidR="00B16AC0" w:rsidRPr="00A063C4">
        <w:t xml:space="preserve">. </w:t>
      </w:r>
      <w:r w:rsidR="00B16AC0" w:rsidRPr="00A7142C">
        <w:t>Additionally, independent contractors in this sector are much more likely to be working full-time, in a manner closer to a permanent employee.</w:t>
      </w:r>
      <w:r w:rsidR="00B16AC0" w:rsidRPr="00A063C4">
        <w:t xml:space="preserve"> </w:t>
      </w:r>
    </w:p>
    <w:p w14:paraId="3B208964" w14:textId="2E1EEA4E" w:rsidR="00B16AC0" w:rsidRDefault="00B16AC0" w:rsidP="00B16AC0">
      <w:r w:rsidRPr="00DA259A">
        <w:t xml:space="preserve">Given that the median rate of pay for full-time </w:t>
      </w:r>
      <w:r w:rsidR="001302EB" w:rsidRPr="00573634">
        <w:t>last mile</w:t>
      </w:r>
      <w:r w:rsidR="00C169A5">
        <w:t xml:space="preserve"> delivery</w:t>
      </w:r>
      <w:r w:rsidR="001302EB" w:rsidRPr="00573634">
        <w:t xml:space="preserve"> </w:t>
      </w:r>
      <w:r w:rsidRPr="00DA259A">
        <w:t>owner managers</w:t>
      </w:r>
      <w:r w:rsidR="000F309A">
        <w:t xml:space="preserve"> without employees</w:t>
      </w:r>
      <w:r w:rsidR="003044CE" w:rsidRPr="00573634">
        <w:rPr>
          <w:rStyle w:val="FootnoteReference"/>
        </w:rPr>
        <w:footnoteReference w:id="137"/>
      </w:r>
      <w:r w:rsidRPr="00DA259A">
        <w:t xml:space="preserve"> is $1,000-$1,249, and that the full-time permanent weekly award rates over the same period were $818.30 - </w:t>
      </w:r>
      <w:r w:rsidR="28C3E3BE" w:rsidRPr="00DA259A">
        <w:t>$</w:t>
      </w:r>
      <w:r w:rsidRPr="00DA259A">
        <w:t xml:space="preserve">838.90, the department has also compared the full-time casual weekly award rate to the median earnings derived from the Census (see table below). Both the permanent and casual full-time weekly award rate is lower than the median earnings of owner managers in the </w:t>
      </w:r>
      <w:r w:rsidR="00635139" w:rsidRPr="00573634">
        <w:t xml:space="preserve">last mile </w:t>
      </w:r>
      <w:r w:rsidR="00C169A5">
        <w:t xml:space="preserve">delivery </w:t>
      </w:r>
      <w:r w:rsidRPr="00DA259A">
        <w:t>sector</w:t>
      </w:r>
      <w:r w:rsidR="00C60C88" w:rsidRPr="00DA259A">
        <w:t>,</w:t>
      </w:r>
      <w:r w:rsidRPr="00DF7C50">
        <w:rPr>
          <w:rStyle w:val="FootnoteReference"/>
        </w:rPr>
        <w:footnoteReference w:id="138"/>
      </w:r>
      <w:r w:rsidRPr="00DA259A">
        <w:t xml:space="preserve"> although at least one-sixth (</w:t>
      </w:r>
      <w:r w:rsidR="00CD19BF" w:rsidRPr="00573634">
        <w:t>18.</w:t>
      </w:r>
      <w:r w:rsidR="00F53BC2" w:rsidRPr="00573634">
        <w:t>5</w:t>
      </w:r>
      <w:r w:rsidR="00322B2A" w:rsidRPr="00DA259A">
        <w:t xml:space="preserve"> </w:t>
      </w:r>
      <w:r w:rsidRPr="00DA259A">
        <w:t>per cent) of this cohort had weekly earnings below the full-time permanent weekly award rate.</w:t>
      </w:r>
      <w:r w:rsidRPr="00A063C4">
        <w:t xml:space="preserve"> </w:t>
      </w:r>
    </w:p>
    <w:p w14:paraId="292B2BDE" w14:textId="7A5A3F7B" w:rsidR="6ADD5A32" w:rsidRDefault="6ADD5A32" w:rsidP="7E12594A">
      <w:pPr>
        <w:rPr>
          <w:b/>
          <w:bCs/>
        </w:rPr>
      </w:pPr>
      <w:r w:rsidRPr="00EC7443">
        <w:rPr>
          <w:b/>
        </w:rPr>
        <w:t>Table 16</w:t>
      </w:r>
      <w:r w:rsidRPr="006C187D">
        <w:rPr>
          <w:b/>
          <w:bCs/>
        </w:rPr>
        <w:t xml:space="preserve"> – full-time weekly pay rates for owner-managers in the </w:t>
      </w:r>
      <w:r w:rsidR="00E10676">
        <w:rPr>
          <w:b/>
          <w:bCs/>
        </w:rPr>
        <w:t xml:space="preserve">last mile </w:t>
      </w:r>
      <w:r w:rsidR="00A22962">
        <w:rPr>
          <w:b/>
          <w:bCs/>
        </w:rPr>
        <w:t>delivery</w:t>
      </w:r>
      <w:r w:rsidRPr="006C187D">
        <w:rPr>
          <w:b/>
          <w:bCs/>
        </w:rPr>
        <w:t xml:space="preserve"> industry</w:t>
      </w:r>
    </w:p>
    <w:tbl>
      <w:tblPr>
        <w:tblStyle w:val="DESE"/>
        <w:tblW w:w="9067" w:type="dxa"/>
        <w:tblLayout w:type="fixed"/>
        <w:tblLook w:val="04A0" w:firstRow="1" w:lastRow="0" w:firstColumn="1" w:lastColumn="0" w:noHBand="0" w:noVBand="1"/>
      </w:tblPr>
      <w:tblGrid>
        <w:gridCol w:w="2266"/>
        <w:gridCol w:w="2267"/>
        <w:gridCol w:w="2267"/>
        <w:gridCol w:w="2267"/>
      </w:tblGrid>
      <w:tr w:rsidR="001E20AC" w:rsidRPr="00A063C4" w14:paraId="1D46B3FD" w14:textId="77777777" w:rsidTr="030C8BA2">
        <w:trPr>
          <w:cnfStyle w:val="100000000000" w:firstRow="1" w:lastRow="0" w:firstColumn="0" w:lastColumn="0" w:oddVBand="0" w:evenVBand="0" w:oddHBand="0" w:evenHBand="0" w:firstRowFirstColumn="0" w:firstRowLastColumn="0" w:lastRowFirstColumn="0" w:lastRowLastColumn="0"/>
          <w:trHeight w:val="1550"/>
        </w:trPr>
        <w:tc>
          <w:tcPr>
            <w:cnfStyle w:val="001000000100" w:firstRow="0" w:lastRow="0" w:firstColumn="1" w:lastColumn="0" w:oddVBand="0" w:evenVBand="0" w:oddHBand="0" w:evenHBand="0" w:firstRowFirstColumn="1" w:firstRowLastColumn="0" w:lastRowFirstColumn="0" w:lastRowLastColumn="0"/>
            <w:tcW w:w="0" w:type="dxa"/>
          </w:tcPr>
          <w:p w14:paraId="6A43A55B" w14:textId="3EDF9A75" w:rsidR="00B16AC0" w:rsidRPr="003E79B2" w:rsidRDefault="00B16AC0" w:rsidP="003E79B2">
            <w:pPr>
              <w:spacing w:after="160" w:line="259" w:lineRule="auto"/>
              <w:jc w:val="center"/>
              <w:rPr>
                <w:b/>
                <w:bCs/>
              </w:rPr>
            </w:pPr>
            <w:r w:rsidRPr="003E79B2">
              <w:rPr>
                <w:b/>
                <w:bCs/>
              </w:rPr>
              <w:t>Relevant standard or estimate of rates paid</w:t>
            </w:r>
          </w:p>
        </w:tc>
        <w:tc>
          <w:tcPr>
            <w:tcW w:w="0" w:type="dxa"/>
          </w:tcPr>
          <w:p w14:paraId="402B80B4" w14:textId="17AF8F24" w:rsidR="00B16AC0" w:rsidRPr="003E79B2" w:rsidRDefault="00B16AC0" w:rsidP="003E79B2">
            <w:pPr>
              <w:spacing w:after="160" w:line="259" w:lineRule="auto"/>
              <w:jc w:val="center"/>
              <w:cnfStyle w:val="100000000000" w:firstRow="1" w:lastRow="0" w:firstColumn="0" w:lastColumn="0" w:oddVBand="0" w:evenVBand="0" w:oddHBand="0" w:evenHBand="0" w:firstRowFirstColumn="0" w:firstRowLastColumn="0" w:lastRowFirstColumn="0" w:lastRowLastColumn="0"/>
              <w:rPr>
                <w:b/>
                <w:bCs/>
              </w:rPr>
            </w:pPr>
            <w:r w:rsidRPr="003E79B2">
              <w:rPr>
                <w:b/>
                <w:bCs/>
              </w:rPr>
              <w:t xml:space="preserve">Minimum weekly full-time rate for employees under the Road Transport and Distribution Award 2020 </w:t>
            </w:r>
          </w:p>
        </w:tc>
        <w:tc>
          <w:tcPr>
            <w:tcW w:w="0" w:type="dxa"/>
          </w:tcPr>
          <w:p w14:paraId="5FF561C4" w14:textId="45131764" w:rsidR="00B16AC0" w:rsidRPr="003E79B2" w:rsidRDefault="00B16AC0" w:rsidP="003E79B2">
            <w:pPr>
              <w:spacing w:after="160" w:line="259" w:lineRule="auto"/>
              <w:jc w:val="center"/>
              <w:cnfStyle w:val="100000000000" w:firstRow="1" w:lastRow="0" w:firstColumn="0" w:lastColumn="0" w:oddVBand="0" w:evenVBand="0" w:oddHBand="0" w:evenHBand="0" w:firstRowFirstColumn="0" w:firstRowLastColumn="0" w:lastRowFirstColumn="0" w:lastRowLastColumn="0"/>
              <w:rPr>
                <w:b/>
                <w:bCs/>
              </w:rPr>
            </w:pPr>
            <w:r w:rsidRPr="003E79B2">
              <w:rPr>
                <w:b/>
                <w:bCs/>
              </w:rPr>
              <w:t>Minimum weekly full-time rate for employees under the Road Transport and Distribution Award 2020</w:t>
            </w:r>
          </w:p>
        </w:tc>
        <w:tc>
          <w:tcPr>
            <w:tcW w:w="0" w:type="dxa"/>
          </w:tcPr>
          <w:p w14:paraId="63B47704" w14:textId="46BE577F" w:rsidR="00B16AC0" w:rsidRPr="003E79B2" w:rsidRDefault="00B16AC0" w:rsidP="003E79B2">
            <w:pPr>
              <w:spacing w:after="160" w:line="259" w:lineRule="auto"/>
              <w:jc w:val="center"/>
              <w:cnfStyle w:val="100000000000" w:firstRow="1" w:lastRow="0" w:firstColumn="0" w:lastColumn="0" w:oddVBand="0" w:evenVBand="0" w:oddHBand="0" w:evenHBand="0" w:firstRowFirstColumn="0" w:firstRowLastColumn="0" w:lastRowFirstColumn="0" w:lastRowLastColumn="0"/>
              <w:rPr>
                <w:b/>
                <w:bCs/>
              </w:rPr>
            </w:pPr>
            <w:r w:rsidRPr="003E79B2">
              <w:rPr>
                <w:b/>
                <w:bCs/>
              </w:rPr>
              <w:t xml:space="preserve">Estimate of average weekly full-time rate for </w:t>
            </w:r>
            <w:r w:rsidR="006205C7">
              <w:rPr>
                <w:b/>
                <w:bCs/>
              </w:rPr>
              <w:t xml:space="preserve">workers in </w:t>
            </w:r>
            <w:r w:rsidR="00CA7CC5">
              <w:rPr>
                <w:b/>
                <w:bCs/>
              </w:rPr>
              <w:t xml:space="preserve">last mile </w:t>
            </w:r>
            <w:r w:rsidR="00450F61">
              <w:rPr>
                <w:b/>
                <w:bCs/>
              </w:rPr>
              <w:t>delivery</w:t>
            </w:r>
            <w:r w:rsidR="002304E9">
              <w:rPr>
                <w:b/>
                <w:bCs/>
              </w:rPr>
              <w:t xml:space="preserve"> contractors</w:t>
            </w:r>
            <w:r w:rsidRPr="003E79B2">
              <w:rPr>
                <w:b/>
                <w:bCs/>
              </w:rPr>
              <w:t xml:space="preserve"> who are owner managers of unincorporated and incorporated enterprises without employees</w:t>
            </w:r>
          </w:p>
        </w:tc>
      </w:tr>
      <w:tr w:rsidR="00B16AC0" w14:paraId="7ED7AB6D" w14:textId="77777777" w:rsidTr="00A54C6D">
        <w:trPr>
          <w:trHeight w:val="339"/>
        </w:trPr>
        <w:tc>
          <w:tcPr>
            <w:cnfStyle w:val="001000000000" w:firstRow="0" w:lastRow="0" w:firstColumn="1" w:lastColumn="0" w:oddVBand="0" w:evenVBand="0" w:oddHBand="0" w:evenHBand="0" w:firstRowFirstColumn="0" w:firstRowLastColumn="0" w:lastRowFirstColumn="0" w:lastRowLastColumn="0"/>
            <w:tcW w:w="0" w:type="dxa"/>
          </w:tcPr>
          <w:p w14:paraId="3C73BB17" w14:textId="77777777" w:rsidR="00B16AC0" w:rsidRPr="00A063C4" w:rsidRDefault="00B16AC0">
            <w:pPr>
              <w:rPr>
                <w:rFonts w:cstheme="minorHAnsi"/>
                <w:color w:val="212529"/>
                <w:shd w:val="clear" w:color="auto" w:fill="FFFFFF"/>
              </w:rPr>
            </w:pPr>
            <w:r w:rsidRPr="00A063C4">
              <w:rPr>
                <w:rFonts w:cstheme="minorHAnsi"/>
                <w:color w:val="212529"/>
                <w:shd w:val="clear" w:color="auto" w:fill="FFFFFF"/>
              </w:rPr>
              <w:t>Weekly rate of pay</w:t>
            </w:r>
          </w:p>
        </w:tc>
        <w:tc>
          <w:tcPr>
            <w:tcW w:w="0" w:type="dxa"/>
          </w:tcPr>
          <w:p w14:paraId="3EDD3474" w14:textId="77777777" w:rsidR="00B16AC0" w:rsidRPr="00A063C4" w:rsidRDefault="00B16AC0">
            <w:pP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A063C4">
              <w:rPr>
                <w:rFonts w:cstheme="minorHAnsi"/>
                <w:color w:val="212529"/>
                <w:shd w:val="clear" w:color="auto" w:fill="FFFFFF"/>
              </w:rPr>
              <w:t>$818.30 (permanent)</w:t>
            </w:r>
          </w:p>
          <w:p w14:paraId="47320A7A" w14:textId="77777777" w:rsidR="00B16AC0" w:rsidRPr="00A063C4" w:rsidRDefault="00B16AC0">
            <w:pP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A063C4">
              <w:rPr>
                <w:rFonts w:cstheme="minorHAnsi"/>
                <w:color w:val="212529"/>
                <w:shd w:val="clear" w:color="auto" w:fill="FFFFFF"/>
              </w:rPr>
              <w:t>$1,022.88 (casual)</w:t>
            </w:r>
          </w:p>
          <w:p w14:paraId="65C8B6F8" w14:textId="77777777" w:rsidR="00B16AC0" w:rsidRPr="00A063C4" w:rsidRDefault="00B16AC0">
            <w:pP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A063C4">
              <w:rPr>
                <w:rFonts w:cstheme="minorHAnsi"/>
                <w:color w:val="212529"/>
                <w:shd w:val="clear" w:color="auto" w:fill="FFFFFF"/>
              </w:rPr>
              <w:t>Transport Worker Grade 1 (courier – foot or bicycle)</w:t>
            </w:r>
          </w:p>
        </w:tc>
        <w:tc>
          <w:tcPr>
            <w:tcW w:w="0" w:type="dxa"/>
          </w:tcPr>
          <w:p w14:paraId="60204153" w14:textId="77777777" w:rsidR="00B16AC0" w:rsidRPr="00A063C4" w:rsidRDefault="00B16AC0">
            <w:pP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A063C4">
              <w:rPr>
                <w:rFonts w:cstheme="minorHAnsi"/>
                <w:color w:val="212529"/>
                <w:shd w:val="clear" w:color="auto" w:fill="FFFFFF"/>
              </w:rPr>
              <w:t>$838.90 (permanent)</w:t>
            </w:r>
          </w:p>
          <w:p w14:paraId="5077094F" w14:textId="77777777" w:rsidR="00B16AC0" w:rsidRPr="00A063C4" w:rsidRDefault="00B16AC0">
            <w:pP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A063C4">
              <w:rPr>
                <w:rFonts w:cstheme="minorHAnsi"/>
                <w:color w:val="212529"/>
                <w:shd w:val="clear" w:color="auto" w:fill="FFFFFF"/>
              </w:rPr>
              <w:t>$1,048.63 (casual)</w:t>
            </w:r>
          </w:p>
          <w:p w14:paraId="01ACF4B8" w14:textId="77777777" w:rsidR="00B16AC0" w:rsidRPr="00A063C4" w:rsidRDefault="00B16AC0">
            <w:pP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A063C4">
              <w:rPr>
                <w:rFonts w:cstheme="minorHAnsi"/>
                <w:color w:val="212529"/>
                <w:shd w:val="clear" w:color="auto" w:fill="FFFFFF"/>
              </w:rPr>
              <w:t>Transport Worker Grade 2 (driver)</w:t>
            </w:r>
          </w:p>
        </w:tc>
        <w:tc>
          <w:tcPr>
            <w:tcW w:w="0" w:type="dxa"/>
          </w:tcPr>
          <w:p w14:paraId="6334E23A" w14:textId="77777777" w:rsidR="00B16AC0" w:rsidRPr="00A063C4" w:rsidRDefault="00B16AC0">
            <w:pPr>
              <w:cnfStyle w:val="000000000000" w:firstRow="0" w:lastRow="0" w:firstColumn="0" w:lastColumn="0" w:oddVBand="0" w:evenVBand="0" w:oddHBand="0" w:evenHBand="0" w:firstRowFirstColumn="0" w:firstRowLastColumn="0" w:lastRowFirstColumn="0" w:lastRowLastColumn="0"/>
              <w:rPr>
                <w:rFonts w:cstheme="minorHAnsi"/>
                <w:color w:val="212529"/>
                <w:shd w:val="clear" w:color="auto" w:fill="FFFFFF"/>
              </w:rPr>
            </w:pPr>
            <w:r w:rsidRPr="00A063C4">
              <w:rPr>
                <w:rFonts w:cstheme="minorHAnsi"/>
                <w:color w:val="212529"/>
                <w:shd w:val="clear" w:color="auto" w:fill="FFFFFF"/>
              </w:rPr>
              <w:t>$1,000-$1,249</w:t>
            </w:r>
          </w:p>
        </w:tc>
      </w:tr>
    </w:tbl>
    <w:p w14:paraId="32110D58" w14:textId="1BF0D5EC" w:rsidR="003F1E5C" w:rsidRDefault="003F1E5C" w:rsidP="00A063C4">
      <w:pPr>
        <w:rPr>
          <w:color w:val="212529"/>
          <w:highlight w:val="yellow"/>
        </w:rPr>
      </w:pPr>
    </w:p>
    <w:p w14:paraId="3FD5E02C" w14:textId="6BF9403D" w:rsidR="00183169" w:rsidRDefault="00FE70F3" w:rsidP="00A063C4">
      <w:pPr>
        <w:rPr>
          <w:u w:val="single"/>
        </w:rPr>
      </w:pPr>
      <w:r w:rsidRPr="007F6656">
        <w:t>However</w:t>
      </w:r>
      <w:r w:rsidR="00B14F5B" w:rsidRPr="007F6656">
        <w:t>,</w:t>
      </w:r>
      <w:r w:rsidRPr="007F6656">
        <w:t xml:space="preserve"> Census data shows that </w:t>
      </w:r>
      <w:r w:rsidR="00F55795" w:rsidRPr="00573634">
        <w:t xml:space="preserve">1,900 </w:t>
      </w:r>
      <w:r w:rsidRPr="007F6656">
        <w:t>full-time owner managers without employees working</w:t>
      </w:r>
      <w:r w:rsidR="00B16AC0" w:rsidRPr="007F6656">
        <w:t xml:space="preserve"> in the </w:t>
      </w:r>
      <w:r w:rsidR="00F55795" w:rsidRPr="00573634">
        <w:t>last mile</w:t>
      </w:r>
      <w:r w:rsidR="00B16AC0" w:rsidRPr="007F6656">
        <w:t xml:space="preserve"> </w:t>
      </w:r>
      <w:r w:rsidR="00C169A5">
        <w:t>delivery</w:t>
      </w:r>
      <w:r w:rsidR="00B16AC0">
        <w:t xml:space="preserve"> </w:t>
      </w:r>
      <w:r w:rsidR="00B16AC0" w:rsidRPr="007F6656">
        <w:t>sector currently receive less than the permanent full-time award rate of $838.90.</w:t>
      </w:r>
      <w:r w:rsidRPr="007F6656">
        <w:t xml:space="preserve"> This amounts to 1</w:t>
      </w:r>
      <w:r w:rsidR="00D671B1" w:rsidRPr="00573634">
        <w:t>8.</w:t>
      </w:r>
      <w:r w:rsidR="00F53BC2" w:rsidRPr="00573634">
        <w:t>5</w:t>
      </w:r>
      <w:r w:rsidRPr="007F6656">
        <w:t xml:space="preserve"> per cent of full-time owner managers without employees in the </w:t>
      </w:r>
      <w:r w:rsidR="00EE23F3" w:rsidRPr="00573634">
        <w:t>last mile</w:t>
      </w:r>
      <w:r w:rsidRPr="007F6656">
        <w:t xml:space="preserve"> </w:t>
      </w:r>
      <w:r w:rsidR="00C169A5">
        <w:t>delivery</w:t>
      </w:r>
      <w:r>
        <w:t xml:space="preserve"> </w:t>
      </w:r>
      <w:r w:rsidRPr="007F6656">
        <w:t>sector</w:t>
      </w:r>
      <w:r w:rsidR="004623EF" w:rsidRPr="007F6656">
        <w:t xml:space="preserve"> who recorded income in 2021. Due to the varied nature of part-time worker hours</w:t>
      </w:r>
      <w:r w:rsidR="008262A5" w:rsidRPr="007F6656">
        <w:t xml:space="preserve">, the department is unable to determine how many are currently being paid less than the relevant award rate. Instead the proportion of full-time workers who were paid below the award has been applied to </w:t>
      </w:r>
      <w:r w:rsidR="00B14F5B" w:rsidRPr="007F6656">
        <w:t xml:space="preserve">the number of part-time independent contractors in the </w:t>
      </w:r>
      <w:r w:rsidR="000449D0" w:rsidRPr="00573634">
        <w:t>last mile</w:t>
      </w:r>
      <w:r w:rsidR="00B14F5B" w:rsidRPr="007F6656">
        <w:t xml:space="preserve"> </w:t>
      </w:r>
      <w:r w:rsidR="00C169A5">
        <w:t xml:space="preserve">delivery </w:t>
      </w:r>
      <w:r w:rsidR="00B14F5B" w:rsidRPr="007F6656">
        <w:t>sector.</w:t>
      </w:r>
    </w:p>
    <w:p w14:paraId="7EA4BA39" w14:textId="54224A10" w:rsidR="00B16AC0" w:rsidRPr="00A54C6D" w:rsidRDefault="00C55C0C" w:rsidP="00A063C4">
      <w:r w:rsidRPr="00A54C6D">
        <w:t>The average a</w:t>
      </w:r>
      <w:r w:rsidR="00B16AC0" w:rsidRPr="00A54C6D">
        <w:t xml:space="preserve">nnual cost to </w:t>
      </w:r>
      <w:r w:rsidR="00EF3D9B" w:rsidRPr="00A54C6D">
        <w:t xml:space="preserve">entities engaging </w:t>
      </w:r>
      <w:r w:rsidR="006E1ABF" w:rsidRPr="007F6656">
        <w:t>last mile</w:t>
      </w:r>
      <w:r w:rsidR="00B16AC0" w:rsidRPr="007F6656">
        <w:t xml:space="preserve"> </w:t>
      </w:r>
      <w:r w:rsidR="00C169A5">
        <w:t>delivery</w:t>
      </w:r>
      <w:r w:rsidR="00B16AC0" w:rsidRPr="00A54C6D">
        <w:t xml:space="preserve"> independent contractors</w:t>
      </w:r>
      <w:r w:rsidRPr="00A54C6D">
        <w:t xml:space="preserve"> has been estimated </w:t>
      </w:r>
      <w:r w:rsidR="0040782E" w:rsidRPr="00A54C6D">
        <w:t>using the follow formula</w:t>
      </w:r>
      <w:r w:rsidR="00B16AC0" w:rsidRPr="00A54C6D">
        <w:t>:</w:t>
      </w:r>
    </w:p>
    <w:p w14:paraId="10890F47" w14:textId="5397EF1D" w:rsidR="00B16AC0" w:rsidRPr="00A063C4" w:rsidRDefault="00B16AC0" w:rsidP="00A063C4">
      <w:r w:rsidRPr="00A063C4">
        <w:t xml:space="preserve">= (Full-time weekly permanent employee pay rates under the Road Transport and Distribution Award 2020 – upper band of full-time weekly pay rates for independent contractors who work in </w:t>
      </w:r>
      <w:r w:rsidR="00A73EC9" w:rsidRPr="00573634">
        <w:t xml:space="preserve">the last mile </w:t>
      </w:r>
      <w:r w:rsidR="005F79F6">
        <w:t xml:space="preserve">delivery </w:t>
      </w:r>
      <w:r w:rsidRPr="00A063C4">
        <w:t xml:space="preserve">sector but are paid less than the award) x (number of full-time </w:t>
      </w:r>
      <w:r w:rsidR="006E1ABF" w:rsidRPr="007F6656">
        <w:t>last mile</w:t>
      </w:r>
      <w:r w:rsidRPr="007F6656">
        <w:t xml:space="preserve"> </w:t>
      </w:r>
      <w:r w:rsidR="005F79F6">
        <w:t>delivery</w:t>
      </w:r>
      <w:r w:rsidRPr="00A063C4">
        <w:t xml:space="preserve"> workers who are independent contractors and paid less than the award</w:t>
      </w:r>
      <w:r w:rsidR="00051FA4">
        <w:t xml:space="preserve"> + </w:t>
      </w:r>
      <w:r w:rsidR="006700B9">
        <w:t>(</w:t>
      </w:r>
      <w:r w:rsidR="006700B9" w:rsidRPr="007F6656">
        <w:t>1</w:t>
      </w:r>
      <w:r w:rsidR="006B7F6E" w:rsidRPr="00573634">
        <w:t>8.5</w:t>
      </w:r>
      <w:r w:rsidR="006700B9">
        <w:t xml:space="preserve">% x number of part-time independent contractors in the </w:t>
      </w:r>
      <w:r w:rsidR="006E1ABF" w:rsidRPr="007F6656">
        <w:t>last mile</w:t>
      </w:r>
      <w:r w:rsidR="005F79F6">
        <w:t xml:space="preserve"> delivery</w:t>
      </w:r>
      <w:r w:rsidR="006700B9">
        <w:t xml:space="preserve"> sector)</w:t>
      </w:r>
      <w:r w:rsidRPr="00A063C4">
        <w:t>) x 52 weeks</w:t>
      </w:r>
    </w:p>
    <w:p w14:paraId="751BBFED" w14:textId="1FC2C02D" w:rsidR="00B16AC0" w:rsidRPr="007F6656" w:rsidRDefault="00B16AC0" w:rsidP="00A063C4">
      <w:r w:rsidRPr="007F6656">
        <w:t xml:space="preserve">= ($838.90 - $799) x </w:t>
      </w:r>
      <w:r w:rsidR="009A7A20" w:rsidRPr="007F6656">
        <w:t>(</w:t>
      </w:r>
      <w:r w:rsidR="006E1ABF" w:rsidRPr="00573634">
        <w:t>1,900</w:t>
      </w:r>
      <w:r w:rsidRPr="007F6656">
        <w:t xml:space="preserve"> </w:t>
      </w:r>
      <w:r w:rsidR="009A7A20" w:rsidRPr="007F6656">
        <w:t xml:space="preserve">+ </w:t>
      </w:r>
      <w:r w:rsidR="003240FE" w:rsidRPr="007F6656">
        <w:t>1,</w:t>
      </w:r>
      <w:r w:rsidR="00070633" w:rsidRPr="00573634">
        <w:t>0</w:t>
      </w:r>
      <w:r w:rsidR="003240FE" w:rsidRPr="007F6656">
        <w:t>00</w:t>
      </w:r>
      <w:r w:rsidR="009A7A20" w:rsidRPr="007F6656">
        <w:t>)</w:t>
      </w:r>
      <w:r w:rsidR="003240FE" w:rsidRPr="007F6656">
        <w:t xml:space="preserve"> </w:t>
      </w:r>
      <w:r w:rsidRPr="007F6656">
        <w:t>x 52</w:t>
      </w:r>
      <w:r w:rsidR="00377EB3" w:rsidRPr="00573634">
        <w:rPr>
          <w:rStyle w:val="FootnoteReference"/>
        </w:rPr>
        <w:footnoteReference w:id="139"/>
      </w:r>
    </w:p>
    <w:p w14:paraId="34842FFC" w14:textId="2CFDF6D8" w:rsidR="00316964" w:rsidRPr="007F6656" w:rsidRDefault="00316964" w:rsidP="00316964">
      <w:pPr>
        <w:rPr>
          <w:b/>
        </w:rPr>
      </w:pPr>
      <w:r w:rsidRPr="007F6656">
        <w:t xml:space="preserve">= at least </w:t>
      </w:r>
      <w:r w:rsidRPr="007F6656">
        <w:rPr>
          <w:b/>
        </w:rPr>
        <w:t>$</w:t>
      </w:r>
      <w:r w:rsidR="00AA6012" w:rsidRPr="00573634">
        <w:rPr>
          <w:b/>
        </w:rPr>
        <w:t>5</w:t>
      </w:r>
      <w:r w:rsidR="002B43AA" w:rsidRPr="00573634">
        <w:rPr>
          <w:b/>
        </w:rPr>
        <w:t>,</w:t>
      </w:r>
      <w:r w:rsidR="00AA6012" w:rsidRPr="00573634">
        <w:rPr>
          <w:b/>
        </w:rPr>
        <w:t>988,</w:t>
      </w:r>
      <w:r w:rsidR="00E62DB8">
        <w:rPr>
          <w:b/>
        </w:rPr>
        <w:t>9</w:t>
      </w:r>
      <w:r w:rsidR="00AA6012" w:rsidRPr="00573634">
        <w:rPr>
          <w:b/>
        </w:rPr>
        <w:t>46.</w:t>
      </w:r>
      <w:r w:rsidR="00E62DB8">
        <w:rPr>
          <w:b/>
        </w:rPr>
        <w:t>6</w:t>
      </w:r>
      <w:r w:rsidR="00AA6012" w:rsidRPr="00573634">
        <w:rPr>
          <w:b/>
        </w:rPr>
        <w:t>0</w:t>
      </w:r>
      <w:r w:rsidRPr="007F6656">
        <w:rPr>
          <w:b/>
        </w:rPr>
        <w:t xml:space="preserve"> per year</w:t>
      </w:r>
    </w:p>
    <w:p w14:paraId="1D813924" w14:textId="26B39160" w:rsidR="00B16AC0" w:rsidRPr="008D5917" w:rsidRDefault="00B16AC0" w:rsidP="00A063C4">
      <w:r w:rsidRPr="008D5917">
        <w:t>This amounts to 0.00</w:t>
      </w:r>
      <w:r w:rsidR="00126321" w:rsidRPr="00573634">
        <w:t>06</w:t>
      </w:r>
      <w:r w:rsidRPr="008D5917">
        <w:t xml:space="preserve"> per cent of Australia’s total wage bill.</w:t>
      </w:r>
    </w:p>
    <w:p w14:paraId="37428D44" w14:textId="3685ADA6" w:rsidR="00D85E2F" w:rsidRPr="00B93602" w:rsidRDefault="00D85E2F" w:rsidP="004B4F63">
      <w:r w:rsidRPr="00B93602">
        <w:t xml:space="preserve">Using the initial impact estimated, </w:t>
      </w:r>
      <w:r w:rsidR="00986567" w:rsidRPr="00B93602">
        <w:t>and adjusting for inflation as in Option 2,</w:t>
      </w:r>
      <w:r w:rsidR="00E653DF" w:rsidRPr="00B93602">
        <w:t xml:space="preserve"> </w:t>
      </w:r>
      <w:r w:rsidRPr="00B93602">
        <w:t>this would suggest that there would be a</w:t>
      </w:r>
      <w:r w:rsidR="001A2BE4" w:rsidRPr="00573634">
        <w:t>n annual</w:t>
      </w:r>
      <w:r w:rsidRPr="00B93602">
        <w:t xml:space="preserve"> maximum further economic impact </w:t>
      </w:r>
      <w:r w:rsidR="004E2192" w:rsidRPr="00B93602">
        <w:t xml:space="preserve">in the form of increased wages to workers </w:t>
      </w:r>
      <w:r w:rsidRPr="00B93602">
        <w:t xml:space="preserve">of: </w:t>
      </w:r>
    </w:p>
    <w:p w14:paraId="0F3245F1" w14:textId="17B309A7" w:rsidR="00D85E2F" w:rsidRPr="00B93602" w:rsidRDefault="00D85E2F" w:rsidP="1BD49537">
      <w:pPr>
        <w:pStyle w:val="ListParagraph"/>
        <w:numPr>
          <w:ilvl w:val="0"/>
          <w:numId w:val="29"/>
        </w:numPr>
        <w:spacing w:line="276" w:lineRule="auto"/>
        <w:ind w:left="714" w:hanging="357"/>
      </w:pPr>
      <w:r w:rsidRPr="00B93602">
        <w:t>$</w:t>
      </w:r>
      <w:r w:rsidR="001A2BE4" w:rsidRPr="00573634">
        <w:t>7.</w:t>
      </w:r>
      <w:r w:rsidR="0043339F" w:rsidRPr="00573634">
        <w:t>5</w:t>
      </w:r>
      <w:r w:rsidRPr="00B93602">
        <w:t xml:space="preserve"> </w:t>
      </w:r>
      <w:r w:rsidR="00553BD7" w:rsidRPr="00B93602">
        <w:t>m</w:t>
      </w:r>
      <w:r w:rsidRPr="00B93602">
        <w:t xml:space="preserve">illion </w:t>
      </w:r>
      <w:r w:rsidR="177BCF59" w:rsidRPr="00B93602">
        <w:t>from</w:t>
      </w:r>
      <w:r w:rsidRPr="00B93602">
        <w:t xml:space="preserve"> 2028-29</w:t>
      </w:r>
      <w:r w:rsidR="07FDDEEC" w:rsidRPr="00B93602">
        <w:t xml:space="preserve"> to 203</w:t>
      </w:r>
      <w:r w:rsidR="00235EC8" w:rsidRPr="00B93602">
        <w:t>1</w:t>
      </w:r>
      <w:r w:rsidR="07FDDEEC" w:rsidRPr="00B93602">
        <w:t>-3</w:t>
      </w:r>
      <w:r w:rsidR="00235EC8" w:rsidRPr="00B93602">
        <w:t>2</w:t>
      </w:r>
      <w:r w:rsidRPr="00B93602">
        <w:rPr>
          <w:rStyle w:val="FootnoteReference"/>
        </w:rPr>
        <w:footnoteReference w:id="140"/>
      </w:r>
      <w:r w:rsidRPr="00B93602">
        <w:t xml:space="preserve"> </w:t>
      </w:r>
    </w:p>
    <w:p w14:paraId="16B1F908" w14:textId="73B5B7BC" w:rsidR="00D85E2F" w:rsidRPr="00B93602" w:rsidRDefault="00374999" w:rsidP="00374999">
      <w:pPr>
        <w:pStyle w:val="ListParagraph"/>
        <w:numPr>
          <w:ilvl w:val="0"/>
          <w:numId w:val="29"/>
        </w:numPr>
        <w:spacing w:line="276" w:lineRule="auto"/>
        <w:ind w:left="714" w:hanging="357"/>
        <w:contextualSpacing w:val="0"/>
      </w:pPr>
      <w:r w:rsidRPr="00B93602">
        <w:t>$</w:t>
      </w:r>
      <w:r w:rsidR="001A2BE4" w:rsidRPr="00573634">
        <w:t>8.3</w:t>
      </w:r>
      <w:r w:rsidRPr="00B93602">
        <w:t xml:space="preserve"> million in 2032-33.</w:t>
      </w:r>
      <w:r w:rsidR="00D85E2F" w:rsidRPr="00B93602">
        <w:rPr>
          <w:vertAlign w:val="superscript"/>
        </w:rPr>
        <w:footnoteReference w:id="141"/>
      </w:r>
    </w:p>
    <w:p w14:paraId="3E3802A1" w14:textId="286CFB06" w:rsidR="00D75167" w:rsidRDefault="00D75167" w:rsidP="00573634">
      <w:r>
        <w:t>In addition, this option would allow the Fair Work Commission to consider advisory standards. The Victorian Government’s guidance rates (referred to above) are</w:t>
      </w:r>
      <w:r w:rsidRPr="00922FF2">
        <w:t xml:space="preserve"> relevant here as an example</w:t>
      </w:r>
      <w:r w:rsidRPr="00964509">
        <w:t xml:space="preserve"> of the types of content that may be included.</w:t>
      </w:r>
      <w:r>
        <w:t xml:space="preserve"> Guidance rates vary according to the type of vehicle driven and work conducted but would not have a direct economic impact. </w:t>
      </w:r>
    </w:p>
    <w:p w14:paraId="465A5B3E" w14:textId="214D80B3" w:rsidR="053C1453" w:rsidRPr="004419C0" w:rsidRDefault="0CCC5716" w:rsidP="0EC1AFAF">
      <w:pPr>
        <w:rPr>
          <w:b/>
        </w:rPr>
      </w:pPr>
      <w:r w:rsidRPr="00EE62F4">
        <w:t xml:space="preserve">Table </w:t>
      </w:r>
      <w:r w:rsidR="298B44DB" w:rsidRPr="00EE62F4">
        <w:t>17</w:t>
      </w:r>
      <w:r w:rsidRPr="00EE62F4">
        <w:t xml:space="preserve"> below shows the expected costs of the wage bill in the next 10 years. As mentioned above, we expect the Fair </w:t>
      </w:r>
      <w:r w:rsidRPr="004419C0">
        <w:t xml:space="preserve">Work Commission to implement the first mandatory Minimum Standard Orders in 2028-29, </w:t>
      </w:r>
      <w:r w:rsidR="03914E81" w:rsidRPr="004419C0">
        <w:t>and then vary these in 203</w:t>
      </w:r>
      <w:r w:rsidR="00177167" w:rsidRPr="004419C0">
        <w:t>2</w:t>
      </w:r>
      <w:r w:rsidR="03914E81" w:rsidRPr="004419C0">
        <w:t>-3</w:t>
      </w:r>
      <w:r w:rsidR="00177167" w:rsidRPr="004419C0">
        <w:t>3</w:t>
      </w:r>
      <w:r w:rsidR="03914E81" w:rsidRPr="004419C0">
        <w:t>.</w:t>
      </w:r>
    </w:p>
    <w:p w14:paraId="1C53916B" w14:textId="1EED8FF4" w:rsidR="053C1453" w:rsidRPr="004419C0" w:rsidRDefault="053C1453" w:rsidP="0EC1AFAF">
      <w:pPr>
        <w:rPr>
          <w:b/>
        </w:rPr>
      </w:pPr>
      <w:r w:rsidRPr="004419C0">
        <w:rPr>
          <w:b/>
        </w:rPr>
        <w:t xml:space="preserve">Table </w:t>
      </w:r>
      <w:r w:rsidR="2F0A271E" w:rsidRPr="004419C0">
        <w:rPr>
          <w:b/>
        </w:rPr>
        <w:t>17</w:t>
      </w:r>
      <w:r w:rsidR="503E9D79" w:rsidRPr="004419C0">
        <w:rPr>
          <w:b/>
        </w:rPr>
        <w:t xml:space="preserve"> -</w:t>
      </w:r>
      <w:r w:rsidRPr="004419C0">
        <w:rPr>
          <w:b/>
        </w:rPr>
        <w:t xml:space="preserve"> </w:t>
      </w:r>
      <w:r w:rsidR="6B9D47F8" w:rsidRPr="004419C0">
        <w:rPr>
          <w:b/>
        </w:rPr>
        <w:t>E</w:t>
      </w:r>
      <w:r w:rsidR="0A97FA14" w:rsidRPr="004419C0">
        <w:rPr>
          <w:b/>
        </w:rPr>
        <w:t>xpected costs of wage bill of Option 3</w:t>
      </w:r>
    </w:p>
    <w:tbl>
      <w:tblPr>
        <w:tblStyle w:val="DESE"/>
        <w:tblW w:w="0" w:type="auto"/>
        <w:tblLayout w:type="fixed"/>
        <w:tblLook w:val="06A0" w:firstRow="1" w:lastRow="0" w:firstColumn="1" w:lastColumn="0" w:noHBand="1" w:noVBand="1"/>
      </w:tblPr>
      <w:tblGrid>
        <w:gridCol w:w="2820"/>
        <w:gridCol w:w="6240"/>
      </w:tblGrid>
      <w:tr w:rsidR="37274F22" w:rsidRPr="0046543A" w14:paraId="30A4EDE3" w14:textId="77777777" w:rsidTr="37274F2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820" w:type="dxa"/>
          </w:tcPr>
          <w:p w14:paraId="1D968AAB" w14:textId="2EAF996C" w:rsidR="37274F22" w:rsidRPr="004419C0" w:rsidRDefault="6E442E5D" w:rsidP="7E65DA97">
            <w:pPr>
              <w:jc w:val="center"/>
              <w:rPr>
                <w:b/>
              </w:rPr>
            </w:pPr>
            <w:r w:rsidRPr="004419C0">
              <w:rPr>
                <w:b/>
              </w:rPr>
              <w:t>Year</w:t>
            </w:r>
          </w:p>
        </w:tc>
        <w:tc>
          <w:tcPr>
            <w:tcW w:w="6240" w:type="dxa"/>
          </w:tcPr>
          <w:p w14:paraId="1713E877" w14:textId="1C1E8595" w:rsidR="37274F22" w:rsidRPr="004419C0" w:rsidRDefault="6E442E5D" w:rsidP="7E65DA97">
            <w:pPr>
              <w:jc w:val="center"/>
              <w:cnfStyle w:val="100000000000" w:firstRow="1" w:lastRow="0" w:firstColumn="0" w:lastColumn="0" w:oddVBand="0" w:evenVBand="0" w:oddHBand="0" w:evenHBand="0" w:firstRowFirstColumn="0" w:firstRowLastColumn="0" w:lastRowFirstColumn="0" w:lastRowLastColumn="0"/>
              <w:rPr>
                <w:b/>
              </w:rPr>
            </w:pPr>
            <w:r w:rsidRPr="004419C0">
              <w:rPr>
                <w:b/>
              </w:rPr>
              <w:t>Wage bill</w:t>
            </w:r>
          </w:p>
        </w:tc>
      </w:tr>
      <w:tr w:rsidR="37274F22" w:rsidRPr="0046543A" w14:paraId="573E66F8" w14:textId="77777777" w:rsidTr="761E8897">
        <w:trPr>
          <w:trHeight w:val="300"/>
        </w:trPr>
        <w:tc>
          <w:tcPr>
            <w:cnfStyle w:val="001000000000" w:firstRow="0" w:lastRow="0" w:firstColumn="1" w:lastColumn="0" w:oddVBand="0" w:evenVBand="0" w:oddHBand="0" w:evenHBand="0" w:firstRowFirstColumn="0" w:firstRowLastColumn="0" w:lastRowFirstColumn="0" w:lastRowLastColumn="0"/>
            <w:tcW w:w="2820" w:type="dxa"/>
          </w:tcPr>
          <w:p w14:paraId="12E82836" w14:textId="7FB221D3" w:rsidR="37274F22" w:rsidRPr="004419C0" w:rsidRDefault="6E442E5D" w:rsidP="00573634">
            <w:pPr>
              <w:spacing w:after="0"/>
              <w:rPr>
                <w:b/>
              </w:rPr>
            </w:pPr>
            <w:r w:rsidRPr="004419C0">
              <w:rPr>
                <w:rFonts w:ascii="Calibri" w:eastAsia="Calibri" w:hAnsi="Calibri" w:cs="Calibri"/>
              </w:rPr>
              <w:t>2028-29</w:t>
            </w:r>
            <w:r w:rsidR="2A5B566B" w:rsidRPr="004419C0">
              <w:rPr>
                <w:rFonts w:ascii="Calibri" w:eastAsia="Calibri" w:hAnsi="Calibri" w:cs="Calibri"/>
              </w:rPr>
              <w:t xml:space="preserve"> to </w:t>
            </w:r>
            <w:r w:rsidR="77C58668" w:rsidRPr="004419C0">
              <w:rPr>
                <w:rFonts w:ascii="Calibri" w:eastAsia="Calibri" w:hAnsi="Calibri" w:cs="Calibri"/>
              </w:rPr>
              <w:t>203</w:t>
            </w:r>
            <w:r w:rsidR="004D2F0D" w:rsidRPr="004419C0">
              <w:rPr>
                <w:rFonts w:ascii="Calibri" w:eastAsia="Calibri" w:hAnsi="Calibri" w:cs="Calibri"/>
              </w:rPr>
              <w:t>1-32</w:t>
            </w:r>
          </w:p>
        </w:tc>
        <w:tc>
          <w:tcPr>
            <w:tcW w:w="6240" w:type="dxa"/>
          </w:tcPr>
          <w:p w14:paraId="0AF7977C" w14:textId="6FC8914A" w:rsidR="761E8897" w:rsidRPr="004419C0" w:rsidRDefault="761E8897" w:rsidP="761E8897">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419C0">
              <w:rPr>
                <w:rFonts w:ascii="Calibri" w:eastAsia="Calibri" w:hAnsi="Calibri" w:cs="Calibri"/>
              </w:rPr>
              <w:t>$</w:t>
            </w:r>
            <w:r w:rsidR="00A37174" w:rsidRPr="00573634">
              <w:rPr>
                <w:rFonts w:ascii="Calibri" w:eastAsia="Calibri" w:hAnsi="Calibri" w:cs="Calibri"/>
              </w:rPr>
              <w:t>7,</w:t>
            </w:r>
            <w:r w:rsidR="00032A05" w:rsidRPr="00573634">
              <w:rPr>
                <w:rFonts w:ascii="Calibri" w:eastAsia="Calibri" w:hAnsi="Calibri" w:cs="Calibri"/>
              </w:rPr>
              <w:t>5</w:t>
            </w:r>
            <w:r w:rsidR="00AB31CE" w:rsidRPr="00573634">
              <w:rPr>
                <w:rFonts w:ascii="Calibri" w:eastAsia="Calibri" w:hAnsi="Calibri" w:cs="Calibri"/>
              </w:rPr>
              <w:t>38,100.70</w:t>
            </w:r>
          </w:p>
        </w:tc>
      </w:tr>
      <w:tr w:rsidR="37274F22" w:rsidRPr="0046543A" w14:paraId="608BA70E" w14:textId="77777777" w:rsidTr="761E8897">
        <w:trPr>
          <w:trHeight w:val="300"/>
        </w:trPr>
        <w:tc>
          <w:tcPr>
            <w:cnfStyle w:val="001000000000" w:firstRow="0" w:lastRow="0" w:firstColumn="1" w:lastColumn="0" w:oddVBand="0" w:evenVBand="0" w:oddHBand="0" w:evenHBand="0" w:firstRowFirstColumn="0" w:firstRowLastColumn="0" w:lastRowFirstColumn="0" w:lastRowLastColumn="0"/>
            <w:tcW w:w="2820" w:type="dxa"/>
          </w:tcPr>
          <w:p w14:paraId="79A81220" w14:textId="080A080F" w:rsidR="37274F22" w:rsidRPr="004419C0" w:rsidRDefault="0ABCFA67" w:rsidP="37274F22">
            <w:pPr>
              <w:rPr>
                <w:rFonts w:ascii="Calibri" w:eastAsia="Calibri" w:hAnsi="Calibri" w:cs="Calibri"/>
              </w:rPr>
            </w:pPr>
            <w:r w:rsidRPr="004419C0">
              <w:rPr>
                <w:rFonts w:ascii="Calibri" w:eastAsia="Calibri" w:hAnsi="Calibri" w:cs="Calibri"/>
              </w:rPr>
              <w:t>2032-33</w:t>
            </w:r>
          </w:p>
        </w:tc>
        <w:tc>
          <w:tcPr>
            <w:tcW w:w="6240" w:type="dxa"/>
          </w:tcPr>
          <w:p w14:paraId="76B330F8" w14:textId="7014103F" w:rsidR="761E8897" w:rsidRPr="004419C0" w:rsidRDefault="761E8897" w:rsidP="761E8897">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4419C0">
              <w:rPr>
                <w:rFonts w:ascii="Calibri" w:eastAsia="Calibri" w:hAnsi="Calibri" w:cs="Calibri"/>
              </w:rPr>
              <w:t>$</w:t>
            </w:r>
            <w:r w:rsidR="00032A05" w:rsidRPr="00573634">
              <w:rPr>
                <w:rFonts w:ascii="Calibri" w:eastAsia="Calibri" w:hAnsi="Calibri" w:cs="Calibri"/>
              </w:rPr>
              <w:t>8,3</w:t>
            </w:r>
            <w:r w:rsidR="00AB31CE" w:rsidRPr="00573634">
              <w:rPr>
                <w:rFonts w:ascii="Calibri" w:eastAsia="Calibri" w:hAnsi="Calibri" w:cs="Calibri"/>
              </w:rPr>
              <w:t>20,652</w:t>
            </w:r>
            <w:r w:rsidR="00835213" w:rsidRPr="00573634">
              <w:rPr>
                <w:rFonts w:ascii="Calibri" w:eastAsia="Calibri" w:hAnsi="Calibri" w:cs="Calibri"/>
              </w:rPr>
              <w:t>.72</w:t>
            </w:r>
          </w:p>
        </w:tc>
      </w:tr>
      <w:tr w:rsidR="37274F22" w:rsidRPr="0046543A" w14:paraId="2830AD3F" w14:textId="77777777" w:rsidTr="061CE5C6">
        <w:trPr>
          <w:trHeight w:val="300"/>
        </w:trPr>
        <w:tc>
          <w:tcPr>
            <w:cnfStyle w:val="001000000000" w:firstRow="0" w:lastRow="0" w:firstColumn="1" w:lastColumn="0" w:oddVBand="0" w:evenVBand="0" w:oddHBand="0" w:evenHBand="0" w:firstRowFirstColumn="0" w:firstRowLastColumn="0" w:lastRowFirstColumn="0" w:lastRowLastColumn="0"/>
            <w:tcW w:w="2820" w:type="dxa"/>
          </w:tcPr>
          <w:p w14:paraId="1E3CEAD4" w14:textId="095392D3" w:rsidR="061CE5C6" w:rsidRPr="00573634" w:rsidRDefault="061CE5C6" w:rsidP="061CE5C6">
            <w:pPr>
              <w:spacing w:after="0"/>
              <w:rPr>
                <w:rFonts w:ascii="Calibri" w:eastAsia="Calibri" w:hAnsi="Calibri" w:cs="Calibri"/>
                <w:b/>
              </w:rPr>
            </w:pPr>
            <w:r w:rsidRPr="00573634">
              <w:rPr>
                <w:rFonts w:ascii="Calibri" w:eastAsia="Calibri" w:hAnsi="Calibri" w:cs="Calibri"/>
                <w:b/>
              </w:rPr>
              <w:t xml:space="preserve">TOTAL </w:t>
            </w:r>
          </w:p>
        </w:tc>
        <w:tc>
          <w:tcPr>
            <w:tcW w:w="6240" w:type="dxa"/>
          </w:tcPr>
          <w:p w14:paraId="5A8906C2" w14:textId="4F4E81F4" w:rsidR="061CE5C6" w:rsidRPr="00573634" w:rsidRDefault="061CE5C6" w:rsidP="061CE5C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573634">
              <w:rPr>
                <w:rFonts w:ascii="Calibri" w:eastAsia="Calibri" w:hAnsi="Calibri" w:cs="Calibri"/>
                <w:b/>
              </w:rPr>
              <w:t>$</w:t>
            </w:r>
            <w:r w:rsidR="00032A05" w:rsidRPr="00573634">
              <w:rPr>
                <w:rFonts w:ascii="Calibri" w:eastAsia="Calibri" w:hAnsi="Calibri" w:cs="Calibri"/>
                <w:b/>
              </w:rPr>
              <w:t>38,</w:t>
            </w:r>
            <w:r w:rsidR="00835213" w:rsidRPr="00573634">
              <w:rPr>
                <w:rFonts w:ascii="Calibri" w:eastAsia="Calibri" w:hAnsi="Calibri" w:cs="Calibri"/>
                <w:b/>
              </w:rPr>
              <w:t>473,055.50</w:t>
            </w:r>
          </w:p>
        </w:tc>
      </w:tr>
      <w:tr w:rsidR="061CE5C6" w14:paraId="63382871" w14:textId="77777777" w:rsidTr="061CE5C6">
        <w:trPr>
          <w:trHeight w:val="300"/>
        </w:trPr>
        <w:tc>
          <w:tcPr>
            <w:cnfStyle w:val="001000000000" w:firstRow="0" w:lastRow="0" w:firstColumn="1" w:lastColumn="0" w:oddVBand="0" w:evenVBand="0" w:oddHBand="0" w:evenHBand="0" w:firstRowFirstColumn="0" w:firstRowLastColumn="0" w:lastRowFirstColumn="0" w:lastRowLastColumn="0"/>
            <w:tcW w:w="2820" w:type="dxa"/>
          </w:tcPr>
          <w:p w14:paraId="12E1E5D5" w14:textId="4BE85D04" w:rsidR="061CE5C6" w:rsidRPr="00573634" w:rsidRDefault="061CE5C6" w:rsidP="061CE5C6">
            <w:pPr>
              <w:spacing w:after="0"/>
              <w:rPr>
                <w:rFonts w:ascii="Calibri" w:eastAsia="Calibri" w:hAnsi="Calibri" w:cs="Calibri"/>
                <w:b/>
              </w:rPr>
            </w:pPr>
            <w:r w:rsidRPr="00573634">
              <w:rPr>
                <w:rFonts w:ascii="Calibri" w:eastAsia="Calibri" w:hAnsi="Calibri" w:cs="Calibri"/>
                <w:b/>
              </w:rPr>
              <w:t xml:space="preserve">Yearly average (10 years) </w:t>
            </w:r>
          </w:p>
        </w:tc>
        <w:tc>
          <w:tcPr>
            <w:tcW w:w="6240" w:type="dxa"/>
          </w:tcPr>
          <w:p w14:paraId="75320166" w14:textId="49CED571" w:rsidR="061CE5C6" w:rsidRPr="00573634" w:rsidRDefault="061CE5C6" w:rsidP="061CE5C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573634">
              <w:rPr>
                <w:rFonts w:ascii="Calibri" w:eastAsia="Calibri" w:hAnsi="Calibri" w:cs="Calibri"/>
                <w:b/>
              </w:rPr>
              <w:t>$</w:t>
            </w:r>
            <w:r w:rsidR="00032A05" w:rsidRPr="00573634">
              <w:rPr>
                <w:rFonts w:ascii="Calibri" w:eastAsia="Calibri" w:hAnsi="Calibri" w:cs="Calibri"/>
                <w:b/>
              </w:rPr>
              <w:t>3,8</w:t>
            </w:r>
            <w:r w:rsidR="00835213" w:rsidRPr="00573634">
              <w:rPr>
                <w:rFonts w:ascii="Calibri" w:eastAsia="Calibri" w:hAnsi="Calibri" w:cs="Calibri"/>
                <w:b/>
              </w:rPr>
              <w:t>47,305.55</w:t>
            </w:r>
          </w:p>
        </w:tc>
      </w:tr>
    </w:tbl>
    <w:p w14:paraId="6FECB210" w14:textId="14B6AE8F" w:rsidR="3FFC8B0F" w:rsidRDefault="3FFC8B0F" w:rsidP="3FFC8B0F"/>
    <w:p w14:paraId="590A7055" w14:textId="6825E98D" w:rsidR="006D410A" w:rsidRDefault="006D410A" w:rsidP="00573634">
      <w:pPr>
        <w:pStyle w:val="Heading5"/>
        <w:spacing w:after="200"/>
      </w:pPr>
      <w:r>
        <w:t>Broader economic impacts</w:t>
      </w:r>
    </w:p>
    <w:p w14:paraId="00845F00" w14:textId="4B10B962" w:rsidR="006D410A" w:rsidRDefault="006D410A" w:rsidP="006D410A">
      <w:r>
        <w:t xml:space="preserve">While not included in costings, there are likely to be further economic impacts in the road transport industry. For example, the Fair Work Commission will </w:t>
      </w:r>
      <w:r w:rsidR="01BA2D00">
        <w:t>have the option of making</w:t>
      </w:r>
      <w:r>
        <w:t xml:space="preserve"> non-binding </w:t>
      </w:r>
      <w:r w:rsidR="3539D038">
        <w:t>guideline</w:t>
      </w:r>
      <w:r>
        <w:t xml:space="preserve"> standards for the road transport industry</w:t>
      </w:r>
      <w:r w:rsidR="2CFA9D94">
        <w:t>,</w:t>
      </w:r>
      <w:r>
        <w:t xml:space="preserve"> in  consult</w:t>
      </w:r>
      <w:r w:rsidR="1CCE13F4">
        <w:t>ation</w:t>
      </w:r>
      <w:r>
        <w:t xml:space="preserve"> with industry stakeholders to identify areas of agreement. This could have the potential to drive behaviour, while not presenting direct costs. </w:t>
      </w:r>
    </w:p>
    <w:p w14:paraId="713D289D" w14:textId="77777777" w:rsidR="006D410A" w:rsidRDefault="006D410A" w:rsidP="006D410A">
      <w:r>
        <w:t>Non-binding standards on matters such as pay can indirectly impact workers by improving the information available to them about operating costs or assisting them in contract negotiations. Workers</w:t>
      </w:r>
      <w:r w:rsidRPr="0049697E">
        <w:t xml:space="preserve"> across the road transport industry </w:t>
      </w:r>
      <w:r>
        <w:t>may</w:t>
      </w:r>
      <w:r w:rsidRPr="0049697E">
        <w:t xml:space="preserve"> </w:t>
      </w:r>
      <w:r>
        <w:t xml:space="preserve">also </w:t>
      </w:r>
      <w:r w:rsidRPr="0049697E">
        <w:t xml:space="preserve">be indirectly impacted as greater attention is </w:t>
      </w:r>
      <w:r>
        <w:t>given to</w:t>
      </w:r>
      <w:r w:rsidRPr="0049697E">
        <w:t xml:space="preserve"> the working conditions of transport workers</w:t>
      </w:r>
      <w:r>
        <w:t>.</w:t>
      </w:r>
    </w:p>
    <w:p w14:paraId="524BEFEB" w14:textId="77777777" w:rsidR="006D410A" w:rsidRDefault="006D410A" w:rsidP="00573634">
      <w:pPr>
        <w:pStyle w:val="Heading6"/>
      </w:pPr>
      <w:r>
        <w:t>Consumers</w:t>
      </w:r>
    </w:p>
    <w:p w14:paraId="463FEA81" w14:textId="0885F58E" w:rsidR="006D410A" w:rsidRPr="00EE62F4" w:rsidRDefault="006D410A" w:rsidP="006D410A">
      <w:pPr>
        <w:spacing w:after="160" w:line="257" w:lineRule="auto"/>
      </w:pPr>
      <w:r w:rsidRPr="00EE62F4">
        <w:t>As in Option 2, depending on the action taken by these businesses in the face of increased labour costs, it is likely that at least part of this cost will be passed on to the consumers of businesses</w:t>
      </w:r>
      <w:r w:rsidRPr="00655B74">
        <w:t xml:space="preserve"> </w:t>
      </w:r>
      <w:r w:rsidR="009355CA" w:rsidRPr="00573634">
        <w:t xml:space="preserve">operating in the road transport industry. In addition, as road transport is a derived cost for many types of goods, there may be </w:t>
      </w:r>
      <w:r w:rsidRPr="00EE62F4">
        <w:t>flow-on impacts to other goods and services</w:t>
      </w:r>
      <w:r w:rsidRPr="00655B74">
        <w:t xml:space="preserve"> </w:t>
      </w:r>
      <w:r w:rsidR="00D752DA" w:rsidRPr="00573634">
        <w:t>in other industries</w:t>
      </w:r>
      <w:r w:rsidRPr="00EE62F4">
        <w:t>. As such, the costs outlined in this scenario are likely to be borne by consumers and businesses, including down the supply chain, however it will be up to each business to decide how much of these costs they absorb.</w:t>
      </w:r>
      <w:r>
        <w:t xml:space="preserve">  </w:t>
      </w:r>
    </w:p>
    <w:p w14:paraId="1D14326E" w14:textId="77777777" w:rsidR="006D410A" w:rsidRDefault="006D410A" w:rsidP="00573634">
      <w:pPr>
        <w:pStyle w:val="Heading6"/>
      </w:pPr>
      <w:r>
        <w:t xml:space="preserve">Impact on workers </w:t>
      </w:r>
    </w:p>
    <w:p w14:paraId="2ADF5817" w14:textId="64DA49AF" w:rsidR="006D410A" w:rsidRDefault="006D410A" w:rsidP="006D410A">
      <w:pPr>
        <w:spacing w:line="257" w:lineRule="auto"/>
        <w:rPr>
          <w:rFonts w:ascii="Calibri" w:eastAsia="Calibri" w:hAnsi="Calibri" w:cs="Calibri"/>
          <w:color w:val="000000" w:themeColor="text1"/>
        </w:rPr>
      </w:pPr>
      <w:r w:rsidRPr="169A253A">
        <w:rPr>
          <w:rFonts w:ascii="Calibri" w:eastAsia="Calibri" w:hAnsi="Calibri" w:cs="Calibri"/>
          <w:color w:val="000000" w:themeColor="text1"/>
        </w:rPr>
        <w:t>As mentioned in Option 2, the department is unable to estimate and quantify the flow-on costs of an increased wage bill</w:t>
      </w:r>
      <w:r>
        <w:rPr>
          <w:rFonts w:ascii="Calibri" w:eastAsia="Calibri" w:hAnsi="Calibri" w:cs="Calibri"/>
          <w:color w:val="000000" w:themeColor="text1"/>
        </w:rPr>
        <w:t>. However,</w:t>
      </w:r>
      <w:r w:rsidRPr="169A253A">
        <w:rPr>
          <w:rFonts w:ascii="Calibri" w:eastAsia="Calibri" w:hAnsi="Calibri" w:cs="Calibri"/>
          <w:color w:val="000000" w:themeColor="text1"/>
        </w:rPr>
        <w:t xml:space="preserve"> </w:t>
      </w:r>
      <w:r>
        <w:rPr>
          <w:rFonts w:ascii="Calibri" w:eastAsia="Calibri" w:hAnsi="Calibri" w:cs="Calibri"/>
          <w:color w:val="000000" w:themeColor="text1"/>
        </w:rPr>
        <w:t>the department</w:t>
      </w:r>
      <w:r w:rsidRPr="169A253A">
        <w:rPr>
          <w:rFonts w:ascii="Calibri" w:eastAsia="Calibri" w:hAnsi="Calibri" w:cs="Calibri"/>
          <w:color w:val="000000" w:themeColor="text1"/>
        </w:rPr>
        <w:t xml:space="preserve"> assume</w:t>
      </w:r>
      <w:r>
        <w:rPr>
          <w:rFonts w:ascii="Calibri" w:eastAsia="Calibri" w:hAnsi="Calibri" w:cs="Calibri"/>
          <w:color w:val="000000" w:themeColor="text1"/>
        </w:rPr>
        <w:t>s</w:t>
      </w:r>
      <w:r w:rsidRPr="169A253A">
        <w:rPr>
          <w:rFonts w:ascii="Calibri" w:eastAsia="Calibri" w:hAnsi="Calibri" w:cs="Calibri"/>
          <w:color w:val="000000" w:themeColor="text1"/>
        </w:rPr>
        <w:t xml:space="preserve"> that the introduction </w:t>
      </w:r>
      <w:r>
        <w:rPr>
          <w:rFonts w:ascii="Calibri" w:eastAsia="Calibri" w:hAnsi="Calibri" w:cs="Calibri"/>
          <w:color w:val="000000" w:themeColor="text1"/>
        </w:rPr>
        <w:t>of</w:t>
      </w:r>
      <w:r w:rsidRPr="169A253A">
        <w:rPr>
          <w:rFonts w:ascii="Calibri" w:eastAsia="Calibri" w:hAnsi="Calibri" w:cs="Calibri"/>
          <w:color w:val="000000" w:themeColor="text1"/>
        </w:rPr>
        <w:t xml:space="preserve"> minimum standards outlined in Option 3 </w:t>
      </w:r>
      <w:r>
        <w:rPr>
          <w:rFonts w:ascii="Calibri" w:eastAsia="Calibri" w:hAnsi="Calibri" w:cs="Calibri"/>
          <w:color w:val="000000" w:themeColor="text1"/>
        </w:rPr>
        <w:t>may</w:t>
      </w:r>
      <w:r w:rsidRPr="169A253A">
        <w:rPr>
          <w:rFonts w:ascii="Calibri" w:eastAsia="Calibri" w:hAnsi="Calibri" w:cs="Calibri"/>
          <w:color w:val="000000" w:themeColor="text1"/>
        </w:rPr>
        <w:t xml:space="preserve"> lead to a more reliable income stream and an increase to weekly income for road transport workers. This added income security and increases to pay </w:t>
      </w:r>
      <w:r w:rsidR="00381AF0">
        <w:rPr>
          <w:rFonts w:ascii="Calibri" w:eastAsia="Calibri" w:hAnsi="Calibri" w:cs="Calibri"/>
          <w:color w:val="000000" w:themeColor="text1"/>
        </w:rPr>
        <w:t xml:space="preserve">would </w:t>
      </w:r>
      <w:r w:rsidRPr="169A253A">
        <w:rPr>
          <w:rFonts w:ascii="Calibri" w:eastAsia="Calibri" w:hAnsi="Calibri" w:cs="Calibri"/>
          <w:color w:val="000000" w:themeColor="text1"/>
        </w:rPr>
        <w:t xml:space="preserve">allow road transport workers </w:t>
      </w:r>
      <w:r w:rsidR="00381AF0">
        <w:rPr>
          <w:rFonts w:ascii="Calibri" w:eastAsia="Calibri" w:hAnsi="Calibri" w:cs="Calibri"/>
          <w:color w:val="000000" w:themeColor="text1"/>
        </w:rPr>
        <w:t>meet</w:t>
      </w:r>
      <w:r w:rsidRPr="169A253A">
        <w:rPr>
          <w:rFonts w:ascii="Calibri" w:eastAsia="Calibri" w:hAnsi="Calibri" w:cs="Calibri"/>
          <w:color w:val="000000" w:themeColor="text1"/>
        </w:rPr>
        <w:t xml:space="preserve"> elevated living costs </w:t>
      </w:r>
      <w:r w:rsidR="00381AF0">
        <w:rPr>
          <w:rFonts w:ascii="Calibri" w:eastAsia="Calibri" w:hAnsi="Calibri" w:cs="Calibri"/>
          <w:color w:val="000000" w:themeColor="text1"/>
        </w:rPr>
        <w:t>which</w:t>
      </w:r>
      <w:r w:rsidRPr="169A253A">
        <w:rPr>
          <w:rFonts w:ascii="Calibri" w:eastAsia="Calibri" w:hAnsi="Calibri" w:cs="Calibri"/>
          <w:color w:val="000000" w:themeColor="text1"/>
        </w:rPr>
        <w:t xml:space="preserve"> </w:t>
      </w:r>
      <w:r w:rsidR="00381AF0">
        <w:rPr>
          <w:rFonts w:ascii="Calibri" w:eastAsia="Calibri" w:hAnsi="Calibri" w:cs="Calibri"/>
          <w:color w:val="000000" w:themeColor="text1"/>
        </w:rPr>
        <w:t>may provide</w:t>
      </w:r>
      <w:r w:rsidRPr="169A253A">
        <w:rPr>
          <w:rFonts w:ascii="Calibri" w:eastAsia="Calibri" w:hAnsi="Calibri" w:cs="Calibri"/>
          <w:color w:val="000000" w:themeColor="text1"/>
        </w:rPr>
        <w:t xml:space="preserve"> a boost to their local economies. </w:t>
      </w:r>
    </w:p>
    <w:p w14:paraId="554331B0" w14:textId="09BA135F" w:rsidR="006D410A" w:rsidRDefault="006D410A" w:rsidP="00573634">
      <w:pPr>
        <w:spacing w:after="0"/>
      </w:pPr>
      <w:r w:rsidRPr="00EC7443">
        <w:t>Independent contractors in the road transport industry are more likely to be male, work full-time, and born overseas when compared to all independent contractors. Given that much of the road transport industry is located in or passes through regional Australia, improving incomes for road transport workers may have a positive flow on impact to regional economies.</w:t>
      </w:r>
      <w:r>
        <w:t xml:space="preserve"> </w:t>
      </w:r>
      <w:r>
        <w:br/>
      </w:r>
      <w:r>
        <w:br/>
      </w:r>
      <w:r>
        <w:rPr>
          <w:rFonts w:ascii="Calibri" w:eastAsia="Calibri" w:hAnsi="Calibri" w:cs="Calibri"/>
          <w:color w:val="000000" w:themeColor="text1"/>
        </w:rPr>
        <w:t xml:space="preserve">In addition, improved working conditions may attract more workers to road transport, which would respond to a key need of the industry. </w:t>
      </w:r>
      <w:r>
        <w:t>Australian logistics companies have identified the difficulty of attracting and retaining workers as a key issue facing the road transport industry. For example, a 2021 report by Australian Industry Standards found that there is a lack of new entrants to the industry, with a higher average age (45.6) than other major industries and an ageing rate that is 2.2 times faster than other industries.</w:t>
      </w:r>
      <w:r>
        <w:rPr>
          <w:rStyle w:val="FootnoteReference"/>
        </w:rPr>
        <w:footnoteReference w:id="142"/>
      </w:r>
      <w:r>
        <w:t xml:space="preserve"> Road transport industry representatives have raised concerns that there will be a workforce supply crisis in the next 10 to 15 years as these workers retire and demand for the industry increases. </w:t>
      </w:r>
    </w:p>
    <w:p w14:paraId="636EC2FA" w14:textId="50B0138C" w:rsidR="00F5764E" w:rsidRDefault="0093251F" w:rsidP="00744636">
      <w:pPr>
        <w:pStyle w:val="Heading5"/>
        <w:spacing w:after="200"/>
      </w:pPr>
      <w:r>
        <w:t>Cost</w:t>
      </w:r>
      <w:r w:rsidR="00F5764E">
        <w:t xml:space="preserve"> to government </w:t>
      </w:r>
    </w:p>
    <w:p w14:paraId="2B3AE26A" w14:textId="07C6C6FB" w:rsidR="00F5764E" w:rsidRPr="0010021C" w:rsidRDefault="008A1387" w:rsidP="00F5764E">
      <w:pPr>
        <w:rPr>
          <w:rStyle w:val="normaltextrun"/>
          <w:rFonts w:ascii="Calibri" w:hAnsi="Calibri" w:cs="Calibri"/>
          <w:color w:val="000000"/>
          <w:shd w:val="clear" w:color="auto" w:fill="FFFFFF"/>
          <w:lang w:val="en-GB"/>
        </w:rPr>
      </w:pPr>
      <w:r>
        <w:rPr>
          <w:rStyle w:val="normaltextrun"/>
          <w:rFonts w:ascii="Calibri" w:hAnsi="Calibri" w:cs="Calibri"/>
          <w:color w:val="000000"/>
          <w:shd w:val="clear" w:color="auto" w:fill="FFFFFF"/>
          <w:lang w:val="en-GB"/>
        </w:rPr>
        <w:t>As under Option 2, this option would have an impact on the Fair Work Commission and Fair Work Ombudsman</w:t>
      </w:r>
      <w:r w:rsidR="007D0AE0">
        <w:rPr>
          <w:rStyle w:val="normaltextrun"/>
          <w:rFonts w:ascii="Calibri" w:hAnsi="Calibri" w:cs="Calibri"/>
          <w:color w:val="000000"/>
          <w:shd w:val="clear" w:color="auto" w:fill="FFFFFF"/>
          <w:lang w:val="en-GB"/>
        </w:rPr>
        <w:t xml:space="preserve"> and there </w:t>
      </w:r>
      <w:r w:rsidR="007D0AE0" w:rsidRPr="004B4F63">
        <w:t>would</w:t>
      </w:r>
      <w:r w:rsidR="007D0AE0">
        <w:rPr>
          <w:rStyle w:val="normaltextrun"/>
          <w:rFonts w:ascii="Calibri" w:hAnsi="Calibri" w:cs="Calibri"/>
          <w:color w:val="000000"/>
          <w:shd w:val="clear" w:color="auto" w:fill="FFFFFF"/>
          <w:lang w:val="en-GB"/>
        </w:rPr>
        <w:t xml:space="preserve"> be an increase in income tax revenu</w:t>
      </w:r>
      <w:r w:rsidR="00833E23">
        <w:rPr>
          <w:rStyle w:val="normaltextrun"/>
          <w:rFonts w:ascii="Calibri" w:hAnsi="Calibri" w:cs="Calibri"/>
          <w:color w:val="000000"/>
          <w:shd w:val="clear" w:color="auto" w:fill="FFFFFF"/>
          <w:lang w:val="en-GB"/>
        </w:rPr>
        <w:t>e</w:t>
      </w:r>
      <w:r w:rsidR="007D0AE0">
        <w:rPr>
          <w:rStyle w:val="normaltextrun"/>
          <w:rFonts w:ascii="Calibri" w:hAnsi="Calibri" w:cs="Calibri"/>
          <w:color w:val="000000"/>
          <w:shd w:val="clear" w:color="auto" w:fill="FFFFFF"/>
          <w:lang w:val="en-GB"/>
        </w:rPr>
        <w:t xml:space="preserve"> collected</w:t>
      </w:r>
      <w:r>
        <w:rPr>
          <w:rStyle w:val="normaltextrun"/>
          <w:rFonts w:ascii="Calibri" w:hAnsi="Calibri" w:cs="Calibri"/>
          <w:color w:val="000000"/>
          <w:shd w:val="clear" w:color="auto" w:fill="FFFFFF"/>
          <w:lang w:val="en-GB"/>
        </w:rPr>
        <w:t>.</w:t>
      </w:r>
    </w:p>
    <w:p w14:paraId="0D0CBE13" w14:textId="4D85D61F" w:rsidR="00F5764E" w:rsidRPr="0010021C" w:rsidRDefault="00F5764E" w:rsidP="00F5764E">
      <w:pPr>
        <w:rPr>
          <w:rStyle w:val="normaltextrun"/>
          <w:rFonts w:ascii="Calibri" w:hAnsi="Calibri" w:cs="Calibri"/>
          <w:i/>
          <w:iCs/>
          <w:color w:val="000000"/>
          <w:shd w:val="clear" w:color="auto" w:fill="FFFFFF"/>
          <w:lang w:val="en-GB"/>
        </w:rPr>
      </w:pPr>
      <w:r w:rsidRPr="0010021C">
        <w:rPr>
          <w:rStyle w:val="normaltextrun"/>
          <w:rFonts w:ascii="Calibri" w:hAnsi="Calibri" w:cs="Calibri"/>
          <w:i/>
          <w:iCs/>
          <w:color w:val="000000"/>
          <w:shd w:val="clear" w:color="auto" w:fill="FFFFFF"/>
          <w:lang w:val="en-GB"/>
        </w:rPr>
        <w:t>Fair Work Commission</w:t>
      </w:r>
    </w:p>
    <w:p w14:paraId="67EC83D7" w14:textId="5A4072D5" w:rsidR="005825B0" w:rsidRPr="0010021C" w:rsidRDefault="00F5764E" w:rsidP="00F5764E">
      <w:pPr>
        <w:rPr>
          <w:rStyle w:val="normaltextrun"/>
          <w:rFonts w:ascii="Calibri" w:hAnsi="Calibri" w:cs="Calibri"/>
          <w:color w:val="000000"/>
          <w:shd w:val="clear" w:color="auto" w:fill="FFFFFF"/>
          <w:lang w:val="en-GB"/>
        </w:rPr>
      </w:pPr>
      <w:r w:rsidRPr="0010021C">
        <w:rPr>
          <w:rStyle w:val="normaltextrun"/>
          <w:rFonts w:ascii="Calibri" w:hAnsi="Calibri" w:cs="Calibri"/>
          <w:color w:val="000000"/>
          <w:shd w:val="clear" w:color="auto" w:fill="FFFFFF"/>
          <w:lang w:val="en-GB"/>
        </w:rPr>
        <w:t>Under the proposal</w:t>
      </w:r>
      <w:r w:rsidR="004E5A05">
        <w:rPr>
          <w:rStyle w:val="normaltextrun"/>
          <w:rFonts w:ascii="Calibri" w:hAnsi="Calibri" w:cs="Calibri"/>
          <w:color w:val="000000"/>
          <w:shd w:val="clear" w:color="auto" w:fill="FFFFFF"/>
          <w:lang w:val="en-GB"/>
        </w:rPr>
        <w:t>s</w:t>
      </w:r>
      <w:r w:rsidRPr="0010021C">
        <w:rPr>
          <w:rStyle w:val="normaltextrun"/>
          <w:rFonts w:ascii="Calibri" w:hAnsi="Calibri" w:cs="Calibri"/>
          <w:color w:val="000000"/>
          <w:shd w:val="clear" w:color="auto" w:fill="FFFFFF"/>
          <w:lang w:val="en-GB"/>
        </w:rPr>
        <w:t xml:space="preserve"> to introduce minimum standards for digital platform workers </w:t>
      </w:r>
      <w:r w:rsidR="004E5A05">
        <w:rPr>
          <w:rStyle w:val="normaltextrun"/>
          <w:rFonts w:ascii="Calibri" w:hAnsi="Calibri" w:cs="Calibri"/>
          <w:color w:val="000000"/>
          <w:shd w:val="clear" w:color="auto" w:fill="FFFFFF"/>
          <w:lang w:val="en-GB"/>
        </w:rPr>
        <w:t>and road transport workers</w:t>
      </w:r>
      <w:r w:rsidRPr="0010021C">
        <w:rPr>
          <w:rStyle w:val="normaltextrun"/>
          <w:rFonts w:ascii="Calibri" w:hAnsi="Calibri" w:cs="Calibri"/>
          <w:color w:val="000000"/>
          <w:shd w:val="clear" w:color="auto" w:fill="FFFFFF"/>
          <w:lang w:val="en-GB"/>
        </w:rPr>
        <w:t>, the Fair Work Commission would consider applications for minimum standards applying to eligible cohorts of workers, determine the standards that should apply (if any) and make enforceable orders setting these standards</w:t>
      </w:r>
      <w:r w:rsidR="003D2436">
        <w:rPr>
          <w:rStyle w:val="normaltextrun"/>
          <w:rFonts w:ascii="Calibri" w:hAnsi="Calibri" w:cs="Calibri"/>
          <w:color w:val="000000"/>
          <w:shd w:val="clear" w:color="auto" w:fill="FFFFFF"/>
          <w:lang w:val="en-GB"/>
        </w:rPr>
        <w:t xml:space="preserve"> (with more checks and balances for road transport workers)</w:t>
      </w:r>
      <w:r w:rsidRPr="0010021C">
        <w:rPr>
          <w:rStyle w:val="normaltextrun"/>
          <w:rFonts w:ascii="Calibri" w:hAnsi="Calibri" w:cs="Calibri"/>
          <w:color w:val="000000"/>
          <w:shd w:val="clear" w:color="auto" w:fill="FFFFFF"/>
          <w:lang w:val="en-GB"/>
        </w:rPr>
        <w:t xml:space="preserve">. </w:t>
      </w:r>
      <w:r w:rsidR="005825B0">
        <w:rPr>
          <w:rStyle w:val="normaltextrun"/>
          <w:rFonts w:ascii="Calibri" w:hAnsi="Calibri" w:cs="Calibri"/>
          <w:color w:val="000000"/>
          <w:shd w:val="clear" w:color="auto" w:fill="FFFFFF"/>
          <w:lang w:val="en-GB"/>
        </w:rPr>
        <w:t xml:space="preserve">The Fair Work Commission would also </w:t>
      </w:r>
      <w:r w:rsidR="00AB2E07">
        <w:rPr>
          <w:rStyle w:val="normaltextrun"/>
          <w:rFonts w:ascii="Calibri" w:hAnsi="Calibri" w:cs="Calibri"/>
          <w:color w:val="000000"/>
          <w:shd w:val="clear" w:color="auto" w:fill="FFFFFF"/>
          <w:lang w:val="en-GB"/>
        </w:rPr>
        <w:t xml:space="preserve">need to consult with road transport </w:t>
      </w:r>
      <w:r w:rsidR="00EB004C">
        <w:rPr>
          <w:rStyle w:val="normaltextrun"/>
          <w:rFonts w:ascii="Calibri" w:hAnsi="Calibri" w:cs="Calibri"/>
          <w:color w:val="000000"/>
          <w:shd w:val="clear" w:color="auto" w:fill="FFFFFF"/>
          <w:lang w:val="en-GB"/>
        </w:rPr>
        <w:t>stakeholders</w:t>
      </w:r>
      <w:r w:rsidR="00BB09F3">
        <w:rPr>
          <w:rStyle w:val="normaltextrun"/>
          <w:rFonts w:ascii="Calibri" w:hAnsi="Calibri" w:cs="Calibri"/>
          <w:color w:val="000000"/>
          <w:shd w:val="clear" w:color="auto" w:fill="FFFFFF"/>
          <w:lang w:val="en-GB"/>
        </w:rPr>
        <w:t xml:space="preserve">, including to consider </w:t>
      </w:r>
      <w:r w:rsidR="48973C04">
        <w:rPr>
          <w:rStyle w:val="normaltextrun"/>
          <w:rFonts w:ascii="Calibri" w:hAnsi="Calibri" w:cs="Calibri"/>
          <w:color w:val="000000"/>
          <w:shd w:val="clear" w:color="auto" w:fill="FFFFFF"/>
          <w:lang w:val="en-GB"/>
        </w:rPr>
        <w:t>guideline</w:t>
      </w:r>
      <w:r w:rsidR="00BB09F3">
        <w:rPr>
          <w:rStyle w:val="normaltextrun"/>
          <w:rFonts w:ascii="Calibri" w:hAnsi="Calibri" w:cs="Calibri"/>
          <w:color w:val="000000"/>
          <w:shd w:val="clear" w:color="auto" w:fill="FFFFFF"/>
          <w:lang w:val="en-GB"/>
        </w:rPr>
        <w:t xml:space="preserve"> standards for </w:t>
      </w:r>
      <w:r w:rsidR="00E94D5F">
        <w:rPr>
          <w:rStyle w:val="normaltextrun"/>
          <w:rFonts w:ascii="Calibri" w:hAnsi="Calibri" w:cs="Calibri"/>
          <w:color w:val="000000"/>
          <w:shd w:val="clear" w:color="auto" w:fill="FFFFFF"/>
          <w:lang w:val="en-GB"/>
        </w:rPr>
        <w:t xml:space="preserve">other areas in the road transport industry. </w:t>
      </w:r>
    </w:p>
    <w:p w14:paraId="49A871A4" w14:textId="77777777" w:rsidR="00F5764E" w:rsidRPr="0010021C" w:rsidRDefault="00F5764E" w:rsidP="00F5764E">
      <w:pPr>
        <w:rPr>
          <w:rStyle w:val="normaltextrun"/>
          <w:rFonts w:ascii="Calibri" w:hAnsi="Calibri" w:cs="Calibri"/>
          <w:i/>
          <w:iCs/>
          <w:color w:val="000000"/>
          <w:shd w:val="clear" w:color="auto" w:fill="FFFFFF"/>
          <w:lang w:val="en-GB"/>
        </w:rPr>
      </w:pPr>
      <w:r w:rsidRPr="0010021C">
        <w:rPr>
          <w:rStyle w:val="normaltextrun"/>
          <w:rFonts w:ascii="Calibri" w:hAnsi="Calibri" w:cs="Calibri"/>
          <w:i/>
          <w:iCs/>
          <w:color w:val="000000"/>
          <w:shd w:val="clear" w:color="auto" w:fill="FFFFFF"/>
          <w:lang w:val="en-GB"/>
        </w:rPr>
        <w:t>Fair Work Ombudsman</w:t>
      </w:r>
    </w:p>
    <w:p w14:paraId="5E1C88CD" w14:textId="77777777" w:rsidR="00F5764E" w:rsidRPr="00C04BEA" w:rsidRDefault="00F5764E" w:rsidP="00F5764E">
      <w:pPr>
        <w:rPr>
          <w:rFonts w:ascii="Calibri" w:hAnsi="Calibri" w:cs="Calibri"/>
          <w:color w:val="000000"/>
          <w:shd w:val="clear" w:color="auto" w:fill="FFFFFF"/>
          <w:lang w:val="en-GB"/>
        </w:rPr>
      </w:pPr>
      <w:r w:rsidRPr="0010021C">
        <w:rPr>
          <w:rStyle w:val="normaltextrun"/>
          <w:rFonts w:ascii="Calibri" w:hAnsi="Calibri" w:cs="Calibri"/>
          <w:color w:val="000000"/>
          <w:shd w:val="clear" w:color="auto" w:fill="FFFFFF"/>
          <w:lang w:val="en-GB"/>
        </w:rPr>
        <w:t xml:space="preserve">The Fair Work </w:t>
      </w:r>
      <w:r w:rsidRPr="004B4F63">
        <w:t>Ombudsman</w:t>
      </w:r>
      <w:r w:rsidRPr="0010021C">
        <w:rPr>
          <w:rStyle w:val="normaltextrun"/>
          <w:rFonts w:ascii="Calibri" w:hAnsi="Calibri" w:cs="Calibri"/>
          <w:color w:val="000000"/>
          <w:shd w:val="clear" w:color="auto" w:fill="FFFFFF"/>
          <w:lang w:val="en-GB"/>
        </w:rPr>
        <w:t xml:space="preserve"> would be required to educate and advise businesses and workers of their new rights and obligations under the proposal, and to enforce new minimum standards. </w:t>
      </w:r>
    </w:p>
    <w:p w14:paraId="2D390A80" w14:textId="77777777" w:rsidR="00F5764E" w:rsidRDefault="00F5764E" w:rsidP="00744636">
      <w:pPr>
        <w:pStyle w:val="Heading4"/>
        <w:spacing w:after="200"/>
      </w:pPr>
      <w:r>
        <w:t xml:space="preserve">Summary of impacts </w:t>
      </w:r>
    </w:p>
    <w:p w14:paraId="44A10BB6" w14:textId="4B13EF81" w:rsidR="0045449D" w:rsidRPr="007C00BA" w:rsidRDefault="00C157AE" w:rsidP="00420C30">
      <w:r>
        <w:t xml:space="preserve">Compared to the status quo, </w:t>
      </w:r>
      <w:r w:rsidR="00420C30">
        <w:t>Option 3 is estimated to deliver $4.</w:t>
      </w:r>
      <w:r w:rsidR="009B33AC">
        <w:t>1</w:t>
      </w:r>
      <w:r w:rsidR="00420C30">
        <w:t xml:space="preserve"> billion dollars in increased wages for workers</w:t>
      </w:r>
      <w:r>
        <w:t xml:space="preserve"> over a ten year period</w:t>
      </w:r>
      <w:r w:rsidR="00420C30">
        <w:t>. This amounts to $4</w:t>
      </w:r>
      <w:r w:rsidR="008E58EA">
        <w:t>07.7</w:t>
      </w:r>
      <w:r w:rsidR="00420C30">
        <w:t xml:space="preserve"> million per year.</w:t>
      </w:r>
      <w:r w:rsidR="00071C00">
        <w:t xml:space="preserve"> In addition, compliance costs are set out below. </w:t>
      </w:r>
    </w:p>
    <w:p w14:paraId="53FF8932" w14:textId="3A035629" w:rsidR="713FB2E2" w:rsidRDefault="0093251F" w:rsidP="05F790EB">
      <w:pPr>
        <w:pStyle w:val="Heading5"/>
        <w:rPr>
          <w:bCs/>
        </w:rPr>
      </w:pPr>
      <w:r>
        <w:t>Regulatory burden estimates</w:t>
      </w:r>
    </w:p>
    <w:p w14:paraId="7F265005" w14:textId="15519249" w:rsidR="05F790EB" w:rsidRDefault="5AFC508D" w:rsidP="00A54C6D">
      <w:r w:rsidRPr="6483B182">
        <w:rPr>
          <w:b/>
          <w:bCs/>
        </w:rPr>
        <w:t xml:space="preserve">Table </w:t>
      </w:r>
      <w:r w:rsidRPr="3850939A">
        <w:rPr>
          <w:b/>
          <w:bCs/>
        </w:rPr>
        <w:t>1</w:t>
      </w:r>
      <w:r w:rsidR="469A5695" w:rsidRPr="3850939A">
        <w:rPr>
          <w:b/>
          <w:bCs/>
        </w:rPr>
        <w:t>8</w:t>
      </w:r>
      <w:r w:rsidR="6B64E777" w:rsidRPr="06C47C7F">
        <w:rPr>
          <w:b/>
          <w:bCs/>
        </w:rPr>
        <w:t xml:space="preserve"> –</w:t>
      </w:r>
      <w:r w:rsidRPr="6483B182">
        <w:rPr>
          <w:b/>
          <w:bCs/>
        </w:rPr>
        <w:t xml:space="preserve"> Average annual regulatory costs (from business as usual)</w:t>
      </w:r>
    </w:p>
    <w:tbl>
      <w:tblPr>
        <w:tblStyle w:val="DESE"/>
        <w:tblW w:w="0" w:type="auto"/>
        <w:tblLook w:val="04A0" w:firstRow="1" w:lastRow="0" w:firstColumn="1" w:lastColumn="0" w:noHBand="0" w:noVBand="1"/>
      </w:tblPr>
      <w:tblGrid>
        <w:gridCol w:w="850"/>
        <w:gridCol w:w="1472"/>
        <w:gridCol w:w="3112"/>
        <w:gridCol w:w="1417"/>
        <w:gridCol w:w="2209"/>
      </w:tblGrid>
      <w:tr w:rsidR="008E0348" w14:paraId="362999A2" w14:textId="77777777" w:rsidTr="6D4D119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50" w:type="dxa"/>
            <w:tcBorders>
              <w:top w:val="single" w:sz="4" w:space="0" w:color="002D3F" w:themeColor="accent1"/>
            </w:tcBorders>
          </w:tcPr>
          <w:p w14:paraId="7E0E76B9" w14:textId="77777777" w:rsidR="008E0348" w:rsidRPr="00B100CC" w:rsidRDefault="008E0348" w:rsidP="008964FB">
            <w:pPr>
              <w:spacing w:after="100"/>
            </w:pPr>
          </w:p>
        </w:tc>
        <w:tc>
          <w:tcPr>
            <w:tcW w:w="8210" w:type="dxa"/>
            <w:gridSpan w:val="4"/>
            <w:tcBorders>
              <w:top w:val="single" w:sz="4" w:space="0" w:color="002D3F" w:themeColor="accent1"/>
            </w:tcBorders>
          </w:tcPr>
          <w:p w14:paraId="0BEDA041" w14:textId="77777777" w:rsidR="008E0348" w:rsidRPr="00A54C6D" w:rsidRDefault="008E0348" w:rsidP="008964FB">
            <w:pPr>
              <w:spacing w:after="100"/>
              <w:jc w:val="center"/>
              <w:cnfStyle w:val="100000000000" w:firstRow="1" w:lastRow="0" w:firstColumn="0" w:lastColumn="0" w:oddVBand="0" w:evenVBand="0" w:oddHBand="0" w:evenHBand="0" w:firstRowFirstColumn="0" w:firstRowLastColumn="0" w:lastRowFirstColumn="0" w:lastRowLastColumn="0"/>
              <w:rPr>
                <w:b/>
              </w:rPr>
            </w:pPr>
            <w:r w:rsidRPr="00A54C6D">
              <w:rPr>
                <w:b/>
              </w:rPr>
              <w:t>Average annual regulatory costs (from business as usual)</w:t>
            </w:r>
          </w:p>
        </w:tc>
      </w:tr>
      <w:tr w:rsidR="008E0348" w14:paraId="4341D3B0" w14:textId="77777777" w:rsidTr="6D4D119E">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50" w:type="dxa"/>
            <w:tcBorders>
              <w:top w:val="single" w:sz="4" w:space="0" w:color="002D3F" w:themeColor="accent1"/>
            </w:tcBorders>
          </w:tcPr>
          <w:p w14:paraId="74F7A248" w14:textId="77777777" w:rsidR="008E0348" w:rsidRDefault="008E0348" w:rsidP="008964FB">
            <w:pPr>
              <w:spacing w:after="100"/>
            </w:pPr>
            <w:r>
              <w:t>Option</w:t>
            </w:r>
          </w:p>
        </w:tc>
        <w:tc>
          <w:tcPr>
            <w:tcW w:w="1472" w:type="dxa"/>
            <w:tcBorders>
              <w:top w:val="single" w:sz="4" w:space="0" w:color="002D3F" w:themeColor="accent1"/>
            </w:tcBorders>
            <w:vAlign w:val="top"/>
          </w:tcPr>
          <w:p w14:paraId="5B199A77" w14:textId="77777777" w:rsidR="008E0348" w:rsidRPr="00A646CA" w:rsidRDefault="008E0348" w:rsidP="008964FB">
            <w:pPr>
              <w:spacing w:after="100"/>
              <w:cnfStyle w:val="100000000000" w:firstRow="1" w:lastRow="0" w:firstColumn="0" w:lastColumn="0" w:oddVBand="0" w:evenVBand="0" w:oddHBand="0" w:evenHBand="0" w:firstRowFirstColumn="0" w:firstRowLastColumn="0" w:lastRowFirstColumn="0" w:lastRowLastColumn="0"/>
            </w:pPr>
            <w:r w:rsidRPr="00A646CA">
              <w:t>Independent contractors</w:t>
            </w:r>
          </w:p>
        </w:tc>
        <w:tc>
          <w:tcPr>
            <w:tcW w:w="3112" w:type="dxa"/>
            <w:vAlign w:val="top"/>
          </w:tcPr>
          <w:p w14:paraId="0047C03E" w14:textId="366ECD02" w:rsidR="008E0348" w:rsidRPr="00A646CA" w:rsidRDefault="008E0348" w:rsidP="008964FB">
            <w:pPr>
              <w:spacing w:after="100"/>
              <w:cnfStyle w:val="100000000000" w:firstRow="1" w:lastRow="0" w:firstColumn="0" w:lastColumn="0" w:oddVBand="0" w:evenVBand="0" w:oddHBand="0" w:evenHBand="0" w:firstRowFirstColumn="0" w:firstRowLastColumn="0" w:lastRowFirstColumn="0" w:lastRowLastColumn="0"/>
            </w:pPr>
            <w:r w:rsidRPr="00A646CA">
              <w:t>Business</w:t>
            </w:r>
            <w:r w:rsidR="002374D5">
              <w:rPr>
                <w:rStyle w:val="FootnoteReference"/>
              </w:rPr>
              <w:footnoteReference w:id="143"/>
            </w:r>
          </w:p>
        </w:tc>
        <w:tc>
          <w:tcPr>
            <w:tcW w:w="1417" w:type="dxa"/>
            <w:vAlign w:val="top"/>
          </w:tcPr>
          <w:p w14:paraId="5BA6CB69" w14:textId="77777777" w:rsidR="008E0348" w:rsidRPr="00A646CA" w:rsidRDefault="008E0348" w:rsidP="008964FB">
            <w:pPr>
              <w:spacing w:after="100"/>
              <w:cnfStyle w:val="100000000000" w:firstRow="1" w:lastRow="0" w:firstColumn="0" w:lastColumn="0" w:oddVBand="0" w:evenVBand="0" w:oddHBand="0" w:evenHBand="0" w:firstRowFirstColumn="0" w:firstRowLastColumn="0" w:lastRowFirstColumn="0" w:lastRowLastColumn="0"/>
            </w:pPr>
            <w:r w:rsidRPr="00A646CA">
              <w:t>Community organisations</w:t>
            </w:r>
          </w:p>
        </w:tc>
        <w:tc>
          <w:tcPr>
            <w:tcW w:w="2209" w:type="dxa"/>
            <w:vAlign w:val="top"/>
          </w:tcPr>
          <w:p w14:paraId="28D66087" w14:textId="77777777" w:rsidR="008E0348" w:rsidRPr="00A646CA" w:rsidRDefault="008E0348" w:rsidP="008964FB">
            <w:pPr>
              <w:spacing w:after="100"/>
              <w:cnfStyle w:val="100000000000" w:firstRow="1" w:lastRow="0" w:firstColumn="0" w:lastColumn="0" w:oddVBand="0" w:evenVBand="0" w:oddHBand="0" w:evenHBand="0" w:firstRowFirstColumn="0" w:firstRowLastColumn="0" w:lastRowFirstColumn="0" w:lastRowLastColumn="0"/>
            </w:pPr>
            <w:r w:rsidRPr="00A646CA">
              <w:t>Total change in costs</w:t>
            </w:r>
          </w:p>
        </w:tc>
      </w:tr>
      <w:tr w:rsidR="008E0348" w14:paraId="28BD0DE5" w14:textId="77777777" w:rsidTr="00A31EE3">
        <w:tc>
          <w:tcPr>
            <w:cnfStyle w:val="001000000000" w:firstRow="0" w:lastRow="0" w:firstColumn="1" w:lastColumn="0" w:oddVBand="0" w:evenVBand="0" w:oddHBand="0" w:evenHBand="0" w:firstRowFirstColumn="0" w:firstRowLastColumn="0" w:lastRowFirstColumn="0" w:lastRowLastColumn="0"/>
            <w:tcW w:w="850" w:type="dxa"/>
            <w:vAlign w:val="top"/>
          </w:tcPr>
          <w:p w14:paraId="4F62ED10" w14:textId="1694A1D0" w:rsidR="008E0348" w:rsidRPr="00861934" w:rsidRDefault="008E0348" w:rsidP="008964FB">
            <w:pPr>
              <w:spacing w:after="100"/>
              <w:rPr>
                <w:b/>
                <w:bCs/>
              </w:rPr>
            </w:pPr>
            <w:r>
              <w:rPr>
                <w:b/>
                <w:bCs/>
              </w:rPr>
              <w:t>Option 3</w:t>
            </w:r>
          </w:p>
        </w:tc>
        <w:tc>
          <w:tcPr>
            <w:tcW w:w="1472" w:type="dxa"/>
            <w:vAlign w:val="top"/>
          </w:tcPr>
          <w:p w14:paraId="212D6EC2" w14:textId="77777777" w:rsidR="008E0348" w:rsidRPr="009306AD" w:rsidRDefault="008E0348" w:rsidP="008964FB">
            <w:pPr>
              <w:spacing w:after="100"/>
              <w:cnfStyle w:val="000000000000" w:firstRow="0" w:lastRow="0" w:firstColumn="0" w:lastColumn="0" w:oddVBand="0" w:evenVBand="0" w:oddHBand="0" w:evenHBand="0" w:firstRowFirstColumn="0" w:firstRowLastColumn="0" w:lastRowFirstColumn="0" w:lastRowLastColumn="0"/>
            </w:pPr>
            <w:r w:rsidRPr="009306AD">
              <w:t>Nil</w:t>
            </w:r>
          </w:p>
        </w:tc>
        <w:tc>
          <w:tcPr>
            <w:tcW w:w="3112" w:type="dxa"/>
            <w:vAlign w:val="top"/>
          </w:tcPr>
          <w:p w14:paraId="3EF16EB0" w14:textId="298F2C3F" w:rsidR="000C4B7A" w:rsidRDefault="001D6F8C" w:rsidP="000C4B7A">
            <w:pPr>
              <w:pStyle w:val="ListParagraph"/>
              <w:numPr>
                <w:ilvl w:val="0"/>
                <w:numId w:val="115"/>
              </w:numPr>
              <w:spacing w:after="100"/>
              <w:cnfStyle w:val="000000000000" w:firstRow="0" w:lastRow="0" w:firstColumn="0" w:lastColumn="0" w:oddVBand="0" w:evenVBand="0" w:oddHBand="0" w:evenHBand="0" w:firstRowFirstColumn="0" w:firstRowLastColumn="0" w:lastRowFirstColumn="0" w:lastRowLastColumn="0"/>
            </w:pPr>
            <w:r w:rsidRPr="00A54C6D">
              <w:rPr>
                <w:b/>
                <w:bCs/>
              </w:rPr>
              <w:t>Road transport businesses</w:t>
            </w:r>
            <w:r>
              <w:t xml:space="preserve"> </w:t>
            </w:r>
            <w:r w:rsidR="00274683">
              <w:t>$</w:t>
            </w:r>
            <w:r w:rsidR="000D2CF8">
              <w:t>5,889.42</w:t>
            </w:r>
            <w:r w:rsidR="00955D67">
              <w:t xml:space="preserve"> </w:t>
            </w:r>
            <w:r w:rsidR="00A44DC6">
              <w:t xml:space="preserve">- </w:t>
            </w:r>
            <w:r w:rsidR="000C4B7A">
              <w:t xml:space="preserve">compliance cost </w:t>
            </w:r>
            <w:r w:rsidR="00A44DC6">
              <w:t>per</w:t>
            </w:r>
            <w:r w:rsidR="000C4B7A">
              <w:t xml:space="preserve"> business impacted by </w:t>
            </w:r>
            <w:r w:rsidR="00955D67">
              <w:t>Opt</w:t>
            </w:r>
            <w:r w:rsidR="006F4D10">
              <w:t>ion 3</w:t>
            </w:r>
            <w:r w:rsidR="00955D67">
              <w:t xml:space="preserve"> </w:t>
            </w:r>
            <w:r w:rsidR="00414C58">
              <w:t xml:space="preserve">+ </w:t>
            </w:r>
            <w:r w:rsidR="00C22C8E">
              <w:t xml:space="preserve">$258.80 </w:t>
            </w:r>
            <w:r w:rsidR="00414C58">
              <w:t>per worker (ongoing compliance per affected road transport worker)</w:t>
            </w:r>
          </w:p>
          <w:p w14:paraId="66FECA30" w14:textId="74A13B8F" w:rsidR="008E0348" w:rsidRPr="009306AD" w:rsidRDefault="001D6F8C" w:rsidP="00A54C6D">
            <w:pPr>
              <w:pStyle w:val="ListParagraph"/>
              <w:numPr>
                <w:ilvl w:val="0"/>
                <w:numId w:val="115"/>
              </w:numPr>
              <w:cnfStyle w:val="000000000000" w:firstRow="0" w:lastRow="0" w:firstColumn="0" w:lastColumn="0" w:oddVBand="0" w:evenVBand="0" w:oddHBand="0" w:evenHBand="0" w:firstRowFirstColumn="0" w:firstRowLastColumn="0" w:lastRowFirstColumn="0" w:lastRowLastColumn="0"/>
            </w:pPr>
            <w:r w:rsidRPr="00A54C6D">
              <w:rPr>
                <w:b/>
                <w:bCs/>
              </w:rPr>
              <w:t>Digital platform businesses</w:t>
            </w:r>
            <w:r w:rsidR="002374D5" w:rsidDel="000C4B7A">
              <w:br/>
            </w:r>
            <w:r w:rsidR="004939B2" w:rsidRPr="00573634">
              <w:t>$</w:t>
            </w:r>
            <w:r w:rsidR="6C2328AF" w:rsidRPr="00573634">
              <w:t>9,845.12</w:t>
            </w:r>
            <w:r w:rsidR="00A44DC6">
              <w:t xml:space="preserve"> – compliance</w:t>
            </w:r>
            <w:r w:rsidR="00017EEE">
              <w:t xml:space="preserve"> </w:t>
            </w:r>
            <w:r w:rsidR="00A44DC6">
              <w:t>cost</w:t>
            </w:r>
            <w:r w:rsidR="00274683">
              <w:t xml:space="preserve"> per business</w:t>
            </w:r>
            <w:r w:rsidR="006F4D10">
              <w:t xml:space="preserve"> </w:t>
            </w:r>
            <w:r w:rsidR="00A44DC6">
              <w:t xml:space="preserve">impacted by </w:t>
            </w:r>
            <w:r w:rsidR="006F4D10">
              <w:t xml:space="preserve">Option </w:t>
            </w:r>
            <w:r w:rsidR="00A44DC6">
              <w:t>2</w:t>
            </w:r>
          </w:p>
        </w:tc>
        <w:tc>
          <w:tcPr>
            <w:tcW w:w="1417" w:type="dxa"/>
            <w:vAlign w:val="top"/>
          </w:tcPr>
          <w:p w14:paraId="579F78BD" w14:textId="77777777" w:rsidR="008E0348" w:rsidRPr="009306AD" w:rsidRDefault="008E0348" w:rsidP="008964FB">
            <w:pPr>
              <w:spacing w:after="100"/>
              <w:cnfStyle w:val="000000000000" w:firstRow="0" w:lastRow="0" w:firstColumn="0" w:lastColumn="0" w:oddVBand="0" w:evenVBand="0" w:oddHBand="0" w:evenHBand="0" w:firstRowFirstColumn="0" w:firstRowLastColumn="0" w:lastRowFirstColumn="0" w:lastRowLastColumn="0"/>
            </w:pPr>
            <w:r w:rsidRPr="009306AD">
              <w:t xml:space="preserve">Nil </w:t>
            </w:r>
          </w:p>
        </w:tc>
        <w:tc>
          <w:tcPr>
            <w:tcW w:w="2209" w:type="dxa"/>
            <w:vAlign w:val="top"/>
          </w:tcPr>
          <w:p w14:paraId="1BE7DAAE" w14:textId="725CF275" w:rsidR="008E0348" w:rsidRPr="008B793A" w:rsidRDefault="004979C8" w:rsidP="00A54C6D">
            <w:pPr>
              <w:cnfStyle w:val="000000000000" w:firstRow="0" w:lastRow="0" w:firstColumn="0" w:lastColumn="0" w:oddVBand="0" w:evenVBand="0" w:oddHBand="0" w:evenHBand="0" w:firstRowFirstColumn="0" w:firstRowLastColumn="0" w:lastRowFirstColumn="0" w:lastRowLastColumn="0"/>
              <w:rPr>
                <w:b/>
              </w:rPr>
            </w:pPr>
            <w:r>
              <w:t xml:space="preserve">$5,889.42 </w:t>
            </w:r>
            <w:r w:rsidR="00981247">
              <w:t xml:space="preserve">per business </w:t>
            </w:r>
            <w:r w:rsidR="004D6815" w:rsidRPr="008D2DBF">
              <w:t>+</w:t>
            </w:r>
            <w:r w:rsidR="004D6815">
              <w:t xml:space="preserve"> </w:t>
            </w:r>
            <w:r w:rsidR="00891404">
              <w:t xml:space="preserve">$258.80 </w:t>
            </w:r>
            <w:r w:rsidR="004D6815">
              <w:t>per worker</w:t>
            </w:r>
            <w:r w:rsidR="007B7C2D">
              <w:t>,</w:t>
            </w:r>
            <w:r w:rsidR="004D6815">
              <w:t xml:space="preserve"> or </w:t>
            </w:r>
            <w:r w:rsidR="7EC6F590" w:rsidRPr="008D2DBF">
              <w:t>$</w:t>
            </w:r>
            <w:r w:rsidR="51BF41BF" w:rsidRPr="008D2DBF">
              <w:t>9,845.12</w:t>
            </w:r>
            <w:r w:rsidRPr="008D2DBF">
              <w:t xml:space="preserve"> </w:t>
            </w:r>
            <w:r w:rsidR="004D6815">
              <w:t xml:space="preserve">per </w:t>
            </w:r>
            <w:r w:rsidR="00017EEE">
              <w:t>business</w:t>
            </w:r>
          </w:p>
        </w:tc>
      </w:tr>
    </w:tbl>
    <w:p w14:paraId="5798C566" w14:textId="2BC688EB" w:rsidR="00F5764E" w:rsidRDefault="00F5764E" w:rsidP="00F5764E"/>
    <w:p w14:paraId="4F93B55F" w14:textId="5EF84D35" w:rsidR="01BA6842" w:rsidRDefault="00665659" w:rsidP="6483B182">
      <w:pPr>
        <w:rPr>
          <w:b/>
        </w:rPr>
      </w:pPr>
      <w:r>
        <w:br/>
      </w:r>
      <w:r>
        <w:br/>
      </w:r>
      <w:r w:rsidR="00EF786A">
        <w:br/>
      </w:r>
      <w:r w:rsidR="01BA6842" w:rsidRPr="6483B182">
        <w:rPr>
          <w:b/>
          <w:bCs/>
        </w:rPr>
        <w:t xml:space="preserve">Table </w:t>
      </w:r>
      <w:r w:rsidR="01BA6842" w:rsidRPr="3F2C1543">
        <w:rPr>
          <w:b/>
          <w:bCs/>
        </w:rPr>
        <w:t>1</w:t>
      </w:r>
      <w:r w:rsidR="1D66B2A5" w:rsidRPr="3F2C1543">
        <w:rPr>
          <w:b/>
          <w:bCs/>
        </w:rPr>
        <w:t>9</w:t>
      </w:r>
      <w:r w:rsidR="7229085F" w:rsidRPr="06C47C7F">
        <w:rPr>
          <w:b/>
          <w:bCs/>
        </w:rPr>
        <w:t xml:space="preserve"> –</w:t>
      </w:r>
      <w:r w:rsidR="01BA6842" w:rsidRPr="6483B182">
        <w:rPr>
          <w:b/>
          <w:bCs/>
        </w:rPr>
        <w:t xml:space="preserve"> Total regulatory costs across the 10 </w:t>
      </w:r>
      <w:r w:rsidR="01BA6842" w:rsidRPr="06C47C7F">
        <w:rPr>
          <w:b/>
          <w:bCs/>
        </w:rPr>
        <w:t>years (from business as usual)</w:t>
      </w:r>
    </w:p>
    <w:tbl>
      <w:tblPr>
        <w:tblStyle w:val="DESE"/>
        <w:tblW w:w="0" w:type="auto"/>
        <w:tblLook w:val="04A0" w:firstRow="1" w:lastRow="0" w:firstColumn="1" w:lastColumn="0" w:noHBand="0" w:noVBand="1"/>
      </w:tblPr>
      <w:tblGrid>
        <w:gridCol w:w="1522"/>
        <w:gridCol w:w="1444"/>
        <w:gridCol w:w="2610"/>
        <w:gridCol w:w="1417"/>
        <w:gridCol w:w="2067"/>
      </w:tblGrid>
      <w:tr w:rsidR="009306AD" w14:paraId="6818EAE7" w14:textId="77777777" w:rsidTr="00A54C6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6" w:type="dxa"/>
            <w:tcBorders>
              <w:top w:val="single" w:sz="4" w:space="0" w:color="002D3F" w:themeColor="accent1"/>
            </w:tcBorders>
          </w:tcPr>
          <w:p w14:paraId="25A4C997" w14:textId="77777777" w:rsidR="009306AD" w:rsidRPr="00B100CC" w:rsidRDefault="009306AD">
            <w:pPr>
              <w:spacing w:after="100"/>
            </w:pPr>
          </w:p>
        </w:tc>
        <w:tc>
          <w:tcPr>
            <w:tcW w:w="7504" w:type="dxa"/>
            <w:gridSpan w:val="4"/>
            <w:tcBorders>
              <w:top w:val="single" w:sz="4" w:space="0" w:color="002D3F" w:themeColor="accent1"/>
            </w:tcBorders>
          </w:tcPr>
          <w:p w14:paraId="3DD67A26" w14:textId="77777777" w:rsidR="009306AD" w:rsidRPr="00A646CA" w:rsidRDefault="009306AD">
            <w:pPr>
              <w:spacing w:after="100"/>
              <w:jc w:val="center"/>
              <w:cnfStyle w:val="100000000000" w:firstRow="1" w:lastRow="0" w:firstColumn="0" w:lastColumn="0" w:oddVBand="0" w:evenVBand="0" w:oddHBand="0" w:evenHBand="0" w:firstRowFirstColumn="0" w:firstRowLastColumn="0" w:lastRowFirstColumn="0" w:lastRowLastColumn="0"/>
            </w:pPr>
            <w:r w:rsidRPr="00A54C6D">
              <w:rPr>
                <w:b/>
              </w:rPr>
              <w:t>Total regulatory costs across the 10 years (from business as usual)</w:t>
            </w:r>
          </w:p>
        </w:tc>
      </w:tr>
      <w:tr w:rsidR="00814EE2" w14:paraId="466898B3" w14:textId="77777777" w:rsidTr="00A54C6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556" w:type="dxa"/>
            <w:tcBorders>
              <w:top w:val="single" w:sz="4" w:space="0" w:color="002D3F" w:themeColor="accent1"/>
            </w:tcBorders>
          </w:tcPr>
          <w:p w14:paraId="1EF89DBA" w14:textId="77777777" w:rsidR="009306AD" w:rsidRDefault="009306AD">
            <w:pPr>
              <w:spacing w:after="100"/>
            </w:pPr>
            <w:r>
              <w:t>Option</w:t>
            </w:r>
          </w:p>
        </w:tc>
        <w:tc>
          <w:tcPr>
            <w:tcW w:w="1448" w:type="dxa"/>
            <w:tcBorders>
              <w:top w:val="single" w:sz="4" w:space="0" w:color="002D3F" w:themeColor="accent1"/>
            </w:tcBorders>
            <w:vAlign w:val="top"/>
          </w:tcPr>
          <w:p w14:paraId="42C79B12" w14:textId="77777777" w:rsidR="009306AD" w:rsidRPr="009306AD" w:rsidRDefault="009306AD">
            <w:pPr>
              <w:spacing w:after="100"/>
              <w:cnfStyle w:val="100000000000" w:firstRow="1" w:lastRow="0" w:firstColumn="0" w:lastColumn="0" w:oddVBand="0" w:evenVBand="0" w:oddHBand="0" w:evenHBand="0" w:firstRowFirstColumn="0" w:firstRowLastColumn="0" w:lastRowFirstColumn="0" w:lastRowLastColumn="0"/>
            </w:pPr>
            <w:r w:rsidRPr="009306AD">
              <w:t>Independent contractors</w:t>
            </w:r>
          </w:p>
        </w:tc>
        <w:tc>
          <w:tcPr>
            <w:tcW w:w="2661" w:type="dxa"/>
            <w:vAlign w:val="top"/>
          </w:tcPr>
          <w:p w14:paraId="7E94EBB5" w14:textId="77777777" w:rsidR="009306AD" w:rsidRPr="009306AD" w:rsidRDefault="009306AD">
            <w:pPr>
              <w:spacing w:after="100"/>
              <w:cnfStyle w:val="100000000000" w:firstRow="1" w:lastRow="0" w:firstColumn="0" w:lastColumn="0" w:oddVBand="0" w:evenVBand="0" w:oddHBand="0" w:evenHBand="0" w:firstRowFirstColumn="0" w:firstRowLastColumn="0" w:lastRowFirstColumn="0" w:lastRowLastColumn="0"/>
            </w:pPr>
            <w:r w:rsidRPr="009306AD">
              <w:t>Business</w:t>
            </w:r>
          </w:p>
        </w:tc>
        <w:tc>
          <w:tcPr>
            <w:tcW w:w="1285" w:type="dxa"/>
            <w:vAlign w:val="top"/>
          </w:tcPr>
          <w:p w14:paraId="32238DB8" w14:textId="77777777" w:rsidR="009306AD" w:rsidRPr="009306AD" w:rsidRDefault="009306AD">
            <w:pPr>
              <w:spacing w:after="100"/>
              <w:cnfStyle w:val="100000000000" w:firstRow="1" w:lastRow="0" w:firstColumn="0" w:lastColumn="0" w:oddVBand="0" w:evenVBand="0" w:oddHBand="0" w:evenHBand="0" w:firstRowFirstColumn="0" w:firstRowLastColumn="0" w:lastRowFirstColumn="0" w:lastRowLastColumn="0"/>
            </w:pPr>
            <w:r w:rsidRPr="009306AD">
              <w:t>Community organisations</w:t>
            </w:r>
          </w:p>
        </w:tc>
        <w:tc>
          <w:tcPr>
            <w:tcW w:w="2110" w:type="dxa"/>
            <w:vAlign w:val="top"/>
          </w:tcPr>
          <w:p w14:paraId="19009534" w14:textId="77777777" w:rsidR="009306AD" w:rsidRPr="009306AD" w:rsidRDefault="009306AD">
            <w:pPr>
              <w:spacing w:after="100"/>
              <w:cnfStyle w:val="100000000000" w:firstRow="1" w:lastRow="0" w:firstColumn="0" w:lastColumn="0" w:oddVBand="0" w:evenVBand="0" w:oddHBand="0" w:evenHBand="0" w:firstRowFirstColumn="0" w:firstRowLastColumn="0" w:lastRowFirstColumn="0" w:lastRowLastColumn="0"/>
            </w:pPr>
            <w:r w:rsidRPr="009306AD">
              <w:t>Total change in costs</w:t>
            </w:r>
          </w:p>
        </w:tc>
      </w:tr>
      <w:tr w:rsidR="009306AD" w14:paraId="77262AAD" w14:textId="77777777" w:rsidTr="00A54C6D">
        <w:trPr>
          <w:trHeight w:val="5843"/>
        </w:trPr>
        <w:tc>
          <w:tcPr>
            <w:cnfStyle w:val="001000000000" w:firstRow="0" w:lastRow="0" w:firstColumn="1" w:lastColumn="0" w:oddVBand="0" w:evenVBand="0" w:oddHBand="0" w:evenHBand="0" w:firstRowFirstColumn="0" w:firstRowLastColumn="0" w:lastRowFirstColumn="0" w:lastRowLastColumn="0"/>
            <w:tcW w:w="1556" w:type="dxa"/>
            <w:vAlign w:val="top"/>
          </w:tcPr>
          <w:p w14:paraId="35B6D655" w14:textId="77777777" w:rsidR="009306AD" w:rsidRPr="00861934" w:rsidRDefault="009306AD">
            <w:pPr>
              <w:spacing w:after="100"/>
              <w:rPr>
                <w:b/>
                <w:bCs/>
              </w:rPr>
            </w:pPr>
            <w:r>
              <w:rPr>
                <w:b/>
                <w:bCs/>
              </w:rPr>
              <w:t>Option 3</w:t>
            </w:r>
          </w:p>
        </w:tc>
        <w:tc>
          <w:tcPr>
            <w:tcW w:w="1448" w:type="dxa"/>
            <w:vAlign w:val="top"/>
          </w:tcPr>
          <w:p w14:paraId="42494369" w14:textId="77777777" w:rsidR="009306AD" w:rsidRPr="009306AD" w:rsidRDefault="009306AD">
            <w:pPr>
              <w:spacing w:after="100"/>
              <w:cnfStyle w:val="000000000000" w:firstRow="0" w:lastRow="0" w:firstColumn="0" w:lastColumn="0" w:oddVBand="0" w:evenVBand="0" w:oddHBand="0" w:evenHBand="0" w:firstRowFirstColumn="0" w:firstRowLastColumn="0" w:lastRowFirstColumn="0" w:lastRowLastColumn="0"/>
            </w:pPr>
            <w:r w:rsidRPr="009306AD">
              <w:t>Nil</w:t>
            </w:r>
          </w:p>
        </w:tc>
        <w:tc>
          <w:tcPr>
            <w:tcW w:w="2661" w:type="dxa"/>
            <w:vAlign w:val="top"/>
          </w:tcPr>
          <w:p w14:paraId="315ACD70" w14:textId="30106C91" w:rsidR="00814EE2" w:rsidRPr="00A54C6D" w:rsidRDefault="00814EE2" w:rsidP="00814EE2">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b/>
                <w:bCs/>
              </w:rPr>
            </w:pPr>
            <w:r w:rsidRPr="00A54C6D">
              <w:rPr>
                <w:b/>
                <w:bCs/>
              </w:rPr>
              <w:t>Road transport business</w:t>
            </w:r>
            <w:r>
              <w:rPr>
                <w:b/>
                <w:bCs/>
              </w:rPr>
              <w:t xml:space="preserve">es </w:t>
            </w:r>
            <w:r w:rsidR="009306AD" w:rsidRPr="00573634">
              <w:t>$</w:t>
            </w:r>
            <w:r w:rsidR="0011164F" w:rsidRPr="00573634">
              <w:t>58,894.</w:t>
            </w:r>
            <w:r w:rsidR="0042012B" w:rsidRPr="00573634">
              <w:t>23</w:t>
            </w:r>
            <w:r w:rsidR="00350205">
              <w:t xml:space="preserve"> </w:t>
            </w:r>
            <w:r>
              <w:t xml:space="preserve"> - </w:t>
            </w:r>
            <w:r w:rsidR="00EE3155">
              <w:t xml:space="preserve"> </w:t>
            </w:r>
            <w:r w:rsidR="00FE165D">
              <w:t xml:space="preserve">compliance cost per business impacted by Option 3 + </w:t>
            </w:r>
            <w:r w:rsidR="007218A6">
              <w:t xml:space="preserve">$2,587.98 </w:t>
            </w:r>
            <w:r>
              <w:t>per worker (Ongoing compliance per affected road transport worker)</w:t>
            </w:r>
          </w:p>
          <w:p w14:paraId="0FABE665" w14:textId="4D0B9AC2" w:rsidR="009306AD" w:rsidRPr="00A54C6D" w:rsidRDefault="00814EE2" w:rsidP="00A54C6D">
            <w:pPr>
              <w:pStyle w:val="ListParagraph"/>
              <w:numPr>
                <w:ilvl w:val="0"/>
                <w:numId w:val="118"/>
              </w:numPr>
              <w:cnfStyle w:val="000000000000" w:firstRow="0" w:lastRow="0" w:firstColumn="0" w:lastColumn="0" w:oddVBand="0" w:evenVBand="0" w:oddHBand="0" w:evenHBand="0" w:firstRowFirstColumn="0" w:firstRowLastColumn="0" w:lastRowFirstColumn="0" w:lastRowLastColumn="0"/>
              <w:rPr>
                <w:b/>
                <w:bCs/>
              </w:rPr>
            </w:pPr>
            <w:r>
              <w:rPr>
                <w:b/>
                <w:bCs/>
              </w:rPr>
              <w:t xml:space="preserve">Digital platform </w:t>
            </w:r>
            <w:r w:rsidR="005F61B4">
              <w:t xml:space="preserve"> </w:t>
            </w:r>
            <w:r w:rsidRPr="00A54C6D">
              <w:rPr>
                <w:b/>
                <w:bCs/>
              </w:rPr>
              <w:t>businesses</w:t>
            </w:r>
            <w:r w:rsidRPr="00814EE2">
              <w:t xml:space="preserve"> </w:t>
            </w:r>
            <w:r w:rsidR="005F61B4" w:rsidRPr="00573634">
              <w:t>$</w:t>
            </w:r>
            <w:r w:rsidR="28495EC2" w:rsidRPr="00573634">
              <w:t>98,451.20</w:t>
            </w:r>
            <w:r w:rsidR="005F61B4">
              <w:t xml:space="preserve"> </w:t>
            </w:r>
            <w:r>
              <w:t>-  compliance cost per business impacted by Option 2</w:t>
            </w:r>
          </w:p>
        </w:tc>
        <w:tc>
          <w:tcPr>
            <w:tcW w:w="1285" w:type="dxa"/>
            <w:vAlign w:val="top"/>
          </w:tcPr>
          <w:p w14:paraId="50B25C99" w14:textId="77777777" w:rsidR="009306AD" w:rsidRPr="002C036F" w:rsidRDefault="009306AD">
            <w:pPr>
              <w:spacing w:after="100"/>
              <w:cnfStyle w:val="000000000000" w:firstRow="0" w:lastRow="0" w:firstColumn="0" w:lastColumn="0" w:oddVBand="0" w:evenVBand="0" w:oddHBand="0" w:evenHBand="0" w:firstRowFirstColumn="0" w:firstRowLastColumn="0" w:lastRowFirstColumn="0" w:lastRowLastColumn="0"/>
            </w:pPr>
            <w:r w:rsidRPr="002C036F">
              <w:t xml:space="preserve">Nil </w:t>
            </w:r>
          </w:p>
        </w:tc>
        <w:tc>
          <w:tcPr>
            <w:tcW w:w="2110" w:type="dxa"/>
            <w:vAlign w:val="top"/>
          </w:tcPr>
          <w:p w14:paraId="6597445A" w14:textId="0BC7D688" w:rsidR="009306AD" w:rsidRPr="002C036F" w:rsidRDefault="00085FF6" w:rsidP="00A54C6D">
            <w:pPr>
              <w:cnfStyle w:val="000000000000" w:firstRow="0" w:lastRow="0" w:firstColumn="0" w:lastColumn="0" w:oddVBand="0" w:evenVBand="0" w:oddHBand="0" w:evenHBand="0" w:firstRowFirstColumn="0" w:firstRowLastColumn="0" w:lastRowFirstColumn="0" w:lastRowLastColumn="0"/>
            </w:pPr>
            <w:r w:rsidRPr="002C036F">
              <w:t>$</w:t>
            </w:r>
            <w:r w:rsidR="0042012B" w:rsidRPr="002C036F">
              <w:t xml:space="preserve">58,894.23 </w:t>
            </w:r>
            <w:r w:rsidR="008740F5">
              <w:t xml:space="preserve">per business </w:t>
            </w:r>
            <w:r w:rsidR="008740F5" w:rsidRPr="002C036F">
              <w:t xml:space="preserve">+ </w:t>
            </w:r>
            <w:r w:rsidR="008740F5">
              <w:t xml:space="preserve">$2,587.98 </w:t>
            </w:r>
            <w:r w:rsidR="008740F5" w:rsidRPr="002C036F">
              <w:t>per worke</w:t>
            </w:r>
            <w:r w:rsidR="008740F5">
              <w:t>r</w:t>
            </w:r>
            <w:r w:rsidR="000F38C3">
              <w:t>,</w:t>
            </w:r>
            <w:r w:rsidR="0042012B" w:rsidRPr="002C036F">
              <w:t xml:space="preserve"> </w:t>
            </w:r>
            <w:r w:rsidR="008740F5">
              <w:t>or</w:t>
            </w:r>
            <w:r w:rsidR="0042012B" w:rsidRPr="002C036F">
              <w:t xml:space="preserve"> $</w:t>
            </w:r>
            <w:r w:rsidR="2BDA6D8B" w:rsidRPr="002C036F">
              <w:t>98,451.20</w:t>
            </w:r>
            <w:r w:rsidR="0042012B" w:rsidRPr="002C036F">
              <w:t xml:space="preserve"> per business </w:t>
            </w:r>
          </w:p>
        </w:tc>
      </w:tr>
    </w:tbl>
    <w:p w14:paraId="551DA6D6" w14:textId="64CB3D5B" w:rsidR="00DA6F33" w:rsidRDefault="00DA6F33" w:rsidP="00F5764E">
      <w:pPr>
        <w:sectPr w:rsidR="00DA6F33" w:rsidSect="00A36CC2">
          <w:pgSz w:w="11906" w:h="16838"/>
          <w:pgMar w:top="1418" w:right="1418" w:bottom="1418" w:left="1418" w:header="0" w:footer="454" w:gutter="0"/>
          <w:cols w:space="708"/>
          <w:docGrid w:linePitch="360"/>
        </w:sectPr>
      </w:pPr>
    </w:p>
    <w:p w14:paraId="1C51FA71" w14:textId="685CCFAB" w:rsidR="00F04E1D" w:rsidRDefault="0C2E42FD" w:rsidP="0093251F">
      <w:pPr>
        <w:pStyle w:val="Heading5"/>
      </w:pPr>
      <w:r>
        <w:t xml:space="preserve">Table </w:t>
      </w:r>
      <w:r w:rsidR="0D4CB8F3">
        <w:t>20</w:t>
      </w:r>
      <w:r w:rsidR="2CEE0B95">
        <w:t xml:space="preserve"> – </w:t>
      </w:r>
      <w:r w:rsidR="00F04E1D">
        <w:t>Consistency with Guiding Princip</w:t>
      </w:r>
      <w:r w:rsidR="00FB51A6">
        <w:t>les</w:t>
      </w:r>
      <w:r w:rsidR="008E0348">
        <w:t xml:space="preserve"> – Option 3</w:t>
      </w:r>
    </w:p>
    <w:tbl>
      <w:tblPr>
        <w:tblStyle w:val="TableGrid"/>
        <w:tblW w:w="14170" w:type="dxa"/>
        <w:tblLook w:val="04A0" w:firstRow="1" w:lastRow="0" w:firstColumn="1" w:lastColumn="0" w:noHBand="0" w:noVBand="1"/>
      </w:tblPr>
      <w:tblGrid>
        <w:gridCol w:w="5665"/>
        <w:gridCol w:w="1041"/>
        <w:gridCol w:w="7464"/>
      </w:tblGrid>
      <w:tr w:rsidR="00F04E1D" w14:paraId="4385B3C4" w14:textId="77777777" w:rsidTr="00F9171A">
        <w:trPr>
          <w:trHeight w:val="410"/>
        </w:trPr>
        <w:tc>
          <w:tcPr>
            <w:tcW w:w="5665" w:type="dxa"/>
            <w:shd w:val="clear" w:color="auto" w:fill="404040" w:themeFill="text1" w:themeFillTint="BF"/>
          </w:tcPr>
          <w:p w14:paraId="1001780D" w14:textId="58F633D8" w:rsidR="00F04E1D" w:rsidRPr="00A54C6D" w:rsidRDefault="00F04E1D"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Guiding Princip</w:t>
            </w:r>
            <w:r w:rsidR="00FB51A6" w:rsidRPr="00A54C6D">
              <w:rPr>
                <w:rFonts w:ascii="Calibri" w:hAnsi="Calibri"/>
                <w:b/>
                <w:color w:val="FFFFFF" w:themeColor="background1"/>
              </w:rPr>
              <w:t>le</w:t>
            </w:r>
          </w:p>
        </w:tc>
        <w:tc>
          <w:tcPr>
            <w:tcW w:w="1041" w:type="dxa"/>
            <w:shd w:val="clear" w:color="auto" w:fill="404040" w:themeFill="text1" w:themeFillTint="BF"/>
          </w:tcPr>
          <w:p w14:paraId="23674AA3" w14:textId="77777777" w:rsidR="00F04E1D" w:rsidRPr="00A54C6D" w:rsidRDefault="00F04E1D"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Rating</w:t>
            </w:r>
          </w:p>
        </w:tc>
        <w:tc>
          <w:tcPr>
            <w:tcW w:w="7464" w:type="dxa"/>
            <w:shd w:val="clear" w:color="auto" w:fill="404040" w:themeFill="text1" w:themeFillTint="BF"/>
          </w:tcPr>
          <w:p w14:paraId="4CA726BB" w14:textId="77777777" w:rsidR="00F04E1D" w:rsidRPr="00A54C6D" w:rsidRDefault="00F04E1D"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Justification</w:t>
            </w:r>
          </w:p>
        </w:tc>
      </w:tr>
      <w:tr w:rsidR="00F04E1D" w14:paraId="476804BD" w14:textId="77777777" w:rsidTr="00F9171A">
        <w:trPr>
          <w:trHeight w:val="871"/>
        </w:trPr>
        <w:tc>
          <w:tcPr>
            <w:tcW w:w="5665" w:type="dxa"/>
            <w:shd w:val="clear" w:color="auto" w:fill="D9D9D9" w:themeFill="background1" w:themeFillShade="D9"/>
          </w:tcPr>
          <w:p w14:paraId="7B4E4C41" w14:textId="77777777" w:rsidR="00F04E1D" w:rsidRDefault="00F04E1D" w:rsidP="00F04E1D">
            <w:r>
              <w:t>Australia’s workplace relations system must reflect modern working arrangements and be capable of evolving with emerging forms of work and business practices.</w:t>
            </w:r>
          </w:p>
        </w:tc>
        <w:tc>
          <w:tcPr>
            <w:tcW w:w="1041" w:type="dxa"/>
            <w:shd w:val="clear" w:color="auto" w:fill="92D050"/>
          </w:tcPr>
          <w:p w14:paraId="05D04297" w14:textId="2BA55C87" w:rsidR="00F04E1D" w:rsidRDefault="00592E69" w:rsidP="00F04E1D">
            <w:r>
              <w:t>Good</w:t>
            </w:r>
          </w:p>
        </w:tc>
        <w:tc>
          <w:tcPr>
            <w:tcW w:w="7464" w:type="dxa"/>
            <w:shd w:val="clear" w:color="auto" w:fill="auto"/>
          </w:tcPr>
          <w:p w14:paraId="219760C4" w14:textId="753F9F43" w:rsidR="00F04E1D" w:rsidRDefault="008C7238" w:rsidP="00F04E1D">
            <w:r>
              <w:t xml:space="preserve">This option would ensure that Australia’s workplace relations system can provide minimum standards to digital platform workers, responding to the emergence of new forms of work in the gig economy.  </w:t>
            </w:r>
          </w:p>
        </w:tc>
      </w:tr>
      <w:tr w:rsidR="00F04E1D" w14:paraId="7905F06B" w14:textId="77777777" w:rsidTr="00A54C6D">
        <w:trPr>
          <w:trHeight w:val="693"/>
        </w:trPr>
        <w:tc>
          <w:tcPr>
            <w:tcW w:w="5665" w:type="dxa"/>
            <w:shd w:val="clear" w:color="auto" w:fill="D9D9D9" w:themeFill="background1" w:themeFillShade="D9"/>
          </w:tcPr>
          <w:p w14:paraId="7C8A8FB6" w14:textId="77777777" w:rsidR="00F04E1D" w:rsidRDefault="00F04E1D" w:rsidP="00F04E1D">
            <w:r>
              <w:t>All workers should have access to minimum rights and protections regardless of whether they are characterised as an employee or an independent contractor, including access to freedom of association and dispute resolution.</w:t>
            </w:r>
          </w:p>
        </w:tc>
        <w:tc>
          <w:tcPr>
            <w:tcW w:w="1041" w:type="dxa"/>
            <w:shd w:val="clear" w:color="auto" w:fill="F3CB6F" w:themeFill="accent5" w:themeFillTint="99"/>
          </w:tcPr>
          <w:p w14:paraId="6AB83D23" w14:textId="65F7AC59" w:rsidR="00F04E1D" w:rsidRDefault="005945EB" w:rsidP="00F04E1D">
            <w:r w:rsidDel="00C42C01">
              <w:t>Fair</w:t>
            </w:r>
          </w:p>
        </w:tc>
        <w:tc>
          <w:tcPr>
            <w:tcW w:w="7464" w:type="dxa"/>
            <w:shd w:val="clear" w:color="auto" w:fill="auto"/>
          </w:tcPr>
          <w:p w14:paraId="28224A27" w14:textId="5E77981B" w:rsidR="00B83B5E" w:rsidRDefault="00C42C01" w:rsidP="00F04E1D">
            <w:r>
              <w:t>By allowing the Fair Work Commission to set minimum standards for both road transport and digital platform workers</w:t>
            </w:r>
            <w:r w:rsidR="002D0EE2">
              <w:t>, as well as including ‘deactivation’ and unfair contract termination protections,</w:t>
            </w:r>
            <w:r w:rsidR="00197E26">
              <w:t xml:space="preserve"> this option expands access to minimum </w:t>
            </w:r>
            <w:r w:rsidR="00A27B44">
              <w:t>rights and protections</w:t>
            </w:r>
            <w:r>
              <w:t>. Although it does not extend minimum standards to all workers, it addresses the needs of sectors where a lack of minimum standards has been identified as a concern while not regulating other sectors where there is less of a need. When combined with the unfair contracts preferred option (to allow the Fair Work Commission to resolve disputes for independent contractors), the options will ensure that a level of protection is provided to independent contractors more broadly.</w:t>
            </w:r>
          </w:p>
          <w:p w14:paraId="116395BC" w14:textId="13530F5D" w:rsidR="00B83B5E" w:rsidRDefault="00B83B5E" w:rsidP="00F04E1D">
            <w:r>
              <w:t>However, th</w:t>
            </w:r>
            <w:r w:rsidR="008C3DE7">
              <w:t>is option will not address the common law definition of employmen</w:t>
            </w:r>
            <w:r w:rsidR="009365EA">
              <w:t>t</w:t>
            </w:r>
            <w:r w:rsidR="00B403A0">
              <w:t>.</w:t>
            </w:r>
            <w:r w:rsidR="009365EA">
              <w:t xml:space="preserve"> By not assessing the totality of the relationship when determining whether a worker is an employee, this may result in some workers being </w:t>
            </w:r>
            <w:r w:rsidR="00E62779">
              <w:t>inappropriately</w:t>
            </w:r>
            <w:r w:rsidR="009365EA">
              <w:t xml:space="preserve"> classified as </w:t>
            </w:r>
            <w:r w:rsidR="00E62779">
              <w:t xml:space="preserve">independent contractors. </w:t>
            </w:r>
            <w:r w:rsidR="00B403A0">
              <w:t xml:space="preserve"> Independent reviews and stakeholder consultation identified that </w:t>
            </w:r>
            <w:r w:rsidR="00E62779">
              <w:t xml:space="preserve">addressing the current heavy reliance on contractual terms under the common law definition as being an essential measure to ensure fairness for workers. In addition, without addressing the common law definition, </w:t>
            </w:r>
            <w:r w:rsidR="008B7BFC">
              <w:t xml:space="preserve">introducing minimum standards may have the unintended consequence of </w:t>
            </w:r>
            <w:r w:rsidR="00D4685E">
              <w:t>encouraging</w:t>
            </w:r>
            <w:r w:rsidR="008B7BFC" w:rsidDel="00E67423">
              <w:t xml:space="preserve"> </w:t>
            </w:r>
            <w:r w:rsidR="008B7BFC">
              <w:t xml:space="preserve">businesses </w:t>
            </w:r>
            <w:r w:rsidR="00D4685E">
              <w:t xml:space="preserve">to draft contracts with a view to avoiding relationships of </w:t>
            </w:r>
            <w:r w:rsidR="008B7BFC">
              <w:t xml:space="preserve">employment. </w:t>
            </w:r>
            <w:r w:rsidR="00E62779">
              <w:t xml:space="preserve"> </w:t>
            </w:r>
          </w:p>
          <w:p w14:paraId="390E6A04" w14:textId="25CAEAE1" w:rsidR="00F04E1D" w:rsidRDefault="00134377" w:rsidP="00F04E1D">
            <w:r>
              <w:t>Recognising that th</w:t>
            </w:r>
            <w:r w:rsidR="00805F85">
              <w:t xml:space="preserve">is option addresses cohorts where a lack of minimum standards has been identified as an issue, while not addressing the </w:t>
            </w:r>
            <w:r w:rsidR="00D41744">
              <w:t xml:space="preserve">heavy reliance on contractual terms established by the current common law definition, the rating for this option is fair. </w:t>
            </w:r>
          </w:p>
        </w:tc>
      </w:tr>
      <w:tr w:rsidR="00F04E1D" w14:paraId="6A3558B4" w14:textId="77777777" w:rsidTr="00F9171A">
        <w:trPr>
          <w:trHeight w:val="871"/>
        </w:trPr>
        <w:tc>
          <w:tcPr>
            <w:tcW w:w="5665" w:type="dxa"/>
            <w:shd w:val="clear" w:color="auto" w:fill="D9D9D9" w:themeFill="background1" w:themeFillShade="D9"/>
          </w:tcPr>
          <w:p w14:paraId="73E53852" w14:textId="77777777" w:rsidR="00F04E1D" w:rsidRDefault="00F04E1D" w:rsidP="00F04E1D">
            <w:r>
              <w:t>Businesses should benefit from a level playing field among industry participants while promoting competition and innovation.</w:t>
            </w:r>
          </w:p>
        </w:tc>
        <w:tc>
          <w:tcPr>
            <w:tcW w:w="1041" w:type="dxa"/>
            <w:shd w:val="clear" w:color="auto" w:fill="92D050"/>
          </w:tcPr>
          <w:p w14:paraId="3BAEA0F1" w14:textId="17E110A4" w:rsidR="00F04E1D" w:rsidRDefault="00C24F04" w:rsidP="00F04E1D">
            <w:r>
              <w:t>Good</w:t>
            </w:r>
          </w:p>
        </w:tc>
        <w:tc>
          <w:tcPr>
            <w:tcW w:w="7464" w:type="dxa"/>
            <w:shd w:val="clear" w:color="auto" w:fill="auto"/>
          </w:tcPr>
          <w:p w14:paraId="356120D5" w14:textId="5C791167" w:rsidR="00F04E1D" w:rsidRDefault="00957E98" w:rsidP="00F04E1D">
            <w:r>
              <w:t>This option would</w:t>
            </w:r>
            <w:r w:rsidR="005450FA">
              <w:t xml:space="preserve"> facilitat</w:t>
            </w:r>
            <w:r>
              <w:t>e</w:t>
            </w:r>
            <w:r w:rsidR="005450FA">
              <w:t xml:space="preserve"> fair competition between </w:t>
            </w:r>
            <w:r w:rsidR="00377E01">
              <w:t>businesses that employ workers</w:t>
            </w:r>
            <w:r w:rsidR="008F4188">
              <w:t xml:space="preserve"> and </w:t>
            </w:r>
            <w:r w:rsidR="00510A81">
              <w:t>digital platforms that engage independent contractors.</w:t>
            </w:r>
            <w:r w:rsidR="00390D94">
              <w:t xml:space="preserve"> It would also allow for fair competition between </w:t>
            </w:r>
            <w:r w:rsidR="008D0DBA">
              <w:t>digital platforms and non-digital businesses that engage independent contractors in the road transport industry.</w:t>
            </w:r>
          </w:p>
        </w:tc>
      </w:tr>
      <w:tr w:rsidR="00F04E1D" w14:paraId="27540BD9" w14:textId="77777777" w:rsidTr="00F9171A">
        <w:trPr>
          <w:trHeight w:val="871"/>
        </w:trPr>
        <w:tc>
          <w:tcPr>
            <w:tcW w:w="5665" w:type="dxa"/>
            <w:shd w:val="clear" w:color="auto" w:fill="D9D9D9" w:themeFill="background1" w:themeFillShade="D9"/>
          </w:tcPr>
          <w:p w14:paraId="1B98DC9E" w14:textId="77777777" w:rsidR="00F04E1D" w:rsidRDefault="00F04E1D" w:rsidP="00F04E1D">
            <w:r>
              <w:t>The Fair Work Commission should set minimum standards that:</w:t>
            </w:r>
          </w:p>
          <w:p w14:paraId="52544A1A" w14:textId="77777777" w:rsidR="00F04E1D" w:rsidRDefault="00F04E1D" w:rsidP="00534DB2">
            <w:pPr>
              <w:pStyle w:val="List"/>
              <w:numPr>
                <w:ilvl w:val="0"/>
                <w:numId w:val="13"/>
              </w:numPr>
            </w:pPr>
            <w:r>
              <w:t>are fair, relevant, proportionate, sustainable and responsive</w:t>
            </w:r>
          </w:p>
          <w:p w14:paraId="06ABA3D6" w14:textId="77777777" w:rsidR="00F04E1D" w:rsidRDefault="00F04E1D" w:rsidP="00534DB2">
            <w:pPr>
              <w:pStyle w:val="List"/>
              <w:numPr>
                <w:ilvl w:val="0"/>
                <w:numId w:val="13"/>
              </w:numPr>
            </w:pPr>
            <w:r>
              <w:t>reflect workers’ independence and flexible working arrangements, for example choosing which tasks to accept and refuse, how to undertake their work, where and when they work, and which businesses to contract with</w:t>
            </w:r>
          </w:p>
          <w:p w14:paraId="01B8FACC" w14:textId="77777777" w:rsidR="00F04E1D" w:rsidRDefault="00F04E1D" w:rsidP="00534DB2">
            <w:pPr>
              <w:pStyle w:val="List"/>
              <w:numPr>
                <w:ilvl w:val="0"/>
                <w:numId w:val="13"/>
              </w:numPr>
            </w:pPr>
            <w:r>
              <w:t xml:space="preserve">mitigate to the greatest extent possible unintended consequences for workers, businesses, consumers and other aspects of the labour market </w:t>
            </w:r>
          </w:p>
        </w:tc>
        <w:tc>
          <w:tcPr>
            <w:tcW w:w="1041" w:type="dxa"/>
            <w:shd w:val="clear" w:color="auto" w:fill="92D050"/>
          </w:tcPr>
          <w:p w14:paraId="307A2479" w14:textId="2625D6EE" w:rsidR="00F04E1D" w:rsidRDefault="004C0FE2" w:rsidP="00F04E1D">
            <w:r>
              <w:t>Good</w:t>
            </w:r>
          </w:p>
        </w:tc>
        <w:tc>
          <w:tcPr>
            <w:tcW w:w="7464" w:type="dxa"/>
            <w:shd w:val="clear" w:color="auto" w:fill="auto"/>
          </w:tcPr>
          <w:p w14:paraId="4FFDA75A" w14:textId="38B07BED" w:rsidR="00E95930" w:rsidRDefault="00A5343E" w:rsidP="00F04E1D">
            <w:r>
              <w:t xml:space="preserve">This option would allow the Fair Work Commission to set minimum standards for </w:t>
            </w:r>
            <w:r w:rsidR="00410988">
              <w:t xml:space="preserve">employee-like </w:t>
            </w:r>
            <w:r>
              <w:t>digital platform workers</w:t>
            </w:r>
            <w:r w:rsidR="00410988">
              <w:t xml:space="preserve"> and road transport workers</w:t>
            </w:r>
            <w:r>
              <w:t>.</w:t>
            </w:r>
            <w:r w:rsidR="005E3EF9">
              <w:t xml:space="preserve"> </w:t>
            </w:r>
          </w:p>
          <w:p w14:paraId="2D52267A" w14:textId="7D780B8A" w:rsidR="008B17AA" w:rsidRDefault="008B17AA" w:rsidP="00573634">
            <w:r>
              <w:t xml:space="preserve">The Minimum Standards Objective and Road Transport Objective will help to ensure that any standards reflect the criteria set out in this Guiding Principle. </w:t>
            </w:r>
          </w:p>
          <w:p w14:paraId="58D610EC" w14:textId="17F4916D" w:rsidR="00F04E1D" w:rsidRDefault="004C0FE2" w:rsidP="00F04E1D">
            <w:r>
              <w:t>Thi</w:t>
            </w:r>
            <w:r w:rsidR="00A56EE6">
              <w:t xml:space="preserve">s is noting </w:t>
            </w:r>
            <w:r>
              <w:t>that w</w:t>
            </w:r>
            <w:r w:rsidR="00A5343E">
              <w:t xml:space="preserve">ithout </w:t>
            </w:r>
            <w:r w:rsidR="00D75C1F">
              <w:t>addressing the current common law</w:t>
            </w:r>
            <w:r w:rsidR="00A5343E">
              <w:t xml:space="preserve"> definition of employment, there is a risk that minimum standards for digital platform workers and road transport workers could result in businesses shifting from an employment to contracting model.</w:t>
            </w:r>
            <w:r w:rsidR="000E3C33">
              <w:t xml:space="preserve"> However,</w:t>
            </w:r>
            <w:r w:rsidR="00395046">
              <w:t xml:space="preserve"> as this option will ensure that the Fair Work Commission can set minimum standards </w:t>
            </w:r>
            <w:r w:rsidR="00107C92">
              <w:t xml:space="preserve">addressing </w:t>
            </w:r>
            <w:r w:rsidR="00395046">
              <w:t xml:space="preserve">the criteria set in this guiding principle, the rating is ‘good’. </w:t>
            </w:r>
          </w:p>
        </w:tc>
      </w:tr>
      <w:tr w:rsidR="00F04E1D" w14:paraId="1365D1C4" w14:textId="77777777" w:rsidTr="00F9171A">
        <w:trPr>
          <w:trHeight w:val="871"/>
        </w:trPr>
        <w:tc>
          <w:tcPr>
            <w:tcW w:w="5665" w:type="dxa"/>
            <w:shd w:val="clear" w:color="auto" w:fill="D9D9D9" w:themeFill="background1" w:themeFillShade="D9"/>
          </w:tcPr>
          <w:p w14:paraId="53C09A0F" w14:textId="03DBE26E" w:rsidR="00F04E1D" w:rsidRDefault="00F04E1D" w:rsidP="00F04E1D">
            <w:r>
              <w:t>The standard-setting framework should be accessible, transparent, fair and offer a high degree of certainty to affected parties.</w:t>
            </w:r>
          </w:p>
        </w:tc>
        <w:tc>
          <w:tcPr>
            <w:tcW w:w="1041" w:type="dxa"/>
            <w:shd w:val="clear" w:color="auto" w:fill="92D050"/>
          </w:tcPr>
          <w:p w14:paraId="1EE31508" w14:textId="2096CDFB" w:rsidR="00F04E1D" w:rsidRDefault="00A60FC3" w:rsidP="00F04E1D">
            <w:r>
              <w:t>Good</w:t>
            </w:r>
          </w:p>
        </w:tc>
        <w:tc>
          <w:tcPr>
            <w:tcW w:w="7464" w:type="dxa"/>
          </w:tcPr>
          <w:p w14:paraId="08AA96BF" w14:textId="6BF9344C" w:rsidR="00F04E1D" w:rsidRDefault="00A60FC3" w:rsidP="00F04E1D">
            <w:r>
              <w:t xml:space="preserve">Parties would be able to participate in matters relating to minimum standards for </w:t>
            </w:r>
            <w:r w:rsidR="00FF7A43">
              <w:t xml:space="preserve">employee-like </w:t>
            </w:r>
            <w:r>
              <w:t>digital platform workers. The Fair Work Commission would consider the views of affected parties in addition to being guided by a Minimum Standards Objective in legislation.</w:t>
            </w:r>
          </w:p>
        </w:tc>
      </w:tr>
    </w:tbl>
    <w:p w14:paraId="03433AEF" w14:textId="77777777" w:rsidR="00DA6F33" w:rsidRDefault="00DA6F33" w:rsidP="00F5764E">
      <w:pPr>
        <w:sectPr w:rsidR="00DA6F33" w:rsidSect="008B793A">
          <w:pgSz w:w="16838" w:h="11906" w:orient="landscape"/>
          <w:pgMar w:top="1418" w:right="1418" w:bottom="1418" w:left="1418" w:header="0" w:footer="454" w:gutter="0"/>
          <w:cols w:space="708"/>
          <w:docGrid w:linePitch="360"/>
        </w:sectPr>
      </w:pPr>
    </w:p>
    <w:p w14:paraId="380E296B" w14:textId="7AEDFF8C" w:rsidR="00164322" w:rsidRPr="008E0348" w:rsidRDefault="00164322" w:rsidP="00F60F5C">
      <w:pPr>
        <w:pStyle w:val="Heading3"/>
      </w:pPr>
      <w:bookmarkStart w:id="62" w:name="_Toc139295570"/>
      <w:r w:rsidRPr="008E0348">
        <w:t xml:space="preserve">Option 4: </w:t>
      </w:r>
      <w:r w:rsidR="001D46D8" w:rsidRPr="008E0348">
        <w:t>Empower the Fair Work Commission to set m</w:t>
      </w:r>
      <w:r w:rsidRPr="008E0348">
        <w:t>inimum standards for digital platform workers and road transport workers</w:t>
      </w:r>
      <w:r w:rsidR="003753D4" w:rsidRPr="008E0348">
        <w:t>,</w:t>
      </w:r>
      <w:r w:rsidRPr="008E0348">
        <w:t xml:space="preserve"> with </w:t>
      </w:r>
      <w:r w:rsidR="006B438C">
        <w:t>an interpretive principle</w:t>
      </w:r>
      <w:bookmarkEnd w:id="62"/>
    </w:p>
    <w:p w14:paraId="0871EFD2" w14:textId="6F6D9B32" w:rsidR="00924F55" w:rsidRPr="008E0348" w:rsidRDefault="00924F55" w:rsidP="004B4F63">
      <w:pPr>
        <w:rPr>
          <w:b/>
          <w:bCs/>
        </w:rPr>
      </w:pPr>
      <w:r w:rsidRPr="008E0348">
        <w:rPr>
          <w:bCs/>
        </w:rPr>
        <w:t xml:space="preserve">This option includes all </w:t>
      </w:r>
      <w:r w:rsidRPr="008E0348">
        <w:rPr>
          <w:b/>
        </w:rPr>
        <w:t xml:space="preserve">impacts </w:t>
      </w:r>
      <w:r w:rsidR="003707A2" w:rsidRPr="008E0348">
        <w:rPr>
          <w:b/>
        </w:rPr>
        <w:t>estimated under option 3, with the following additional costs:</w:t>
      </w:r>
    </w:p>
    <w:p w14:paraId="186A9835" w14:textId="23E39E56" w:rsidR="001E6E6F" w:rsidRDefault="001E6E6F" w:rsidP="004B4F63">
      <w:pPr>
        <w:pStyle w:val="Heading5"/>
        <w:spacing w:after="200"/>
      </w:pPr>
      <w:r>
        <w:t>Compliance</w:t>
      </w:r>
    </w:p>
    <w:p w14:paraId="6A87E9D0" w14:textId="43C7452E" w:rsidR="008E0348" w:rsidRPr="00B252BD" w:rsidRDefault="008E0348" w:rsidP="00680CAA">
      <w:r>
        <w:t xml:space="preserve">Businesses engaging independent contractors </w:t>
      </w:r>
      <w:r w:rsidR="009A06E5">
        <w:t>who are on the fringe of employment and independent contracting</w:t>
      </w:r>
      <w:r>
        <w:t xml:space="preserve"> would face an initial cost to determine whether their </w:t>
      </w:r>
      <w:r w:rsidR="007829A1">
        <w:t xml:space="preserve">engagement as an </w:t>
      </w:r>
      <w:r w:rsidR="007829A1" w:rsidRPr="00B252BD">
        <w:t xml:space="preserve">independent contractor rather than employee is compliant. </w:t>
      </w:r>
      <w:r w:rsidR="00AF1156" w:rsidRPr="00A54C6D">
        <w:t>The department has not estimated costs for businesses engaging worker</w:t>
      </w:r>
      <w:r w:rsidR="004A799E" w:rsidRPr="00A54C6D">
        <w:t>s who are not in this cohort</w:t>
      </w:r>
      <w:r w:rsidR="00991A76" w:rsidRPr="00A54C6D">
        <w:t>, as they are likely to already have clarity about the work status of their workers.</w:t>
      </w:r>
      <w:r w:rsidR="00991A76" w:rsidRPr="00B252BD">
        <w:t xml:space="preserve"> </w:t>
      </w:r>
    </w:p>
    <w:p w14:paraId="6913618C" w14:textId="380D8EF8" w:rsidR="00A51B6D" w:rsidRPr="00B252BD" w:rsidRDefault="002376AA" w:rsidP="00A51B6D">
      <w:r w:rsidRPr="00B252BD">
        <w:t>For businesses engaging such workers, t</w:t>
      </w:r>
      <w:r w:rsidR="00A51B6D" w:rsidRPr="00B252BD">
        <w:t xml:space="preserve">he department considers there would be a one-off cost of reviewing </w:t>
      </w:r>
      <w:r w:rsidR="00A51B6D" w:rsidRPr="00B252BD" w:rsidDel="007F710C">
        <w:t>the</w:t>
      </w:r>
      <w:r w:rsidRPr="00B252BD">
        <w:t xml:space="preserve"> contr</w:t>
      </w:r>
      <w:r w:rsidR="00603A8E" w:rsidRPr="00B252BD">
        <w:t>act applying to their workers</w:t>
      </w:r>
      <w:r w:rsidR="00EB0F17" w:rsidRPr="00B252BD">
        <w:t>,</w:t>
      </w:r>
      <w:r w:rsidR="00975720" w:rsidRPr="00B252BD">
        <w:t xml:space="preserve"> with regard to the totality of the employment relationship</w:t>
      </w:r>
      <w:r w:rsidR="00A51B6D" w:rsidRPr="00B252BD">
        <w:t>.</w:t>
      </w:r>
      <w:r w:rsidR="00975720" w:rsidRPr="00B252BD">
        <w:t xml:space="preserve"> For example, this</w:t>
      </w:r>
      <w:r w:rsidR="00A51B6D" w:rsidRPr="00B252BD">
        <w:t xml:space="preserve"> </w:t>
      </w:r>
      <w:r w:rsidR="00975720" w:rsidRPr="00B252BD">
        <w:t xml:space="preserve">could include reviewing </w:t>
      </w:r>
      <w:r w:rsidR="00DF5DFC" w:rsidRPr="00B252BD">
        <w:t>th</w:t>
      </w:r>
      <w:r w:rsidR="0069282C" w:rsidRPr="00B252BD">
        <w:t xml:space="preserve">e </w:t>
      </w:r>
      <w:r w:rsidR="00704D27" w:rsidRPr="00B252BD">
        <w:t xml:space="preserve">reality of the working arrangement </w:t>
      </w:r>
      <w:r w:rsidR="00FA2DFF" w:rsidRPr="00B252BD">
        <w:t>an</w:t>
      </w:r>
      <w:r w:rsidR="00070BE0" w:rsidRPr="00B252BD">
        <w:t xml:space="preserve">d </w:t>
      </w:r>
      <w:r w:rsidR="003D3EDE" w:rsidRPr="00B252BD">
        <w:t>contractual terms</w:t>
      </w:r>
      <w:r w:rsidR="00987988" w:rsidRPr="00B252BD">
        <w:t xml:space="preserve"> governing the relationship</w:t>
      </w:r>
      <w:r w:rsidR="00C82382" w:rsidRPr="00B252BD">
        <w:t xml:space="preserve">. </w:t>
      </w:r>
      <w:r w:rsidR="00A51B6D" w:rsidRPr="00B252BD">
        <w:t xml:space="preserve">As the </w:t>
      </w:r>
      <w:r w:rsidR="002B1ADD" w:rsidRPr="00B252BD">
        <w:t>ABS</w:t>
      </w:r>
      <w:r w:rsidR="00A51B6D" w:rsidRPr="00B252BD">
        <w:t xml:space="preserve"> does not publish data on the number of businesses that engage independent contractors, it is not possible to determine the number of businesses that would be impacted. Instead, the regulatory burden is estimated </w:t>
      </w:r>
      <w:r w:rsidR="00EE2276" w:rsidRPr="00B252BD">
        <w:t>on a per business basis.</w:t>
      </w:r>
      <w:r w:rsidR="00A51B6D" w:rsidRPr="00B252BD">
        <w:t xml:space="preserve"> </w:t>
      </w:r>
    </w:p>
    <w:p w14:paraId="27921D9D" w14:textId="7B329044" w:rsidR="00A51B6D" w:rsidRPr="00A54C6D" w:rsidRDefault="00A51B6D" w:rsidP="00A51B6D">
      <w:pPr>
        <w:rPr>
          <w:u w:val="single"/>
        </w:rPr>
      </w:pPr>
      <w:r w:rsidRPr="00A54C6D">
        <w:rPr>
          <w:u w:val="single"/>
        </w:rPr>
        <w:t xml:space="preserve">Business cost for existing workers </w:t>
      </w:r>
      <w:r w:rsidR="000B0F2F" w:rsidRPr="00A54C6D">
        <w:rPr>
          <w:u w:val="single"/>
        </w:rPr>
        <w:t xml:space="preserve">on the fringes </w:t>
      </w:r>
    </w:p>
    <w:p w14:paraId="2B86DD23" w14:textId="5C0AABE1" w:rsidR="00A51B6D" w:rsidRPr="00A54C6D" w:rsidRDefault="000F0297" w:rsidP="00A51B6D">
      <w:r w:rsidRPr="00A54C6D">
        <w:t>Different businesses will have a different mix of contracting arrangements</w:t>
      </w:r>
      <w:r w:rsidR="004D14C4" w:rsidRPr="00A54C6D">
        <w:t xml:space="preserve">, with some using the same standard contract terms for most or all workers and some </w:t>
      </w:r>
      <w:r w:rsidR="00D53E89" w:rsidRPr="00A54C6D">
        <w:t xml:space="preserve">using a mixture of different contracts. Given the variety of arrangements, and that the interpretive principle seeks to return to </w:t>
      </w:r>
      <w:r w:rsidR="00DF2D6B" w:rsidRPr="00A54C6D">
        <w:t xml:space="preserve">what was commonly understood to be the common law test less than </w:t>
      </w:r>
      <w:r w:rsidR="00FF6C95">
        <w:t>2</w:t>
      </w:r>
      <w:r w:rsidR="00FF6C95" w:rsidRPr="00A54C6D">
        <w:t xml:space="preserve"> </w:t>
      </w:r>
      <w:r w:rsidR="007C449D" w:rsidRPr="00A54C6D">
        <w:t xml:space="preserve">years ago, </w:t>
      </w:r>
      <w:r w:rsidR="00A51B6D" w:rsidRPr="00A54C6D">
        <w:t xml:space="preserve">the department estimates that it would take </w:t>
      </w:r>
      <w:r w:rsidR="00573398" w:rsidRPr="00A54C6D">
        <w:t>a senior corporate lawyer</w:t>
      </w:r>
      <w:r w:rsidR="00A51B6D" w:rsidRPr="00A54C6D">
        <w:t xml:space="preserve"> </w:t>
      </w:r>
      <w:r w:rsidR="00573398" w:rsidRPr="00A54C6D">
        <w:t>10 hours</w:t>
      </w:r>
      <w:r w:rsidR="00A51B6D" w:rsidRPr="00A54C6D">
        <w:t xml:space="preserve"> to determine whether </w:t>
      </w:r>
      <w:r w:rsidR="00B30F76" w:rsidRPr="00A54C6D">
        <w:t xml:space="preserve">the </w:t>
      </w:r>
      <w:r w:rsidR="00532B6B" w:rsidRPr="00A54C6D">
        <w:t xml:space="preserve">service contract </w:t>
      </w:r>
      <w:r w:rsidR="002A7DEC" w:rsidRPr="00A54C6D">
        <w:t xml:space="preserve">a business is using </w:t>
      </w:r>
      <w:r w:rsidR="00146B83" w:rsidRPr="00A54C6D">
        <w:t>is compliant</w:t>
      </w:r>
      <w:r w:rsidR="00A51B6D" w:rsidRPr="00A54C6D">
        <w:t xml:space="preserve">. The department has used the </w:t>
      </w:r>
      <w:r w:rsidR="00F11DFE" w:rsidRPr="00A54C6D">
        <w:t xml:space="preserve">senior corporate lawyer costs identified in Option 2 of the Minimum </w:t>
      </w:r>
      <w:r w:rsidR="00E11C7D" w:rsidRPr="00A54C6D">
        <w:t xml:space="preserve">Standards </w:t>
      </w:r>
      <w:r w:rsidR="00565F1F" w:rsidRPr="00A54C6D">
        <w:t>options</w:t>
      </w:r>
      <w:r w:rsidR="00953573" w:rsidRPr="00A54C6D">
        <w:t>, which is $235.58 per hour.</w:t>
      </w:r>
    </w:p>
    <w:p w14:paraId="6FDE5E08" w14:textId="67F12D62" w:rsidR="00A51B6D" w:rsidRPr="00A54C6D" w:rsidRDefault="00AD1806" w:rsidP="00A51B6D">
      <w:pPr>
        <w:rPr>
          <w:i/>
          <w:iCs/>
        </w:rPr>
      </w:pPr>
      <w:r w:rsidRPr="00A54C6D">
        <w:rPr>
          <w:i/>
          <w:iCs/>
        </w:rPr>
        <w:t>C</w:t>
      </w:r>
      <w:r w:rsidR="00A51B6D" w:rsidRPr="00A54C6D">
        <w:rPr>
          <w:i/>
          <w:iCs/>
        </w:rPr>
        <w:t xml:space="preserve">ost </w:t>
      </w:r>
      <w:r w:rsidRPr="00A54C6D">
        <w:rPr>
          <w:i/>
          <w:iCs/>
        </w:rPr>
        <w:t>per</w:t>
      </w:r>
      <w:r w:rsidR="00A51B6D" w:rsidRPr="00A54C6D">
        <w:rPr>
          <w:i/>
          <w:iCs/>
        </w:rPr>
        <w:t xml:space="preserve"> busines</w:t>
      </w:r>
      <w:r w:rsidRPr="00A54C6D">
        <w:rPr>
          <w:i/>
          <w:iCs/>
        </w:rPr>
        <w:t>s</w:t>
      </w:r>
    </w:p>
    <w:p w14:paraId="40CA3C56" w14:textId="3F2D4408" w:rsidR="00A51B6D" w:rsidRPr="00A54C6D" w:rsidRDefault="00A51B6D" w:rsidP="00A51B6D">
      <w:r w:rsidRPr="00A54C6D">
        <w:t>= Time required x labour cost</w:t>
      </w:r>
    </w:p>
    <w:p w14:paraId="29798A95" w14:textId="3B067EF3" w:rsidR="00A51B6D" w:rsidRPr="00A54C6D" w:rsidRDefault="00A51B6D" w:rsidP="00A51B6D">
      <w:r w:rsidRPr="00A54C6D">
        <w:t xml:space="preserve">= </w:t>
      </w:r>
      <w:r w:rsidR="62652174" w:rsidRPr="00A54C6D">
        <w:t>10 hours</w:t>
      </w:r>
      <w:r w:rsidRPr="00A54C6D">
        <w:t xml:space="preserve"> x $</w:t>
      </w:r>
      <w:r w:rsidR="3BBE473A" w:rsidRPr="00A54C6D">
        <w:t>235.</w:t>
      </w:r>
      <w:r w:rsidR="3BBE473A" w:rsidRPr="0020371F">
        <w:t>58</w:t>
      </w:r>
      <w:r w:rsidR="00E36759" w:rsidRPr="00573634">
        <w:rPr>
          <w:rStyle w:val="FootnoteReference"/>
        </w:rPr>
        <w:footnoteReference w:id="144"/>
      </w:r>
      <w:r w:rsidR="00E36759" w:rsidRPr="00573634">
        <w:t xml:space="preserve"> </w:t>
      </w:r>
      <w:r w:rsidRPr="00A54C6D">
        <w:t xml:space="preserve"> </w:t>
      </w:r>
    </w:p>
    <w:p w14:paraId="36C639B7" w14:textId="441E0FD7" w:rsidR="00A51B6D" w:rsidRPr="00A54C6D" w:rsidRDefault="00A51B6D" w:rsidP="00A51B6D">
      <w:pPr>
        <w:rPr>
          <w:b/>
        </w:rPr>
      </w:pPr>
      <w:r w:rsidRPr="00A54C6D">
        <w:rPr>
          <w:b/>
          <w:bCs/>
        </w:rPr>
        <w:t>= $</w:t>
      </w:r>
      <w:r w:rsidR="4B67D368" w:rsidRPr="00A54C6D">
        <w:rPr>
          <w:b/>
          <w:bCs/>
        </w:rPr>
        <w:t>2,355.77</w:t>
      </w:r>
      <w:r w:rsidRPr="00A54C6D">
        <w:rPr>
          <w:b/>
          <w:bCs/>
        </w:rPr>
        <w:t xml:space="preserve"> per </w:t>
      </w:r>
      <w:r w:rsidR="4B67D368" w:rsidRPr="00A54C6D">
        <w:rPr>
          <w:b/>
          <w:bCs/>
        </w:rPr>
        <w:t>business</w:t>
      </w:r>
    </w:p>
    <w:p w14:paraId="59834FC9" w14:textId="14EBECAF" w:rsidR="6E74F280" w:rsidRPr="00A54C6D" w:rsidRDefault="0C987F23" w:rsidP="004B4F63">
      <w:pPr>
        <w:pStyle w:val="Heading5"/>
        <w:spacing w:after="200"/>
        <w:rPr>
          <w:b w:val="0"/>
          <w:color w:val="auto"/>
        </w:rPr>
      </w:pPr>
      <w:r w:rsidRPr="00A54C6D">
        <w:rPr>
          <w:b w:val="0"/>
          <w:color w:val="auto"/>
        </w:rPr>
        <w:t>As it is expected that each affected business will need to do this assessment once for its work</w:t>
      </w:r>
      <w:r w:rsidR="00C911FA" w:rsidRPr="00A54C6D">
        <w:rPr>
          <w:b w:val="0"/>
          <w:color w:val="auto"/>
        </w:rPr>
        <w:t>force</w:t>
      </w:r>
      <w:r w:rsidRPr="00A54C6D">
        <w:rPr>
          <w:b w:val="0"/>
          <w:color w:val="auto"/>
        </w:rPr>
        <w:t xml:space="preserve">, rather than individually for each worker, </w:t>
      </w:r>
      <w:r w:rsidR="4B67D368" w:rsidRPr="00A54C6D">
        <w:rPr>
          <w:b w:val="0"/>
          <w:color w:val="auto"/>
        </w:rPr>
        <w:t>this cost has been considered as a per business cost.</w:t>
      </w:r>
      <w:r w:rsidR="00973898" w:rsidRPr="00A54C6D">
        <w:rPr>
          <w:b w:val="0"/>
          <w:color w:val="auto"/>
        </w:rPr>
        <w:t xml:space="preserve"> </w:t>
      </w:r>
      <w:r w:rsidR="00224AEC">
        <w:rPr>
          <w:b w:val="0"/>
          <w:color w:val="auto"/>
        </w:rPr>
        <w:t>It is expected that this cost will only need to occur once, which means the average annual cost per business is $235.58.</w:t>
      </w:r>
    </w:p>
    <w:p w14:paraId="7D29CD17" w14:textId="6B8C5ED2" w:rsidR="00107FCB" w:rsidRDefault="00FA037D" w:rsidP="004B4F63">
      <w:pPr>
        <w:pStyle w:val="Heading5"/>
        <w:spacing w:after="200"/>
      </w:pPr>
      <w:r>
        <w:t xml:space="preserve">Ensuring workers </w:t>
      </w:r>
      <w:r w:rsidR="00F770E4">
        <w:t xml:space="preserve">are appropriately classified </w:t>
      </w:r>
      <w:r w:rsidR="00F7107D">
        <w:t xml:space="preserve">as employees or independent contractors </w:t>
      </w:r>
    </w:p>
    <w:p w14:paraId="41E726E5" w14:textId="73695601" w:rsidR="00BA27B4" w:rsidRDefault="00CF46BC" w:rsidP="004B4F63">
      <w:r>
        <w:t>T</w:t>
      </w:r>
      <w:r w:rsidR="001339D5">
        <w:t xml:space="preserve">he change would benefit those of the estimated </w:t>
      </w:r>
      <w:r w:rsidR="00A51B6D">
        <w:t>254,500</w:t>
      </w:r>
      <w:r>
        <w:t xml:space="preserve"> </w:t>
      </w:r>
      <w:r w:rsidR="00CF75FD">
        <w:t xml:space="preserve">workers </w:t>
      </w:r>
      <w:r w:rsidR="00707264">
        <w:t>on the fringe of employment and independent contracting who</w:t>
      </w:r>
      <w:r w:rsidR="00941D4C">
        <w:t>se work stat</w:t>
      </w:r>
      <w:r w:rsidR="001A68CB">
        <w:t xml:space="preserve">us </w:t>
      </w:r>
      <w:r w:rsidR="00EB7A4B">
        <w:t xml:space="preserve">may have </w:t>
      </w:r>
      <w:r w:rsidR="001A68CB">
        <w:t>been impacted by</w:t>
      </w:r>
      <w:r w:rsidR="00D732A0">
        <w:t xml:space="preserve"> the </w:t>
      </w:r>
      <w:r w:rsidR="00472CC3">
        <w:t xml:space="preserve">contract-centric </w:t>
      </w:r>
      <w:r w:rsidR="00D732A0">
        <w:t xml:space="preserve">approach </w:t>
      </w:r>
      <w:r w:rsidR="0071670B">
        <w:t>set out</w:t>
      </w:r>
      <w:r w:rsidR="001A68CB">
        <w:t xml:space="preserve"> </w:t>
      </w:r>
      <w:r w:rsidR="00D732A0">
        <w:t xml:space="preserve">in </w:t>
      </w:r>
      <w:r w:rsidR="00EB7A4B" w:rsidRPr="00F9171A">
        <w:rPr>
          <w:i/>
        </w:rPr>
        <w:t>J</w:t>
      </w:r>
      <w:r w:rsidR="00D732A0" w:rsidRPr="00F9171A">
        <w:rPr>
          <w:i/>
        </w:rPr>
        <w:t>amsek</w:t>
      </w:r>
      <w:r w:rsidR="00D732A0">
        <w:t xml:space="preserve"> and </w:t>
      </w:r>
      <w:r w:rsidR="00D732A0" w:rsidRPr="00F9171A">
        <w:rPr>
          <w:i/>
        </w:rPr>
        <w:t xml:space="preserve">Personnel </w:t>
      </w:r>
      <w:r w:rsidR="00D732A0" w:rsidRPr="00F9171A">
        <w:rPr>
          <w:i/>
          <w:iCs/>
        </w:rPr>
        <w:t>Contracting</w:t>
      </w:r>
      <w:r w:rsidR="001339D5">
        <w:t>.</w:t>
      </w:r>
      <w:r w:rsidR="00BA27B4">
        <w:t xml:space="preserve"> The number of workers whose work status is likely to be affected by the measure is not likely to be significant, demonstrated by the fact that the number of independent contractors </w:t>
      </w:r>
      <w:r w:rsidR="007B576D">
        <w:t>has</w:t>
      </w:r>
      <w:r w:rsidR="00BA27B4">
        <w:t xml:space="preserve"> not</w:t>
      </w:r>
      <w:r w:rsidR="007B576D">
        <w:t xml:space="preserve"> yet</w:t>
      </w:r>
      <w:r w:rsidR="00BA27B4">
        <w:t xml:space="preserve"> significantly change</w:t>
      </w:r>
      <w:r w:rsidR="007B576D">
        <w:t>d</w:t>
      </w:r>
      <w:r w:rsidR="00BA27B4">
        <w:t xml:space="preserve"> following the High Court’s 2022 decisions. </w:t>
      </w:r>
      <w:r w:rsidR="001339D5">
        <w:t xml:space="preserve"> </w:t>
      </w:r>
    </w:p>
    <w:p w14:paraId="65DF35B3" w14:textId="23DCCAA8" w:rsidR="00A93F27" w:rsidRDefault="00DB4033" w:rsidP="004B4F63">
      <w:r>
        <w:t>T</w:t>
      </w:r>
      <w:r w:rsidR="00AA1405">
        <w:t>he</w:t>
      </w:r>
      <w:r w:rsidR="00F4501D" w:rsidDel="00DB4033">
        <w:t xml:space="preserve"> </w:t>
      </w:r>
      <w:r>
        <w:t xml:space="preserve">primary </w:t>
      </w:r>
      <w:r w:rsidR="00F4501D">
        <w:t xml:space="preserve">benefit will be that </w:t>
      </w:r>
      <w:r w:rsidR="009E667A">
        <w:t>a fairer test will apply</w:t>
      </w:r>
      <w:r w:rsidR="00F46D48">
        <w:t xml:space="preserve"> where a Court is required to determine whether a relationship is one of employment or of principal and contractor. Decision makers will be able to have regard to the practical reality of the relationship, and not simply what has been formally agreed. This</w:t>
      </w:r>
      <w:r w:rsidR="00F4501D" w:rsidDel="00F46D48">
        <w:t xml:space="preserve"> will</w:t>
      </w:r>
      <w:r w:rsidR="00F4501D">
        <w:t xml:space="preserve"> </w:t>
      </w:r>
      <w:r w:rsidR="00EB508D">
        <w:t>discourage</w:t>
      </w:r>
      <w:r w:rsidR="00F4501D">
        <w:t xml:space="preserve"> businesses from </w:t>
      </w:r>
      <w:r w:rsidR="00F46D48">
        <w:t xml:space="preserve">attempting to avoid </w:t>
      </w:r>
      <w:r w:rsidR="00EB508D">
        <w:t>a relationship of</w:t>
      </w:r>
      <w:r w:rsidR="0088368E">
        <w:t xml:space="preserve"> employment via carefully drafted contracts</w:t>
      </w:r>
      <w:r w:rsidR="00F4501D">
        <w:t xml:space="preserve"> and ensur</w:t>
      </w:r>
      <w:r w:rsidR="0088368E">
        <w:t xml:space="preserve">e </w:t>
      </w:r>
      <w:r w:rsidR="00F4501D">
        <w:t xml:space="preserve">that </w:t>
      </w:r>
      <w:r w:rsidR="00797452">
        <w:t xml:space="preserve">workers are classified appropriately in the future. </w:t>
      </w:r>
    </w:p>
    <w:p w14:paraId="21027EE8" w14:textId="16068BDB" w:rsidR="00B40A87" w:rsidRDefault="00B40A87" w:rsidP="004B4F63">
      <w:pPr>
        <w:pStyle w:val="Heading5"/>
        <w:spacing w:after="200"/>
      </w:pPr>
      <w:r>
        <w:t xml:space="preserve">Impact on Government </w:t>
      </w:r>
    </w:p>
    <w:p w14:paraId="53E2C49A" w14:textId="292077EC" w:rsidR="00811AB4" w:rsidRDefault="00B40A87" w:rsidP="004B4F63">
      <w:r>
        <w:t xml:space="preserve">This option may have a </w:t>
      </w:r>
      <w:r w:rsidR="00D27293">
        <w:t xml:space="preserve">minor </w:t>
      </w:r>
      <w:r>
        <w:t xml:space="preserve">budgetary impact as the Government collects more tax per </w:t>
      </w:r>
      <w:r w:rsidR="003031D2">
        <w:t xml:space="preserve">employee than per independent contractor. </w:t>
      </w:r>
      <w:r w:rsidR="00D27293">
        <w:t>As the cohort of workers likely to be impacted by this option is small</w:t>
      </w:r>
      <w:r w:rsidR="0035383A">
        <w:t xml:space="preserve">, any revenue increase is likely to be very minor. </w:t>
      </w:r>
    </w:p>
    <w:p w14:paraId="55A8DAB1" w14:textId="07119992" w:rsidR="00924F55" w:rsidRDefault="00924F55" w:rsidP="004B4F63">
      <w:pPr>
        <w:pStyle w:val="Heading4"/>
        <w:spacing w:after="200"/>
      </w:pPr>
      <w:r>
        <w:t>Summary of impacts</w:t>
      </w:r>
    </w:p>
    <w:p w14:paraId="6A33BB3E" w14:textId="32DF9C4C" w:rsidR="00844784" w:rsidRPr="007C00BA" w:rsidRDefault="00A42A11" w:rsidP="00844784">
      <w:r>
        <w:t xml:space="preserve">Compared to the status quo, </w:t>
      </w:r>
      <w:r w:rsidR="00844784">
        <w:t xml:space="preserve">Option </w:t>
      </w:r>
      <w:r w:rsidR="0022488A">
        <w:t>4</w:t>
      </w:r>
      <w:r w:rsidR="00844784">
        <w:t xml:space="preserve"> is estimated to deliver $4.1 billion dollars in increased wages for workers</w:t>
      </w:r>
      <w:r w:rsidR="00541184">
        <w:t xml:space="preserve"> over ten years</w:t>
      </w:r>
      <w:r w:rsidR="00844784">
        <w:t>. This amounts to $4</w:t>
      </w:r>
      <w:r w:rsidR="008B28D4">
        <w:t>07.7</w:t>
      </w:r>
      <w:r w:rsidR="00844784">
        <w:t xml:space="preserve"> million per year</w:t>
      </w:r>
      <w:r w:rsidR="0020677E">
        <w:t>, which represents 0.</w:t>
      </w:r>
      <w:r w:rsidR="00CF7405">
        <w:t>0</w:t>
      </w:r>
      <w:r w:rsidR="0020677E">
        <w:t>4 per cent of the total wage bill</w:t>
      </w:r>
      <w:r w:rsidR="00844784">
        <w:t>.</w:t>
      </w:r>
    </w:p>
    <w:p w14:paraId="4FF4970F" w14:textId="43DCA9E6" w:rsidR="00924F55" w:rsidRPr="00F3419C" w:rsidRDefault="00924F55" w:rsidP="00924F55">
      <w:pPr>
        <w:pStyle w:val="Heading5"/>
      </w:pPr>
      <w:r>
        <w:t>Regulatory burden estimates</w:t>
      </w:r>
    </w:p>
    <w:p w14:paraId="50BFF024" w14:textId="7DE975AD" w:rsidR="3CFB07B7" w:rsidRDefault="3CFB07B7" w:rsidP="00A54C6D">
      <w:r w:rsidRPr="3240C115">
        <w:rPr>
          <w:b/>
          <w:bCs/>
        </w:rPr>
        <w:t xml:space="preserve">Table </w:t>
      </w:r>
      <w:r w:rsidRPr="203188FA">
        <w:rPr>
          <w:b/>
          <w:bCs/>
        </w:rPr>
        <w:t>2</w:t>
      </w:r>
      <w:r w:rsidR="1760F560" w:rsidRPr="203188FA">
        <w:rPr>
          <w:b/>
          <w:bCs/>
        </w:rPr>
        <w:t>1</w:t>
      </w:r>
      <w:r w:rsidR="6DBC0848" w:rsidRPr="3240C115">
        <w:rPr>
          <w:b/>
          <w:bCs/>
        </w:rPr>
        <w:t xml:space="preserve"> – Average annual regulatory costs (from business as usual)</w:t>
      </w:r>
    </w:p>
    <w:tbl>
      <w:tblPr>
        <w:tblStyle w:val="DESE"/>
        <w:tblW w:w="0" w:type="auto"/>
        <w:tblLayout w:type="fixed"/>
        <w:tblLook w:val="04A0" w:firstRow="1" w:lastRow="0" w:firstColumn="1" w:lastColumn="0" w:noHBand="0" w:noVBand="1"/>
      </w:tblPr>
      <w:tblGrid>
        <w:gridCol w:w="1129"/>
        <w:gridCol w:w="1418"/>
        <w:gridCol w:w="2693"/>
        <w:gridCol w:w="1559"/>
        <w:gridCol w:w="2261"/>
      </w:tblGrid>
      <w:tr w:rsidR="00CE2652" w14:paraId="11361093" w14:textId="77777777" w:rsidTr="1497C98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9" w:type="dxa"/>
            <w:tcBorders>
              <w:top w:val="single" w:sz="4" w:space="0" w:color="002D3F" w:themeColor="accent1"/>
            </w:tcBorders>
          </w:tcPr>
          <w:p w14:paraId="07205232" w14:textId="77777777" w:rsidR="00CE2652" w:rsidRPr="00B100CC" w:rsidRDefault="00CE2652" w:rsidP="008964FB">
            <w:pPr>
              <w:spacing w:after="100"/>
            </w:pPr>
          </w:p>
        </w:tc>
        <w:tc>
          <w:tcPr>
            <w:tcW w:w="7931" w:type="dxa"/>
            <w:gridSpan w:val="4"/>
            <w:tcBorders>
              <w:top w:val="single" w:sz="4" w:space="0" w:color="002D3F" w:themeColor="accent1"/>
            </w:tcBorders>
          </w:tcPr>
          <w:p w14:paraId="7DFDEB3A" w14:textId="77777777" w:rsidR="00CE2652" w:rsidRPr="00A54C6D" w:rsidRDefault="00CE2652" w:rsidP="008964FB">
            <w:pPr>
              <w:spacing w:after="100"/>
              <w:jc w:val="center"/>
              <w:cnfStyle w:val="100000000000" w:firstRow="1" w:lastRow="0" w:firstColumn="0" w:lastColumn="0" w:oddVBand="0" w:evenVBand="0" w:oddHBand="0" w:evenHBand="0" w:firstRowFirstColumn="0" w:firstRowLastColumn="0" w:lastRowFirstColumn="0" w:lastRowLastColumn="0"/>
              <w:rPr>
                <w:b/>
              </w:rPr>
            </w:pPr>
            <w:r w:rsidRPr="00A54C6D">
              <w:rPr>
                <w:b/>
              </w:rPr>
              <w:t>Average annual regulatory costs (from business as usual)</w:t>
            </w:r>
          </w:p>
        </w:tc>
      </w:tr>
      <w:tr w:rsidR="00CE2652" w14:paraId="26B12C80" w14:textId="77777777" w:rsidTr="00A54C6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2D3F" w:themeColor="accent1"/>
            </w:tcBorders>
          </w:tcPr>
          <w:p w14:paraId="62269EA8" w14:textId="77777777" w:rsidR="00CE2652" w:rsidRDefault="00CE2652" w:rsidP="008964FB">
            <w:pPr>
              <w:spacing w:after="100"/>
            </w:pPr>
            <w:r>
              <w:t>Option</w:t>
            </w:r>
          </w:p>
        </w:tc>
        <w:tc>
          <w:tcPr>
            <w:tcW w:w="1418" w:type="dxa"/>
            <w:tcBorders>
              <w:top w:val="single" w:sz="4" w:space="0" w:color="002D3F" w:themeColor="accent1"/>
            </w:tcBorders>
            <w:vAlign w:val="top"/>
          </w:tcPr>
          <w:p w14:paraId="7EA18944" w14:textId="77777777" w:rsidR="00CE2652" w:rsidRPr="00A646CA" w:rsidRDefault="00CE2652" w:rsidP="008964FB">
            <w:pPr>
              <w:spacing w:after="100"/>
              <w:cnfStyle w:val="100000000000" w:firstRow="1" w:lastRow="0" w:firstColumn="0" w:lastColumn="0" w:oddVBand="0" w:evenVBand="0" w:oddHBand="0" w:evenHBand="0" w:firstRowFirstColumn="0" w:firstRowLastColumn="0" w:lastRowFirstColumn="0" w:lastRowLastColumn="0"/>
            </w:pPr>
            <w:r w:rsidRPr="00A646CA">
              <w:t>Independent contractors</w:t>
            </w:r>
          </w:p>
        </w:tc>
        <w:tc>
          <w:tcPr>
            <w:tcW w:w="2693" w:type="dxa"/>
            <w:vAlign w:val="top"/>
          </w:tcPr>
          <w:p w14:paraId="161BE7AC" w14:textId="77777777" w:rsidR="00CE2652" w:rsidRPr="00A646CA" w:rsidRDefault="00CE2652" w:rsidP="008964FB">
            <w:pPr>
              <w:spacing w:after="100"/>
              <w:cnfStyle w:val="100000000000" w:firstRow="1" w:lastRow="0" w:firstColumn="0" w:lastColumn="0" w:oddVBand="0" w:evenVBand="0" w:oddHBand="0" w:evenHBand="0" w:firstRowFirstColumn="0" w:firstRowLastColumn="0" w:lastRowFirstColumn="0" w:lastRowLastColumn="0"/>
            </w:pPr>
            <w:r w:rsidRPr="00A646CA">
              <w:t>Business</w:t>
            </w:r>
          </w:p>
        </w:tc>
        <w:tc>
          <w:tcPr>
            <w:tcW w:w="1559" w:type="dxa"/>
            <w:vAlign w:val="top"/>
          </w:tcPr>
          <w:p w14:paraId="47936F9A" w14:textId="77777777" w:rsidR="00CE2652" w:rsidRPr="00A646CA" w:rsidRDefault="00CE2652" w:rsidP="008964FB">
            <w:pPr>
              <w:spacing w:after="100"/>
              <w:cnfStyle w:val="100000000000" w:firstRow="1" w:lastRow="0" w:firstColumn="0" w:lastColumn="0" w:oddVBand="0" w:evenVBand="0" w:oddHBand="0" w:evenHBand="0" w:firstRowFirstColumn="0" w:firstRowLastColumn="0" w:lastRowFirstColumn="0" w:lastRowLastColumn="0"/>
            </w:pPr>
            <w:r w:rsidRPr="00A646CA">
              <w:t>Community organisations</w:t>
            </w:r>
          </w:p>
        </w:tc>
        <w:tc>
          <w:tcPr>
            <w:tcW w:w="2261" w:type="dxa"/>
            <w:vAlign w:val="top"/>
          </w:tcPr>
          <w:p w14:paraId="7E2D30AC" w14:textId="77777777" w:rsidR="00CE2652" w:rsidRPr="00A646CA" w:rsidRDefault="00CE2652" w:rsidP="008964FB">
            <w:pPr>
              <w:spacing w:after="100"/>
              <w:cnfStyle w:val="100000000000" w:firstRow="1" w:lastRow="0" w:firstColumn="0" w:lastColumn="0" w:oddVBand="0" w:evenVBand="0" w:oddHBand="0" w:evenHBand="0" w:firstRowFirstColumn="0" w:firstRowLastColumn="0" w:lastRowFirstColumn="0" w:lastRowLastColumn="0"/>
            </w:pPr>
            <w:r w:rsidRPr="00A646CA">
              <w:t>Total change in costs</w:t>
            </w:r>
          </w:p>
        </w:tc>
      </w:tr>
      <w:tr w:rsidR="00CE2652" w14:paraId="04F92DBE" w14:textId="77777777" w:rsidTr="00A54C6D">
        <w:trPr>
          <w:trHeight w:val="754"/>
        </w:trPr>
        <w:tc>
          <w:tcPr>
            <w:cnfStyle w:val="001000000000" w:firstRow="0" w:lastRow="0" w:firstColumn="1" w:lastColumn="0" w:oddVBand="0" w:evenVBand="0" w:oddHBand="0" w:evenHBand="0" w:firstRowFirstColumn="0" w:firstRowLastColumn="0" w:lastRowFirstColumn="0" w:lastRowLastColumn="0"/>
            <w:tcW w:w="1129" w:type="dxa"/>
            <w:vAlign w:val="top"/>
          </w:tcPr>
          <w:p w14:paraId="7604E145" w14:textId="0754C759" w:rsidR="00CE2652" w:rsidRPr="00A54C6D" w:rsidRDefault="00CE2652" w:rsidP="008964FB">
            <w:pPr>
              <w:spacing w:after="100"/>
              <w:rPr>
                <w:b/>
              </w:rPr>
            </w:pPr>
            <w:r w:rsidRPr="00A54C6D">
              <w:rPr>
                <w:b/>
              </w:rPr>
              <w:t>Option 4</w:t>
            </w:r>
          </w:p>
        </w:tc>
        <w:tc>
          <w:tcPr>
            <w:tcW w:w="1418" w:type="dxa"/>
            <w:vAlign w:val="top"/>
          </w:tcPr>
          <w:p w14:paraId="34430BCE" w14:textId="77777777" w:rsidR="00CE2652" w:rsidRPr="009D3374" w:rsidRDefault="00CE2652" w:rsidP="008964FB">
            <w:pPr>
              <w:spacing w:after="100"/>
              <w:cnfStyle w:val="000000000000" w:firstRow="0" w:lastRow="0" w:firstColumn="0" w:lastColumn="0" w:oddVBand="0" w:evenVBand="0" w:oddHBand="0" w:evenHBand="0" w:firstRowFirstColumn="0" w:firstRowLastColumn="0" w:lastRowFirstColumn="0" w:lastRowLastColumn="0"/>
            </w:pPr>
            <w:r w:rsidRPr="009D3374">
              <w:t>Nil</w:t>
            </w:r>
          </w:p>
        </w:tc>
        <w:tc>
          <w:tcPr>
            <w:tcW w:w="2693" w:type="dxa"/>
            <w:vAlign w:val="top"/>
          </w:tcPr>
          <w:p w14:paraId="530FBF56" w14:textId="5C6ACFCA" w:rsidR="00DB0256" w:rsidRPr="009D3374" w:rsidRDefault="00844784" w:rsidP="00DB0256">
            <w:pPr>
              <w:pStyle w:val="ListParagraph"/>
              <w:numPr>
                <w:ilvl w:val="0"/>
                <w:numId w:val="117"/>
              </w:numPr>
              <w:cnfStyle w:val="000000000000" w:firstRow="0" w:lastRow="0" w:firstColumn="0" w:lastColumn="0" w:oddVBand="0" w:evenVBand="0" w:oddHBand="0" w:evenHBand="0" w:firstRowFirstColumn="0" w:firstRowLastColumn="0" w:lastRowFirstColumn="0" w:lastRowLastColumn="0"/>
            </w:pPr>
            <w:r w:rsidRPr="009D3374">
              <w:t>$</w:t>
            </w:r>
            <w:r w:rsidR="3AC22B56" w:rsidRPr="009D3374">
              <w:t>235</w:t>
            </w:r>
            <w:r w:rsidR="623CE277" w:rsidRPr="009D3374">
              <w:t>.58</w:t>
            </w:r>
            <w:r w:rsidRPr="009D3374">
              <w:t xml:space="preserve"> </w:t>
            </w:r>
            <w:r w:rsidR="006953D2" w:rsidRPr="009D3374">
              <w:t>per business impacted by Option 4 only</w:t>
            </w:r>
          </w:p>
          <w:p w14:paraId="29C62DB0" w14:textId="77777777" w:rsidR="00CB5F31" w:rsidRDefault="00CB5F31" w:rsidP="00164C43">
            <w:pPr>
              <w:pStyle w:val="ListParagraph"/>
              <w:numPr>
                <w:ilvl w:val="0"/>
                <w:numId w:val="117"/>
              </w:num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705061">
              <w:rPr>
                <w:b/>
                <w:bCs/>
              </w:rPr>
              <w:t>Digital platform businesses</w:t>
            </w:r>
            <w:r w:rsidRPr="009D3374">
              <w:t xml:space="preserve"> – maximum of $10,080.70 – compliance cost per business impacted by Option 2 and Option 4.</w:t>
            </w:r>
            <w:r w:rsidRPr="00705061">
              <w:rPr>
                <w:rStyle w:val="FootnoteReference"/>
              </w:rPr>
              <w:footnoteReference w:id="145"/>
            </w:r>
          </w:p>
          <w:p w14:paraId="0B289B81" w14:textId="71FBF89F" w:rsidR="00CE2652" w:rsidRPr="009D3374" w:rsidRDefault="00164C43" w:rsidP="00573634">
            <w:pPr>
              <w:pStyle w:val="ListParagraph"/>
              <w:numPr>
                <w:ilvl w:val="0"/>
                <w:numId w:val="117"/>
              </w:numPr>
              <w:spacing w:before="0" w:beforeAutospacing="0" w:afterAutospacing="0"/>
              <w:cnfStyle w:val="000000000000" w:firstRow="0" w:lastRow="0" w:firstColumn="0" w:lastColumn="0" w:oddVBand="0" w:evenVBand="0" w:oddHBand="0" w:evenHBand="0" w:firstRowFirstColumn="0" w:firstRowLastColumn="0" w:lastRowFirstColumn="0" w:lastRowLastColumn="0"/>
            </w:pPr>
            <w:r w:rsidRPr="00573634">
              <w:rPr>
                <w:b/>
                <w:bCs/>
              </w:rPr>
              <w:t>Road transport businesses</w:t>
            </w:r>
            <w:r w:rsidRPr="009D3374">
              <w:t xml:space="preserve"> </w:t>
            </w:r>
            <w:r w:rsidR="00752790" w:rsidRPr="009D3374">
              <w:t xml:space="preserve">– maximum of </w:t>
            </w:r>
            <w:r w:rsidRPr="009D3374">
              <w:t>$</w:t>
            </w:r>
            <w:r w:rsidR="006F059D" w:rsidRPr="009D3374">
              <w:t>6,125.00</w:t>
            </w:r>
            <w:r w:rsidRPr="009D3374">
              <w:t xml:space="preserve"> - compliance cost per business impacted by Option 3</w:t>
            </w:r>
            <w:r w:rsidR="00113024" w:rsidRPr="009D3374">
              <w:t xml:space="preserve"> and Option 4 </w:t>
            </w:r>
            <w:r w:rsidRPr="009D3374">
              <w:t>+ $258.80 per worker (ongoing compliance per affected road transport worker)</w:t>
            </w:r>
            <w:r w:rsidR="00CB5F31">
              <w:t>.</w:t>
            </w:r>
          </w:p>
        </w:tc>
        <w:tc>
          <w:tcPr>
            <w:tcW w:w="1559" w:type="dxa"/>
            <w:vAlign w:val="top"/>
          </w:tcPr>
          <w:p w14:paraId="2FE26A26" w14:textId="77777777" w:rsidR="00CE2652" w:rsidRPr="00BB3C7B" w:rsidRDefault="00CE2652" w:rsidP="008964FB">
            <w:pPr>
              <w:spacing w:after="100"/>
              <w:cnfStyle w:val="000000000000" w:firstRow="0" w:lastRow="0" w:firstColumn="0" w:lastColumn="0" w:oddVBand="0" w:evenVBand="0" w:oddHBand="0" w:evenHBand="0" w:firstRowFirstColumn="0" w:firstRowLastColumn="0" w:lastRowFirstColumn="0" w:lastRowLastColumn="0"/>
            </w:pPr>
            <w:r w:rsidRPr="00BB3C7B">
              <w:t xml:space="preserve">Nil </w:t>
            </w:r>
          </w:p>
        </w:tc>
        <w:tc>
          <w:tcPr>
            <w:tcW w:w="2261" w:type="dxa"/>
            <w:vAlign w:val="top"/>
          </w:tcPr>
          <w:p w14:paraId="1C0EF5D2" w14:textId="57261B11" w:rsidR="00CE2652" w:rsidRPr="00BB3C7B" w:rsidRDefault="3E5C5008" w:rsidP="00A54C6D">
            <w:pPr>
              <w:cnfStyle w:val="000000000000" w:firstRow="0" w:lastRow="0" w:firstColumn="0" w:lastColumn="0" w:oddVBand="0" w:evenVBand="0" w:oddHBand="0" w:evenHBand="0" w:firstRowFirstColumn="0" w:firstRowLastColumn="0" w:lastRowFirstColumn="0" w:lastRowLastColumn="0"/>
            </w:pPr>
            <w:r w:rsidRPr="00BB3C7B">
              <w:t>$235</w:t>
            </w:r>
            <w:r w:rsidR="18F6C030" w:rsidRPr="00BB3C7B">
              <w:t>.58</w:t>
            </w:r>
            <w:r w:rsidR="00D51721" w:rsidRPr="00BB3C7B">
              <w:t xml:space="preserve"> </w:t>
            </w:r>
            <w:r w:rsidR="007C48EA" w:rsidRPr="00573634">
              <w:t xml:space="preserve">per business, or </w:t>
            </w:r>
            <w:r w:rsidR="00791423">
              <w:t xml:space="preserve">up to </w:t>
            </w:r>
            <w:r w:rsidR="00A10124" w:rsidRPr="00573634">
              <w:t>$6,125.00 per business + $258</w:t>
            </w:r>
            <w:r w:rsidR="00FF3AE5" w:rsidRPr="00573634">
              <w:t xml:space="preserve">.80 per worker, or </w:t>
            </w:r>
            <w:r w:rsidR="00791423">
              <w:t xml:space="preserve">up to </w:t>
            </w:r>
            <w:r w:rsidR="00BB3C7B" w:rsidRPr="00573634">
              <w:t>$10,080.70 per business</w:t>
            </w:r>
          </w:p>
        </w:tc>
      </w:tr>
    </w:tbl>
    <w:p w14:paraId="7ECEC6EB" w14:textId="77777777" w:rsidR="00924F55" w:rsidRDefault="00924F55" w:rsidP="00924F55"/>
    <w:p w14:paraId="7839DB7A" w14:textId="61BC3181" w:rsidR="3231168B" w:rsidRDefault="3231168B" w:rsidP="188CD680">
      <w:pPr>
        <w:rPr>
          <w:b/>
          <w:bCs/>
        </w:rPr>
      </w:pPr>
      <w:r w:rsidRPr="3240C115">
        <w:rPr>
          <w:b/>
          <w:bCs/>
        </w:rPr>
        <w:t xml:space="preserve">Table </w:t>
      </w:r>
      <w:r w:rsidRPr="30B0EA61">
        <w:rPr>
          <w:b/>
          <w:bCs/>
        </w:rPr>
        <w:t>2</w:t>
      </w:r>
      <w:r w:rsidR="3BDA0AB8" w:rsidRPr="30B0EA61">
        <w:rPr>
          <w:b/>
          <w:bCs/>
        </w:rPr>
        <w:t>2</w:t>
      </w:r>
      <w:r w:rsidRPr="3240C115">
        <w:rPr>
          <w:b/>
          <w:bCs/>
        </w:rPr>
        <w:t xml:space="preserve"> </w:t>
      </w:r>
      <w:r w:rsidR="305D060D" w:rsidRPr="3240C115">
        <w:rPr>
          <w:b/>
          <w:bCs/>
        </w:rPr>
        <w:t xml:space="preserve">– Total regulatory costs </w:t>
      </w:r>
      <w:r w:rsidR="305D060D" w:rsidRPr="7B012A45">
        <w:rPr>
          <w:b/>
          <w:bCs/>
        </w:rPr>
        <w:t xml:space="preserve">over 10 years (from </w:t>
      </w:r>
      <w:r w:rsidR="305D060D" w:rsidRPr="0B6F2EBC">
        <w:rPr>
          <w:b/>
          <w:bCs/>
        </w:rPr>
        <w:t>busine</w:t>
      </w:r>
      <w:r w:rsidR="0887ED8D" w:rsidRPr="0B6F2EBC">
        <w:rPr>
          <w:b/>
          <w:bCs/>
        </w:rPr>
        <w:t>s</w:t>
      </w:r>
      <w:r w:rsidR="305D060D" w:rsidRPr="0B6F2EBC">
        <w:rPr>
          <w:b/>
          <w:bCs/>
        </w:rPr>
        <w:t>s</w:t>
      </w:r>
      <w:r w:rsidR="305D060D" w:rsidRPr="7B012A45">
        <w:rPr>
          <w:b/>
          <w:bCs/>
        </w:rPr>
        <w:t xml:space="preserve"> as usual)</w:t>
      </w:r>
    </w:p>
    <w:tbl>
      <w:tblPr>
        <w:tblStyle w:val="DESE"/>
        <w:tblW w:w="0" w:type="auto"/>
        <w:tblLook w:val="04A0" w:firstRow="1" w:lastRow="0" w:firstColumn="1" w:lastColumn="0" w:noHBand="0" w:noVBand="1"/>
      </w:tblPr>
      <w:tblGrid>
        <w:gridCol w:w="1165"/>
        <w:gridCol w:w="1429"/>
        <w:gridCol w:w="3057"/>
        <w:gridCol w:w="1508"/>
        <w:gridCol w:w="1901"/>
      </w:tblGrid>
      <w:tr w:rsidR="00D05F0D" w:rsidRPr="00F026DA" w14:paraId="0D51716F" w14:textId="77777777" w:rsidTr="7F8297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65" w:type="dxa"/>
            <w:tcBorders>
              <w:top w:val="single" w:sz="4" w:space="0" w:color="002D3F" w:themeColor="accent1"/>
            </w:tcBorders>
          </w:tcPr>
          <w:p w14:paraId="7E354CB4" w14:textId="77777777" w:rsidR="00D05F0D" w:rsidRPr="00F026DA" w:rsidRDefault="00D05F0D">
            <w:pPr>
              <w:spacing w:after="100"/>
            </w:pPr>
          </w:p>
        </w:tc>
        <w:tc>
          <w:tcPr>
            <w:tcW w:w="7895" w:type="dxa"/>
            <w:gridSpan w:val="4"/>
            <w:tcBorders>
              <w:top w:val="single" w:sz="4" w:space="0" w:color="002D3F" w:themeColor="accent1"/>
            </w:tcBorders>
          </w:tcPr>
          <w:p w14:paraId="5DCC9A89" w14:textId="77777777" w:rsidR="00D05F0D" w:rsidRPr="00A54C6D" w:rsidRDefault="00D05F0D">
            <w:pPr>
              <w:spacing w:after="100"/>
              <w:jc w:val="center"/>
              <w:cnfStyle w:val="100000000000" w:firstRow="1" w:lastRow="0" w:firstColumn="0" w:lastColumn="0" w:oddVBand="0" w:evenVBand="0" w:oddHBand="0" w:evenHBand="0" w:firstRowFirstColumn="0" w:firstRowLastColumn="0" w:lastRowFirstColumn="0" w:lastRowLastColumn="0"/>
              <w:rPr>
                <w:b/>
              </w:rPr>
            </w:pPr>
            <w:r w:rsidRPr="00A54C6D">
              <w:rPr>
                <w:b/>
              </w:rPr>
              <w:t>Total regulatory costs over 10 years (from business as usual)</w:t>
            </w:r>
          </w:p>
        </w:tc>
      </w:tr>
      <w:tr w:rsidR="00D05F0D" w:rsidRPr="00F026DA" w14:paraId="27048FD4" w14:textId="77777777" w:rsidTr="7F8297E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65" w:type="dxa"/>
            <w:tcBorders>
              <w:top w:val="single" w:sz="4" w:space="0" w:color="002D3F" w:themeColor="accent1"/>
            </w:tcBorders>
          </w:tcPr>
          <w:p w14:paraId="087965E0" w14:textId="77777777" w:rsidR="00D05F0D" w:rsidRPr="00F026DA" w:rsidRDefault="00D05F0D">
            <w:pPr>
              <w:spacing w:after="100"/>
            </w:pPr>
            <w:r w:rsidRPr="00F026DA">
              <w:t>Option</w:t>
            </w:r>
          </w:p>
        </w:tc>
        <w:tc>
          <w:tcPr>
            <w:tcW w:w="1429" w:type="dxa"/>
            <w:tcBorders>
              <w:top w:val="single" w:sz="4" w:space="0" w:color="002D3F" w:themeColor="accent1"/>
            </w:tcBorders>
            <w:vAlign w:val="top"/>
          </w:tcPr>
          <w:p w14:paraId="3445FED8" w14:textId="77777777" w:rsidR="00D05F0D" w:rsidRPr="00F026DA" w:rsidRDefault="00D05F0D">
            <w:pPr>
              <w:spacing w:after="100"/>
              <w:cnfStyle w:val="100000000000" w:firstRow="1" w:lastRow="0" w:firstColumn="0" w:lastColumn="0" w:oddVBand="0" w:evenVBand="0" w:oddHBand="0" w:evenHBand="0" w:firstRowFirstColumn="0" w:firstRowLastColumn="0" w:lastRowFirstColumn="0" w:lastRowLastColumn="0"/>
            </w:pPr>
            <w:r w:rsidRPr="00F026DA">
              <w:t>Independent contractors</w:t>
            </w:r>
          </w:p>
        </w:tc>
        <w:tc>
          <w:tcPr>
            <w:tcW w:w="3057" w:type="dxa"/>
            <w:vAlign w:val="top"/>
          </w:tcPr>
          <w:p w14:paraId="7C4E6E58" w14:textId="77777777" w:rsidR="00D05F0D" w:rsidRPr="00F026DA" w:rsidRDefault="00D05F0D">
            <w:pPr>
              <w:spacing w:after="100"/>
              <w:cnfStyle w:val="100000000000" w:firstRow="1" w:lastRow="0" w:firstColumn="0" w:lastColumn="0" w:oddVBand="0" w:evenVBand="0" w:oddHBand="0" w:evenHBand="0" w:firstRowFirstColumn="0" w:firstRowLastColumn="0" w:lastRowFirstColumn="0" w:lastRowLastColumn="0"/>
            </w:pPr>
            <w:r w:rsidRPr="00F026DA">
              <w:t>Business</w:t>
            </w:r>
          </w:p>
        </w:tc>
        <w:tc>
          <w:tcPr>
            <w:tcW w:w="1508" w:type="dxa"/>
            <w:vAlign w:val="top"/>
          </w:tcPr>
          <w:p w14:paraId="67EC29EA" w14:textId="77777777" w:rsidR="00D05F0D" w:rsidRPr="00F026DA" w:rsidRDefault="00D05F0D">
            <w:pPr>
              <w:spacing w:after="100"/>
              <w:cnfStyle w:val="100000000000" w:firstRow="1" w:lastRow="0" w:firstColumn="0" w:lastColumn="0" w:oddVBand="0" w:evenVBand="0" w:oddHBand="0" w:evenHBand="0" w:firstRowFirstColumn="0" w:firstRowLastColumn="0" w:lastRowFirstColumn="0" w:lastRowLastColumn="0"/>
            </w:pPr>
            <w:r w:rsidRPr="00F026DA">
              <w:t>Community organisations</w:t>
            </w:r>
          </w:p>
        </w:tc>
        <w:tc>
          <w:tcPr>
            <w:tcW w:w="1901" w:type="dxa"/>
            <w:vAlign w:val="top"/>
          </w:tcPr>
          <w:p w14:paraId="6A10F143" w14:textId="77777777" w:rsidR="00D05F0D" w:rsidRPr="00F026DA" w:rsidRDefault="00D05F0D">
            <w:pPr>
              <w:spacing w:after="100"/>
              <w:cnfStyle w:val="100000000000" w:firstRow="1" w:lastRow="0" w:firstColumn="0" w:lastColumn="0" w:oddVBand="0" w:evenVBand="0" w:oddHBand="0" w:evenHBand="0" w:firstRowFirstColumn="0" w:firstRowLastColumn="0" w:lastRowFirstColumn="0" w:lastRowLastColumn="0"/>
            </w:pPr>
            <w:r w:rsidRPr="00F026DA">
              <w:t>Total change in costs</w:t>
            </w:r>
          </w:p>
        </w:tc>
      </w:tr>
      <w:tr w:rsidR="002C0E36" w14:paraId="36DD1551" w14:textId="77777777" w:rsidTr="002C0E36">
        <w:tc>
          <w:tcPr>
            <w:cnfStyle w:val="001000000000" w:firstRow="0" w:lastRow="0" w:firstColumn="1" w:lastColumn="0" w:oddVBand="0" w:evenVBand="0" w:oddHBand="0" w:evenHBand="0" w:firstRowFirstColumn="0" w:firstRowLastColumn="0" w:lastRowFirstColumn="0" w:lastRowLastColumn="0"/>
            <w:tcW w:w="1165" w:type="dxa"/>
            <w:vAlign w:val="top"/>
          </w:tcPr>
          <w:p w14:paraId="750E6E7C" w14:textId="77777777" w:rsidR="002C0E36" w:rsidRPr="00A54C6D" w:rsidRDefault="002C0E36" w:rsidP="002C0E36">
            <w:pPr>
              <w:spacing w:after="100"/>
              <w:rPr>
                <w:b/>
              </w:rPr>
            </w:pPr>
            <w:r w:rsidRPr="00A54C6D">
              <w:rPr>
                <w:b/>
              </w:rPr>
              <w:t>Option 4</w:t>
            </w:r>
          </w:p>
        </w:tc>
        <w:tc>
          <w:tcPr>
            <w:tcW w:w="1429" w:type="dxa"/>
            <w:vAlign w:val="top"/>
          </w:tcPr>
          <w:p w14:paraId="45B18D46" w14:textId="77777777" w:rsidR="002C0E36" w:rsidRPr="00A54C6D" w:rsidRDefault="002C0E36" w:rsidP="002C0E36">
            <w:pPr>
              <w:spacing w:after="100"/>
              <w:cnfStyle w:val="000000000000" w:firstRow="0" w:lastRow="0" w:firstColumn="0" w:lastColumn="0" w:oddVBand="0" w:evenVBand="0" w:oddHBand="0" w:evenHBand="0" w:firstRowFirstColumn="0" w:firstRowLastColumn="0" w:lastRowFirstColumn="0" w:lastRowLastColumn="0"/>
            </w:pPr>
            <w:r w:rsidRPr="00A54C6D">
              <w:t>Nil</w:t>
            </w:r>
          </w:p>
        </w:tc>
        <w:tc>
          <w:tcPr>
            <w:tcW w:w="3057" w:type="dxa"/>
            <w:vAlign w:val="top"/>
          </w:tcPr>
          <w:p w14:paraId="03EFE770" w14:textId="6F894AC2" w:rsidR="00E435A2" w:rsidRPr="002225E6" w:rsidRDefault="1D5D02AD" w:rsidP="00E435A2">
            <w:pPr>
              <w:pStyle w:val="ListParagraph"/>
              <w:numPr>
                <w:ilvl w:val="0"/>
                <w:numId w:val="119"/>
              </w:numPr>
              <w:cnfStyle w:val="000000000000" w:firstRow="0" w:lastRow="0" w:firstColumn="0" w:lastColumn="0" w:oddVBand="0" w:evenVBand="0" w:oddHBand="0" w:evenHBand="0" w:firstRowFirstColumn="0" w:firstRowLastColumn="0" w:lastRowFirstColumn="0" w:lastRowLastColumn="0"/>
            </w:pPr>
            <w:r w:rsidRPr="002225E6">
              <w:t>$</w:t>
            </w:r>
            <w:r w:rsidR="27ECA13B" w:rsidRPr="002225E6">
              <w:t>2</w:t>
            </w:r>
            <w:r w:rsidR="722CEEAC" w:rsidRPr="002225E6">
              <w:t>,</w:t>
            </w:r>
            <w:r w:rsidR="27ECA13B" w:rsidRPr="002225E6">
              <w:t>355</w:t>
            </w:r>
            <w:r w:rsidR="5BD1F3E5" w:rsidRPr="002225E6">
              <w:t>.</w:t>
            </w:r>
            <w:r w:rsidR="27ECA13B" w:rsidRPr="002225E6">
              <w:t>7</w:t>
            </w:r>
            <w:r w:rsidR="6C2FB957" w:rsidRPr="002225E6">
              <w:t>7</w:t>
            </w:r>
            <w:r w:rsidRPr="002225E6">
              <w:t xml:space="preserve"> </w:t>
            </w:r>
            <w:r w:rsidR="008A1C5B" w:rsidRPr="002225E6">
              <w:t>per business impacted by Option 4 only</w:t>
            </w:r>
          </w:p>
          <w:p w14:paraId="3002A387" w14:textId="77777777" w:rsidR="00CB5F31" w:rsidRDefault="002225E6" w:rsidP="00CB5F31">
            <w:pPr>
              <w:pStyle w:val="ListParagraph"/>
              <w:numPr>
                <w:ilvl w:val="0"/>
                <w:numId w:val="119"/>
              </w:numPr>
              <w:cnfStyle w:val="000000000000" w:firstRow="0" w:lastRow="0" w:firstColumn="0" w:lastColumn="0" w:oddVBand="0" w:evenVBand="0" w:oddHBand="0" w:evenHBand="0" w:firstRowFirstColumn="0" w:firstRowLastColumn="0" w:lastRowFirstColumn="0" w:lastRowLastColumn="0"/>
            </w:pPr>
            <w:r>
              <w:rPr>
                <w:b/>
                <w:bCs/>
              </w:rPr>
              <w:t>Digital platform businesses</w:t>
            </w:r>
            <w:r>
              <w:t xml:space="preserve"> - </w:t>
            </w:r>
            <w:r w:rsidR="008A1C5B" w:rsidRPr="002225E6">
              <w:t xml:space="preserve">maximum of </w:t>
            </w:r>
            <w:r w:rsidR="57D0EADF" w:rsidRPr="002225E6">
              <w:t>$</w:t>
            </w:r>
            <w:r w:rsidR="613348B6" w:rsidRPr="002225E6">
              <w:t>1</w:t>
            </w:r>
            <w:r w:rsidR="6C445C5A" w:rsidRPr="002225E6">
              <w:t>00,806.97</w:t>
            </w:r>
            <w:r w:rsidR="1D5D02AD" w:rsidRPr="002225E6">
              <w:t xml:space="preserve"> </w:t>
            </w:r>
            <w:r>
              <w:t xml:space="preserve">- </w:t>
            </w:r>
            <w:r w:rsidRPr="009D3374">
              <w:t>compliance cost per business impacted by Option 2 and Option 4.</w:t>
            </w:r>
            <w:r w:rsidRPr="00705061">
              <w:rPr>
                <w:rStyle w:val="FootnoteReference"/>
              </w:rPr>
              <w:footnoteReference w:id="146"/>
            </w:r>
          </w:p>
          <w:p w14:paraId="47858494" w14:textId="1193E1CA" w:rsidR="002C0E36" w:rsidRPr="002225E6" w:rsidRDefault="006670D0" w:rsidP="00A54C6D">
            <w:pPr>
              <w:pStyle w:val="ListParagraph"/>
              <w:numPr>
                <w:ilvl w:val="0"/>
                <w:numId w:val="119"/>
              </w:numPr>
              <w:cnfStyle w:val="000000000000" w:firstRow="0" w:lastRow="0" w:firstColumn="0" w:lastColumn="0" w:oddVBand="0" w:evenVBand="0" w:oddHBand="0" w:evenHBand="0" w:firstRowFirstColumn="0" w:firstRowLastColumn="0" w:lastRowFirstColumn="0" w:lastRowLastColumn="0"/>
            </w:pPr>
            <w:r w:rsidRPr="00573634">
              <w:rPr>
                <w:b/>
                <w:bCs/>
              </w:rPr>
              <w:t>Road transport businesses</w:t>
            </w:r>
            <w:r w:rsidRPr="00573634">
              <w:t xml:space="preserve"> – maximum of $61,250</w:t>
            </w:r>
            <w:r w:rsidR="007612A3">
              <w:t>.00</w:t>
            </w:r>
            <w:r w:rsidRPr="00573634">
              <w:t xml:space="preserve"> per business + </w:t>
            </w:r>
            <w:r w:rsidR="002225E6" w:rsidRPr="00573634">
              <w:t>$2,587.98 per worker</w:t>
            </w:r>
          </w:p>
        </w:tc>
        <w:tc>
          <w:tcPr>
            <w:tcW w:w="1508" w:type="dxa"/>
            <w:vAlign w:val="top"/>
          </w:tcPr>
          <w:p w14:paraId="683C0CE9" w14:textId="77777777" w:rsidR="002C0E36" w:rsidRPr="002225E6" w:rsidRDefault="002C0E36" w:rsidP="002C0E36">
            <w:pPr>
              <w:spacing w:after="100"/>
              <w:cnfStyle w:val="000000000000" w:firstRow="0" w:lastRow="0" w:firstColumn="0" w:lastColumn="0" w:oddVBand="0" w:evenVBand="0" w:oddHBand="0" w:evenHBand="0" w:firstRowFirstColumn="0" w:firstRowLastColumn="0" w:lastRowFirstColumn="0" w:lastRowLastColumn="0"/>
            </w:pPr>
            <w:r w:rsidRPr="002225E6">
              <w:t xml:space="preserve">Nil </w:t>
            </w:r>
          </w:p>
        </w:tc>
        <w:tc>
          <w:tcPr>
            <w:tcW w:w="1901" w:type="dxa"/>
            <w:vAlign w:val="top"/>
          </w:tcPr>
          <w:p w14:paraId="62C83D1B" w14:textId="091E93DA" w:rsidR="002C0E36" w:rsidRPr="002225E6" w:rsidRDefault="33121073" w:rsidP="00A54C6D">
            <w:pPr>
              <w:cnfStyle w:val="000000000000" w:firstRow="0" w:lastRow="0" w:firstColumn="0" w:lastColumn="0" w:oddVBand="0" w:evenVBand="0" w:oddHBand="0" w:evenHBand="0" w:firstRowFirstColumn="0" w:firstRowLastColumn="0" w:lastRowFirstColumn="0" w:lastRowLastColumn="0"/>
            </w:pPr>
            <w:r w:rsidRPr="002225E6">
              <w:t>$2</w:t>
            </w:r>
            <w:r w:rsidR="2D5A4384" w:rsidRPr="002225E6">
              <w:t>,</w:t>
            </w:r>
            <w:r w:rsidRPr="002225E6">
              <w:t>355</w:t>
            </w:r>
            <w:r w:rsidR="3766DC0A" w:rsidRPr="002225E6">
              <w:t>.</w:t>
            </w:r>
            <w:r w:rsidRPr="002225E6">
              <w:t>7</w:t>
            </w:r>
            <w:r w:rsidR="5A0569DC" w:rsidRPr="002225E6">
              <w:t>7</w:t>
            </w:r>
            <w:r w:rsidR="4BE204DB" w:rsidRPr="002225E6">
              <w:t xml:space="preserve"> </w:t>
            </w:r>
            <w:r w:rsidR="00791423">
              <w:t>per business, or</w:t>
            </w:r>
            <w:r w:rsidR="4BE204DB" w:rsidRPr="002225E6">
              <w:t xml:space="preserve"> </w:t>
            </w:r>
            <w:r w:rsidR="00942C83">
              <w:t xml:space="preserve">up to </w:t>
            </w:r>
            <w:r w:rsidR="4BE204DB" w:rsidRPr="002225E6">
              <w:t>$</w:t>
            </w:r>
            <w:r w:rsidR="5194B213" w:rsidRPr="002225E6">
              <w:t>1</w:t>
            </w:r>
            <w:r w:rsidR="7189CE0E" w:rsidRPr="002225E6">
              <w:t>00,806.97</w:t>
            </w:r>
            <w:r w:rsidR="4BE204DB" w:rsidRPr="002225E6">
              <w:t xml:space="preserve"> </w:t>
            </w:r>
            <w:r w:rsidR="00877B0F" w:rsidRPr="002225E6">
              <w:t xml:space="preserve">for </w:t>
            </w:r>
            <w:r w:rsidR="00010E05" w:rsidRPr="002225E6">
              <w:t>digital platform business</w:t>
            </w:r>
            <w:r w:rsidR="00877B0F" w:rsidRPr="002225E6">
              <w:t>es</w:t>
            </w:r>
            <w:r w:rsidR="00942C83">
              <w:t>,</w:t>
            </w:r>
            <w:r w:rsidR="00010E05" w:rsidRPr="002225E6">
              <w:t xml:space="preserve"> or </w:t>
            </w:r>
            <w:r w:rsidR="00942C83">
              <w:t>up to</w:t>
            </w:r>
            <w:r w:rsidR="00010E05" w:rsidRPr="002225E6">
              <w:t xml:space="preserve"> $</w:t>
            </w:r>
            <w:r w:rsidR="008010B5" w:rsidRPr="002225E6">
              <w:t>61,250</w:t>
            </w:r>
            <w:r w:rsidR="00BF42DF">
              <w:t>.00</w:t>
            </w:r>
            <w:r w:rsidR="008010B5" w:rsidRPr="002225E6">
              <w:t xml:space="preserve"> </w:t>
            </w:r>
            <w:r w:rsidR="4BE204DB" w:rsidRPr="002225E6">
              <w:t>+ $2</w:t>
            </w:r>
            <w:r w:rsidR="00393A06">
              <w:t>,</w:t>
            </w:r>
            <w:r w:rsidR="00BF42DF">
              <w:t>58</w:t>
            </w:r>
            <w:r w:rsidR="00393A06">
              <w:t>7.98</w:t>
            </w:r>
            <w:r w:rsidR="4BE204DB" w:rsidRPr="002225E6">
              <w:t xml:space="preserve"> per worker</w:t>
            </w:r>
            <w:r w:rsidR="008010B5" w:rsidRPr="002225E6">
              <w:t xml:space="preserve"> </w:t>
            </w:r>
            <w:r w:rsidR="00877B0F" w:rsidRPr="002225E6">
              <w:t>for</w:t>
            </w:r>
            <w:r w:rsidR="008010B5" w:rsidRPr="002225E6">
              <w:t xml:space="preserve"> road transport business</w:t>
            </w:r>
          </w:p>
        </w:tc>
      </w:tr>
    </w:tbl>
    <w:p w14:paraId="14C80C28" w14:textId="77777777" w:rsidR="00512FE4" w:rsidRDefault="00512FE4" w:rsidP="00924F55">
      <w:pPr>
        <w:sectPr w:rsidR="00512FE4" w:rsidSect="00A36CC2">
          <w:pgSz w:w="11906" w:h="16838"/>
          <w:pgMar w:top="1418" w:right="1418" w:bottom="1418" w:left="1418" w:header="0" w:footer="454" w:gutter="0"/>
          <w:cols w:space="708"/>
          <w:docGrid w:linePitch="360"/>
        </w:sectPr>
      </w:pPr>
    </w:p>
    <w:p w14:paraId="24CD55C9" w14:textId="73ACB3DC" w:rsidR="00924F55" w:rsidRDefault="47D73414" w:rsidP="00924F55">
      <w:pPr>
        <w:pStyle w:val="Heading5"/>
      </w:pPr>
      <w:r>
        <w:t>Table 2</w:t>
      </w:r>
      <w:r w:rsidR="522F9DE4">
        <w:t>3</w:t>
      </w:r>
      <w:r w:rsidR="629F2EF2">
        <w:t xml:space="preserve"> – </w:t>
      </w:r>
      <w:r w:rsidR="00924F55">
        <w:t>Consistency with Guiding Princip</w:t>
      </w:r>
      <w:r w:rsidR="00FB51A6">
        <w:t>les</w:t>
      </w:r>
      <w:r w:rsidR="00CE2652">
        <w:t xml:space="preserve"> – Option 4</w:t>
      </w:r>
    </w:p>
    <w:tbl>
      <w:tblPr>
        <w:tblStyle w:val="TableGrid"/>
        <w:tblW w:w="14029" w:type="dxa"/>
        <w:tblLook w:val="04A0" w:firstRow="1" w:lastRow="0" w:firstColumn="1" w:lastColumn="0" w:noHBand="0" w:noVBand="1"/>
      </w:tblPr>
      <w:tblGrid>
        <w:gridCol w:w="4390"/>
        <w:gridCol w:w="850"/>
        <w:gridCol w:w="8789"/>
      </w:tblGrid>
      <w:tr w:rsidR="00924F55" w14:paraId="143B242A" w14:textId="77777777" w:rsidTr="008B793A">
        <w:trPr>
          <w:trHeight w:val="410"/>
        </w:trPr>
        <w:tc>
          <w:tcPr>
            <w:tcW w:w="4390" w:type="dxa"/>
            <w:shd w:val="clear" w:color="auto" w:fill="404040" w:themeFill="text1" w:themeFillTint="BF"/>
          </w:tcPr>
          <w:p w14:paraId="7460D0B7" w14:textId="63F0BD0E" w:rsidR="00924F55" w:rsidRPr="00A54C6D" w:rsidRDefault="00924F55"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Guiding Princip</w:t>
            </w:r>
            <w:r w:rsidR="00FB51A6" w:rsidRPr="00A54C6D">
              <w:rPr>
                <w:rFonts w:ascii="Calibri" w:hAnsi="Calibri"/>
                <w:b/>
                <w:color w:val="FFFFFF" w:themeColor="background1"/>
              </w:rPr>
              <w:t>le</w:t>
            </w:r>
          </w:p>
        </w:tc>
        <w:tc>
          <w:tcPr>
            <w:tcW w:w="850" w:type="dxa"/>
            <w:shd w:val="clear" w:color="auto" w:fill="404040" w:themeFill="text1" w:themeFillTint="BF"/>
          </w:tcPr>
          <w:p w14:paraId="4133EE5F" w14:textId="77777777" w:rsidR="00924F55" w:rsidRPr="00A54C6D" w:rsidRDefault="00924F55"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Rating</w:t>
            </w:r>
          </w:p>
        </w:tc>
        <w:tc>
          <w:tcPr>
            <w:tcW w:w="8789" w:type="dxa"/>
            <w:shd w:val="clear" w:color="auto" w:fill="404040" w:themeFill="text1" w:themeFillTint="BF"/>
          </w:tcPr>
          <w:p w14:paraId="004C8FF4" w14:textId="77777777" w:rsidR="00924F55" w:rsidRPr="00A54C6D" w:rsidRDefault="00924F55"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 xml:space="preserve">Explanation </w:t>
            </w:r>
          </w:p>
        </w:tc>
      </w:tr>
      <w:tr w:rsidR="002D44F2" w14:paraId="46E31056" w14:textId="77777777" w:rsidTr="008B793A">
        <w:trPr>
          <w:trHeight w:val="871"/>
        </w:trPr>
        <w:tc>
          <w:tcPr>
            <w:tcW w:w="4390" w:type="dxa"/>
            <w:shd w:val="clear" w:color="auto" w:fill="D9D9D9" w:themeFill="background1" w:themeFillShade="D9"/>
          </w:tcPr>
          <w:p w14:paraId="3BE70C4B" w14:textId="77777777" w:rsidR="002D44F2" w:rsidRDefault="002D44F2" w:rsidP="002D44F2">
            <w:r>
              <w:t>Australia’s workplace relations system must reflect modern working arrangements and be capable of evolving with emerging forms of work and business practices.</w:t>
            </w:r>
          </w:p>
        </w:tc>
        <w:tc>
          <w:tcPr>
            <w:tcW w:w="850" w:type="dxa"/>
            <w:shd w:val="clear" w:color="auto" w:fill="92D050"/>
          </w:tcPr>
          <w:p w14:paraId="29CF6176" w14:textId="0413A327" w:rsidR="002D44F2" w:rsidRDefault="002D44F2" w:rsidP="002D44F2">
            <w:r>
              <w:t>Good</w:t>
            </w:r>
          </w:p>
        </w:tc>
        <w:tc>
          <w:tcPr>
            <w:tcW w:w="8789" w:type="dxa"/>
            <w:shd w:val="clear" w:color="auto" w:fill="auto"/>
          </w:tcPr>
          <w:p w14:paraId="13DAAB1C" w14:textId="4D01CB60" w:rsidR="002D44F2" w:rsidRDefault="002D44F2" w:rsidP="002D44F2">
            <w:r>
              <w:t xml:space="preserve">This option would ensure that Australia’s workplace relations system can provide minimum standards to digital platform workers, responding to the emergence of new forms of work in the gig economy.  </w:t>
            </w:r>
          </w:p>
        </w:tc>
      </w:tr>
      <w:tr w:rsidR="002D44F2" w14:paraId="2215FB98" w14:textId="77777777" w:rsidTr="008B793A">
        <w:trPr>
          <w:trHeight w:val="1660"/>
        </w:trPr>
        <w:tc>
          <w:tcPr>
            <w:tcW w:w="4390" w:type="dxa"/>
            <w:shd w:val="clear" w:color="auto" w:fill="D9D9D9" w:themeFill="background1" w:themeFillShade="D9"/>
          </w:tcPr>
          <w:p w14:paraId="0FF691CE" w14:textId="77777777" w:rsidR="002D44F2" w:rsidRDefault="002D44F2" w:rsidP="002D44F2">
            <w:r>
              <w:t>All workers should have access to minimum rights and protections regardless of whether they are characterised as an employee or an independent contractor, including access to freedom of association and dispute resolution.</w:t>
            </w:r>
          </w:p>
        </w:tc>
        <w:tc>
          <w:tcPr>
            <w:tcW w:w="850" w:type="dxa"/>
            <w:shd w:val="clear" w:color="auto" w:fill="92D050"/>
          </w:tcPr>
          <w:p w14:paraId="01444828" w14:textId="1F995857" w:rsidR="002D44F2" w:rsidRDefault="002D44F2" w:rsidP="002D44F2">
            <w:r>
              <w:t>Good</w:t>
            </w:r>
          </w:p>
        </w:tc>
        <w:tc>
          <w:tcPr>
            <w:tcW w:w="8789" w:type="dxa"/>
            <w:shd w:val="clear" w:color="auto" w:fill="auto"/>
          </w:tcPr>
          <w:p w14:paraId="584D21C9" w14:textId="503CC5ED" w:rsidR="002D44F2" w:rsidRDefault="002D44F2" w:rsidP="002D44F2">
            <w:r>
              <w:t>By allowing the Fair Work Commission to set minimum standards for both road transport and digital platform workers</w:t>
            </w:r>
            <w:r w:rsidR="004D3415">
              <w:t>, as well as including ‘deactivation’ and unfair contract termination protections,</w:t>
            </w:r>
            <w:r w:rsidR="003A686D">
              <w:t xml:space="preserve"> this option further expands access to minimum rights and protections</w:t>
            </w:r>
            <w:r w:rsidR="00FE45C6">
              <w:t xml:space="preserve">. </w:t>
            </w:r>
            <w:r w:rsidR="006138F7">
              <w:t>Although</w:t>
            </w:r>
            <w:r w:rsidR="00FE45C6">
              <w:t xml:space="preserve"> it does not extend minimum standards to all workers, it</w:t>
            </w:r>
            <w:r>
              <w:t xml:space="preserve"> addresses the needs of sectors where a lack of minimum standards has been identified as a concern</w:t>
            </w:r>
            <w:r w:rsidR="006138F7">
              <w:t xml:space="preserve"> while not regulating</w:t>
            </w:r>
            <w:r w:rsidR="003C1672">
              <w:t xml:space="preserve"> other sectors where there is less of a need. </w:t>
            </w:r>
            <w:r w:rsidR="00FE1DC3">
              <w:t xml:space="preserve">When combined with the unfair contracts preferred option (to allow the Fair Work Commission to resolve disputes for independent contractors), the options will ensure that a level of protection is provided to </w:t>
            </w:r>
            <w:r w:rsidR="008939A8">
              <w:t xml:space="preserve">independent contractors more broadly. </w:t>
            </w:r>
          </w:p>
        </w:tc>
      </w:tr>
      <w:tr w:rsidR="002D44F2" w14:paraId="4D17BF15" w14:textId="77777777" w:rsidTr="00F9171A">
        <w:trPr>
          <w:trHeight w:val="871"/>
        </w:trPr>
        <w:tc>
          <w:tcPr>
            <w:tcW w:w="4390" w:type="dxa"/>
            <w:shd w:val="clear" w:color="auto" w:fill="D9D9D9" w:themeFill="background1" w:themeFillShade="D9"/>
          </w:tcPr>
          <w:p w14:paraId="4061B0AA" w14:textId="61676854" w:rsidR="002D44F2" w:rsidRDefault="002D44F2" w:rsidP="002D44F2">
            <w:r>
              <w:t>Businesses should benefit from a level playing field among industry participants while promoting competition and innovation.</w:t>
            </w:r>
          </w:p>
        </w:tc>
        <w:tc>
          <w:tcPr>
            <w:tcW w:w="850" w:type="dxa"/>
            <w:shd w:val="clear" w:color="auto" w:fill="92D050"/>
          </w:tcPr>
          <w:p w14:paraId="7EC3374E" w14:textId="7A18875B" w:rsidR="002D44F2" w:rsidRDefault="007D0823" w:rsidP="002D44F2">
            <w:r>
              <w:t>Good</w:t>
            </w:r>
          </w:p>
        </w:tc>
        <w:tc>
          <w:tcPr>
            <w:tcW w:w="8789" w:type="dxa"/>
            <w:shd w:val="clear" w:color="auto" w:fill="auto"/>
          </w:tcPr>
          <w:p w14:paraId="222DAB77" w14:textId="584765F6" w:rsidR="00C85533" w:rsidRDefault="002D44F2" w:rsidP="002D44F2">
            <w:r>
              <w:t>This option would facilitate fair competition between businesses that employ workers and digital platforms that engage independent contractors. It would also allow for fair competition between digital platforms and non-digital businesses that engage independent contractors in the road transport industry.</w:t>
            </w:r>
          </w:p>
        </w:tc>
      </w:tr>
      <w:tr w:rsidR="002D44F2" w14:paraId="4C424A01" w14:textId="77777777" w:rsidTr="008B793A">
        <w:trPr>
          <w:trHeight w:val="871"/>
        </w:trPr>
        <w:tc>
          <w:tcPr>
            <w:tcW w:w="4390" w:type="dxa"/>
            <w:shd w:val="clear" w:color="auto" w:fill="D9D9D9" w:themeFill="background1" w:themeFillShade="D9"/>
          </w:tcPr>
          <w:p w14:paraId="230A7414" w14:textId="77777777" w:rsidR="002D44F2" w:rsidRDefault="002D44F2" w:rsidP="002D44F2">
            <w:r>
              <w:t>The Fair Work Commission should set minimum standards that:</w:t>
            </w:r>
          </w:p>
          <w:p w14:paraId="6313E8DF" w14:textId="77777777" w:rsidR="002D44F2" w:rsidRDefault="002D44F2" w:rsidP="00630D7D">
            <w:pPr>
              <w:pStyle w:val="List"/>
              <w:numPr>
                <w:ilvl w:val="0"/>
                <w:numId w:val="13"/>
              </w:numPr>
              <w:spacing w:line="276" w:lineRule="auto"/>
              <w:ind w:left="714" w:hanging="357"/>
              <w:contextualSpacing w:val="0"/>
            </w:pPr>
            <w:r>
              <w:t>are fair, relevant, proportionate, sustainable and responsive</w:t>
            </w:r>
          </w:p>
          <w:p w14:paraId="0DD9A967" w14:textId="77777777" w:rsidR="002D44F2" w:rsidRDefault="002D44F2" w:rsidP="00630D7D">
            <w:pPr>
              <w:pStyle w:val="List"/>
              <w:numPr>
                <w:ilvl w:val="0"/>
                <w:numId w:val="13"/>
              </w:numPr>
              <w:spacing w:line="276" w:lineRule="auto"/>
              <w:ind w:left="714" w:hanging="357"/>
              <w:contextualSpacing w:val="0"/>
            </w:pPr>
            <w:r>
              <w:t>reflect workers’ independence and flexible working arrangements, for example choosing which tasks to accept and refuse, how to undertake their work, where and when they work, and which businesses to contract with</w:t>
            </w:r>
          </w:p>
          <w:p w14:paraId="72448797" w14:textId="77777777" w:rsidR="002D44F2" w:rsidRDefault="002D44F2" w:rsidP="00630D7D">
            <w:pPr>
              <w:pStyle w:val="List"/>
              <w:numPr>
                <w:ilvl w:val="0"/>
                <w:numId w:val="13"/>
              </w:numPr>
              <w:spacing w:line="276" w:lineRule="auto"/>
              <w:ind w:left="714" w:hanging="357"/>
              <w:contextualSpacing w:val="0"/>
            </w:pPr>
            <w:r>
              <w:t xml:space="preserve">mitigate to the greatest extent possible unintended consequences for workers, businesses, consumers and other aspects of the labour market </w:t>
            </w:r>
          </w:p>
        </w:tc>
        <w:tc>
          <w:tcPr>
            <w:tcW w:w="850" w:type="dxa"/>
            <w:shd w:val="clear" w:color="auto" w:fill="92D050"/>
          </w:tcPr>
          <w:p w14:paraId="4A12AE61" w14:textId="2D563B06" w:rsidR="002D44F2" w:rsidRDefault="002D44F2" w:rsidP="002D44F2">
            <w:r>
              <w:t xml:space="preserve">Good </w:t>
            </w:r>
          </w:p>
        </w:tc>
        <w:tc>
          <w:tcPr>
            <w:tcW w:w="8789" w:type="dxa"/>
            <w:shd w:val="clear" w:color="auto" w:fill="auto"/>
          </w:tcPr>
          <w:p w14:paraId="63E3BB53" w14:textId="77777777" w:rsidR="002D44F2" w:rsidRDefault="002D44F2" w:rsidP="002D44F2">
            <w:r>
              <w:t xml:space="preserve">This option would allow the Fair Work Commission to set minimum standards for digital platform workers, while being guided by a Minimum Standards Objective. </w:t>
            </w:r>
          </w:p>
          <w:p w14:paraId="49B8A943" w14:textId="3B09BA23" w:rsidR="002D44F2" w:rsidRDefault="00851CF7" w:rsidP="002D44F2">
            <w:r>
              <w:t>I</w:t>
            </w:r>
            <w:r w:rsidR="002D44F2">
              <w:t xml:space="preserve">ntroducing </w:t>
            </w:r>
            <w:r>
              <w:t>an interpretive principle</w:t>
            </w:r>
            <w:r w:rsidR="002D44F2">
              <w:t xml:space="preserve"> into the Fair Work Act</w:t>
            </w:r>
            <w:r>
              <w:t xml:space="preserve"> </w:t>
            </w:r>
            <w:r w:rsidR="002D44F2">
              <w:t>will help to prevent unintended consequences arising from businesses restructuring their operations to</w:t>
            </w:r>
            <w:r w:rsidR="006D3064">
              <w:t xml:space="preserve">wards an independent contracting model. </w:t>
            </w:r>
          </w:p>
        </w:tc>
      </w:tr>
      <w:tr w:rsidR="002D44F2" w14:paraId="2C205C90" w14:textId="77777777" w:rsidTr="008B793A">
        <w:trPr>
          <w:trHeight w:val="871"/>
        </w:trPr>
        <w:tc>
          <w:tcPr>
            <w:tcW w:w="4390" w:type="dxa"/>
            <w:shd w:val="clear" w:color="auto" w:fill="D9D9D9" w:themeFill="background1" w:themeFillShade="D9"/>
          </w:tcPr>
          <w:p w14:paraId="623F84C9" w14:textId="7267B4E1" w:rsidR="002D44F2" w:rsidRDefault="002D44F2" w:rsidP="002D44F2">
            <w:r>
              <w:t>The standard-setting framework should be accessible, transparent, fair and offer a high degree of certainty to affected parties.</w:t>
            </w:r>
          </w:p>
        </w:tc>
        <w:tc>
          <w:tcPr>
            <w:tcW w:w="850" w:type="dxa"/>
            <w:shd w:val="clear" w:color="auto" w:fill="92D050"/>
          </w:tcPr>
          <w:p w14:paraId="39D60BBB" w14:textId="5C7DE8E2" w:rsidR="002D44F2" w:rsidRDefault="002D44F2" w:rsidP="002D44F2">
            <w:r>
              <w:t>Good</w:t>
            </w:r>
          </w:p>
        </w:tc>
        <w:tc>
          <w:tcPr>
            <w:tcW w:w="8789" w:type="dxa"/>
          </w:tcPr>
          <w:p w14:paraId="638CD04F" w14:textId="3CD64B2F" w:rsidR="002D44F2" w:rsidRDefault="002D44F2" w:rsidP="002D44F2">
            <w:r>
              <w:t>Parties would be able to participate in matters relating to minimum standards for digital platform workers. The Fair Work Commission would consider the views of affected parties in addition to being guided by a Minimum Standards Objective in legislation.</w:t>
            </w:r>
          </w:p>
        </w:tc>
      </w:tr>
    </w:tbl>
    <w:p w14:paraId="70B8D89E" w14:textId="77777777" w:rsidR="00512FE4" w:rsidRDefault="00512FE4" w:rsidP="00924F55">
      <w:pPr>
        <w:sectPr w:rsidR="00512FE4" w:rsidSect="008B793A">
          <w:pgSz w:w="16838" w:h="11906" w:orient="landscape"/>
          <w:pgMar w:top="1418" w:right="1418" w:bottom="1418" w:left="1418" w:header="0" w:footer="454" w:gutter="0"/>
          <w:cols w:space="708"/>
          <w:docGrid w:linePitch="360"/>
        </w:sectPr>
      </w:pPr>
    </w:p>
    <w:p w14:paraId="6B80479B" w14:textId="41BC2749" w:rsidR="00D459EA" w:rsidRDefault="008A467E" w:rsidP="00D459EA">
      <w:pPr>
        <w:pStyle w:val="Heading2"/>
      </w:pPr>
      <w:bookmarkStart w:id="63" w:name="_Toc139295571"/>
      <w:r>
        <w:t>A</w:t>
      </w:r>
      <w:r w:rsidR="00D459EA">
        <w:t>ccess to dispute resolution of unfair contracts</w:t>
      </w:r>
      <w:bookmarkEnd w:id="63"/>
    </w:p>
    <w:p w14:paraId="33480164" w14:textId="2917E76E" w:rsidR="00D459EA" w:rsidRPr="00F9768C" w:rsidRDefault="00D459EA" w:rsidP="00F60F5C">
      <w:pPr>
        <w:pStyle w:val="Heading3"/>
      </w:pPr>
      <w:bookmarkStart w:id="64" w:name="_Toc139295572"/>
      <w:r w:rsidRPr="00F9768C">
        <w:t>Option 1: Status quo</w:t>
      </w:r>
      <w:bookmarkEnd w:id="64"/>
      <w:r w:rsidRPr="00F9768C">
        <w:t xml:space="preserve"> </w:t>
      </w:r>
    </w:p>
    <w:p w14:paraId="6A0A53CB" w14:textId="68F23977" w:rsidR="005379B6" w:rsidRDefault="00B20B72" w:rsidP="004B4F63">
      <w:r>
        <w:t xml:space="preserve">Under the </w:t>
      </w:r>
      <w:r w:rsidR="00E8552F">
        <w:t>status quo</w:t>
      </w:r>
      <w:r w:rsidR="00C60187">
        <w:t>,</w:t>
      </w:r>
      <w:r w:rsidR="00E8552F">
        <w:t xml:space="preserve"> </w:t>
      </w:r>
      <w:r>
        <w:t>independent contractors can</w:t>
      </w:r>
      <w:r w:rsidR="0066740A">
        <w:t xml:space="preserve"> </w:t>
      </w:r>
      <w:r w:rsidR="00155034">
        <w:t>challenge unfair contract</w:t>
      </w:r>
      <w:r>
        <w:t xml:space="preserve">s </w:t>
      </w:r>
      <w:r w:rsidR="00155034">
        <w:t xml:space="preserve">under the </w:t>
      </w:r>
      <w:r w:rsidR="00155034" w:rsidRPr="00155034">
        <w:t>Independent Contractors Act</w:t>
      </w:r>
      <w:r w:rsidR="00155034">
        <w:rPr>
          <w:i/>
          <w:iCs/>
        </w:rPr>
        <w:t xml:space="preserve"> </w:t>
      </w:r>
      <w:r w:rsidR="00155034">
        <w:t>or the Australian Consumer Law</w:t>
      </w:r>
      <w:r w:rsidR="004647CA">
        <w:t xml:space="preserve"> by applying to the court</w:t>
      </w:r>
      <w:r w:rsidR="00D94E66">
        <w:t>,</w:t>
      </w:r>
      <w:r w:rsidR="00133F83">
        <w:rPr>
          <w:rFonts w:ascii="Calibri" w:eastAsia="Calibri" w:hAnsi="Calibri" w:cs="Calibri"/>
          <w:lang w:val="en-GB"/>
        </w:rPr>
        <w:t xml:space="preserve"> as outlined in Section 3</w:t>
      </w:r>
      <w:r w:rsidR="004E5D12">
        <w:rPr>
          <w:rFonts w:ascii="Calibri" w:eastAsia="Calibri" w:hAnsi="Calibri" w:cs="Calibri"/>
          <w:lang w:val="en-GB"/>
        </w:rPr>
        <w:t xml:space="preserve">. </w:t>
      </w:r>
    </w:p>
    <w:p w14:paraId="25B3D94F" w14:textId="3BB13D14" w:rsidR="002B3CED" w:rsidRDefault="00D5620C" w:rsidP="004B4F63">
      <w:pPr>
        <w:pStyle w:val="Heading4"/>
        <w:spacing w:after="200"/>
      </w:pPr>
      <w:r>
        <w:t xml:space="preserve">Prevalence of </w:t>
      </w:r>
      <w:r w:rsidR="002B3CED">
        <w:t>unfair contracts</w:t>
      </w:r>
    </w:p>
    <w:p w14:paraId="5E9E2742" w14:textId="461F80DC" w:rsidR="00256C51" w:rsidRDefault="004F1B88" w:rsidP="004F1B88">
      <w:r>
        <w:t>There is no data on the prevalence of unfair contracts, outside of anecdotal evidence.</w:t>
      </w:r>
      <w:r w:rsidR="00FD48C6">
        <w:t xml:space="preserve"> </w:t>
      </w:r>
      <w:r w:rsidR="00FD48C6">
        <w:rPr>
          <w:rStyle w:val="normaltextrun"/>
          <w:rFonts w:cs="Calibri"/>
          <w:color w:val="262626"/>
        </w:rPr>
        <w:t xml:space="preserve">Data provided by the Federal Court shows that independent contractors only made 68 unfair contract terms applications from the introduction of the Independent Contractors Act </w:t>
      </w:r>
      <w:r w:rsidR="00EE3714">
        <w:rPr>
          <w:rStyle w:val="normaltextrun"/>
          <w:rFonts w:cs="Calibri"/>
          <w:color w:val="262626"/>
        </w:rPr>
        <w:t>from</w:t>
      </w:r>
      <w:r w:rsidR="00FD48C6">
        <w:rPr>
          <w:rStyle w:val="normaltextrun"/>
          <w:rFonts w:cs="Calibri"/>
          <w:color w:val="262626"/>
        </w:rPr>
        <w:t xml:space="preserve"> 2006 to 2023, with most of these matters being discontinued or withdrawn.</w:t>
      </w:r>
      <w:r>
        <w:t xml:space="preserve"> </w:t>
      </w:r>
    </w:p>
    <w:p w14:paraId="137FDE35" w14:textId="09A11912" w:rsidR="004F1B88" w:rsidRDefault="004F1B88" w:rsidP="004F1B88">
      <w:r>
        <w:t xml:space="preserve">As the current provisions in the </w:t>
      </w:r>
      <w:r w:rsidRPr="00573634">
        <w:t>Independent Contractors Act</w:t>
      </w:r>
      <w:r w:rsidR="00B044C8">
        <w:t xml:space="preserve"> do not provide a simple and low-cost method for resolving any disputes </w:t>
      </w:r>
      <w:r w:rsidR="00EA4504">
        <w:t xml:space="preserve">relating to unfair contracts, it is likely that the majority of </w:t>
      </w:r>
      <w:r w:rsidR="00E702CA">
        <w:t xml:space="preserve">unfair contracts go unchallenged, or unresolved. This is especially true </w:t>
      </w:r>
      <w:r w:rsidR="00C60187">
        <w:t>as the presence of an unfair contract term set by one party to the contract suggests that</w:t>
      </w:r>
      <w:r w:rsidR="00E702CA">
        <w:t xml:space="preserve"> there is </w:t>
      </w:r>
      <w:r w:rsidR="00C60187">
        <w:t xml:space="preserve">an </w:t>
      </w:r>
      <w:r w:rsidR="00E702CA">
        <w:t xml:space="preserve">imbalance </w:t>
      </w:r>
      <w:r w:rsidR="00C60187">
        <w:t xml:space="preserve">in bargaining power </w:t>
      </w:r>
      <w:r w:rsidR="00E702CA">
        <w:t xml:space="preserve">between the </w:t>
      </w:r>
      <w:r w:rsidR="00C60187">
        <w:t>parties</w:t>
      </w:r>
      <w:r w:rsidR="00DE4C29">
        <w:t xml:space="preserve">. </w:t>
      </w:r>
      <w:r w:rsidR="00256C51">
        <w:t>The impact</w:t>
      </w:r>
      <w:r w:rsidR="009A0F9F">
        <w:t>s</w:t>
      </w:r>
      <w:r w:rsidR="00096FAB">
        <w:t xml:space="preserve"> of </w:t>
      </w:r>
      <w:r w:rsidR="00AD1693">
        <w:t xml:space="preserve">working under </w:t>
      </w:r>
      <w:r w:rsidR="009A0F9F">
        <w:t xml:space="preserve">unchallenged </w:t>
      </w:r>
      <w:r w:rsidR="00AD1693">
        <w:t xml:space="preserve">unfair contract terms can </w:t>
      </w:r>
      <w:r w:rsidR="009A0F9F">
        <w:t>include low pay rates</w:t>
      </w:r>
      <w:r w:rsidR="00B62E53">
        <w:t xml:space="preserve"> and </w:t>
      </w:r>
      <w:r w:rsidR="00010909">
        <w:t xml:space="preserve">inadequate protections (for example, around dispute resolution), which can harm workers’ </w:t>
      </w:r>
      <w:r w:rsidR="009879DB">
        <w:t>livelihoods</w:t>
      </w:r>
      <w:r w:rsidR="003C2A93">
        <w:t>.</w:t>
      </w:r>
    </w:p>
    <w:p w14:paraId="165E3542" w14:textId="2E2AB6A7" w:rsidR="00425E2A" w:rsidRDefault="002B3CED" w:rsidP="004B4F63">
      <w:pPr>
        <w:pStyle w:val="Heading4"/>
        <w:spacing w:after="200"/>
      </w:pPr>
      <w:r>
        <w:t>C</w:t>
      </w:r>
      <w:r w:rsidR="00625C92">
        <w:t xml:space="preserve">ost of </w:t>
      </w:r>
      <w:r w:rsidR="00425E2A">
        <w:t>disputing an unfair contract</w:t>
      </w:r>
    </w:p>
    <w:p w14:paraId="617F58F8" w14:textId="419F4061" w:rsidR="00186CDB" w:rsidRDefault="003D57B6" w:rsidP="004B4F63">
      <w:r>
        <w:t xml:space="preserve">As outlined above, </w:t>
      </w:r>
      <w:r w:rsidR="00EE3714">
        <w:t>there is a</w:t>
      </w:r>
      <w:r w:rsidR="00AF2146">
        <w:t xml:space="preserve"> lack of data around the prevalence of unfair contracts</w:t>
      </w:r>
      <w:r w:rsidR="00A07C17" w:rsidRPr="004F1EBF">
        <w:t xml:space="preserve">. The cost of </w:t>
      </w:r>
      <w:r w:rsidR="007F0722" w:rsidRPr="004F1EBF">
        <w:t>making an application to a court is highly variable</w:t>
      </w:r>
      <w:r w:rsidR="00406035" w:rsidRPr="004F1EBF">
        <w:t>, as it</w:t>
      </w:r>
      <w:r w:rsidR="007F0722" w:rsidRPr="004F1EBF">
        <w:t xml:space="preserve"> depends on the </w:t>
      </w:r>
      <w:r w:rsidR="00AD3D38" w:rsidRPr="004F1EBF">
        <w:t xml:space="preserve">specific circumstances </w:t>
      </w:r>
      <w:r w:rsidR="00DE0DF8" w:rsidRPr="004F1EBF">
        <w:t xml:space="preserve">of the application </w:t>
      </w:r>
      <w:r w:rsidR="00406035" w:rsidRPr="004F1EBF">
        <w:t xml:space="preserve">and the </w:t>
      </w:r>
      <w:r w:rsidR="00884E59" w:rsidRPr="004F1EBF">
        <w:t xml:space="preserve">conduct of the parties. </w:t>
      </w:r>
      <w:r w:rsidR="00256C51">
        <w:t>While this cost cannot be quantified,</w:t>
      </w:r>
      <w:r w:rsidR="004A5A67" w:rsidRPr="004F1EBF">
        <w:t xml:space="preserve"> compared to </w:t>
      </w:r>
      <w:r w:rsidR="00EB21AD" w:rsidRPr="004F1EBF">
        <w:t xml:space="preserve">a tribunal, court applications </w:t>
      </w:r>
      <w:r w:rsidR="005E6D39">
        <w:t>are</w:t>
      </w:r>
      <w:r w:rsidR="00EB21AD" w:rsidRPr="004F1EBF">
        <w:t xml:space="preserve"> </w:t>
      </w:r>
      <w:r w:rsidR="00A77636" w:rsidRPr="004F1EBF">
        <w:t>costly</w:t>
      </w:r>
      <w:r w:rsidR="000B4E5B">
        <w:t xml:space="preserve">. </w:t>
      </w:r>
      <w:r w:rsidR="004F1EBF" w:rsidRPr="004F1EBF">
        <w:rPr>
          <w:rStyle w:val="normaltextrun"/>
          <w:rFonts w:ascii="Calibri" w:hAnsi="Calibri" w:cs="Calibri"/>
          <w:color w:val="262626"/>
          <w:shd w:val="clear" w:color="auto" w:fill="FFFFFF"/>
        </w:rPr>
        <w:t>For example, the relevant filing fee for independent contractors in the Federal Circuit and Family Court of Australia is $735</w:t>
      </w:r>
      <w:r w:rsidR="004F1EBF">
        <w:rPr>
          <w:rStyle w:val="normaltextrun"/>
          <w:rFonts w:ascii="Calibri" w:hAnsi="Calibri" w:cs="Calibri"/>
          <w:color w:val="262626"/>
          <w:shd w:val="clear" w:color="auto" w:fill="FFFFFF"/>
        </w:rPr>
        <w:t>.</w:t>
      </w:r>
      <w:r w:rsidR="004F1EBF">
        <w:rPr>
          <w:rStyle w:val="FootnoteReference"/>
          <w:rFonts w:ascii="Calibri" w:hAnsi="Calibri" w:cs="Calibri"/>
          <w:color w:val="262626"/>
          <w:shd w:val="clear" w:color="auto" w:fill="FFFFFF"/>
        </w:rPr>
        <w:footnoteReference w:id="147"/>
      </w:r>
      <w:r w:rsidR="000B4E5B">
        <w:rPr>
          <w:rStyle w:val="normaltextrun"/>
          <w:rFonts w:ascii="Calibri" w:hAnsi="Calibri" w:cs="Calibri"/>
          <w:color w:val="262626"/>
          <w:shd w:val="clear" w:color="auto" w:fill="FFFFFF"/>
        </w:rPr>
        <w:t xml:space="preserve"> When including further</w:t>
      </w:r>
      <w:r w:rsidR="00C2746A" w:rsidRPr="00C2746A">
        <w:rPr>
          <w:rStyle w:val="normaltextrun"/>
          <w:rFonts w:ascii="Calibri" w:hAnsi="Calibri" w:cs="Calibri"/>
          <w:color w:val="262626"/>
          <w:shd w:val="clear" w:color="auto" w:fill="FFFFFF"/>
        </w:rPr>
        <w:t xml:space="preserve"> </w:t>
      </w:r>
      <w:r w:rsidR="00C2746A">
        <w:rPr>
          <w:rStyle w:val="normaltextrun"/>
          <w:rFonts w:ascii="Calibri" w:hAnsi="Calibri" w:cs="Calibri"/>
          <w:color w:val="262626"/>
          <w:shd w:val="clear" w:color="auto" w:fill="FFFFFF"/>
        </w:rPr>
        <w:t>costs</w:t>
      </w:r>
      <w:r w:rsidR="00B83A7E">
        <w:rPr>
          <w:rStyle w:val="normaltextrun"/>
          <w:rFonts w:ascii="Calibri" w:hAnsi="Calibri" w:cs="Calibri"/>
          <w:color w:val="262626"/>
          <w:shd w:val="clear" w:color="auto" w:fill="FFFFFF"/>
        </w:rPr>
        <w:t xml:space="preserve">, </w:t>
      </w:r>
      <w:r w:rsidR="52D8A387">
        <w:rPr>
          <w:rStyle w:val="normaltextrun"/>
          <w:rFonts w:ascii="Calibri" w:hAnsi="Calibri" w:cs="Calibri"/>
          <w:color w:val="262626"/>
          <w:shd w:val="clear" w:color="auto" w:fill="FFFFFF"/>
        </w:rPr>
        <w:t>such as</w:t>
      </w:r>
      <w:r w:rsidR="00C2746A">
        <w:rPr>
          <w:rStyle w:val="normaltextrun"/>
          <w:rFonts w:ascii="Calibri" w:hAnsi="Calibri" w:cs="Calibri"/>
          <w:color w:val="262626"/>
          <w:shd w:val="clear" w:color="auto" w:fill="FFFFFF"/>
        </w:rPr>
        <w:t xml:space="preserve"> engaging a lawyer</w:t>
      </w:r>
      <w:r w:rsidR="00B83A7E">
        <w:rPr>
          <w:rStyle w:val="normaltextrun"/>
          <w:rFonts w:ascii="Calibri" w:hAnsi="Calibri" w:cs="Calibri"/>
          <w:color w:val="262626"/>
          <w:shd w:val="clear" w:color="auto" w:fill="FFFFFF"/>
        </w:rPr>
        <w:t xml:space="preserve"> and</w:t>
      </w:r>
      <w:r w:rsidR="00C2746A">
        <w:rPr>
          <w:rStyle w:val="normaltextrun"/>
          <w:rFonts w:ascii="Calibri" w:hAnsi="Calibri" w:cs="Calibri"/>
          <w:color w:val="262626"/>
          <w:shd w:val="clear" w:color="auto" w:fill="FFFFFF"/>
        </w:rPr>
        <w:t xml:space="preserve"> </w:t>
      </w:r>
      <w:r w:rsidR="00761714">
        <w:rPr>
          <w:rStyle w:val="normaltextrun"/>
          <w:rFonts w:ascii="Calibri" w:hAnsi="Calibri" w:cs="Calibri"/>
          <w:color w:val="262626"/>
          <w:shd w:val="clear" w:color="auto" w:fill="FFFFFF"/>
        </w:rPr>
        <w:t>additional court fees</w:t>
      </w:r>
      <w:r w:rsidR="000B4E5B">
        <w:rPr>
          <w:rStyle w:val="normaltextrun"/>
          <w:rFonts w:ascii="Calibri" w:hAnsi="Calibri" w:cs="Calibri"/>
          <w:color w:val="262626"/>
          <w:shd w:val="clear" w:color="auto" w:fill="FFFFFF"/>
        </w:rPr>
        <w:t>, court applications can be prohibitive. This is</w:t>
      </w:r>
      <w:r w:rsidR="000B4E5B" w:rsidRPr="004F1EBF">
        <w:t xml:space="preserve"> particularly</w:t>
      </w:r>
      <w:r w:rsidR="000B4E5B">
        <w:t xml:space="preserve"> the case</w:t>
      </w:r>
      <w:r w:rsidR="000B4E5B" w:rsidRPr="004F1EBF">
        <w:t xml:space="preserve"> where they relate to unfair terms imposed on low-paid workers.</w:t>
      </w:r>
    </w:p>
    <w:p w14:paraId="45646EDB" w14:textId="77777777" w:rsidR="00512FE4" w:rsidRDefault="00512FE4" w:rsidP="00F9171A">
      <w:pPr>
        <w:pStyle w:val="BodyText"/>
        <w:spacing w:before="120" w:line="240" w:lineRule="auto"/>
        <w:sectPr w:rsidR="00512FE4" w:rsidSect="00A36CC2">
          <w:pgSz w:w="11906" w:h="16838"/>
          <w:pgMar w:top="1418" w:right="1418" w:bottom="1418" w:left="1418" w:header="0" w:footer="454" w:gutter="0"/>
          <w:cols w:space="708"/>
          <w:docGrid w:linePitch="360"/>
        </w:sectPr>
      </w:pPr>
    </w:p>
    <w:p w14:paraId="00FF241A" w14:textId="77777777" w:rsidR="00B5332A" w:rsidRDefault="00B5332A" w:rsidP="00B5332A">
      <w:pPr>
        <w:pStyle w:val="Heading4"/>
      </w:pPr>
      <w:r>
        <w:t>Summary of impacts</w:t>
      </w:r>
    </w:p>
    <w:p w14:paraId="751DCF3B" w14:textId="1A9033CB" w:rsidR="00F04E1D" w:rsidRDefault="043CA3E0" w:rsidP="00A45D4D">
      <w:pPr>
        <w:pStyle w:val="Heading5"/>
      </w:pPr>
      <w:r>
        <w:t>Table 2</w:t>
      </w:r>
      <w:r w:rsidR="2C9DB1DA">
        <w:t>4</w:t>
      </w:r>
      <w:r w:rsidR="2FAC80FD">
        <w:t xml:space="preserve"> – </w:t>
      </w:r>
      <w:r w:rsidR="00F04E1D">
        <w:t>Consistency with Guiding Princip</w:t>
      </w:r>
      <w:r w:rsidR="00B052F3">
        <w:t>les</w:t>
      </w:r>
      <w:r w:rsidR="00A04F32">
        <w:t xml:space="preserve"> – Option 1</w:t>
      </w:r>
    </w:p>
    <w:tbl>
      <w:tblPr>
        <w:tblStyle w:val="TableGrid"/>
        <w:tblW w:w="13887" w:type="dxa"/>
        <w:tblLook w:val="04A0" w:firstRow="1" w:lastRow="0" w:firstColumn="1" w:lastColumn="0" w:noHBand="0" w:noVBand="1"/>
      </w:tblPr>
      <w:tblGrid>
        <w:gridCol w:w="3964"/>
        <w:gridCol w:w="851"/>
        <w:gridCol w:w="9072"/>
      </w:tblGrid>
      <w:tr w:rsidR="00F04E1D" w14:paraId="58A1C607" w14:textId="77777777" w:rsidTr="008B793A">
        <w:trPr>
          <w:trHeight w:val="410"/>
        </w:trPr>
        <w:tc>
          <w:tcPr>
            <w:tcW w:w="3964" w:type="dxa"/>
            <w:shd w:val="clear" w:color="auto" w:fill="404040" w:themeFill="text1" w:themeFillTint="BF"/>
          </w:tcPr>
          <w:p w14:paraId="13A3EE51" w14:textId="5E186B71" w:rsidR="00F04E1D" w:rsidRPr="00A54C6D" w:rsidRDefault="00F04E1D"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Guiding Princip</w:t>
            </w:r>
            <w:r w:rsidR="00B052F3" w:rsidRPr="00A54C6D">
              <w:rPr>
                <w:rFonts w:ascii="Calibri" w:hAnsi="Calibri"/>
                <w:b/>
                <w:color w:val="FFFFFF" w:themeColor="background1"/>
              </w:rPr>
              <w:t>le</w:t>
            </w:r>
          </w:p>
        </w:tc>
        <w:tc>
          <w:tcPr>
            <w:tcW w:w="851" w:type="dxa"/>
            <w:shd w:val="clear" w:color="auto" w:fill="404040" w:themeFill="text1" w:themeFillTint="BF"/>
          </w:tcPr>
          <w:p w14:paraId="12FA51DA" w14:textId="77777777" w:rsidR="00F04E1D" w:rsidRPr="00A54C6D" w:rsidRDefault="00F04E1D"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Rating</w:t>
            </w:r>
          </w:p>
        </w:tc>
        <w:tc>
          <w:tcPr>
            <w:tcW w:w="9072" w:type="dxa"/>
            <w:shd w:val="clear" w:color="auto" w:fill="404040" w:themeFill="text1" w:themeFillTint="BF"/>
          </w:tcPr>
          <w:p w14:paraId="2822C30E" w14:textId="77777777" w:rsidR="00F04E1D" w:rsidRPr="00A54C6D" w:rsidRDefault="00F04E1D"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Justification</w:t>
            </w:r>
          </w:p>
        </w:tc>
      </w:tr>
      <w:tr w:rsidR="00F04E1D" w14:paraId="281CC500" w14:textId="77777777" w:rsidTr="008B793A">
        <w:trPr>
          <w:trHeight w:val="871"/>
        </w:trPr>
        <w:tc>
          <w:tcPr>
            <w:tcW w:w="3964" w:type="dxa"/>
            <w:shd w:val="clear" w:color="auto" w:fill="D9D9D9" w:themeFill="background1" w:themeFillShade="D9"/>
          </w:tcPr>
          <w:p w14:paraId="5136E17E" w14:textId="77777777" w:rsidR="00F04E1D" w:rsidRDefault="00F04E1D" w:rsidP="00F04E1D">
            <w:r>
              <w:t>Australia’s workplace relations system must reflect modern working arrangements and be capable of evolving with emerging forms of work and business practices.</w:t>
            </w:r>
          </w:p>
        </w:tc>
        <w:tc>
          <w:tcPr>
            <w:tcW w:w="851" w:type="dxa"/>
            <w:shd w:val="clear" w:color="auto" w:fill="F7A07A" w:themeFill="accent2" w:themeFillTint="99"/>
          </w:tcPr>
          <w:p w14:paraId="41758EA4" w14:textId="77777777" w:rsidR="00F04E1D" w:rsidRDefault="00F04E1D" w:rsidP="00F04E1D">
            <w:r>
              <w:t>Poor</w:t>
            </w:r>
          </w:p>
        </w:tc>
        <w:tc>
          <w:tcPr>
            <w:tcW w:w="9072" w:type="dxa"/>
            <w:shd w:val="clear" w:color="auto" w:fill="auto"/>
          </w:tcPr>
          <w:p w14:paraId="55EE0AAF" w14:textId="2942C8E8" w:rsidR="00F04E1D" w:rsidRDefault="00305F11" w:rsidP="00F04E1D">
            <w:r>
              <w:t>The emergence of the gig e</w:t>
            </w:r>
            <w:r w:rsidR="001662F1">
              <w:t>c</w:t>
            </w:r>
            <w:r>
              <w:t xml:space="preserve">onomy </w:t>
            </w:r>
            <w:r w:rsidR="00237636">
              <w:t xml:space="preserve">has </w:t>
            </w:r>
            <w:r w:rsidR="003E0269">
              <w:t xml:space="preserve">created a group of employee-like digital platform workers without protections from de-activation. This compares to employees who have legislated protections from unfair dismissal or dismissal </w:t>
            </w:r>
            <w:r w:rsidR="00EC456E">
              <w:t>on</w:t>
            </w:r>
            <w:r w:rsidR="003E0269">
              <w:t xml:space="preserve"> disc</w:t>
            </w:r>
            <w:r w:rsidR="00EC456E">
              <w:t xml:space="preserve">riminatory grounds. </w:t>
            </w:r>
          </w:p>
        </w:tc>
      </w:tr>
      <w:tr w:rsidR="00F04E1D" w14:paraId="21B3ECDC" w14:textId="77777777" w:rsidTr="008B793A">
        <w:trPr>
          <w:trHeight w:val="1660"/>
        </w:trPr>
        <w:tc>
          <w:tcPr>
            <w:tcW w:w="3964" w:type="dxa"/>
            <w:shd w:val="clear" w:color="auto" w:fill="D9D9D9" w:themeFill="background1" w:themeFillShade="D9"/>
          </w:tcPr>
          <w:p w14:paraId="72BE5A47" w14:textId="77777777" w:rsidR="00F04E1D" w:rsidRDefault="00F04E1D" w:rsidP="00F04E1D">
            <w:r>
              <w:t>All workers should have access to minimum rights and protections regardless of whether they are characterised as an employee or an independent contractor, including access to freedom of association and dispute resolution.</w:t>
            </w:r>
          </w:p>
        </w:tc>
        <w:tc>
          <w:tcPr>
            <w:tcW w:w="851" w:type="dxa"/>
            <w:shd w:val="clear" w:color="auto" w:fill="F7A07A" w:themeFill="accent2" w:themeFillTint="99"/>
          </w:tcPr>
          <w:p w14:paraId="0B9A485D" w14:textId="77777777" w:rsidR="00F04E1D" w:rsidRDefault="00F04E1D" w:rsidP="00F04E1D">
            <w:r>
              <w:t>Poor</w:t>
            </w:r>
          </w:p>
        </w:tc>
        <w:tc>
          <w:tcPr>
            <w:tcW w:w="9072" w:type="dxa"/>
            <w:shd w:val="clear" w:color="auto" w:fill="auto"/>
          </w:tcPr>
          <w:p w14:paraId="38D6C0EC" w14:textId="16C3383E" w:rsidR="00F04E1D" w:rsidRDefault="00FE3BDB" w:rsidP="00F04E1D">
            <w:r>
              <w:t xml:space="preserve">While </w:t>
            </w:r>
            <w:r w:rsidR="00A60EDF">
              <w:t xml:space="preserve">there are unfair contracts </w:t>
            </w:r>
            <w:r w:rsidR="00AF4EAB">
              <w:t>provisions</w:t>
            </w:r>
            <w:r w:rsidR="00A60EDF">
              <w:t xml:space="preserve"> in the Independent Contractors Act and Australian Consumer Law, </w:t>
            </w:r>
            <w:r w:rsidR="00AF4EAB">
              <w:t>independent contractors rarely access these protectio</w:t>
            </w:r>
            <w:r w:rsidR="006E6573">
              <w:t xml:space="preserve">ns. </w:t>
            </w:r>
            <w:r w:rsidR="0093322B">
              <w:t xml:space="preserve">Independent contractors have few dispute resolution options </w:t>
            </w:r>
            <w:r w:rsidR="000A75B1">
              <w:t xml:space="preserve">before applying to a court which can be prohibitively costly. </w:t>
            </w:r>
          </w:p>
        </w:tc>
      </w:tr>
      <w:tr w:rsidR="00F04E1D" w14:paraId="5CE544F1" w14:textId="77777777" w:rsidTr="008B793A">
        <w:trPr>
          <w:trHeight w:val="871"/>
        </w:trPr>
        <w:tc>
          <w:tcPr>
            <w:tcW w:w="3964" w:type="dxa"/>
            <w:shd w:val="clear" w:color="auto" w:fill="D9D9D9" w:themeFill="background1" w:themeFillShade="D9"/>
          </w:tcPr>
          <w:p w14:paraId="0E928692" w14:textId="77777777" w:rsidR="00F04E1D" w:rsidRDefault="00F04E1D" w:rsidP="00F04E1D">
            <w:r>
              <w:t>Businesses should benefit from a level playing field among industry participants while promoting competition and innovation.</w:t>
            </w:r>
          </w:p>
        </w:tc>
        <w:tc>
          <w:tcPr>
            <w:tcW w:w="851" w:type="dxa"/>
            <w:shd w:val="clear" w:color="auto" w:fill="F7A07A" w:themeFill="accent2" w:themeFillTint="99"/>
          </w:tcPr>
          <w:p w14:paraId="26414FEE" w14:textId="3E4EC92A" w:rsidR="00F04E1D" w:rsidRDefault="00112736" w:rsidP="00F04E1D">
            <w:r>
              <w:t>Poor</w:t>
            </w:r>
          </w:p>
        </w:tc>
        <w:tc>
          <w:tcPr>
            <w:tcW w:w="9072" w:type="dxa"/>
            <w:shd w:val="clear" w:color="auto" w:fill="auto"/>
          </w:tcPr>
          <w:p w14:paraId="32A41C7A" w14:textId="17B4879F" w:rsidR="00F04E1D" w:rsidRDefault="0046191F" w:rsidP="00F04E1D">
            <w:r>
              <w:t xml:space="preserve">Businesses </w:t>
            </w:r>
            <w:r w:rsidR="002A7D57">
              <w:t>(including businesses that engage employees)</w:t>
            </w:r>
            <w:r w:rsidR="00F31393">
              <w:t xml:space="preserve"> </w:t>
            </w:r>
            <w:r w:rsidR="002A7D57">
              <w:t xml:space="preserve">can experience unfair competition with businesses that set unfair terms for their workers, that are in the business’ advantage. </w:t>
            </w:r>
          </w:p>
        </w:tc>
      </w:tr>
      <w:tr w:rsidR="00F04E1D" w14:paraId="50D6283B" w14:textId="77777777" w:rsidTr="008B793A">
        <w:trPr>
          <w:trHeight w:val="871"/>
        </w:trPr>
        <w:tc>
          <w:tcPr>
            <w:tcW w:w="3964" w:type="dxa"/>
            <w:shd w:val="clear" w:color="auto" w:fill="D9D9D9" w:themeFill="background1" w:themeFillShade="D9"/>
          </w:tcPr>
          <w:p w14:paraId="6292BC79" w14:textId="77777777" w:rsidR="00F04E1D" w:rsidRDefault="00F04E1D" w:rsidP="00F04E1D">
            <w:r>
              <w:t>The Fair Work Commission should set minimum standards that:</w:t>
            </w:r>
          </w:p>
          <w:p w14:paraId="32554F84" w14:textId="77777777" w:rsidR="00F04E1D" w:rsidRDefault="00F04E1D" w:rsidP="008E4991">
            <w:pPr>
              <w:pStyle w:val="List"/>
              <w:numPr>
                <w:ilvl w:val="0"/>
                <w:numId w:val="13"/>
              </w:numPr>
              <w:spacing w:line="276" w:lineRule="auto"/>
              <w:ind w:left="714" w:hanging="357"/>
              <w:contextualSpacing w:val="0"/>
            </w:pPr>
            <w:r>
              <w:t>are fair, relevant, proportionate, sustainable and responsive</w:t>
            </w:r>
          </w:p>
          <w:p w14:paraId="0DD84177" w14:textId="77777777" w:rsidR="00F04E1D" w:rsidRDefault="00F04E1D" w:rsidP="008E4991">
            <w:pPr>
              <w:pStyle w:val="List"/>
              <w:numPr>
                <w:ilvl w:val="0"/>
                <w:numId w:val="13"/>
              </w:numPr>
              <w:spacing w:line="276" w:lineRule="auto"/>
              <w:ind w:left="714" w:hanging="357"/>
              <w:contextualSpacing w:val="0"/>
            </w:pPr>
            <w:r>
              <w:t>reflect workers’ independence and flexible working arrangements, for example choosing which tasks to accept and refuse, how to undertake their work, where and when they work, and which businesses to contract with</w:t>
            </w:r>
          </w:p>
          <w:p w14:paraId="3C5422C9" w14:textId="77777777" w:rsidR="00F04E1D" w:rsidRDefault="00F04E1D" w:rsidP="008E4991">
            <w:pPr>
              <w:pStyle w:val="List"/>
              <w:numPr>
                <w:ilvl w:val="0"/>
                <w:numId w:val="13"/>
              </w:numPr>
              <w:spacing w:line="276" w:lineRule="auto"/>
              <w:ind w:left="714" w:hanging="357"/>
              <w:contextualSpacing w:val="0"/>
            </w:pPr>
            <w:r>
              <w:t xml:space="preserve">mitigate to the greatest extent possible unintended consequences for workers, businesses, consumers and other aspects of the labour market </w:t>
            </w:r>
          </w:p>
        </w:tc>
        <w:tc>
          <w:tcPr>
            <w:tcW w:w="851" w:type="dxa"/>
            <w:shd w:val="clear" w:color="auto" w:fill="auto"/>
          </w:tcPr>
          <w:p w14:paraId="02C74779" w14:textId="77777777" w:rsidR="00F04E1D" w:rsidRDefault="00F04E1D" w:rsidP="00F04E1D">
            <w:r>
              <w:t>N/A</w:t>
            </w:r>
          </w:p>
        </w:tc>
        <w:tc>
          <w:tcPr>
            <w:tcW w:w="9072" w:type="dxa"/>
            <w:shd w:val="clear" w:color="auto" w:fill="auto"/>
          </w:tcPr>
          <w:p w14:paraId="320DA741" w14:textId="5039DB8E" w:rsidR="00F04E1D" w:rsidRDefault="00E071C2" w:rsidP="00F04E1D">
            <w:r>
              <w:rPr>
                <w:rStyle w:val="normaltextrun"/>
                <w:rFonts w:ascii="Calibri" w:hAnsi="Calibri" w:cs="Calibri"/>
                <w:color w:val="262626"/>
                <w:shd w:val="clear" w:color="auto" w:fill="FFFFFF"/>
                <w:lang w:val="en-GB"/>
              </w:rPr>
              <w:t>Th</w:t>
            </w:r>
            <w:r w:rsidR="00EA28C5">
              <w:rPr>
                <w:rStyle w:val="normaltextrun"/>
                <w:rFonts w:ascii="Calibri" w:hAnsi="Calibri" w:cs="Calibri"/>
                <w:color w:val="262626"/>
                <w:shd w:val="clear" w:color="auto" w:fill="FFFFFF"/>
                <w:lang w:val="en-GB"/>
              </w:rPr>
              <w:t xml:space="preserve">is </w:t>
            </w:r>
            <w:r w:rsidR="00C9459D">
              <w:rPr>
                <w:rStyle w:val="normaltextrun"/>
                <w:rFonts w:ascii="Calibri" w:hAnsi="Calibri" w:cs="Calibri"/>
                <w:color w:val="262626"/>
                <w:shd w:val="clear" w:color="auto" w:fill="FFFFFF"/>
                <w:lang w:val="en-GB"/>
              </w:rPr>
              <w:t>factor</w:t>
            </w:r>
            <w:r w:rsidR="00EA28C5">
              <w:rPr>
                <w:rStyle w:val="normaltextrun"/>
                <w:rFonts w:ascii="Calibri" w:hAnsi="Calibri" w:cs="Calibri"/>
                <w:color w:val="262626"/>
                <w:shd w:val="clear" w:color="auto" w:fill="FFFFFF"/>
                <w:lang w:val="en-GB"/>
              </w:rPr>
              <w:t xml:space="preserve"> relates to standard-setting and is out of scope of this option. </w:t>
            </w:r>
          </w:p>
        </w:tc>
      </w:tr>
      <w:tr w:rsidR="00EA28C5" w14:paraId="226F776D" w14:textId="77777777" w:rsidTr="008B793A">
        <w:trPr>
          <w:trHeight w:val="871"/>
        </w:trPr>
        <w:tc>
          <w:tcPr>
            <w:tcW w:w="3964" w:type="dxa"/>
            <w:shd w:val="clear" w:color="auto" w:fill="D9D9D9" w:themeFill="background1" w:themeFillShade="D9"/>
          </w:tcPr>
          <w:p w14:paraId="14D81085" w14:textId="0B918013" w:rsidR="00EA28C5" w:rsidRDefault="00EA28C5" w:rsidP="00EA28C5">
            <w:r>
              <w:t>The standard-setting framework should be accessible, transparent, fair and offer a high degree of certainty to affected parties.</w:t>
            </w:r>
          </w:p>
        </w:tc>
        <w:tc>
          <w:tcPr>
            <w:tcW w:w="851" w:type="dxa"/>
            <w:shd w:val="clear" w:color="auto" w:fill="auto"/>
          </w:tcPr>
          <w:p w14:paraId="3FFE7D55" w14:textId="77777777" w:rsidR="00EA28C5" w:rsidRDefault="00EA28C5" w:rsidP="00EA28C5">
            <w:r>
              <w:t>N/A</w:t>
            </w:r>
          </w:p>
        </w:tc>
        <w:tc>
          <w:tcPr>
            <w:tcW w:w="9072" w:type="dxa"/>
          </w:tcPr>
          <w:p w14:paraId="211AF681" w14:textId="7FD7889D" w:rsidR="00EA28C5" w:rsidRDefault="00EA28C5" w:rsidP="00EA28C5">
            <w:r>
              <w:rPr>
                <w:rStyle w:val="normaltextrun"/>
                <w:rFonts w:ascii="Calibri" w:hAnsi="Calibri" w:cs="Calibri"/>
                <w:color w:val="262626"/>
                <w:shd w:val="clear" w:color="auto" w:fill="FFFFFF"/>
                <w:lang w:val="en-GB"/>
              </w:rPr>
              <w:t xml:space="preserve">This </w:t>
            </w:r>
            <w:r w:rsidR="00C9459D">
              <w:rPr>
                <w:rStyle w:val="normaltextrun"/>
                <w:rFonts w:ascii="Calibri" w:hAnsi="Calibri" w:cs="Calibri"/>
                <w:color w:val="262626"/>
                <w:shd w:val="clear" w:color="auto" w:fill="FFFFFF"/>
                <w:lang w:val="en-GB"/>
              </w:rPr>
              <w:t>factor</w:t>
            </w:r>
            <w:r>
              <w:rPr>
                <w:rStyle w:val="normaltextrun"/>
                <w:rFonts w:ascii="Calibri" w:hAnsi="Calibri" w:cs="Calibri"/>
                <w:color w:val="262626"/>
                <w:shd w:val="clear" w:color="auto" w:fill="FFFFFF"/>
                <w:lang w:val="en-GB"/>
              </w:rPr>
              <w:t xml:space="preserve"> relates to standard-setting and is out of scope of this option. </w:t>
            </w:r>
          </w:p>
        </w:tc>
      </w:tr>
    </w:tbl>
    <w:p w14:paraId="27FEA11C" w14:textId="77777777" w:rsidR="00512FE4" w:rsidRDefault="00512FE4" w:rsidP="00427BF0">
      <w:pPr>
        <w:pStyle w:val="BodyText"/>
        <w:spacing w:before="120" w:line="240" w:lineRule="auto"/>
        <w:rPr>
          <w:sz w:val="22"/>
          <w:szCs w:val="22"/>
        </w:rPr>
        <w:sectPr w:rsidR="00512FE4" w:rsidSect="008B793A">
          <w:pgSz w:w="16838" w:h="11906" w:orient="landscape"/>
          <w:pgMar w:top="1418" w:right="1418" w:bottom="1418" w:left="1418" w:header="0" w:footer="454" w:gutter="0"/>
          <w:cols w:space="708"/>
          <w:docGrid w:linePitch="360"/>
        </w:sectPr>
      </w:pPr>
    </w:p>
    <w:p w14:paraId="568A9A83" w14:textId="7927C9D6" w:rsidR="00F02599" w:rsidRPr="0012089D" w:rsidRDefault="00F02599" w:rsidP="00F60F5C">
      <w:pPr>
        <w:pStyle w:val="Heading3"/>
      </w:pPr>
      <w:bookmarkStart w:id="65" w:name="_Toc139295573"/>
      <w:r w:rsidRPr="0012089D">
        <w:t xml:space="preserve">Option 2: Allow the Fair Work Commission to resolve disputes about unfair </w:t>
      </w:r>
      <w:r w:rsidR="00041FE6" w:rsidRPr="0012089D">
        <w:t>contracts</w:t>
      </w:r>
      <w:r w:rsidRPr="0012089D">
        <w:t xml:space="preserve"> for digital platform </w:t>
      </w:r>
      <w:r w:rsidR="00041FE6" w:rsidRPr="0012089D">
        <w:t xml:space="preserve">workers </w:t>
      </w:r>
      <w:r w:rsidRPr="0012089D">
        <w:t>and road transport workers</w:t>
      </w:r>
      <w:bookmarkEnd w:id="65"/>
      <w:r w:rsidRPr="0012089D">
        <w:t xml:space="preserve"> </w:t>
      </w:r>
    </w:p>
    <w:p w14:paraId="118F7FED" w14:textId="42B8C0A1" w:rsidR="00B22978" w:rsidRDefault="00B22978" w:rsidP="004B4F63">
      <w:r w:rsidRPr="008B793A">
        <w:t xml:space="preserve">This </w:t>
      </w:r>
      <w:r w:rsidR="00B0538A">
        <w:t>option</w:t>
      </w:r>
      <w:r w:rsidRPr="008B793A">
        <w:t xml:space="preserve"> </w:t>
      </w:r>
      <w:r w:rsidR="00B0538A">
        <w:t>would</w:t>
      </w:r>
      <w:r w:rsidRPr="008B793A">
        <w:t xml:space="preserve"> deliver a more cost-effective process for independent contractors to challenge unfair contracts</w:t>
      </w:r>
      <w:r w:rsidR="00371845">
        <w:t>. However, it will</w:t>
      </w:r>
      <w:r w:rsidRPr="008B793A">
        <w:t xml:space="preserve"> otherwise have limited impacts given </w:t>
      </w:r>
      <w:r w:rsidR="00B0538A">
        <w:t>that</w:t>
      </w:r>
      <w:r w:rsidRPr="008B793A">
        <w:t xml:space="preserve"> it will simply involve providing a role for the Fair Work Commission to settle disputes </w:t>
      </w:r>
      <w:r w:rsidR="008E1543">
        <w:t>about</w:t>
      </w:r>
      <w:r w:rsidRPr="008B793A">
        <w:t xml:space="preserve"> existing unfair contracts </w:t>
      </w:r>
      <w:r w:rsidR="008E1543">
        <w:t>protections</w:t>
      </w:r>
      <w:r w:rsidRPr="008B793A">
        <w:t>.</w:t>
      </w:r>
    </w:p>
    <w:p w14:paraId="08E98A74" w14:textId="3D37A707" w:rsidR="00740147" w:rsidRDefault="00BE096B" w:rsidP="004B4F63">
      <w:pPr>
        <w:pStyle w:val="Heading4"/>
        <w:spacing w:after="200"/>
      </w:pPr>
      <w:r>
        <w:t>Lower costs of dispute resolution</w:t>
      </w:r>
    </w:p>
    <w:p w14:paraId="771B8F44" w14:textId="6F79B42C" w:rsidR="00BE096B" w:rsidRDefault="006F0C22" w:rsidP="004B4F63">
      <w:r>
        <w:t>These</w:t>
      </w:r>
      <w:r w:rsidR="00465A30">
        <w:t xml:space="preserve"> workers</w:t>
      </w:r>
      <w:r w:rsidR="00DE1FB2">
        <w:t xml:space="preserve"> </w:t>
      </w:r>
      <w:r w:rsidR="00367AA0">
        <w:t>(</w:t>
      </w:r>
      <w:r w:rsidR="00FA4128">
        <w:t xml:space="preserve">whose earnings fall below a high income threshold) </w:t>
      </w:r>
      <w:r w:rsidR="00DE1FB2">
        <w:t xml:space="preserve">would benefit from </w:t>
      </w:r>
      <w:r w:rsidR="00DA2821">
        <w:t xml:space="preserve">low-cost and accessible dispute resolution, compared to </w:t>
      </w:r>
      <w:r w:rsidR="00EC1491">
        <w:t>the status quo of needing to apply to the court.</w:t>
      </w:r>
      <w:r w:rsidR="00C07BFC" w:rsidDel="0082581C">
        <w:t xml:space="preserve"> </w:t>
      </w:r>
      <w:r w:rsidR="004229A5">
        <w:t xml:space="preserve">For example, </w:t>
      </w:r>
      <w:r w:rsidR="00286F47">
        <w:t xml:space="preserve">Fair Work Commission </w:t>
      </w:r>
      <w:r w:rsidR="004229A5">
        <w:t xml:space="preserve">application fees </w:t>
      </w:r>
      <w:r w:rsidR="00286F47">
        <w:t>in</w:t>
      </w:r>
      <w:r w:rsidR="001B027F">
        <w:rPr>
          <w:rStyle w:val="normaltextrun"/>
          <w:rFonts w:ascii="Calibri" w:hAnsi="Calibri" w:cs="Calibri"/>
          <w:color w:val="262626"/>
          <w:shd w:val="clear" w:color="auto" w:fill="FFFFFF"/>
        </w:rPr>
        <w:t xml:space="preserve"> 2022-23 </w:t>
      </w:r>
      <w:r w:rsidR="00286F47">
        <w:rPr>
          <w:rStyle w:val="normaltextrun"/>
          <w:rFonts w:ascii="Calibri" w:hAnsi="Calibri" w:cs="Calibri"/>
          <w:color w:val="262626"/>
          <w:shd w:val="clear" w:color="auto" w:fill="FFFFFF"/>
        </w:rPr>
        <w:t>are</w:t>
      </w:r>
      <w:r w:rsidR="001B027F">
        <w:rPr>
          <w:rStyle w:val="normaltextrun"/>
          <w:rFonts w:ascii="Calibri" w:hAnsi="Calibri" w:cs="Calibri"/>
          <w:color w:val="262626"/>
          <w:shd w:val="clear" w:color="auto" w:fill="FFFFFF"/>
        </w:rPr>
        <w:t xml:space="preserve"> $77.80 (which changes on 1 July each year)</w:t>
      </w:r>
      <w:r w:rsidR="00286F47">
        <w:rPr>
          <w:rStyle w:val="normaltextrun"/>
          <w:rFonts w:ascii="Calibri" w:hAnsi="Calibri" w:cs="Calibri"/>
          <w:color w:val="262626"/>
          <w:shd w:val="clear" w:color="auto" w:fill="FFFFFF"/>
        </w:rPr>
        <w:t>.</w:t>
      </w:r>
      <w:r w:rsidR="00286F47">
        <w:rPr>
          <w:rStyle w:val="FootnoteReference"/>
          <w:rFonts w:ascii="Calibri" w:hAnsi="Calibri" w:cs="Calibri"/>
          <w:color w:val="262626"/>
          <w:shd w:val="clear" w:color="auto" w:fill="FFFFFF"/>
        </w:rPr>
        <w:footnoteReference w:id="148"/>
      </w:r>
      <w:r w:rsidR="001B027F">
        <w:rPr>
          <w:rStyle w:val="normaltextrun"/>
          <w:rFonts w:ascii="Calibri" w:hAnsi="Calibri" w:cs="Calibri"/>
          <w:color w:val="262626"/>
          <w:shd w:val="clear" w:color="auto" w:fill="FFFFFF"/>
        </w:rPr>
        <w:t> </w:t>
      </w:r>
      <w:r w:rsidR="001B027F">
        <w:rPr>
          <w:rStyle w:val="eop"/>
          <w:rFonts w:cs="Calibri"/>
          <w:color w:val="262626"/>
          <w:shd w:val="clear" w:color="auto" w:fill="FFFFFF"/>
        </w:rPr>
        <w:t> </w:t>
      </w:r>
      <w:r w:rsidR="00D01498">
        <w:rPr>
          <w:rStyle w:val="eop"/>
          <w:rFonts w:cs="Calibri"/>
          <w:color w:val="262626"/>
          <w:shd w:val="clear" w:color="auto" w:fill="FFFFFF"/>
        </w:rPr>
        <w:t xml:space="preserve">By comparison, </w:t>
      </w:r>
      <w:r w:rsidR="004F1EBF">
        <w:rPr>
          <w:rStyle w:val="normaltextrun"/>
          <w:rFonts w:ascii="Calibri" w:hAnsi="Calibri" w:cs="Calibri"/>
          <w:color w:val="262626"/>
          <w:shd w:val="clear" w:color="auto" w:fill="FFFFFF"/>
        </w:rPr>
        <w:t>t</w:t>
      </w:r>
      <w:r w:rsidR="00D01498">
        <w:rPr>
          <w:rStyle w:val="normaltextrun"/>
          <w:rFonts w:ascii="Calibri" w:hAnsi="Calibri" w:cs="Calibri"/>
          <w:color w:val="262626"/>
          <w:shd w:val="clear" w:color="auto" w:fill="FFFFFF"/>
        </w:rPr>
        <w:t xml:space="preserve">he relevant filing fee for independent contractors in the Federal Circuit and Family Court of Australia is </w:t>
      </w:r>
      <w:r w:rsidR="00D01498" w:rsidRPr="00D01498">
        <w:rPr>
          <w:rStyle w:val="normaltextrun"/>
          <w:rFonts w:ascii="Calibri" w:hAnsi="Calibri" w:cs="Calibri"/>
          <w:color w:val="262626"/>
          <w:shd w:val="clear" w:color="auto" w:fill="FFFFFF"/>
        </w:rPr>
        <w:t>$735</w:t>
      </w:r>
      <w:r w:rsidR="00BC54F0">
        <w:rPr>
          <w:rStyle w:val="normaltextrun"/>
          <w:rFonts w:ascii="Calibri" w:hAnsi="Calibri" w:cs="Calibri"/>
          <w:color w:val="262626"/>
          <w:shd w:val="clear" w:color="auto" w:fill="FFFFFF"/>
        </w:rPr>
        <w:t>.</w:t>
      </w:r>
      <w:r w:rsidR="00BC54F0">
        <w:rPr>
          <w:rStyle w:val="FootnoteReference"/>
          <w:rFonts w:ascii="Calibri" w:hAnsi="Calibri" w:cs="Calibri"/>
          <w:color w:val="262626"/>
          <w:shd w:val="clear" w:color="auto" w:fill="FFFFFF"/>
        </w:rPr>
        <w:footnoteReference w:id="149"/>
      </w:r>
      <w:r w:rsidR="00BC54F0">
        <w:t xml:space="preserve"> </w:t>
      </w:r>
      <w:r w:rsidR="00BE096B">
        <w:t xml:space="preserve">This </w:t>
      </w:r>
      <w:r w:rsidR="00BE096B" w:rsidRPr="008B793A">
        <w:t>will result in savings for applicants and respondents and produce a jurisdiction that is more effective in providing remedies for unfair contractual terms than the Independent Contractors Act.</w:t>
      </w:r>
      <w:r w:rsidR="00B54E22">
        <w:t xml:space="preserve"> </w:t>
      </w:r>
    </w:p>
    <w:p w14:paraId="7C937BB9" w14:textId="26963712" w:rsidR="00B54E22" w:rsidRDefault="00531217" w:rsidP="004B4F63">
      <w:r>
        <w:t xml:space="preserve">As indicated in the status quo option, there is no data on the prevalence of unfair contracts. </w:t>
      </w:r>
      <w:r w:rsidR="00BC54F0">
        <w:t xml:space="preserve">To estimate the number of </w:t>
      </w:r>
      <w:r w:rsidR="002052F3">
        <w:t>independent contractors that may benefit from the changes, t</w:t>
      </w:r>
      <w:r w:rsidR="006832C0">
        <w:t xml:space="preserve">he department sought data on comparable jurisdictions in the Fair Work Commission to estimate </w:t>
      </w:r>
      <w:r w:rsidR="00920DC9">
        <w:t xml:space="preserve">the number of applications to dispute an unfair contract. The closest available comparators were </w:t>
      </w:r>
      <w:r w:rsidR="00B54E22">
        <w:t xml:space="preserve">dispute resolution </w:t>
      </w:r>
      <w:r w:rsidR="00920DC9">
        <w:t>relating</w:t>
      </w:r>
      <w:r w:rsidR="00B54E22">
        <w:t xml:space="preserve"> to unfair dismissals and </w:t>
      </w:r>
      <w:r w:rsidR="00796ECE">
        <w:t>general protection dismissals</w:t>
      </w:r>
      <w:r w:rsidR="00D01B90">
        <w:t xml:space="preserve">, which the department does not consider to be equivalent jurisdictions. </w:t>
      </w:r>
      <w:r w:rsidR="00525D2C">
        <w:t xml:space="preserve">This data </w:t>
      </w:r>
      <w:r w:rsidR="00861A39">
        <w:t>was,</w:t>
      </w:r>
      <w:r w:rsidR="00525D2C">
        <w:t xml:space="preserve"> however, </w:t>
      </w:r>
      <w:r w:rsidR="0070384A">
        <w:t xml:space="preserve">useful to estimate the costs of deactivation and unfair contract termination disputes under </w:t>
      </w:r>
      <w:r w:rsidR="004229A5">
        <w:t>the minimum standards options.</w:t>
      </w:r>
      <w:r w:rsidR="00796ECE">
        <w:t xml:space="preserve"> </w:t>
      </w:r>
    </w:p>
    <w:p w14:paraId="3193F236" w14:textId="2568C748" w:rsidR="0021360A" w:rsidRDefault="0021360A" w:rsidP="004B4F63">
      <w:pPr>
        <w:pStyle w:val="Heading4"/>
        <w:spacing w:after="200"/>
      </w:pPr>
      <w:r>
        <w:t>Regulatory impacts</w:t>
      </w:r>
    </w:p>
    <w:p w14:paraId="54AEC063" w14:textId="61CD090A" w:rsidR="004E5B98" w:rsidRDefault="004E5B98" w:rsidP="004E5B98">
      <w:r>
        <w:t xml:space="preserve">The Office of Impact Analysis’s Guidance Note on the Regulatory Burden Measurement Framework advises that certain costs are excluded from the Regulatory Burden Measurement Framework and are not required to be considered when quantifying an estimate of burden. Relevantly, this includes ‘Non-compliance and enforcement costs’, including costs incurred in court and tribunal processes. </w:t>
      </w:r>
    </w:p>
    <w:p w14:paraId="4F1766E3" w14:textId="77777777" w:rsidR="004E5B98" w:rsidRDefault="004E5B98" w:rsidP="004E5B98">
      <w:r>
        <w:t xml:space="preserve">In accordance with this advice, regulatory costs associated with the dispute resolution through the workplace tribunal, the Fair Work Commission’, are not included in the costings. Specific outcomes may depend on the approach that independent parties – such as employers, unions and the Fair Work Commission – take in response to the previsions. </w:t>
      </w:r>
    </w:p>
    <w:p w14:paraId="4FD2F2E6" w14:textId="77777777" w:rsidR="004E5B98" w:rsidRDefault="004E5B98" w:rsidP="004E5B98">
      <w:r>
        <w:t xml:space="preserve">Employers and employees will only utilise the Fair Work Commission’s dispute resolution processes in circumstances where a party is of the view that an action taken by another party is not consistent with their legislative obligations – for example if an independent contractor believes that their contract has unfair provisions. The time and financial cost would vary from dispute to dispute but noting that the Fair Work Commission is a tribunal it would be lower cost and quicker than court processes. </w:t>
      </w:r>
    </w:p>
    <w:p w14:paraId="6ABD32A0" w14:textId="77777777" w:rsidR="004E5B98" w:rsidRDefault="004E5B98" w:rsidP="004E5B98">
      <w:r>
        <w:t>As this is a new policy, there is no available data on the rate that which disputes would occur as a result of allowing the Fair Work Commission to rule on these matters, or the resource cost and the time taken to resolve such disputes.</w:t>
      </w:r>
    </w:p>
    <w:p w14:paraId="116116A7" w14:textId="2A6E8134" w:rsidR="004E5B98" w:rsidRDefault="004E5B98" w:rsidP="004B4F63">
      <w:r>
        <w:t xml:space="preserve">Given the inherent uncertainty in how independent parties will respond to the unfair contracts policy, and also uncertainty in the extent to which the best available comparators </w:t>
      </w:r>
      <w:r w:rsidRPr="00684ED8">
        <w:t>(unfair and general protections dismissal)</w:t>
      </w:r>
      <w:r>
        <w:t>, the department has determined that estimations of the dispute costs would not be sufficiently robust to contain a meaningful estimate of the costs.</w:t>
      </w:r>
    </w:p>
    <w:p w14:paraId="01476008" w14:textId="30938633" w:rsidR="00D93604" w:rsidRPr="008B793A" w:rsidRDefault="0021360A" w:rsidP="004B4F63">
      <w:pPr>
        <w:pStyle w:val="Heading4"/>
        <w:spacing w:after="200"/>
      </w:pPr>
      <w:r w:rsidRPr="008B793A">
        <w:t>Distributional impacts</w:t>
      </w:r>
    </w:p>
    <w:p w14:paraId="45FB7C84" w14:textId="2ABD3D78" w:rsidR="0021360A" w:rsidRDefault="0021360A" w:rsidP="004B4F63">
      <w:r w:rsidRPr="008B793A">
        <w:t>By improving access to dispute resolution, the proposal would benefit workers who face barriers to equal negotiating power, including women, people with disability and migrant workers.</w:t>
      </w:r>
    </w:p>
    <w:p w14:paraId="03102CEF" w14:textId="751AB961" w:rsidR="000B0BB1" w:rsidDel="00C673F2" w:rsidRDefault="001C0F16" w:rsidP="000B0BB1">
      <w:r>
        <w:t>As outlined, the proposed changes would impact digital platform and Road transport workers. While these groups are not homogenous, they both have higher rates of migrant and male workers (for a detailed breakdown of these cohorts please see pages 42-44). Migrant workers especially are more likely to be underpaid or subject to unfair working conditions</w:t>
      </w:r>
      <w:r w:rsidR="00FF1440">
        <w:t>.</w:t>
      </w:r>
      <w:r w:rsidR="00FF1440">
        <w:rPr>
          <w:rStyle w:val="FootnoteReference"/>
        </w:rPr>
        <w:footnoteReference w:id="150"/>
      </w:r>
      <w:r w:rsidR="007243CA">
        <w:t xml:space="preserve"> </w:t>
      </w:r>
    </w:p>
    <w:p w14:paraId="13541A35" w14:textId="7754AEFE" w:rsidR="0021360A" w:rsidRPr="008B793A" w:rsidRDefault="0021360A" w:rsidP="004B4F63">
      <w:pPr>
        <w:pStyle w:val="Heading4"/>
        <w:spacing w:after="200"/>
      </w:pPr>
      <w:r w:rsidRPr="008B793A">
        <w:t>Encouraging fairer contracts</w:t>
      </w:r>
    </w:p>
    <w:p w14:paraId="6ADF80A8" w14:textId="02DF27F6" w:rsidR="00861471" w:rsidRDefault="009B4F85" w:rsidP="004B4F63">
      <w:r>
        <w:t xml:space="preserve">There </w:t>
      </w:r>
      <w:r w:rsidR="00CA66F0">
        <w:t>may be further</w:t>
      </w:r>
      <w:r>
        <w:t xml:space="preserve"> flow-on benefits for independent contractors.</w:t>
      </w:r>
      <w:r w:rsidR="00861471" w:rsidRPr="00861471">
        <w:t xml:space="preserve"> </w:t>
      </w:r>
      <w:r w:rsidR="00861471">
        <w:t>Improving access to dispute resolution may create a real or perceived higher likelihood that an independent contractor would make a dispute against a business alleging that their contract is unfair. This may influence behaviour by encouraging businesses to ensure that their contracts do not contain unfair terms, which could result in more favourable contractual terms for independent contractors. This could include higher incomes or improved working conditions for this cohort.</w:t>
      </w:r>
    </w:p>
    <w:p w14:paraId="463059B1" w14:textId="3E2784B4" w:rsidR="00EC7EB8" w:rsidRDefault="00EC7EB8" w:rsidP="004B4F63">
      <w:pPr>
        <w:pStyle w:val="Heading4"/>
        <w:spacing w:after="200"/>
      </w:pPr>
      <w:r w:rsidRPr="008B793A">
        <w:t xml:space="preserve">Impact on Government </w:t>
      </w:r>
    </w:p>
    <w:p w14:paraId="0AED4AF6" w14:textId="0CAC8328" w:rsidR="00EC7EB8" w:rsidRPr="00EC7EB8" w:rsidRDefault="0050056F" w:rsidP="008B793A">
      <w:r>
        <w:t xml:space="preserve">The Fair Work Commission will have responsibility for implementing the option. This includes </w:t>
      </w:r>
      <w:r w:rsidR="008C3498">
        <w:t>receiving, managing and considering applications for unfair contract dispute resolution.</w:t>
      </w:r>
    </w:p>
    <w:p w14:paraId="6DC873D9" w14:textId="69A563E5" w:rsidR="00EC7EB8" w:rsidRDefault="00EC7EB8" w:rsidP="004B4F63">
      <w:r w:rsidRPr="008B793A">
        <w:t xml:space="preserve">Limiting the capacity to deal with unfair contract </w:t>
      </w:r>
      <w:r w:rsidR="00373F55">
        <w:t xml:space="preserve">applications </w:t>
      </w:r>
      <w:r w:rsidRPr="008B793A">
        <w:t>to identif</w:t>
      </w:r>
      <w:r w:rsidR="00373F55">
        <w:t>ied</w:t>
      </w:r>
      <w:r w:rsidRPr="008B793A">
        <w:t xml:space="preserve"> areas of need in the road transport sector and (in relation to deactivation protections) the digital platform sector means </w:t>
      </w:r>
      <w:r w:rsidR="00F8179B">
        <w:t>that expected</w:t>
      </w:r>
      <w:r w:rsidRPr="008B793A">
        <w:t xml:space="preserve"> application numbers </w:t>
      </w:r>
      <w:r w:rsidR="00F8179B">
        <w:t>are</w:t>
      </w:r>
      <w:r w:rsidRPr="008B793A">
        <w:t xml:space="preserve"> relatively small. A high-income threshold applying to both unfair contract terms disputes and termination claims will further confine the scope of the jurisdiction.</w:t>
      </w:r>
    </w:p>
    <w:p w14:paraId="155D92E3" w14:textId="5A515074" w:rsidR="007E765B" w:rsidRDefault="007E765B" w:rsidP="004B4F63">
      <w:r>
        <w:t>The courts may see a very small number of additional matters under the new provisions as there will be an appea</w:t>
      </w:r>
      <w:r w:rsidR="005B0DD3">
        <w:t>l</w:t>
      </w:r>
      <w:r>
        <w:t xml:space="preserve"> right</w:t>
      </w:r>
      <w:r w:rsidR="005B0DD3">
        <w:t>s</w:t>
      </w:r>
      <w:r>
        <w:t xml:space="preserve"> from decisions made by the Fair Work Commission. However, as outlined above, the cost of taking court action under the provisions is prohibitively expensive for the types of disputes, so the increase is likely to be negligible. </w:t>
      </w:r>
    </w:p>
    <w:p w14:paraId="4ECECA9E" w14:textId="77777777" w:rsidR="00A22686" w:rsidRDefault="00A22686" w:rsidP="00A22686">
      <w:pPr>
        <w:pStyle w:val="Heading4"/>
      </w:pPr>
      <w:r>
        <w:t>Summary of impacts</w:t>
      </w:r>
    </w:p>
    <w:p w14:paraId="6E3FF84C" w14:textId="77777777" w:rsidR="00A22686" w:rsidRDefault="00A22686" w:rsidP="00A22686">
      <w:pPr>
        <w:pStyle w:val="Heading5"/>
      </w:pPr>
      <w:r>
        <w:t>Regulatory burden estimates</w:t>
      </w:r>
    </w:p>
    <w:p w14:paraId="2916F2D7" w14:textId="1C7A024E" w:rsidR="5C9FA8D2" w:rsidRDefault="18AB28E1" w:rsidP="00A54C6D">
      <w:pPr>
        <w:rPr>
          <w:bCs/>
        </w:rPr>
      </w:pPr>
      <w:r w:rsidRPr="13D6ED75">
        <w:rPr>
          <w:b/>
          <w:bCs/>
        </w:rPr>
        <w:t xml:space="preserve">Table </w:t>
      </w:r>
      <w:r w:rsidRPr="13FDA411">
        <w:rPr>
          <w:b/>
          <w:bCs/>
        </w:rPr>
        <w:t>2</w:t>
      </w:r>
      <w:r w:rsidR="55B59B46" w:rsidRPr="13FDA411">
        <w:rPr>
          <w:b/>
          <w:bCs/>
        </w:rPr>
        <w:t>5</w:t>
      </w:r>
      <w:r w:rsidR="42089FA4" w:rsidRPr="13D6ED75">
        <w:rPr>
          <w:b/>
          <w:bCs/>
        </w:rPr>
        <w:t xml:space="preserve"> – </w:t>
      </w:r>
      <w:r w:rsidRPr="13D6ED75">
        <w:rPr>
          <w:b/>
          <w:bCs/>
        </w:rPr>
        <w:t>Average annual regulatory costs (from business as usual)</w:t>
      </w:r>
    </w:p>
    <w:tbl>
      <w:tblPr>
        <w:tblStyle w:val="DESE"/>
        <w:tblW w:w="9351" w:type="dxa"/>
        <w:tblLook w:val="04A0" w:firstRow="1" w:lastRow="0" w:firstColumn="1" w:lastColumn="0" w:noHBand="0" w:noVBand="1"/>
      </w:tblPr>
      <w:tblGrid>
        <w:gridCol w:w="2706"/>
        <w:gridCol w:w="1656"/>
        <w:gridCol w:w="1807"/>
        <w:gridCol w:w="1656"/>
        <w:gridCol w:w="1526"/>
      </w:tblGrid>
      <w:tr w:rsidR="00B223EB" w14:paraId="031ACCD2" w14:textId="77777777" w:rsidTr="0BEC43D0">
        <w:trPr>
          <w:cnfStyle w:val="100000000000" w:firstRow="1" w:lastRow="0" w:firstColumn="0" w:lastColumn="0" w:oddVBand="0" w:evenVBand="0" w:oddHBand="0" w:evenHBand="0" w:firstRowFirstColumn="0" w:firstRowLastColumn="0" w:lastRowFirstColumn="0" w:lastRowLastColumn="0"/>
          <w:trHeight w:val="340"/>
          <w:tblHeader/>
        </w:trPr>
        <w:tc>
          <w:tcPr>
            <w:cnfStyle w:val="001000000100" w:firstRow="0" w:lastRow="0" w:firstColumn="1" w:lastColumn="0" w:oddVBand="0" w:evenVBand="0" w:oddHBand="0" w:evenHBand="0" w:firstRowFirstColumn="1" w:firstRowLastColumn="0" w:lastRowFirstColumn="0" w:lastRowLastColumn="0"/>
            <w:tcW w:w="2706" w:type="dxa"/>
            <w:tcBorders>
              <w:top w:val="single" w:sz="4" w:space="0" w:color="002D3F" w:themeColor="accent1"/>
            </w:tcBorders>
          </w:tcPr>
          <w:p w14:paraId="7AE7DE52" w14:textId="77777777" w:rsidR="00B223EB" w:rsidRPr="00B100CC" w:rsidRDefault="00B223EB">
            <w:pPr>
              <w:spacing w:after="100"/>
            </w:pPr>
          </w:p>
        </w:tc>
        <w:tc>
          <w:tcPr>
            <w:tcW w:w="6645" w:type="dxa"/>
            <w:gridSpan w:val="4"/>
            <w:tcBorders>
              <w:top w:val="single" w:sz="4" w:space="0" w:color="002D3F" w:themeColor="accent1"/>
            </w:tcBorders>
          </w:tcPr>
          <w:p w14:paraId="2C48E235" w14:textId="77777777" w:rsidR="00B223EB" w:rsidRPr="00A54C6D" w:rsidRDefault="00B223EB">
            <w:pPr>
              <w:spacing w:after="100"/>
              <w:jc w:val="center"/>
              <w:cnfStyle w:val="100000000000" w:firstRow="1" w:lastRow="0" w:firstColumn="0" w:lastColumn="0" w:oddVBand="0" w:evenVBand="0" w:oddHBand="0" w:evenHBand="0" w:firstRowFirstColumn="0" w:firstRowLastColumn="0" w:lastRowFirstColumn="0" w:lastRowLastColumn="0"/>
              <w:rPr>
                <w:b/>
              </w:rPr>
            </w:pPr>
            <w:r w:rsidRPr="00A54C6D">
              <w:rPr>
                <w:b/>
              </w:rPr>
              <w:t>Average annual regulatory costs (from business as usual)</w:t>
            </w:r>
          </w:p>
        </w:tc>
      </w:tr>
      <w:tr w:rsidR="00B223EB" w14:paraId="15964DB0" w14:textId="77777777" w:rsidTr="0BEC43D0">
        <w:trPr>
          <w:cnfStyle w:val="100000000000" w:firstRow="1" w:lastRow="0" w:firstColumn="0" w:lastColumn="0" w:oddVBand="0" w:evenVBand="0" w:oddHBand="0" w:evenHBand="0" w:firstRowFirstColumn="0" w:firstRowLastColumn="0" w:lastRowFirstColumn="0" w:lastRowLastColumn="0"/>
          <w:trHeight w:val="681"/>
          <w:tblHeader/>
        </w:trPr>
        <w:tc>
          <w:tcPr>
            <w:cnfStyle w:val="001000000100" w:firstRow="0" w:lastRow="0" w:firstColumn="1" w:lastColumn="0" w:oddVBand="0" w:evenVBand="0" w:oddHBand="0" w:evenHBand="0" w:firstRowFirstColumn="1" w:firstRowLastColumn="0" w:lastRowFirstColumn="0" w:lastRowLastColumn="0"/>
            <w:tcW w:w="2706" w:type="dxa"/>
            <w:tcBorders>
              <w:top w:val="single" w:sz="4" w:space="0" w:color="002D3F" w:themeColor="accent1"/>
            </w:tcBorders>
          </w:tcPr>
          <w:p w14:paraId="3630454B" w14:textId="77777777" w:rsidR="00B223EB" w:rsidRDefault="00B223EB">
            <w:pPr>
              <w:spacing w:after="100"/>
            </w:pPr>
            <w:r>
              <w:t>Option</w:t>
            </w:r>
          </w:p>
        </w:tc>
        <w:tc>
          <w:tcPr>
            <w:tcW w:w="1656" w:type="dxa"/>
            <w:tcBorders>
              <w:top w:val="single" w:sz="4" w:space="0" w:color="002D3F" w:themeColor="accent1"/>
            </w:tcBorders>
            <w:vAlign w:val="top"/>
          </w:tcPr>
          <w:p w14:paraId="74DF2024" w14:textId="77777777" w:rsidR="00B223EB" w:rsidRPr="00A646CA" w:rsidRDefault="00B223EB">
            <w:pPr>
              <w:spacing w:after="100"/>
              <w:cnfStyle w:val="100000000000" w:firstRow="1" w:lastRow="0" w:firstColumn="0" w:lastColumn="0" w:oddVBand="0" w:evenVBand="0" w:oddHBand="0" w:evenHBand="0" w:firstRowFirstColumn="0" w:firstRowLastColumn="0" w:lastRowFirstColumn="0" w:lastRowLastColumn="0"/>
            </w:pPr>
            <w:r w:rsidRPr="00A646CA">
              <w:t>Independent contractors</w:t>
            </w:r>
          </w:p>
        </w:tc>
        <w:tc>
          <w:tcPr>
            <w:tcW w:w="1807" w:type="dxa"/>
            <w:vAlign w:val="top"/>
          </w:tcPr>
          <w:p w14:paraId="2EE10A60" w14:textId="77777777" w:rsidR="00B223EB" w:rsidRPr="00A646CA" w:rsidRDefault="00B223EB">
            <w:pPr>
              <w:spacing w:after="100"/>
              <w:cnfStyle w:val="100000000000" w:firstRow="1" w:lastRow="0" w:firstColumn="0" w:lastColumn="0" w:oddVBand="0" w:evenVBand="0" w:oddHBand="0" w:evenHBand="0" w:firstRowFirstColumn="0" w:firstRowLastColumn="0" w:lastRowFirstColumn="0" w:lastRowLastColumn="0"/>
            </w:pPr>
            <w:r w:rsidRPr="00A646CA">
              <w:t>Business</w:t>
            </w:r>
          </w:p>
        </w:tc>
        <w:tc>
          <w:tcPr>
            <w:tcW w:w="1656" w:type="dxa"/>
            <w:vAlign w:val="top"/>
          </w:tcPr>
          <w:p w14:paraId="0A57E41D" w14:textId="77777777" w:rsidR="00B223EB" w:rsidRPr="00A646CA" w:rsidRDefault="00B223EB">
            <w:pPr>
              <w:spacing w:after="100"/>
              <w:cnfStyle w:val="100000000000" w:firstRow="1" w:lastRow="0" w:firstColumn="0" w:lastColumn="0" w:oddVBand="0" w:evenVBand="0" w:oddHBand="0" w:evenHBand="0" w:firstRowFirstColumn="0" w:firstRowLastColumn="0" w:lastRowFirstColumn="0" w:lastRowLastColumn="0"/>
            </w:pPr>
            <w:r w:rsidRPr="00A646CA">
              <w:t>Community organisations</w:t>
            </w:r>
          </w:p>
        </w:tc>
        <w:tc>
          <w:tcPr>
            <w:tcW w:w="1526" w:type="dxa"/>
            <w:vAlign w:val="top"/>
          </w:tcPr>
          <w:p w14:paraId="68D6DAD7" w14:textId="77777777" w:rsidR="00B223EB" w:rsidRPr="00A646CA" w:rsidRDefault="00B223EB">
            <w:pPr>
              <w:spacing w:after="100"/>
              <w:cnfStyle w:val="100000000000" w:firstRow="1" w:lastRow="0" w:firstColumn="0" w:lastColumn="0" w:oddVBand="0" w:evenVBand="0" w:oddHBand="0" w:evenHBand="0" w:firstRowFirstColumn="0" w:firstRowLastColumn="0" w:lastRowFirstColumn="0" w:lastRowLastColumn="0"/>
            </w:pPr>
            <w:r w:rsidRPr="00A646CA">
              <w:t>Total change in costs</w:t>
            </w:r>
          </w:p>
        </w:tc>
      </w:tr>
      <w:tr w:rsidR="00B223EB" w14:paraId="03F7DEF6" w14:textId="77777777">
        <w:trPr>
          <w:trHeight w:val="340"/>
        </w:trPr>
        <w:tc>
          <w:tcPr>
            <w:cnfStyle w:val="001000000000" w:firstRow="0" w:lastRow="0" w:firstColumn="1" w:lastColumn="0" w:oddVBand="0" w:evenVBand="0" w:oddHBand="0" w:evenHBand="0" w:firstRowFirstColumn="0" w:firstRowLastColumn="0" w:lastRowFirstColumn="0" w:lastRowLastColumn="0"/>
            <w:tcW w:w="2706" w:type="dxa"/>
            <w:vAlign w:val="top"/>
          </w:tcPr>
          <w:p w14:paraId="422F1BC6" w14:textId="22929835" w:rsidR="00B223EB" w:rsidRPr="00861934" w:rsidRDefault="00B223EB">
            <w:pPr>
              <w:spacing w:after="100"/>
              <w:rPr>
                <w:b/>
                <w:bCs/>
              </w:rPr>
            </w:pPr>
            <w:r>
              <w:rPr>
                <w:b/>
                <w:bCs/>
              </w:rPr>
              <w:t xml:space="preserve">Option </w:t>
            </w:r>
            <w:r w:rsidR="00EE4F75">
              <w:rPr>
                <w:b/>
                <w:bCs/>
              </w:rPr>
              <w:t>2</w:t>
            </w:r>
          </w:p>
        </w:tc>
        <w:tc>
          <w:tcPr>
            <w:tcW w:w="1656" w:type="dxa"/>
            <w:vAlign w:val="top"/>
          </w:tcPr>
          <w:p w14:paraId="244955AB" w14:textId="77777777" w:rsidR="00B223EB" w:rsidRPr="008E0348" w:rsidRDefault="00B223EB">
            <w:pPr>
              <w:spacing w:after="100"/>
              <w:cnfStyle w:val="000000000000" w:firstRow="0" w:lastRow="0" w:firstColumn="0" w:lastColumn="0" w:oddVBand="0" w:evenVBand="0" w:oddHBand="0" w:evenHBand="0" w:firstRowFirstColumn="0" w:firstRowLastColumn="0" w:lastRowFirstColumn="0" w:lastRowLastColumn="0"/>
              <w:rPr>
                <w:highlight w:val="cyan"/>
              </w:rPr>
            </w:pPr>
            <w:r w:rsidRPr="008B793A">
              <w:t>Nil</w:t>
            </w:r>
          </w:p>
        </w:tc>
        <w:tc>
          <w:tcPr>
            <w:tcW w:w="1807" w:type="dxa"/>
            <w:vAlign w:val="top"/>
          </w:tcPr>
          <w:p w14:paraId="2C6859B0" w14:textId="77777777" w:rsidR="00B223EB" w:rsidRPr="008E0348" w:rsidRDefault="00B223EB">
            <w:pPr>
              <w:spacing w:after="100"/>
              <w:cnfStyle w:val="000000000000" w:firstRow="0" w:lastRow="0" w:firstColumn="0" w:lastColumn="0" w:oddVBand="0" w:evenVBand="0" w:oddHBand="0" w:evenHBand="0" w:firstRowFirstColumn="0" w:firstRowLastColumn="0" w:lastRowFirstColumn="0" w:lastRowLastColumn="0"/>
              <w:rPr>
                <w:highlight w:val="cyan"/>
              </w:rPr>
            </w:pPr>
            <w:r w:rsidRPr="008B793A">
              <w:t>Nil</w:t>
            </w:r>
          </w:p>
        </w:tc>
        <w:tc>
          <w:tcPr>
            <w:tcW w:w="1656" w:type="dxa"/>
            <w:vAlign w:val="top"/>
          </w:tcPr>
          <w:p w14:paraId="3A45833D" w14:textId="77777777" w:rsidR="00B223EB" w:rsidRPr="008B793A" w:rsidRDefault="00B223EB">
            <w:pPr>
              <w:spacing w:after="100"/>
              <w:cnfStyle w:val="000000000000" w:firstRow="0" w:lastRow="0" w:firstColumn="0" w:lastColumn="0" w:oddVBand="0" w:evenVBand="0" w:oddHBand="0" w:evenHBand="0" w:firstRowFirstColumn="0" w:firstRowLastColumn="0" w:lastRowFirstColumn="0" w:lastRowLastColumn="0"/>
            </w:pPr>
            <w:r w:rsidRPr="008B793A">
              <w:t xml:space="preserve">Nil </w:t>
            </w:r>
          </w:p>
        </w:tc>
        <w:tc>
          <w:tcPr>
            <w:tcW w:w="1526" w:type="dxa"/>
            <w:vAlign w:val="top"/>
          </w:tcPr>
          <w:p w14:paraId="17C88DE2" w14:textId="77777777" w:rsidR="00B223EB" w:rsidRPr="008E0348" w:rsidRDefault="00B223EB">
            <w:pPr>
              <w:spacing w:after="100"/>
              <w:cnfStyle w:val="000000000000" w:firstRow="0" w:lastRow="0" w:firstColumn="0" w:lastColumn="0" w:oddVBand="0" w:evenVBand="0" w:oddHBand="0" w:evenHBand="0" w:firstRowFirstColumn="0" w:firstRowLastColumn="0" w:lastRowFirstColumn="0" w:lastRowLastColumn="0"/>
              <w:rPr>
                <w:highlight w:val="cyan"/>
              </w:rPr>
            </w:pPr>
            <w:r w:rsidRPr="008B793A">
              <w:t>Nil</w:t>
            </w:r>
          </w:p>
        </w:tc>
      </w:tr>
    </w:tbl>
    <w:p w14:paraId="67E7EAA2" w14:textId="77777777" w:rsidR="00512FE4" w:rsidRDefault="00512FE4" w:rsidP="00B223EB">
      <w:pPr>
        <w:sectPr w:rsidR="00512FE4" w:rsidSect="00A36CC2">
          <w:pgSz w:w="11906" w:h="16838"/>
          <w:pgMar w:top="1418" w:right="1418" w:bottom="1418" w:left="1418" w:header="0" w:footer="454" w:gutter="0"/>
          <w:cols w:space="708"/>
          <w:docGrid w:linePitch="360"/>
        </w:sectPr>
      </w:pPr>
    </w:p>
    <w:p w14:paraId="2B5F2583" w14:textId="754AC12D" w:rsidR="00F04E1D" w:rsidRDefault="0C0A85F1" w:rsidP="00A22686">
      <w:pPr>
        <w:pStyle w:val="Heading5"/>
      </w:pPr>
      <w:r>
        <w:t>Table 2</w:t>
      </w:r>
      <w:r w:rsidR="7A2BEDE7">
        <w:t>6</w:t>
      </w:r>
      <w:r w:rsidR="09CE23D1">
        <w:t xml:space="preserve"> – </w:t>
      </w:r>
      <w:r w:rsidR="00A22686">
        <w:t>Consistency with Guiding Princip</w:t>
      </w:r>
      <w:r w:rsidR="00B052F3">
        <w:t>les</w:t>
      </w:r>
      <w:r w:rsidR="00CD7A73">
        <w:t xml:space="preserve"> – Option 2</w:t>
      </w:r>
    </w:p>
    <w:tbl>
      <w:tblPr>
        <w:tblStyle w:val="TableGrid"/>
        <w:tblW w:w="14029" w:type="dxa"/>
        <w:tblLook w:val="04A0" w:firstRow="1" w:lastRow="0" w:firstColumn="1" w:lastColumn="0" w:noHBand="0" w:noVBand="1"/>
      </w:tblPr>
      <w:tblGrid>
        <w:gridCol w:w="5240"/>
        <w:gridCol w:w="851"/>
        <w:gridCol w:w="7938"/>
      </w:tblGrid>
      <w:tr w:rsidR="00F04E1D" w14:paraId="47F1084F" w14:textId="77777777" w:rsidTr="008B793A">
        <w:trPr>
          <w:trHeight w:val="410"/>
        </w:trPr>
        <w:tc>
          <w:tcPr>
            <w:tcW w:w="5240" w:type="dxa"/>
            <w:shd w:val="clear" w:color="auto" w:fill="404040" w:themeFill="text1" w:themeFillTint="BF"/>
          </w:tcPr>
          <w:p w14:paraId="7C2ECE61" w14:textId="2DA08349" w:rsidR="00F04E1D" w:rsidRPr="00A54C6D" w:rsidRDefault="00F04E1D"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Guiding Princip</w:t>
            </w:r>
            <w:r w:rsidR="00B052F3" w:rsidRPr="00A54C6D">
              <w:rPr>
                <w:rFonts w:ascii="Calibri" w:hAnsi="Calibri"/>
                <w:b/>
                <w:color w:val="FFFFFF" w:themeColor="background1"/>
              </w:rPr>
              <w:t>le</w:t>
            </w:r>
          </w:p>
        </w:tc>
        <w:tc>
          <w:tcPr>
            <w:tcW w:w="851" w:type="dxa"/>
            <w:shd w:val="clear" w:color="auto" w:fill="404040" w:themeFill="text1" w:themeFillTint="BF"/>
          </w:tcPr>
          <w:p w14:paraId="2AB05D7E" w14:textId="77777777" w:rsidR="00F04E1D" w:rsidRPr="00A54C6D" w:rsidRDefault="00F04E1D"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Rating</w:t>
            </w:r>
          </w:p>
        </w:tc>
        <w:tc>
          <w:tcPr>
            <w:tcW w:w="7938" w:type="dxa"/>
            <w:shd w:val="clear" w:color="auto" w:fill="404040" w:themeFill="text1" w:themeFillTint="BF"/>
          </w:tcPr>
          <w:p w14:paraId="4AFF8729" w14:textId="77777777" w:rsidR="00F04E1D" w:rsidRPr="00A54C6D" w:rsidRDefault="00F04E1D" w:rsidP="00B223EB">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Justification</w:t>
            </w:r>
          </w:p>
        </w:tc>
      </w:tr>
      <w:tr w:rsidR="00F04E1D" w14:paraId="0E97E92D" w14:textId="77777777" w:rsidTr="008B793A">
        <w:trPr>
          <w:trHeight w:val="871"/>
        </w:trPr>
        <w:tc>
          <w:tcPr>
            <w:tcW w:w="5240" w:type="dxa"/>
            <w:shd w:val="clear" w:color="auto" w:fill="D9D9D9" w:themeFill="background1" w:themeFillShade="D9"/>
          </w:tcPr>
          <w:p w14:paraId="04D8A56E" w14:textId="77777777" w:rsidR="00F04E1D" w:rsidRDefault="00F04E1D" w:rsidP="00F04E1D">
            <w:r>
              <w:t>Australia’s workplace relations system must reflect modern working arrangements and be capable of evolving with emerging forms of work and business practices.</w:t>
            </w:r>
          </w:p>
        </w:tc>
        <w:tc>
          <w:tcPr>
            <w:tcW w:w="851" w:type="dxa"/>
            <w:shd w:val="clear" w:color="auto" w:fill="92D050"/>
          </w:tcPr>
          <w:p w14:paraId="064F2190" w14:textId="15934977" w:rsidR="00F04E1D" w:rsidRDefault="00D96B71" w:rsidP="00F04E1D">
            <w:r>
              <w:t>Good</w:t>
            </w:r>
          </w:p>
        </w:tc>
        <w:tc>
          <w:tcPr>
            <w:tcW w:w="7938" w:type="dxa"/>
            <w:shd w:val="clear" w:color="auto" w:fill="auto"/>
          </w:tcPr>
          <w:p w14:paraId="24C7586C" w14:textId="6DEA3F11" w:rsidR="00F04E1D" w:rsidRDefault="00D14717" w:rsidP="00F04E1D">
            <w:r>
              <w:t xml:space="preserve">This option would </w:t>
            </w:r>
            <w:r w:rsidR="00EE7094">
              <w:t>ensure that the workplace relations system can provide</w:t>
            </w:r>
            <w:r>
              <w:t xml:space="preserve"> digital platform workers </w:t>
            </w:r>
            <w:r w:rsidR="008964FB">
              <w:t xml:space="preserve">and road transport workers </w:t>
            </w:r>
            <w:r>
              <w:t xml:space="preserve">with </w:t>
            </w:r>
            <w:r w:rsidR="008964FB">
              <w:t>access to unfair contracts dispute resolution</w:t>
            </w:r>
            <w:r w:rsidR="00C374D1">
              <w:t>.</w:t>
            </w:r>
            <w:r w:rsidR="00D4661A">
              <w:t xml:space="preserve"> </w:t>
            </w:r>
            <w:r w:rsidR="00754076">
              <w:t xml:space="preserve"> </w:t>
            </w:r>
            <w:r w:rsidR="00EE7094">
              <w:t xml:space="preserve">This ensures that workers in new forms of work in the </w:t>
            </w:r>
            <w:r w:rsidR="008964FB">
              <w:t>digital platform</w:t>
            </w:r>
            <w:r w:rsidR="00EE7094">
              <w:t xml:space="preserve"> economy have access to dispute resolution.</w:t>
            </w:r>
          </w:p>
        </w:tc>
      </w:tr>
      <w:tr w:rsidR="00F04E1D" w14:paraId="6455353D" w14:textId="77777777" w:rsidTr="008B793A">
        <w:trPr>
          <w:trHeight w:val="1660"/>
        </w:trPr>
        <w:tc>
          <w:tcPr>
            <w:tcW w:w="5240" w:type="dxa"/>
            <w:shd w:val="clear" w:color="auto" w:fill="D9D9D9" w:themeFill="background1" w:themeFillShade="D9"/>
          </w:tcPr>
          <w:p w14:paraId="74D910D4" w14:textId="77777777" w:rsidR="00F04E1D" w:rsidRDefault="00F04E1D" w:rsidP="00F04E1D">
            <w:r>
              <w:t>All workers should have access to minimum rights and protections regardless of whether they are characterised as an employee or an independent contractor, including access to freedom of association and dispute resolution.</w:t>
            </w:r>
          </w:p>
        </w:tc>
        <w:tc>
          <w:tcPr>
            <w:tcW w:w="851" w:type="dxa"/>
            <w:shd w:val="clear" w:color="auto" w:fill="F3CB6F" w:themeFill="accent5" w:themeFillTint="99"/>
          </w:tcPr>
          <w:p w14:paraId="466778AC" w14:textId="255BF285" w:rsidR="00F04E1D" w:rsidRDefault="00D96B71" w:rsidP="00F04E1D">
            <w:r>
              <w:t>Fair</w:t>
            </w:r>
          </w:p>
        </w:tc>
        <w:tc>
          <w:tcPr>
            <w:tcW w:w="7938" w:type="dxa"/>
            <w:shd w:val="clear" w:color="auto" w:fill="auto"/>
          </w:tcPr>
          <w:p w14:paraId="4BB2E37A" w14:textId="15D476F8" w:rsidR="00F04E1D" w:rsidRDefault="00A36D73" w:rsidP="00F04E1D">
            <w:r>
              <w:t xml:space="preserve">This option </w:t>
            </w:r>
            <w:r w:rsidR="00382A25">
              <w:t>improves access to dispute resolution of unfair contracts for</w:t>
            </w:r>
            <w:r w:rsidR="001C1CC4">
              <w:t xml:space="preserve"> independent contractors </w:t>
            </w:r>
            <w:r w:rsidR="009F6E56">
              <w:t>in the road transport sector and digital platform workers</w:t>
            </w:r>
            <w:r w:rsidR="00EE5E53">
              <w:t>.</w:t>
            </w:r>
            <w:r w:rsidR="00B607E9">
              <w:t xml:space="preserve"> The impact of this option would not be </w:t>
            </w:r>
            <w:r w:rsidR="00003207">
              <w:t>significant</w:t>
            </w:r>
            <w:r w:rsidR="00B607E9">
              <w:t xml:space="preserve"> as it does </w:t>
            </w:r>
            <w:r w:rsidR="00003207">
              <w:t xml:space="preserve">not introduce new protections, but instead reduces cost barriers to accessing existing </w:t>
            </w:r>
            <w:r w:rsidR="0005307C">
              <w:t>protections</w:t>
            </w:r>
            <w:r w:rsidR="00003207">
              <w:t>.</w:t>
            </w:r>
            <w:r w:rsidR="00EE5E53">
              <w:t xml:space="preserve"> While this improves dispute resolution for a cohort of independent contractors, </w:t>
            </w:r>
            <w:r w:rsidR="00896BFF">
              <w:t>it does not extend</w:t>
            </w:r>
            <w:r w:rsidR="00A22686">
              <w:t xml:space="preserve"> access to dispute resolution beyond digital platform workers and road transport workers. </w:t>
            </w:r>
          </w:p>
          <w:p w14:paraId="0A8D2871" w14:textId="63984111" w:rsidR="00F04E1D" w:rsidRDefault="0005307C" w:rsidP="00F04E1D">
            <w:r>
              <w:t xml:space="preserve">Due to the low expected impact </w:t>
            </w:r>
            <w:r w:rsidR="004914D8">
              <w:t xml:space="preserve">and limited cohort of workers </w:t>
            </w:r>
            <w:r w:rsidR="00AE1F2D">
              <w:t>with improved access to dispute resolution, this option’s consistency with the Guiding Principles is ‘fair’.</w:t>
            </w:r>
          </w:p>
        </w:tc>
      </w:tr>
      <w:tr w:rsidR="00A22686" w14:paraId="3E30A5C1" w14:textId="77777777" w:rsidTr="008B793A">
        <w:trPr>
          <w:trHeight w:val="871"/>
        </w:trPr>
        <w:tc>
          <w:tcPr>
            <w:tcW w:w="5240" w:type="dxa"/>
            <w:shd w:val="clear" w:color="auto" w:fill="D9D9D9" w:themeFill="background1" w:themeFillShade="D9"/>
          </w:tcPr>
          <w:p w14:paraId="33E85C39" w14:textId="77777777" w:rsidR="00A22686" w:rsidRDefault="00A22686" w:rsidP="00A22686">
            <w:r>
              <w:t>Businesses should benefit from a level playing field among industry participants while promoting competition and innovation.</w:t>
            </w:r>
          </w:p>
        </w:tc>
        <w:tc>
          <w:tcPr>
            <w:tcW w:w="851" w:type="dxa"/>
            <w:shd w:val="clear" w:color="auto" w:fill="F3CB6F" w:themeFill="accent5" w:themeFillTint="99"/>
          </w:tcPr>
          <w:p w14:paraId="3109D396" w14:textId="46C51E4A" w:rsidR="00A22686" w:rsidRDefault="00006712" w:rsidP="00A22686">
            <w:r>
              <w:t>Fair</w:t>
            </w:r>
          </w:p>
          <w:p w14:paraId="7426C23B" w14:textId="042C42C3" w:rsidR="00A22686" w:rsidRPr="00D96B71" w:rsidRDefault="00A22686" w:rsidP="00A22686"/>
        </w:tc>
        <w:tc>
          <w:tcPr>
            <w:tcW w:w="7938" w:type="dxa"/>
            <w:shd w:val="clear" w:color="auto" w:fill="auto"/>
          </w:tcPr>
          <w:p w14:paraId="0DF6553C" w14:textId="5AB83087" w:rsidR="00A22686" w:rsidRDefault="00006712" w:rsidP="00A22686">
            <w:r>
              <w:t xml:space="preserve">This option </w:t>
            </w:r>
            <w:r w:rsidR="009A156E">
              <w:t>could</w:t>
            </w:r>
            <w:r>
              <w:t xml:space="preserve"> </w:t>
            </w:r>
            <w:r w:rsidR="00C05996">
              <w:t>make competition fairer between businesses competi</w:t>
            </w:r>
            <w:r w:rsidR="00B76750">
              <w:t>ng in the road transport sector and digital platform economy</w:t>
            </w:r>
            <w:r w:rsidR="009A156E">
              <w:t xml:space="preserve"> by</w:t>
            </w:r>
            <w:r w:rsidR="00B76750">
              <w:t xml:space="preserve"> help</w:t>
            </w:r>
            <w:r w:rsidR="009A156E">
              <w:t>ing</w:t>
            </w:r>
            <w:r w:rsidR="00B76750">
              <w:t xml:space="preserve"> to ensure that businesses in these sectors do not gain an unfair advantage </w:t>
            </w:r>
            <w:r w:rsidR="006E70E5">
              <w:t xml:space="preserve">from deliberately setting unfair contractual terms. </w:t>
            </w:r>
            <w:r w:rsidR="009A156E">
              <w:t xml:space="preserve">However, this impact is not expected to be significant as the measure proposes to improve access </w:t>
            </w:r>
            <w:r w:rsidR="00C16157">
              <w:t xml:space="preserve">to existing protections. </w:t>
            </w:r>
            <w:r w:rsidR="004914D8">
              <w:t>As such, the rating is ‘fair’.</w:t>
            </w:r>
          </w:p>
        </w:tc>
      </w:tr>
      <w:tr w:rsidR="00A22686" w14:paraId="0C9C3E87" w14:textId="77777777" w:rsidTr="008B793A">
        <w:trPr>
          <w:trHeight w:val="871"/>
        </w:trPr>
        <w:tc>
          <w:tcPr>
            <w:tcW w:w="5240" w:type="dxa"/>
            <w:shd w:val="clear" w:color="auto" w:fill="D9D9D9" w:themeFill="background1" w:themeFillShade="D9"/>
          </w:tcPr>
          <w:p w14:paraId="6B53B779" w14:textId="77777777" w:rsidR="00A22686" w:rsidRDefault="00A22686" w:rsidP="00A22686">
            <w:r>
              <w:t>The Fair Work Commission should set minimum standards that:</w:t>
            </w:r>
          </w:p>
          <w:p w14:paraId="05B29F69" w14:textId="77777777" w:rsidR="00A22686" w:rsidRDefault="00A22686" w:rsidP="004C1E1F">
            <w:pPr>
              <w:pStyle w:val="List"/>
              <w:numPr>
                <w:ilvl w:val="0"/>
                <w:numId w:val="13"/>
              </w:numPr>
              <w:spacing w:line="276" w:lineRule="auto"/>
              <w:ind w:left="714" w:hanging="357"/>
              <w:contextualSpacing w:val="0"/>
            </w:pPr>
            <w:r>
              <w:t>are fair, relevant, proportionate, sustainable and responsive</w:t>
            </w:r>
          </w:p>
          <w:p w14:paraId="309A3BC3" w14:textId="77777777" w:rsidR="00A22686" w:rsidRDefault="00A22686" w:rsidP="004C1E1F">
            <w:pPr>
              <w:pStyle w:val="List"/>
              <w:numPr>
                <w:ilvl w:val="0"/>
                <w:numId w:val="13"/>
              </w:numPr>
              <w:spacing w:line="276" w:lineRule="auto"/>
              <w:ind w:left="714" w:hanging="357"/>
              <w:contextualSpacing w:val="0"/>
            </w:pPr>
            <w:r>
              <w:t>reflect workers’ independence and flexible working arrangements, for example choosing which tasks to accept and refuse, how to undertake their work, where and when they work, and which businesses to contract with</w:t>
            </w:r>
          </w:p>
          <w:p w14:paraId="27F37FA8" w14:textId="77777777" w:rsidR="00A22686" w:rsidRDefault="00A22686" w:rsidP="004C1E1F">
            <w:pPr>
              <w:pStyle w:val="List"/>
              <w:numPr>
                <w:ilvl w:val="0"/>
                <w:numId w:val="13"/>
              </w:numPr>
              <w:spacing w:line="276" w:lineRule="auto"/>
              <w:ind w:left="714" w:hanging="357"/>
              <w:contextualSpacing w:val="0"/>
            </w:pPr>
            <w:r>
              <w:t xml:space="preserve">mitigate to the greatest extent possible unintended consequences for workers, businesses, consumers and other aspects of the labour market </w:t>
            </w:r>
          </w:p>
        </w:tc>
        <w:tc>
          <w:tcPr>
            <w:tcW w:w="851" w:type="dxa"/>
            <w:shd w:val="clear" w:color="auto" w:fill="auto"/>
          </w:tcPr>
          <w:p w14:paraId="43752560" w14:textId="77777777" w:rsidR="00A22686" w:rsidRDefault="00A22686" w:rsidP="00A22686">
            <w:r>
              <w:t>N/A</w:t>
            </w:r>
          </w:p>
        </w:tc>
        <w:tc>
          <w:tcPr>
            <w:tcW w:w="7938" w:type="dxa"/>
            <w:shd w:val="clear" w:color="auto" w:fill="auto"/>
          </w:tcPr>
          <w:p w14:paraId="0027A973" w14:textId="2CEE3ACD" w:rsidR="00A22686" w:rsidRDefault="00A22686" w:rsidP="00A22686">
            <w:r>
              <w:rPr>
                <w:rStyle w:val="normaltextrun"/>
                <w:rFonts w:ascii="Calibri" w:hAnsi="Calibri" w:cs="Calibri"/>
                <w:color w:val="262626"/>
                <w:shd w:val="clear" w:color="auto" w:fill="FFFFFF"/>
                <w:lang w:val="en-GB"/>
              </w:rPr>
              <w:t xml:space="preserve">This factor relates to standard-setting and is out of scope of this option. </w:t>
            </w:r>
          </w:p>
        </w:tc>
      </w:tr>
      <w:tr w:rsidR="00A22686" w14:paraId="18C41B96" w14:textId="77777777" w:rsidTr="008B793A">
        <w:trPr>
          <w:trHeight w:val="871"/>
        </w:trPr>
        <w:tc>
          <w:tcPr>
            <w:tcW w:w="5240" w:type="dxa"/>
            <w:shd w:val="clear" w:color="auto" w:fill="D9D9D9" w:themeFill="background1" w:themeFillShade="D9"/>
          </w:tcPr>
          <w:p w14:paraId="5C81CAFE" w14:textId="57C3E339" w:rsidR="00A22686" w:rsidRDefault="00A22686" w:rsidP="00A22686">
            <w:r>
              <w:t>The standard-setting framework should be accessible, transparent, fair and offer a high degree of certainty to affected parties.</w:t>
            </w:r>
          </w:p>
        </w:tc>
        <w:tc>
          <w:tcPr>
            <w:tcW w:w="851" w:type="dxa"/>
            <w:shd w:val="clear" w:color="auto" w:fill="auto"/>
          </w:tcPr>
          <w:p w14:paraId="7A555939" w14:textId="77777777" w:rsidR="00A22686" w:rsidRDefault="00A22686" w:rsidP="00A22686">
            <w:r>
              <w:t>N/A</w:t>
            </w:r>
          </w:p>
        </w:tc>
        <w:tc>
          <w:tcPr>
            <w:tcW w:w="7938" w:type="dxa"/>
          </w:tcPr>
          <w:p w14:paraId="374CCF93" w14:textId="4A528571" w:rsidR="00A22686" w:rsidRDefault="00A22686" w:rsidP="00A22686">
            <w:r>
              <w:rPr>
                <w:rStyle w:val="normaltextrun"/>
                <w:rFonts w:ascii="Calibri" w:hAnsi="Calibri" w:cs="Calibri"/>
                <w:color w:val="262626"/>
                <w:shd w:val="clear" w:color="auto" w:fill="FFFFFF"/>
                <w:lang w:val="en-GB"/>
              </w:rPr>
              <w:t xml:space="preserve">This factor relates to standard-setting and is out of scope of this option. </w:t>
            </w:r>
          </w:p>
        </w:tc>
      </w:tr>
    </w:tbl>
    <w:p w14:paraId="02CB6901" w14:textId="77777777" w:rsidR="00512FE4" w:rsidRDefault="00512FE4" w:rsidP="00F04E1D">
      <w:pPr>
        <w:sectPr w:rsidR="00512FE4" w:rsidSect="008B793A">
          <w:pgSz w:w="16838" w:h="11906" w:orient="landscape"/>
          <w:pgMar w:top="1418" w:right="1418" w:bottom="1418" w:left="1418" w:header="0" w:footer="454" w:gutter="0"/>
          <w:cols w:space="708"/>
          <w:docGrid w:linePitch="360"/>
        </w:sectPr>
      </w:pPr>
    </w:p>
    <w:p w14:paraId="5E155AD8" w14:textId="152C1984" w:rsidR="00C56AD6" w:rsidRPr="00C37EFF" w:rsidRDefault="00C56AD6" w:rsidP="00F60F5C">
      <w:pPr>
        <w:pStyle w:val="Heading3"/>
      </w:pPr>
      <w:bookmarkStart w:id="66" w:name="_Toc139295574"/>
      <w:r w:rsidRPr="00C37EFF">
        <w:t>Option 3: Allow the Fair Work Commission to resolve disputes about unfair contracts</w:t>
      </w:r>
      <w:r w:rsidR="00BF4EB0" w:rsidRPr="00C37EFF">
        <w:t xml:space="preserve"> for all independent contractors, subject to a high income threshold</w:t>
      </w:r>
      <w:bookmarkEnd w:id="66"/>
    </w:p>
    <w:p w14:paraId="2E78600F" w14:textId="79C051E4" w:rsidR="00DE5C34" w:rsidRDefault="00DE5C34" w:rsidP="004B4F63">
      <w:r>
        <w:t>The impact</w:t>
      </w:r>
      <w:r w:rsidR="00551B08">
        <w:t>s under this option would be as</w:t>
      </w:r>
      <w:r w:rsidR="008169B7">
        <w:t xml:space="preserve"> under Option 2 but applied to a broader </w:t>
      </w:r>
      <w:r w:rsidR="005333DB">
        <w:t xml:space="preserve">cohort </w:t>
      </w:r>
      <w:r w:rsidR="00F063FE">
        <w:t xml:space="preserve">of independent contractors. </w:t>
      </w:r>
    </w:p>
    <w:p w14:paraId="135AAC63" w14:textId="5EBA8B39" w:rsidR="006E333A" w:rsidRPr="00A91D18" w:rsidRDefault="00C37EFF" w:rsidP="004B4F63">
      <w:pPr>
        <w:pStyle w:val="Heading4"/>
        <w:spacing w:after="200"/>
      </w:pPr>
      <w:r>
        <w:t>Independent contractors</w:t>
      </w:r>
    </w:p>
    <w:p w14:paraId="2DCAEC31" w14:textId="5D48B1DB" w:rsidR="00DE4827" w:rsidRPr="00A511E6" w:rsidRDefault="00642A07" w:rsidP="004B4F63">
      <w:r>
        <w:t xml:space="preserve">There are 1.1 million independent </w:t>
      </w:r>
      <w:r w:rsidR="00CC11A2">
        <w:t>contractors</w:t>
      </w:r>
      <w:r w:rsidR="00B25F92">
        <w:t xml:space="preserve">, of which those with incomes below a proposed high income threshold would become eligible to dispute an unfair contract at the Fair Work Commission. </w:t>
      </w:r>
      <w:r w:rsidR="00CC11A2">
        <w:t xml:space="preserve"> </w:t>
      </w:r>
    </w:p>
    <w:p w14:paraId="792A21D4" w14:textId="72B251C9" w:rsidR="000C1A59" w:rsidRPr="00A91D18" w:rsidRDefault="000C1A59" w:rsidP="004B4F63">
      <w:pPr>
        <w:pStyle w:val="Heading4"/>
        <w:spacing w:after="200"/>
      </w:pPr>
      <w:r>
        <w:t>Businesses engaging independent contractors</w:t>
      </w:r>
    </w:p>
    <w:p w14:paraId="0DFD4E56" w14:textId="32229F36" w:rsidR="00C37EFF" w:rsidRPr="000C1A59" w:rsidRDefault="000C1A59" w:rsidP="004B4F63">
      <w:r w:rsidRPr="000C1A59">
        <w:t xml:space="preserve">As under Option 2, the regulatory cost of this measure is nil. </w:t>
      </w:r>
    </w:p>
    <w:p w14:paraId="22E6CA11" w14:textId="1C02B613" w:rsidR="005E5E53" w:rsidRDefault="005E5E53" w:rsidP="004B4F63">
      <w:pPr>
        <w:pStyle w:val="Heading4"/>
        <w:spacing w:after="200"/>
      </w:pPr>
      <w:r>
        <w:t>Summary of impacts</w:t>
      </w:r>
    </w:p>
    <w:p w14:paraId="2C1192F3" w14:textId="5CE6B9D8" w:rsidR="00F05070" w:rsidRDefault="00F05070" w:rsidP="00573634">
      <w:r>
        <w:t xml:space="preserve">The flow on impacts, such as distributional impacts, improving fairness and costs to government, are likely to be similar to those outlined in Option 2, but applicable to a broader range of independent contractors. </w:t>
      </w:r>
    </w:p>
    <w:p w14:paraId="0AE2BC08" w14:textId="36D1DCD4" w:rsidR="005E5E53" w:rsidRDefault="005E5E53" w:rsidP="005E5E53">
      <w:pPr>
        <w:pStyle w:val="Heading5"/>
      </w:pPr>
      <w:r>
        <w:t>Regulatory burden estimates</w:t>
      </w:r>
    </w:p>
    <w:p w14:paraId="190BDB20" w14:textId="1A1AA244" w:rsidR="4EAA7448" w:rsidRDefault="4EAA7448" w:rsidP="00A54C6D">
      <w:pPr>
        <w:rPr>
          <w:bCs/>
        </w:rPr>
      </w:pPr>
      <w:r w:rsidRPr="13D6ED75">
        <w:rPr>
          <w:b/>
          <w:bCs/>
        </w:rPr>
        <w:t xml:space="preserve">Table </w:t>
      </w:r>
      <w:r w:rsidRPr="13FDA411">
        <w:rPr>
          <w:b/>
          <w:bCs/>
        </w:rPr>
        <w:t>2</w:t>
      </w:r>
      <w:r w:rsidR="6B781E28" w:rsidRPr="13FDA411">
        <w:rPr>
          <w:b/>
          <w:bCs/>
        </w:rPr>
        <w:t>7</w:t>
      </w:r>
      <w:r w:rsidRPr="13D6ED75">
        <w:rPr>
          <w:b/>
          <w:bCs/>
        </w:rPr>
        <w:t xml:space="preserve"> – Average annual regulatory costs (from business as usual)</w:t>
      </w:r>
    </w:p>
    <w:tbl>
      <w:tblPr>
        <w:tblStyle w:val="DESE"/>
        <w:tblW w:w="0" w:type="auto"/>
        <w:tblLook w:val="04A0" w:firstRow="1" w:lastRow="0" w:firstColumn="1" w:lastColumn="0" w:noHBand="0" w:noVBand="1"/>
      </w:tblPr>
      <w:tblGrid>
        <w:gridCol w:w="2547"/>
        <w:gridCol w:w="1559"/>
        <w:gridCol w:w="1701"/>
        <w:gridCol w:w="1559"/>
        <w:gridCol w:w="1650"/>
      </w:tblGrid>
      <w:tr w:rsidR="000C1A59" w14:paraId="2089F626" w14:textId="77777777" w:rsidTr="0BEC43D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002D3F" w:themeColor="accent1"/>
            </w:tcBorders>
          </w:tcPr>
          <w:p w14:paraId="3F75D20D" w14:textId="77777777" w:rsidR="000C1A59" w:rsidRPr="00B100CC" w:rsidRDefault="000C1A59" w:rsidP="008964FB">
            <w:pPr>
              <w:spacing w:after="100"/>
            </w:pPr>
          </w:p>
        </w:tc>
        <w:tc>
          <w:tcPr>
            <w:tcW w:w="6469" w:type="dxa"/>
            <w:gridSpan w:val="4"/>
            <w:tcBorders>
              <w:top w:val="single" w:sz="4" w:space="0" w:color="002D3F" w:themeColor="accent1"/>
            </w:tcBorders>
          </w:tcPr>
          <w:p w14:paraId="26081E95" w14:textId="77777777" w:rsidR="000C1A59" w:rsidRPr="00A54C6D" w:rsidRDefault="000C1A59" w:rsidP="008964FB">
            <w:pPr>
              <w:spacing w:after="100"/>
              <w:jc w:val="center"/>
              <w:cnfStyle w:val="100000000000" w:firstRow="1" w:lastRow="0" w:firstColumn="0" w:lastColumn="0" w:oddVBand="0" w:evenVBand="0" w:oddHBand="0" w:evenHBand="0" w:firstRowFirstColumn="0" w:firstRowLastColumn="0" w:lastRowFirstColumn="0" w:lastRowLastColumn="0"/>
              <w:rPr>
                <w:b/>
              </w:rPr>
            </w:pPr>
            <w:r w:rsidRPr="00A54C6D">
              <w:rPr>
                <w:b/>
              </w:rPr>
              <w:t>Average annual regulatory costs (from business as usual)</w:t>
            </w:r>
          </w:p>
        </w:tc>
      </w:tr>
      <w:tr w:rsidR="000C1A59" w14:paraId="2F1DBDFE" w14:textId="77777777" w:rsidTr="0BEC43D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002D3F" w:themeColor="accent1"/>
            </w:tcBorders>
          </w:tcPr>
          <w:p w14:paraId="67B4D63C" w14:textId="77777777" w:rsidR="000C1A59" w:rsidRDefault="000C1A59" w:rsidP="008964FB">
            <w:pPr>
              <w:spacing w:after="100"/>
            </w:pPr>
            <w:r>
              <w:t>Option</w:t>
            </w:r>
          </w:p>
        </w:tc>
        <w:tc>
          <w:tcPr>
            <w:tcW w:w="1559" w:type="dxa"/>
            <w:tcBorders>
              <w:top w:val="single" w:sz="4" w:space="0" w:color="002D3F" w:themeColor="accent1"/>
            </w:tcBorders>
            <w:vAlign w:val="top"/>
          </w:tcPr>
          <w:p w14:paraId="1F8BB21C" w14:textId="77777777" w:rsidR="000C1A59" w:rsidRPr="00A646CA" w:rsidRDefault="000C1A59" w:rsidP="008964FB">
            <w:pPr>
              <w:spacing w:after="100"/>
              <w:cnfStyle w:val="100000000000" w:firstRow="1" w:lastRow="0" w:firstColumn="0" w:lastColumn="0" w:oddVBand="0" w:evenVBand="0" w:oddHBand="0" w:evenHBand="0" w:firstRowFirstColumn="0" w:firstRowLastColumn="0" w:lastRowFirstColumn="0" w:lastRowLastColumn="0"/>
            </w:pPr>
            <w:r w:rsidRPr="00A646CA">
              <w:t>Independent contractors</w:t>
            </w:r>
          </w:p>
        </w:tc>
        <w:tc>
          <w:tcPr>
            <w:tcW w:w="1701" w:type="dxa"/>
            <w:vAlign w:val="top"/>
          </w:tcPr>
          <w:p w14:paraId="4D3CAEBE" w14:textId="77777777" w:rsidR="000C1A59" w:rsidRPr="00A646CA" w:rsidRDefault="000C1A59" w:rsidP="008964FB">
            <w:pPr>
              <w:spacing w:after="100"/>
              <w:cnfStyle w:val="100000000000" w:firstRow="1" w:lastRow="0" w:firstColumn="0" w:lastColumn="0" w:oddVBand="0" w:evenVBand="0" w:oddHBand="0" w:evenHBand="0" w:firstRowFirstColumn="0" w:firstRowLastColumn="0" w:lastRowFirstColumn="0" w:lastRowLastColumn="0"/>
            </w:pPr>
            <w:r w:rsidRPr="00A646CA">
              <w:t>Business</w:t>
            </w:r>
          </w:p>
        </w:tc>
        <w:tc>
          <w:tcPr>
            <w:tcW w:w="1559" w:type="dxa"/>
            <w:vAlign w:val="top"/>
          </w:tcPr>
          <w:p w14:paraId="2C088F4F" w14:textId="77777777" w:rsidR="000C1A59" w:rsidRPr="00A646CA" w:rsidRDefault="000C1A59" w:rsidP="008964FB">
            <w:pPr>
              <w:spacing w:after="100"/>
              <w:cnfStyle w:val="100000000000" w:firstRow="1" w:lastRow="0" w:firstColumn="0" w:lastColumn="0" w:oddVBand="0" w:evenVBand="0" w:oddHBand="0" w:evenHBand="0" w:firstRowFirstColumn="0" w:firstRowLastColumn="0" w:lastRowFirstColumn="0" w:lastRowLastColumn="0"/>
            </w:pPr>
            <w:r w:rsidRPr="00A646CA">
              <w:t>Community organisations</w:t>
            </w:r>
          </w:p>
        </w:tc>
        <w:tc>
          <w:tcPr>
            <w:tcW w:w="1650" w:type="dxa"/>
            <w:vAlign w:val="top"/>
          </w:tcPr>
          <w:p w14:paraId="5F6E8CD5" w14:textId="77777777" w:rsidR="000C1A59" w:rsidRPr="00A646CA" w:rsidRDefault="000C1A59" w:rsidP="008964FB">
            <w:pPr>
              <w:spacing w:after="100"/>
              <w:cnfStyle w:val="100000000000" w:firstRow="1" w:lastRow="0" w:firstColumn="0" w:lastColumn="0" w:oddVBand="0" w:evenVBand="0" w:oddHBand="0" w:evenHBand="0" w:firstRowFirstColumn="0" w:firstRowLastColumn="0" w:lastRowFirstColumn="0" w:lastRowLastColumn="0"/>
            </w:pPr>
            <w:r w:rsidRPr="00A646CA">
              <w:t>Total change in costs</w:t>
            </w:r>
          </w:p>
        </w:tc>
      </w:tr>
      <w:tr w:rsidR="000C1A59" w14:paraId="59ED822D" w14:textId="77777777" w:rsidTr="008964FB">
        <w:tc>
          <w:tcPr>
            <w:cnfStyle w:val="001000000000" w:firstRow="0" w:lastRow="0" w:firstColumn="1" w:lastColumn="0" w:oddVBand="0" w:evenVBand="0" w:oddHBand="0" w:evenHBand="0" w:firstRowFirstColumn="0" w:firstRowLastColumn="0" w:lastRowFirstColumn="0" w:lastRowLastColumn="0"/>
            <w:tcW w:w="2547" w:type="dxa"/>
            <w:vAlign w:val="top"/>
          </w:tcPr>
          <w:p w14:paraId="230E815B" w14:textId="4C11EECA" w:rsidR="000C1A59" w:rsidRPr="00861934" w:rsidRDefault="000C1A59" w:rsidP="008964FB">
            <w:pPr>
              <w:spacing w:after="100"/>
              <w:rPr>
                <w:b/>
                <w:bCs/>
              </w:rPr>
            </w:pPr>
            <w:r>
              <w:rPr>
                <w:b/>
                <w:bCs/>
              </w:rPr>
              <w:t>Option 3</w:t>
            </w:r>
          </w:p>
        </w:tc>
        <w:tc>
          <w:tcPr>
            <w:tcW w:w="1559" w:type="dxa"/>
            <w:vAlign w:val="top"/>
          </w:tcPr>
          <w:p w14:paraId="7E854FDB" w14:textId="77777777" w:rsidR="000C1A59" w:rsidRPr="002E4CFB" w:rsidRDefault="000C1A59" w:rsidP="008964FB">
            <w:pPr>
              <w:spacing w:after="100"/>
              <w:cnfStyle w:val="000000000000" w:firstRow="0" w:lastRow="0" w:firstColumn="0" w:lastColumn="0" w:oddVBand="0" w:evenVBand="0" w:oddHBand="0" w:evenHBand="0" w:firstRowFirstColumn="0" w:firstRowLastColumn="0" w:lastRowFirstColumn="0" w:lastRowLastColumn="0"/>
            </w:pPr>
            <w:r w:rsidRPr="002E4CFB">
              <w:t>Nil</w:t>
            </w:r>
          </w:p>
        </w:tc>
        <w:tc>
          <w:tcPr>
            <w:tcW w:w="1701" w:type="dxa"/>
            <w:vAlign w:val="top"/>
          </w:tcPr>
          <w:p w14:paraId="5B556F8E" w14:textId="77777777" w:rsidR="000C1A59" w:rsidRPr="002E4CFB" w:rsidRDefault="000C1A59" w:rsidP="008964FB">
            <w:pPr>
              <w:spacing w:after="100"/>
              <w:cnfStyle w:val="000000000000" w:firstRow="0" w:lastRow="0" w:firstColumn="0" w:lastColumn="0" w:oddVBand="0" w:evenVBand="0" w:oddHBand="0" w:evenHBand="0" w:firstRowFirstColumn="0" w:firstRowLastColumn="0" w:lastRowFirstColumn="0" w:lastRowLastColumn="0"/>
            </w:pPr>
            <w:r w:rsidRPr="002E4CFB">
              <w:t>Nil</w:t>
            </w:r>
          </w:p>
        </w:tc>
        <w:tc>
          <w:tcPr>
            <w:tcW w:w="1559" w:type="dxa"/>
            <w:vAlign w:val="top"/>
          </w:tcPr>
          <w:p w14:paraId="77A5831C" w14:textId="77777777" w:rsidR="000C1A59" w:rsidRPr="002E4CFB" w:rsidRDefault="000C1A59" w:rsidP="008964FB">
            <w:pPr>
              <w:spacing w:after="100"/>
              <w:cnfStyle w:val="000000000000" w:firstRow="0" w:lastRow="0" w:firstColumn="0" w:lastColumn="0" w:oddVBand="0" w:evenVBand="0" w:oddHBand="0" w:evenHBand="0" w:firstRowFirstColumn="0" w:firstRowLastColumn="0" w:lastRowFirstColumn="0" w:lastRowLastColumn="0"/>
            </w:pPr>
            <w:r w:rsidRPr="002E4CFB">
              <w:t xml:space="preserve">Nil </w:t>
            </w:r>
          </w:p>
        </w:tc>
        <w:tc>
          <w:tcPr>
            <w:tcW w:w="1650" w:type="dxa"/>
            <w:vAlign w:val="top"/>
          </w:tcPr>
          <w:p w14:paraId="23A3B1EC" w14:textId="77777777" w:rsidR="000C1A59" w:rsidRPr="002E4CFB" w:rsidRDefault="000C1A59" w:rsidP="008964FB">
            <w:pPr>
              <w:spacing w:after="100"/>
              <w:cnfStyle w:val="000000000000" w:firstRow="0" w:lastRow="0" w:firstColumn="0" w:lastColumn="0" w:oddVBand="0" w:evenVBand="0" w:oddHBand="0" w:evenHBand="0" w:firstRowFirstColumn="0" w:firstRowLastColumn="0" w:lastRowFirstColumn="0" w:lastRowLastColumn="0"/>
            </w:pPr>
            <w:r w:rsidRPr="002E4CFB">
              <w:t>Nil</w:t>
            </w:r>
          </w:p>
        </w:tc>
      </w:tr>
    </w:tbl>
    <w:p w14:paraId="7F2318D7" w14:textId="77777777" w:rsidR="00512FE4" w:rsidRDefault="00512FE4" w:rsidP="000C1A59">
      <w:pPr>
        <w:sectPr w:rsidR="00512FE4" w:rsidSect="00A36CC2">
          <w:pgSz w:w="11906" w:h="16838"/>
          <w:pgMar w:top="1418" w:right="1418" w:bottom="1418" w:left="1418" w:header="0" w:footer="454" w:gutter="0"/>
          <w:cols w:space="708"/>
          <w:docGrid w:linePitch="360"/>
        </w:sectPr>
      </w:pPr>
    </w:p>
    <w:p w14:paraId="2FE45AA2" w14:textId="124BEAEE" w:rsidR="00F04E1D" w:rsidRDefault="53874C76" w:rsidP="005E5E53">
      <w:pPr>
        <w:pStyle w:val="Heading5"/>
      </w:pPr>
      <w:r>
        <w:t>Table 2</w:t>
      </w:r>
      <w:r w:rsidR="7AE87142">
        <w:t>8</w:t>
      </w:r>
      <w:r w:rsidR="445409EE">
        <w:t xml:space="preserve"> – </w:t>
      </w:r>
      <w:r w:rsidR="005E5E53">
        <w:t>Consistency with Guiding Princip</w:t>
      </w:r>
      <w:r w:rsidR="00B052F3">
        <w:t>les</w:t>
      </w:r>
      <w:r w:rsidR="00CD7A73">
        <w:t xml:space="preserve"> – Option 3</w:t>
      </w:r>
    </w:p>
    <w:tbl>
      <w:tblPr>
        <w:tblStyle w:val="TableGrid"/>
        <w:tblW w:w="14029" w:type="dxa"/>
        <w:tblLook w:val="04A0" w:firstRow="1" w:lastRow="0" w:firstColumn="1" w:lastColumn="0" w:noHBand="0" w:noVBand="1"/>
      </w:tblPr>
      <w:tblGrid>
        <w:gridCol w:w="3681"/>
        <w:gridCol w:w="850"/>
        <w:gridCol w:w="9498"/>
      </w:tblGrid>
      <w:tr w:rsidR="00F04E1D" w14:paraId="7EE1D4D0" w14:textId="77777777" w:rsidTr="008B793A">
        <w:trPr>
          <w:trHeight w:val="410"/>
        </w:trPr>
        <w:tc>
          <w:tcPr>
            <w:tcW w:w="3681" w:type="dxa"/>
            <w:shd w:val="clear" w:color="auto" w:fill="404040" w:themeFill="text1" w:themeFillTint="BF"/>
          </w:tcPr>
          <w:p w14:paraId="6675B684" w14:textId="25FD35A4" w:rsidR="00F04E1D" w:rsidRPr="00A54C6D" w:rsidRDefault="00F04E1D" w:rsidP="00BA3819">
            <w:pPr>
              <w:spacing w:before="100" w:beforeAutospacing="1" w:after="100" w:afterAutospacing="1"/>
              <w:jc w:val="center"/>
              <w:rPr>
                <w:rFonts w:ascii="Calibri" w:hAnsi="Calibri"/>
                <w:b/>
                <w:color w:val="FFFFFF" w:themeColor="background1"/>
              </w:rPr>
            </w:pPr>
            <w:r w:rsidRPr="00A54C6D">
              <w:rPr>
                <w:rFonts w:ascii="Calibri" w:hAnsi="Calibri"/>
                <w:b/>
                <w:color w:val="FFFFFF" w:themeColor="background1"/>
              </w:rPr>
              <w:t>Guiding Princip</w:t>
            </w:r>
            <w:r w:rsidR="00B052F3" w:rsidRPr="00A54C6D">
              <w:rPr>
                <w:rFonts w:ascii="Calibri" w:hAnsi="Calibri"/>
                <w:b/>
                <w:color w:val="FFFFFF" w:themeColor="background1"/>
              </w:rPr>
              <w:t>le</w:t>
            </w:r>
          </w:p>
        </w:tc>
        <w:tc>
          <w:tcPr>
            <w:tcW w:w="850" w:type="dxa"/>
            <w:shd w:val="clear" w:color="auto" w:fill="404040" w:themeFill="text1" w:themeFillTint="BF"/>
          </w:tcPr>
          <w:p w14:paraId="4CE7D299" w14:textId="77777777" w:rsidR="00F04E1D" w:rsidRPr="00A54C6D" w:rsidRDefault="00F04E1D" w:rsidP="00BA3819">
            <w:pPr>
              <w:spacing w:before="100" w:beforeAutospacing="1" w:after="100" w:afterAutospacing="1"/>
              <w:jc w:val="center"/>
              <w:rPr>
                <w:rFonts w:ascii="Calibri" w:hAnsi="Calibri"/>
                <w:b/>
                <w:color w:val="FFFFFF" w:themeColor="background1"/>
              </w:rPr>
            </w:pPr>
            <w:r w:rsidRPr="00A54C6D">
              <w:rPr>
                <w:rFonts w:ascii="Calibri" w:hAnsi="Calibri"/>
                <w:b/>
                <w:color w:val="FFFFFF" w:themeColor="background1"/>
              </w:rPr>
              <w:t>Rating</w:t>
            </w:r>
          </w:p>
        </w:tc>
        <w:tc>
          <w:tcPr>
            <w:tcW w:w="9498" w:type="dxa"/>
            <w:shd w:val="clear" w:color="auto" w:fill="404040" w:themeFill="text1" w:themeFillTint="BF"/>
          </w:tcPr>
          <w:p w14:paraId="74871FF4" w14:textId="77777777" w:rsidR="00F04E1D" w:rsidRPr="00A54C6D" w:rsidRDefault="00F04E1D" w:rsidP="00BA3819">
            <w:pPr>
              <w:spacing w:before="100" w:beforeAutospacing="1" w:after="100" w:afterAutospacing="1"/>
              <w:jc w:val="center"/>
              <w:rPr>
                <w:rFonts w:ascii="Calibri" w:hAnsi="Calibri"/>
                <w:b/>
                <w:color w:val="FFFFFF" w:themeColor="background1"/>
              </w:rPr>
            </w:pPr>
            <w:r w:rsidRPr="00A54C6D">
              <w:rPr>
                <w:rFonts w:ascii="Calibri" w:hAnsi="Calibri"/>
                <w:b/>
                <w:color w:val="FFFFFF" w:themeColor="background1"/>
              </w:rPr>
              <w:t>Justification</w:t>
            </w:r>
          </w:p>
        </w:tc>
      </w:tr>
      <w:tr w:rsidR="001D0D07" w14:paraId="7E5F83BA" w14:textId="77777777" w:rsidTr="008B793A">
        <w:trPr>
          <w:trHeight w:val="871"/>
        </w:trPr>
        <w:tc>
          <w:tcPr>
            <w:tcW w:w="3681" w:type="dxa"/>
            <w:shd w:val="clear" w:color="auto" w:fill="D9D9D9" w:themeFill="background1" w:themeFillShade="D9"/>
          </w:tcPr>
          <w:p w14:paraId="38AE3576" w14:textId="77777777" w:rsidR="001D0D07" w:rsidRDefault="001D0D07" w:rsidP="001D0D07">
            <w:r>
              <w:t>Australia’s workplace relations system must reflect modern working arrangements and be capable of evolving with emerging forms of work and business practices.</w:t>
            </w:r>
          </w:p>
        </w:tc>
        <w:tc>
          <w:tcPr>
            <w:tcW w:w="850" w:type="dxa"/>
            <w:shd w:val="clear" w:color="auto" w:fill="92D050"/>
          </w:tcPr>
          <w:p w14:paraId="0E45BA20" w14:textId="42FB1AF5" w:rsidR="001D0D07" w:rsidRDefault="001D0D07" w:rsidP="001D0D07">
            <w:r>
              <w:t>Good</w:t>
            </w:r>
          </w:p>
        </w:tc>
        <w:tc>
          <w:tcPr>
            <w:tcW w:w="9498" w:type="dxa"/>
            <w:shd w:val="clear" w:color="auto" w:fill="auto"/>
          </w:tcPr>
          <w:p w14:paraId="24021154" w14:textId="6BDA2343" w:rsidR="001D0D07" w:rsidRDefault="001D0D07" w:rsidP="001D0D07">
            <w:r>
              <w:t xml:space="preserve">This option would ensure that the workplace relations system can provide </w:t>
            </w:r>
            <w:r w:rsidR="0098058D">
              <w:t>all independent contractor</w:t>
            </w:r>
            <w:r w:rsidR="001C0FE5">
              <w:t>s (subject to a high income threshold)</w:t>
            </w:r>
            <w:r>
              <w:t xml:space="preserve"> access to appropriate protections and dispute resolution.</w:t>
            </w:r>
          </w:p>
        </w:tc>
      </w:tr>
      <w:tr w:rsidR="001D0D07" w14:paraId="4AB3AACC" w14:textId="77777777" w:rsidTr="008B793A">
        <w:trPr>
          <w:trHeight w:val="1660"/>
        </w:trPr>
        <w:tc>
          <w:tcPr>
            <w:tcW w:w="3681" w:type="dxa"/>
            <w:shd w:val="clear" w:color="auto" w:fill="D9D9D9" w:themeFill="background1" w:themeFillShade="D9"/>
          </w:tcPr>
          <w:p w14:paraId="314D69F6" w14:textId="77777777" w:rsidR="001D0D07" w:rsidRDefault="001D0D07" w:rsidP="001D0D07">
            <w:r>
              <w:t>All workers should have access to minimum rights and protections regardless of whether they are characterised as an employee or an independent contractor, including access to freedom of association and dispute resolution.</w:t>
            </w:r>
          </w:p>
        </w:tc>
        <w:tc>
          <w:tcPr>
            <w:tcW w:w="850" w:type="dxa"/>
            <w:shd w:val="clear" w:color="auto" w:fill="92D050"/>
          </w:tcPr>
          <w:p w14:paraId="01E6D1B8" w14:textId="66B798A7" w:rsidR="001D0D07" w:rsidRDefault="001D0D07" w:rsidP="001D0D07">
            <w:r>
              <w:t>Good</w:t>
            </w:r>
          </w:p>
        </w:tc>
        <w:tc>
          <w:tcPr>
            <w:tcW w:w="9498" w:type="dxa"/>
            <w:shd w:val="clear" w:color="auto" w:fill="auto"/>
          </w:tcPr>
          <w:p w14:paraId="0F084109" w14:textId="5E366484" w:rsidR="001D0D07" w:rsidRDefault="001D0D07" w:rsidP="001D0D07">
            <w:r>
              <w:t xml:space="preserve">This option provides all independent contractors </w:t>
            </w:r>
            <w:r w:rsidR="00431A9B">
              <w:t>(subject to a high income threshold)</w:t>
            </w:r>
            <w:r>
              <w:t xml:space="preserve"> with improved access to dispute unfair contracts. This significantly improves access to rights and protections </w:t>
            </w:r>
            <w:r w:rsidR="005E5E53">
              <w:t xml:space="preserve">for workers, regardless of their work status. </w:t>
            </w:r>
            <w:r>
              <w:t xml:space="preserve">  </w:t>
            </w:r>
          </w:p>
        </w:tc>
      </w:tr>
      <w:tr w:rsidR="005E5E53" w14:paraId="36FDB20C" w14:textId="77777777" w:rsidTr="008B793A">
        <w:trPr>
          <w:trHeight w:val="1267"/>
        </w:trPr>
        <w:tc>
          <w:tcPr>
            <w:tcW w:w="3681" w:type="dxa"/>
            <w:shd w:val="clear" w:color="auto" w:fill="D9D9D9" w:themeFill="background1" w:themeFillShade="D9"/>
          </w:tcPr>
          <w:p w14:paraId="69AC2B40" w14:textId="77777777" w:rsidR="005E5E53" w:rsidRDefault="005E5E53" w:rsidP="005E5E53">
            <w:r>
              <w:t>Businesses should benefit from a level playing field among industry participants while promoting competition and innovation.</w:t>
            </w:r>
          </w:p>
        </w:tc>
        <w:tc>
          <w:tcPr>
            <w:tcW w:w="850" w:type="dxa"/>
            <w:shd w:val="clear" w:color="auto" w:fill="92D050"/>
          </w:tcPr>
          <w:p w14:paraId="0D04199C" w14:textId="43398D7A" w:rsidR="005E5E53" w:rsidRDefault="006E70E5" w:rsidP="005E5E53">
            <w:r>
              <w:t>Good</w:t>
            </w:r>
          </w:p>
        </w:tc>
        <w:tc>
          <w:tcPr>
            <w:tcW w:w="9498" w:type="dxa"/>
            <w:shd w:val="clear" w:color="auto" w:fill="auto"/>
          </w:tcPr>
          <w:p w14:paraId="7157239A" w14:textId="725C446C" w:rsidR="005E5E53" w:rsidRDefault="006E70E5" w:rsidP="00BE2CB3">
            <w:pPr>
              <w:spacing w:after="0"/>
            </w:pPr>
            <w:r>
              <w:t>This option would i</w:t>
            </w:r>
            <w:r w:rsidR="00FC77C9">
              <w:t>ncrease the fairness of competition by helping to ensure</w:t>
            </w:r>
            <w:r>
              <w:t xml:space="preserve"> that businesses </w:t>
            </w:r>
            <w:r w:rsidR="00FC77C9">
              <w:t xml:space="preserve">in any sector </w:t>
            </w:r>
            <w:r>
              <w:t>do not gain an unfair advantage from deliberately setting unfair contractual terms.</w:t>
            </w:r>
          </w:p>
        </w:tc>
      </w:tr>
      <w:tr w:rsidR="005E5E53" w14:paraId="1DF22828" w14:textId="77777777" w:rsidTr="008B793A">
        <w:trPr>
          <w:trHeight w:val="871"/>
        </w:trPr>
        <w:tc>
          <w:tcPr>
            <w:tcW w:w="3681" w:type="dxa"/>
            <w:shd w:val="clear" w:color="auto" w:fill="D9D9D9" w:themeFill="background1" w:themeFillShade="D9"/>
          </w:tcPr>
          <w:p w14:paraId="3DA44DCD" w14:textId="77777777" w:rsidR="005E5E53" w:rsidRDefault="005E5E53" w:rsidP="005E5E53">
            <w:r>
              <w:t>The Fair Work Commission should set minimum standards that:</w:t>
            </w:r>
          </w:p>
          <w:p w14:paraId="63498A56" w14:textId="77777777" w:rsidR="005E5E53" w:rsidRDefault="005E5E53" w:rsidP="004C1E1F">
            <w:pPr>
              <w:pStyle w:val="List"/>
              <w:numPr>
                <w:ilvl w:val="0"/>
                <w:numId w:val="13"/>
              </w:numPr>
              <w:spacing w:line="276" w:lineRule="auto"/>
              <w:ind w:left="714" w:hanging="357"/>
              <w:contextualSpacing w:val="0"/>
            </w:pPr>
            <w:r>
              <w:t>are fair, relevant, proportionate, sustainable and responsive</w:t>
            </w:r>
          </w:p>
          <w:p w14:paraId="174CEF6B" w14:textId="77777777" w:rsidR="005E5E53" w:rsidRDefault="005E5E53" w:rsidP="001843D0">
            <w:pPr>
              <w:pStyle w:val="List"/>
              <w:numPr>
                <w:ilvl w:val="0"/>
                <w:numId w:val="13"/>
              </w:numPr>
              <w:spacing w:line="276" w:lineRule="auto"/>
              <w:ind w:left="714" w:hanging="357"/>
              <w:contextualSpacing w:val="0"/>
            </w:pPr>
            <w:r>
              <w:t>reflect workers’ independence and flexible working arrangements, for example choosing which tasks to accept and refuse, how to undertake their work, where and when they work, and which businesses to contract with</w:t>
            </w:r>
          </w:p>
          <w:p w14:paraId="7D899E1B" w14:textId="77777777" w:rsidR="005E5E53" w:rsidRDefault="005E5E53" w:rsidP="001843D0">
            <w:pPr>
              <w:pStyle w:val="List"/>
              <w:numPr>
                <w:ilvl w:val="0"/>
                <w:numId w:val="13"/>
              </w:numPr>
              <w:spacing w:line="276" w:lineRule="auto"/>
              <w:ind w:left="714" w:hanging="357"/>
              <w:contextualSpacing w:val="0"/>
            </w:pPr>
            <w:r>
              <w:t xml:space="preserve">mitigate to the greatest extent possible unintended consequences for workers, businesses, consumers and other aspects of the labour market </w:t>
            </w:r>
          </w:p>
        </w:tc>
        <w:tc>
          <w:tcPr>
            <w:tcW w:w="850" w:type="dxa"/>
            <w:shd w:val="clear" w:color="auto" w:fill="auto"/>
          </w:tcPr>
          <w:p w14:paraId="23836187" w14:textId="77777777" w:rsidR="005E5E53" w:rsidRDefault="005E5E53" w:rsidP="005E5E53">
            <w:r>
              <w:t>N/A</w:t>
            </w:r>
          </w:p>
        </w:tc>
        <w:tc>
          <w:tcPr>
            <w:tcW w:w="9498" w:type="dxa"/>
            <w:shd w:val="clear" w:color="auto" w:fill="auto"/>
          </w:tcPr>
          <w:p w14:paraId="02414B4B" w14:textId="4062FD2C" w:rsidR="005E5E53" w:rsidRDefault="005E5E53" w:rsidP="005E5E53">
            <w:r>
              <w:rPr>
                <w:rStyle w:val="normaltextrun"/>
                <w:rFonts w:ascii="Calibri" w:hAnsi="Calibri" w:cs="Calibri"/>
                <w:color w:val="262626"/>
                <w:shd w:val="clear" w:color="auto" w:fill="FFFFFF"/>
                <w:lang w:val="en-GB"/>
              </w:rPr>
              <w:t xml:space="preserve">This factor relates to standard-setting and is out of scope of this option. </w:t>
            </w:r>
          </w:p>
        </w:tc>
      </w:tr>
      <w:tr w:rsidR="005E5E53" w14:paraId="2CCE31DD" w14:textId="77777777" w:rsidTr="008B793A">
        <w:trPr>
          <w:trHeight w:val="871"/>
        </w:trPr>
        <w:tc>
          <w:tcPr>
            <w:tcW w:w="3681" w:type="dxa"/>
            <w:shd w:val="clear" w:color="auto" w:fill="D9D9D9" w:themeFill="background1" w:themeFillShade="D9"/>
          </w:tcPr>
          <w:p w14:paraId="5C76EA2C" w14:textId="2D81BB30" w:rsidR="005E5E53" w:rsidRDefault="005E5E53" w:rsidP="005E5E53">
            <w:r>
              <w:t>The standard-setting framework should be accessible, transparent, fair and offer a high degree of certainty to affected parties.</w:t>
            </w:r>
          </w:p>
        </w:tc>
        <w:tc>
          <w:tcPr>
            <w:tcW w:w="850" w:type="dxa"/>
            <w:shd w:val="clear" w:color="auto" w:fill="auto"/>
          </w:tcPr>
          <w:p w14:paraId="5902861B" w14:textId="77777777" w:rsidR="005E5E53" w:rsidRDefault="005E5E53" w:rsidP="005E5E53">
            <w:r>
              <w:t>N/A</w:t>
            </w:r>
          </w:p>
        </w:tc>
        <w:tc>
          <w:tcPr>
            <w:tcW w:w="9498" w:type="dxa"/>
          </w:tcPr>
          <w:p w14:paraId="50DF97C5" w14:textId="30975701" w:rsidR="005E5E53" w:rsidRDefault="005E5E53" w:rsidP="005E5E53">
            <w:r>
              <w:rPr>
                <w:rStyle w:val="normaltextrun"/>
                <w:rFonts w:ascii="Calibri" w:hAnsi="Calibri" w:cs="Calibri"/>
                <w:color w:val="262626"/>
                <w:shd w:val="clear" w:color="auto" w:fill="FFFFFF"/>
                <w:lang w:val="en-GB"/>
              </w:rPr>
              <w:t xml:space="preserve">This factor relates to standard-setting and is out of scope of this option. </w:t>
            </w:r>
          </w:p>
        </w:tc>
      </w:tr>
    </w:tbl>
    <w:p w14:paraId="19382D16" w14:textId="77777777" w:rsidR="00512FE4" w:rsidRDefault="00512FE4" w:rsidP="00F04E1D">
      <w:pPr>
        <w:sectPr w:rsidR="00512FE4" w:rsidSect="008B793A">
          <w:pgSz w:w="16838" w:h="11906" w:orient="landscape"/>
          <w:pgMar w:top="1418" w:right="1418" w:bottom="1418" w:left="1418" w:header="0" w:footer="454" w:gutter="0"/>
          <w:cols w:space="708"/>
          <w:docGrid w:linePitch="360"/>
        </w:sectPr>
      </w:pPr>
    </w:p>
    <w:p w14:paraId="688AF3EF" w14:textId="511EA117" w:rsidR="00900BB2" w:rsidRDefault="005103E2" w:rsidP="00DB2823">
      <w:pPr>
        <w:pStyle w:val="Heading1"/>
        <w:numPr>
          <w:ilvl w:val="0"/>
          <w:numId w:val="1"/>
        </w:numPr>
      </w:pPr>
      <w:bookmarkStart w:id="67" w:name="_Toc139295575"/>
      <w:r>
        <w:t>Preferred option</w:t>
      </w:r>
      <w:r w:rsidR="009E65C9">
        <w:t>s</w:t>
      </w:r>
      <w:r>
        <w:t xml:space="preserve"> and implementation plan</w:t>
      </w:r>
      <w:bookmarkEnd w:id="67"/>
      <w:r w:rsidR="003C767B">
        <w:t xml:space="preserve"> </w:t>
      </w:r>
    </w:p>
    <w:p w14:paraId="09EFFB5A" w14:textId="437A35F1" w:rsidR="00B21BF4" w:rsidRPr="00BA3819" w:rsidRDefault="009E65C9" w:rsidP="004B4F63">
      <w:pPr>
        <w:pStyle w:val="Heading2"/>
        <w:spacing w:after="200"/>
      </w:pPr>
      <w:bookmarkStart w:id="68" w:name="_Toc139295576"/>
      <w:r w:rsidRPr="00BA3819">
        <w:t>Preferred options</w:t>
      </w:r>
      <w:bookmarkEnd w:id="68"/>
    </w:p>
    <w:p w14:paraId="14D951CF" w14:textId="0D0CB5A3" w:rsidR="00091558" w:rsidRDefault="009E65C9" w:rsidP="00B21BF4">
      <w:r>
        <w:t>The preferred minimum standards opt</w:t>
      </w:r>
      <w:r w:rsidR="00D2745B">
        <w:t xml:space="preserve">ion is </w:t>
      </w:r>
      <w:r w:rsidR="00D2745B" w:rsidRPr="00BB22F9">
        <w:rPr>
          <w:b/>
          <w:bCs/>
        </w:rPr>
        <w:t>Option 4</w:t>
      </w:r>
      <w:r w:rsidR="00D2745B">
        <w:t xml:space="preserve"> </w:t>
      </w:r>
      <w:r w:rsidR="00624CBC">
        <w:t xml:space="preserve">(minimum standards for </w:t>
      </w:r>
      <w:r w:rsidR="00FE2FB4">
        <w:t>digital platform</w:t>
      </w:r>
      <w:r w:rsidR="00624CBC">
        <w:t xml:space="preserve"> workers and road transport workers</w:t>
      </w:r>
      <w:r w:rsidR="00BB22F9">
        <w:t xml:space="preserve">, with </w:t>
      </w:r>
      <w:r w:rsidR="00CC7A4A">
        <w:t>an interpretive principle to determine the meaning of ‘employee’ and ‘employ</w:t>
      </w:r>
      <w:r w:rsidR="00B63BDA">
        <w:t>ment</w:t>
      </w:r>
      <w:r w:rsidR="00CC7A4A">
        <w:t>’</w:t>
      </w:r>
      <w:r w:rsidR="00BB22F9">
        <w:t xml:space="preserve">). For improving access to dispute resolution of unfair contracts, the preferred option is </w:t>
      </w:r>
      <w:r w:rsidR="00D2745B" w:rsidRPr="002E4CFB">
        <w:rPr>
          <w:b/>
        </w:rPr>
        <w:t xml:space="preserve">Option </w:t>
      </w:r>
      <w:r w:rsidR="00DF5357">
        <w:rPr>
          <w:b/>
          <w:bCs/>
        </w:rPr>
        <w:t>3</w:t>
      </w:r>
      <w:r w:rsidR="00D2745B">
        <w:t xml:space="preserve">. </w:t>
      </w:r>
      <w:r w:rsidR="00BB22F9">
        <w:t xml:space="preserve">The department </w:t>
      </w:r>
      <w:r w:rsidR="000025C8">
        <w:t xml:space="preserve">considers these options to have the best net benefit, defined as their consistency with the guiding principles balanced by the estimated regulatory burden. </w:t>
      </w:r>
    </w:p>
    <w:p w14:paraId="0CD2BC37" w14:textId="35927285" w:rsidR="007561DF" w:rsidRPr="00A646CA" w:rsidRDefault="007561DF" w:rsidP="007561DF">
      <w:pPr>
        <w:pStyle w:val="Heading2"/>
      </w:pPr>
      <w:bookmarkStart w:id="69" w:name="_Toc138508272"/>
      <w:bookmarkStart w:id="70" w:name="_Toc139295577"/>
      <w:r w:rsidRPr="00A646CA">
        <w:t>Summary of impacts</w:t>
      </w:r>
      <w:bookmarkEnd w:id="69"/>
      <w:bookmarkEnd w:id="70"/>
      <w:r w:rsidRPr="00A646CA">
        <w:t xml:space="preserve"> </w:t>
      </w:r>
    </w:p>
    <w:p w14:paraId="0B8B3CB6" w14:textId="77777777" w:rsidR="007561DF" w:rsidRDefault="007561DF" w:rsidP="007561DF">
      <w:pPr>
        <w:pStyle w:val="Heading3"/>
      </w:pPr>
      <w:bookmarkStart w:id="71" w:name="_Toc138508273"/>
      <w:bookmarkStart w:id="72" w:name="_Toc139295578"/>
      <w:r w:rsidRPr="00A646CA">
        <w:t>Minimum standards</w:t>
      </w:r>
      <w:bookmarkEnd w:id="71"/>
      <w:bookmarkEnd w:id="72"/>
    </w:p>
    <w:p w14:paraId="1C90DC17" w14:textId="17FAA11B" w:rsidR="126DEE0E" w:rsidRDefault="126DEE0E" w:rsidP="00A54C6D">
      <w:r w:rsidRPr="13D6ED75">
        <w:rPr>
          <w:b/>
          <w:bCs/>
        </w:rPr>
        <w:t xml:space="preserve">Table </w:t>
      </w:r>
      <w:r w:rsidRPr="13FDA411">
        <w:rPr>
          <w:b/>
          <w:bCs/>
        </w:rPr>
        <w:t>2</w:t>
      </w:r>
      <w:r w:rsidR="5E812E6C" w:rsidRPr="13FDA411">
        <w:rPr>
          <w:b/>
          <w:bCs/>
        </w:rPr>
        <w:t>9</w:t>
      </w:r>
      <w:r w:rsidRPr="13D6ED75">
        <w:rPr>
          <w:b/>
          <w:bCs/>
        </w:rPr>
        <w:t xml:space="preserve"> – Average annual wage increases for workers (from business as usual)</w:t>
      </w:r>
    </w:p>
    <w:tbl>
      <w:tblPr>
        <w:tblStyle w:val="DESE"/>
        <w:tblW w:w="5000" w:type="pct"/>
        <w:tblLayout w:type="fixed"/>
        <w:tblLook w:val="04A0" w:firstRow="1" w:lastRow="0" w:firstColumn="1" w:lastColumn="0" w:noHBand="0" w:noVBand="1"/>
      </w:tblPr>
      <w:tblGrid>
        <w:gridCol w:w="1837"/>
        <w:gridCol w:w="1812"/>
        <w:gridCol w:w="1812"/>
        <w:gridCol w:w="1812"/>
        <w:gridCol w:w="1787"/>
      </w:tblGrid>
      <w:tr w:rsidR="007561DF" w14:paraId="5A5CB4EE" w14:textId="77777777" w:rsidTr="0057363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14" w:type="pct"/>
            <w:tcBorders>
              <w:top w:val="single" w:sz="4" w:space="0" w:color="002D3F" w:themeColor="accent1"/>
            </w:tcBorders>
          </w:tcPr>
          <w:p w14:paraId="77A4C477" w14:textId="77777777" w:rsidR="007561DF" w:rsidRPr="00B100CC" w:rsidRDefault="007561DF" w:rsidP="00671CA4">
            <w:pPr>
              <w:spacing w:after="100"/>
            </w:pPr>
          </w:p>
        </w:tc>
        <w:tc>
          <w:tcPr>
            <w:tcW w:w="3986" w:type="pct"/>
            <w:gridSpan w:val="4"/>
            <w:tcBorders>
              <w:top w:val="single" w:sz="4" w:space="0" w:color="002D3F" w:themeColor="accent1"/>
            </w:tcBorders>
          </w:tcPr>
          <w:p w14:paraId="07120BD6" w14:textId="4E4017C8" w:rsidR="007561DF" w:rsidRPr="00A646CA" w:rsidRDefault="007561DF" w:rsidP="00671CA4">
            <w:pPr>
              <w:spacing w:after="100"/>
              <w:jc w:val="center"/>
              <w:cnfStyle w:val="100000000000" w:firstRow="1" w:lastRow="0" w:firstColumn="0" w:lastColumn="0" w:oddVBand="0" w:evenVBand="0" w:oddHBand="0" w:evenHBand="0" w:firstRowFirstColumn="0" w:firstRowLastColumn="0" w:lastRowFirstColumn="0" w:lastRowLastColumn="0"/>
            </w:pPr>
            <w:r w:rsidRPr="00A54C6D">
              <w:rPr>
                <w:b/>
              </w:rPr>
              <w:t>Average annual wage increases for workers (from business as usual)</w:t>
            </w:r>
          </w:p>
        </w:tc>
      </w:tr>
      <w:tr w:rsidR="00742206" w14:paraId="5ADE9234" w14:textId="77777777" w:rsidTr="00087A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00" w:type="pct"/>
            <w:tcBorders>
              <w:top w:val="single" w:sz="4" w:space="0" w:color="002D3F" w:themeColor="accent1"/>
            </w:tcBorders>
          </w:tcPr>
          <w:p w14:paraId="31960466" w14:textId="77777777" w:rsidR="007561DF" w:rsidRDefault="007561DF" w:rsidP="00671CA4">
            <w:pPr>
              <w:spacing w:after="100"/>
            </w:pPr>
            <w:r>
              <w:t>Option</w:t>
            </w:r>
          </w:p>
        </w:tc>
        <w:tc>
          <w:tcPr>
            <w:tcW w:w="1000" w:type="pct"/>
            <w:tcBorders>
              <w:top w:val="single" w:sz="4" w:space="0" w:color="002D3F" w:themeColor="accent1"/>
            </w:tcBorders>
            <w:vAlign w:val="top"/>
          </w:tcPr>
          <w:p w14:paraId="63339325" w14:textId="77777777" w:rsidR="007561DF" w:rsidRPr="00A646CA" w:rsidRDefault="007561DF" w:rsidP="00671CA4">
            <w:pPr>
              <w:spacing w:after="100"/>
              <w:cnfStyle w:val="100000000000" w:firstRow="1" w:lastRow="0" w:firstColumn="0" w:lastColumn="0" w:oddVBand="0" w:evenVBand="0" w:oddHBand="0" w:evenHBand="0" w:firstRowFirstColumn="0" w:firstRowLastColumn="0" w:lastRowFirstColumn="0" w:lastRowLastColumn="0"/>
            </w:pPr>
            <w:r w:rsidRPr="00A646CA">
              <w:t>Independent contractors</w:t>
            </w:r>
          </w:p>
        </w:tc>
        <w:tc>
          <w:tcPr>
            <w:tcW w:w="1000" w:type="pct"/>
            <w:vAlign w:val="top"/>
          </w:tcPr>
          <w:p w14:paraId="4CA0E754" w14:textId="77777777" w:rsidR="007561DF" w:rsidRPr="00A646CA" w:rsidRDefault="007561DF" w:rsidP="00671CA4">
            <w:pPr>
              <w:spacing w:after="100"/>
              <w:cnfStyle w:val="100000000000" w:firstRow="1" w:lastRow="0" w:firstColumn="0" w:lastColumn="0" w:oddVBand="0" w:evenVBand="0" w:oddHBand="0" w:evenHBand="0" w:firstRowFirstColumn="0" w:firstRowLastColumn="0" w:lastRowFirstColumn="0" w:lastRowLastColumn="0"/>
            </w:pPr>
            <w:r w:rsidRPr="00A646CA">
              <w:t>Business</w:t>
            </w:r>
          </w:p>
        </w:tc>
        <w:tc>
          <w:tcPr>
            <w:tcW w:w="1000" w:type="pct"/>
            <w:vAlign w:val="top"/>
          </w:tcPr>
          <w:p w14:paraId="53D76924" w14:textId="77777777" w:rsidR="007561DF" w:rsidRPr="00A646CA" w:rsidRDefault="007561DF" w:rsidP="00671CA4">
            <w:pPr>
              <w:spacing w:after="100"/>
              <w:cnfStyle w:val="100000000000" w:firstRow="1" w:lastRow="0" w:firstColumn="0" w:lastColumn="0" w:oddVBand="0" w:evenVBand="0" w:oddHBand="0" w:evenHBand="0" w:firstRowFirstColumn="0" w:firstRowLastColumn="0" w:lastRowFirstColumn="0" w:lastRowLastColumn="0"/>
            </w:pPr>
            <w:r w:rsidRPr="00A646CA">
              <w:t>Community organisations</w:t>
            </w:r>
          </w:p>
        </w:tc>
        <w:tc>
          <w:tcPr>
            <w:tcW w:w="1000" w:type="pct"/>
            <w:vAlign w:val="top"/>
          </w:tcPr>
          <w:p w14:paraId="09E96BF0" w14:textId="77777777" w:rsidR="007561DF" w:rsidRPr="00A646CA" w:rsidRDefault="007561DF" w:rsidP="00671CA4">
            <w:pPr>
              <w:spacing w:after="100"/>
              <w:cnfStyle w:val="100000000000" w:firstRow="1" w:lastRow="0" w:firstColumn="0" w:lastColumn="0" w:oddVBand="0" w:evenVBand="0" w:oddHBand="0" w:evenHBand="0" w:firstRowFirstColumn="0" w:firstRowLastColumn="0" w:lastRowFirstColumn="0" w:lastRowLastColumn="0"/>
            </w:pPr>
            <w:r w:rsidRPr="00A646CA">
              <w:t>Total change in costs</w:t>
            </w:r>
          </w:p>
        </w:tc>
      </w:tr>
      <w:tr w:rsidR="007561DF" w14:paraId="27F82B75" w14:textId="77777777" w:rsidTr="00087A2C">
        <w:tc>
          <w:tcPr>
            <w:cnfStyle w:val="001000000000" w:firstRow="0" w:lastRow="0" w:firstColumn="1" w:lastColumn="0" w:oddVBand="0" w:evenVBand="0" w:oddHBand="0" w:evenHBand="0" w:firstRowFirstColumn="0" w:firstRowLastColumn="0" w:lastRowFirstColumn="0" w:lastRowLastColumn="0"/>
            <w:tcW w:w="1000" w:type="pct"/>
            <w:vAlign w:val="top"/>
          </w:tcPr>
          <w:p w14:paraId="279BC1B0" w14:textId="77777777" w:rsidR="007561DF" w:rsidRPr="003854C0" w:rsidRDefault="007561DF" w:rsidP="00671CA4">
            <w:pPr>
              <w:spacing w:after="100"/>
              <w:rPr>
                <w:b/>
              </w:rPr>
            </w:pPr>
            <w:r w:rsidRPr="003854C0">
              <w:rPr>
                <w:b/>
              </w:rPr>
              <w:t>Option 1 (Status Quo)</w:t>
            </w:r>
          </w:p>
        </w:tc>
        <w:tc>
          <w:tcPr>
            <w:tcW w:w="1000" w:type="pct"/>
            <w:vAlign w:val="top"/>
          </w:tcPr>
          <w:p w14:paraId="1D624CE3"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3854C0">
              <w:t>Nil</w:t>
            </w:r>
          </w:p>
        </w:tc>
        <w:tc>
          <w:tcPr>
            <w:tcW w:w="1000" w:type="pct"/>
            <w:vAlign w:val="top"/>
          </w:tcPr>
          <w:p w14:paraId="5F2C7309"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3854C0">
              <w:t>Nil</w:t>
            </w:r>
          </w:p>
        </w:tc>
        <w:tc>
          <w:tcPr>
            <w:tcW w:w="1000" w:type="pct"/>
            <w:vAlign w:val="top"/>
          </w:tcPr>
          <w:p w14:paraId="4746008D"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3854C0">
              <w:t xml:space="preserve">Nil </w:t>
            </w:r>
          </w:p>
        </w:tc>
        <w:tc>
          <w:tcPr>
            <w:tcW w:w="1000" w:type="pct"/>
            <w:vAlign w:val="top"/>
          </w:tcPr>
          <w:p w14:paraId="63900AB8"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3854C0">
              <w:t>Nil</w:t>
            </w:r>
          </w:p>
        </w:tc>
      </w:tr>
      <w:tr w:rsidR="007561DF" w14:paraId="565232D9" w14:textId="77777777" w:rsidTr="00087A2C">
        <w:tc>
          <w:tcPr>
            <w:cnfStyle w:val="001000000000" w:firstRow="0" w:lastRow="0" w:firstColumn="1" w:lastColumn="0" w:oddVBand="0" w:evenVBand="0" w:oddHBand="0" w:evenHBand="0" w:firstRowFirstColumn="0" w:firstRowLastColumn="0" w:lastRowFirstColumn="0" w:lastRowLastColumn="0"/>
            <w:tcW w:w="1000" w:type="pct"/>
            <w:vAlign w:val="top"/>
          </w:tcPr>
          <w:p w14:paraId="76A7EF95" w14:textId="77777777" w:rsidR="007561DF" w:rsidRPr="003854C0" w:rsidRDefault="007561DF" w:rsidP="00671CA4">
            <w:pPr>
              <w:spacing w:after="100"/>
              <w:rPr>
                <w:b/>
              </w:rPr>
            </w:pPr>
            <w:r w:rsidRPr="003854C0">
              <w:rPr>
                <w:b/>
              </w:rPr>
              <w:t>Option 2</w:t>
            </w:r>
          </w:p>
        </w:tc>
        <w:tc>
          <w:tcPr>
            <w:tcW w:w="1000" w:type="pct"/>
            <w:vAlign w:val="top"/>
          </w:tcPr>
          <w:p w14:paraId="239F1D4B"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t>$403,803,268.07 per year</w:t>
            </w:r>
          </w:p>
        </w:tc>
        <w:tc>
          <w:tcPr>
            <w:tcW w:w="1000" w:type="pct"/>
            <w:vAlign w:val="top"/>
          </w:tcPr>
          <w:p w14:paraId="2A338AF5"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3854C0">
              <w:t>Nil</w:t>
            </w:r>
          </w:p>
        </w:tc>
        <w:tc>
          <w:tcPr>
            <w:tcW w:w="1000" w:type="pct"/>
            <w:vAlign w:val="top"/>
          </w:tcPr>
          <w:p w14:paraId="1666A223"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3854C0">
              <w:t>Nil</w:t>
            </w:r>
          </w:p>
        </w:tc>
        <w:tc>
          <w:tcPr>
            <w:tcW w:w="1000" w:type="pct"/>
            <w:vAlign w:val="top"/>
          </w:tcPr>
          <w:p w14:paraId="7A66D6FA"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t>$403,803,268.07 per year</w:t>
            </w:r>
          </w:p>
        </w:tc>
      </w:tr>
      <w:tr w:rsidR="007561DF" w14:paraId="46C6410E" w14:textId="77777777" w:rsidTr="00087A2C">
        <w:tc>
          <w:tcPr>
            <w:cnfStyle w:val="001000000000" w:firstRow="0" w:lastRow="0" w:firstColumn="1" w:lastColumn="0" w:oddVBand="0" w:evenVBand="0" w:oddHBand="0" w:evenHBand="0" w:firstRowFirstColumn="0" w:firstRowLastColumn="0" w:lastRowFirstColumn="0" w:lastRowLastColumn="0"/>
            <w:tcW w:w="1000" w:type="pct"/>
            <w:vAlign w:val="top"/>
          </w:tcPr>
          <w:p w14:paraId="2A759CC1" w14:textId="77777777" w:rsidR="007561DF" w:rsidRPr="003854C0" w:rsidRDefault="007561DF" w:rsidP="00671CA4">
            <w:pPr>
              <w:spacing w:after="100"/>
              <w:rPr>
                <w:b/>
              </w:rPr>
            </w:pPr>
            <w:r w:rsidRPr="003854C0">
              <w:rPr>
                <w:b/>
              </w:rPr>
              <w:t>Option 3</w:t>
            </w:r>
          </w:p>
        </w:tc>
        <w:tc>
          <w:tcPr>
            <w:tcW w:w="1000" w:type="pct"/>
            <w:vAlign w:val="top"/>
          </w:tcPr>
          <w:p w14:paraId="7D0B5D7E" w14:textId="710ACD60"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t>$4</w:t>
            </w:r>
            <w:r w:rsidR="00683156">
              <w:t>07,6</w:t>
            </w:r>
            <w:r w:rsidR="009C0AD3">
              <w:t>5</w:t>
            </w:r>
            <w:r w:rsidR="00F05417">
              <w:t>0</w:t>
            </w:r>
            <w:r w:rsidR="009C0AD3">
              <w:t>,</w:t>
            </w:r>
            <w:r w:rsidR="00F05417">
              <w:t>573.62</w:t>
            </w:r>
            <w:r w:rsidR="00683156">
              <w:t xml:space="preserve"> </w:t>
            </w:r>
            <w:r>
              <w:t>per year</w:t>
            </w:r>
          </w:p>
        </w:tc>
        <w:tc>
          <w:tcPr>
            <w:tcW w:w="1000" w:type="pct"/>
            <w:vAlign w:val="top"/>
          </w:tcPr>
          <w:p w14:paraId="380EB29F"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3854C0">
              <w:t>Nil</w:t>
            </w:r>
          </w:p>
        </w:tc>
        <w:tc>
          <w:tcPr>
            <w:tcW w:w="1000" w:type="pct"/>
            <w:vAlign w:val="top"/>
          </w:tcPr>
          <w:p w14:paraId="26E73D61"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3854C0">
              <w:t>Nil</w:t>
            </w:r>
          </w:p>
        </w:tc>
        <w:tc>
          <w:tcPr>
            <w:tcW w:w="1000" w:type="pct"/>
            <w:vAlign w:val="top"/>
          </w:tcPr>
          <w:p w14:paraId="102A6DE2" w14:textId="4D6792FE" w:rsidR="007561DF" w:rsidRPr="003854C0" w:rsidRDefault="009C0AD3" w:rsidP="00671CA4">
            <w:pPr>
              <w:spacing w:after="100"/>
              <w:cnfStyle w:val="000000000000" w:firstRow="0" w:lastRow="0" w:firstColumn="0" w:lastColumn="0" w:oddVBand="0" w:evenVBand="0" w:oddHBand="0" w:evenHBand="0" w:firstRowFirstColumn="0" w:firstRowLastColumn="0" w:lastRowFirstColumn="0" w:lastRowLastColumn="0"/>
            </w:pPr>
            <w:r>
              <w:t>$407,</w:t>
            </w:r>
            <w:r w:rsidR="00F05417">
              <w:t xml:space="preserve">650,573.62 </w:t>
            </w:r>
            <w:r>
              <w:t>per year</w:t>
            </w:r>
            <w:r w:rsidDel="00683156">
              <w:t xml:space="preserve"> </w:t>
            </w:r>
          </w:p>
        </w:tc>
      </w:tr>
      <w:tr w:rsidR="007561DF" w14:paraId="62FD7EE8" w14:textId="77777777" w:rsidTr="00087A2C">
        <w:tc>
          <w:tcPr>
            <w:cnfStyle w:val="001000000000" w:firstRow="0" w:lastRow="0" w:firstColumn="1" w:lastColumn="0" w:oddVBand="0" w:evenVBand="0" w:oddHBand="0" w:evenHBand="0" w:firstRowFirstColumn="0" w:firstRowLastColumn="0" w:lastRowFirstColumn="0" w:lastRowLastColumn="0"/>
            <w:tcW w:w="1000" w:type="pct"/>
            <w:vAlign w:val="top"/>
          </w:tcPr>
          <w:p w14:paraId="3EBA9AA4" w14:textId="77777777" w:rsidR="007561DF" w:rsidRPr="003854C0" w:rsidRDefault="007561DF" w:rsidP="00671CA4">
            <w:pPr>
              <w:spacing w:after="100"/>
              <w:rPr>
                <w:b/>
              </w:rPr>
            </w:pPr>
            <w:r w:rsidRPr="003854C0">
              <w:rPr>
                <w:b/>
              </w:rPr>
              <w:t>Option 4</w:t>
            </w:r>
          </w:p>
        </w:tc>
        <w:tc>
          <w:tcPr>
            <w:tcW w:w="1000" w:type="pct"/>
            <w:vAlign w:val="top"/>
          </w:tcPr>
          <w:p w14:paraId="17CB5647" w14:textId="3F5BF94C" w:rsidR="007561DF" w:rsidRPr="003854C0" w:rsidRDefault="00683156" w:rsidP="00671CA4">
            <w:pPr>
              <w:spacing w:after="100"/>
              <w:cnfStyle w:val="000000000000" w:firstRow="0" w:lastRow="0" w:firstColumn="0" w:lastColumn="0" w:oddVBand="0" w:evenVBand="0" w:oddHBand="0" w:evenHBand="0" w:firstRowFirstColumn="0" w:firstRowLastColumn="0" w:lastRowFirstColumn="0" w:lastRowLastColumn="0"/>
            </w:pPr>
            <w:r>
              <w:t>$</w:t>
            </w:r>
            <w:r w:rsidR="00F05417">
              <w:t>407,650,573.62</w:t>
            </w:r>
            <w:r w:rsidR="009C0AD3">
              <w:t xml:space="preserve"> per year</w:t>
            </w:r>
            <w:r w:rsidR="009C0AD3" w:rsidDel="00683156">
              <w:t xml:space="preserve"> </w:t>
            </w:r>
          </w:p>
        </w:tc>
        <w:tc>
          <w:tcPr>
            <w:tcW w:w="1000" w:type="pct"/>
            <w:vAlign w:val="top"/>
          </w:tcPr>
          <w:p w14:paraId="6EB9AD51"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3854C0">
              <w:t>Nil</w:t>
            </w:r>
          </w:p>
        </w:tc>
        <w:tc>
          <w:tcPr>
            <w:tcW w:w="1000" w:type="pct"/>
            <w:vAlign w:val="top"/>
          </w:tcPr>
          <w:p w14:paraId="643B0039" w14:textId="77777777" w:rsidR="007561DF" w:rsidRPr="003854C0"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3854C0">
              <w:t>Nil</w:t>
            </w:r>
          </w:p>
        </w:tc>
        <w:tc>
          <w:tcPr>
            <w:tcW w:w="1000" w:type="pct"/>
            <w:vAlign w:val="top"/>
          </w:tcPr>
          <w:p w14:paraId="46847807" w14:textId="0BF0DF29" w:rsidR="007561DF" w:rsidRPr="003854C0" w:rsidRDefault="009C0AD3" w:rsidP="00671CA4">
            <w:pPr>
              <w:spacing w:after="100"/>
              <w:cnfStyle w:val="000000000000" w:firstRow="0" w:lastRow="0" w:firstColumn="0" w:lastColumn="0" w:oddVBand="0" w:evenVBand="0" w:oddHBand="0" w:evenHBand="0" w:firstRowFirstColumn="0" w:firstRowLastColumn="0" w:lastRowFirstColumn="0" w:lastRowLastColumn="0"/>
            </w:pPr>
            <w:r>
              <w:t>$407,</w:t>
            </w:r>
            <w:r w:rsidR="00F05417">
              <w:t xml:space="preserve">650,573.62 </w:t>
            </w:r>
            <w:r>
              <w:t>per year</w:t>
            </w:r>
            <w:r w:rsidDel="00683156">
              <w:t xml:space="preserve"> </w:t>
            </w:r>
          </w:p>
        </w:tc>
      </w:tr>
    </w:tbl>
    <w:p w14:paraId="31FA665F" w14:textId="77777777" w:rsidR="007561DF" w:rsidRPr="00F9171A" w:rsidRDefault="007561DF" w:rsidP="00F9171A"/>
    <w:p w14:paraId="47C0E43F" w14:textId="37F6E827" w:rsidR="186A13F6" w:rsidRDefault="186A13F6" w:rsidP="13D6ED75">
      <w:r w:rsidRPr="13D6ED75">
        <w:rPr>
          <w:b/>
          <w:bCs/>
        </w:rPr>
        <w:t xml:space="preserve">Table </w:t>
      </w:r>
      <w:r w:rsidR="6AC6FACB" w:rsidRPr="13FDA411">
        <w:rPr>
          <w:b/>
          <w:bCs/>
        </w:rPr>
        <w:t>30</w:t>
      </w:r>
      <w:r w:rsidRPr="13D6ED75">
        <w:rPr>
          <w:b/>
          <w:bCs/>
        </w:rPr>
        <w:t xml:space="preserve"> – Average annual regulatory costs (from business as usual)</w:t>
      </w:r>
    </w:p>
    <w:tbl>
      <w:tblPr>
        <w:tblStyle w:val="DESE"/>
        <w:tblW w:w="0" w:type="auto"/>
        <w:tblLayout w:type="fixed"/>
        <w:tblLook w:val="04A0" w:firstRow="1" w:lastRow="0" w:firstColumn="1" w:lastColumn="0" w:noHBand="0" w:noVBand="1"/>
      </w:tblPr>
      <w:tblGrid>
        <w:gridCol w:w="1881"/>
        <w:gridCol w:w="1658"/>
        <w:gridCol w:w="1922"/>
        <w:gridCol w:w="1503"/>
        <w:gridCol w:w="2096"/>
      </w:tblGrid>
      <w:tr w:rsidR="007561DF" w14:paraId="4AC7CE5D" w14:textId="77777777" w:rsidTr="00A54C6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2D3F" w:themeColor="accent1"/>
            </w:tcBorders>
          </w:tcPr>
          <w:p w14:paraId="6E36070D" w14:textId="77777777" w:rsidR="007561DF" w:rsidRPr="00B100CC" w:rsidRDefault="007561DF" w:rsidP="00671CA4">
            <w:pPr>
              <w:spacing w:after="100"/>
            </w:pPr>
          </w:p>
        </w:tc>
        <w:tc>
          <w:tcPr>
            <w:tcW w:w="0" w:type="dxa"/>
            <w:gridSpan w:val="4"/>
            <w:tcBorders>
              <w:top w:val="single" w:sz="4" w:space="0" w:color="002D3F" w:themeColor="accent1"/>
            </w:tcBorders>
            <w:vAlign w:val="top"/>
          </w:tcPr>
          <w:p w14:paraId="29B974EF" w14:textId="2633C4F8" w:rsidR="007561DF" w:rsidRPr="00A646CA" w:rsidRDefault="007561DF" w:rsidP="00A54C6D">
            <w:pPr>
              <w:spacing w:after="100"/>
              <w:cnfStyle w:val="100000000000" w:firstRow="1" w:lastRow="0" w:firstColumn="0" w:lastColumn="0" w:oddVBand="0" w:evenVBand="0" w:oddHBand="0" w:evenHBand="0" w:firstRowFirstColumn="0" w:firstRowLastColumn="0" w:lastRowFirstColumn="0" w:lastRowLastColumn="0"/>
              <w:rPr>
                <w:b/>
              </w:rPr>
            </w:pPr>
            <w:r w:rsidRPr="00A54C6D">
              <w:rPr>
                <w:b/>
              </w:rPr>
              <w:t>Average annual regulatory costs (from business as usual)</w:t>
            </w:r>
          </w:p>
        </w:tc>
      </w:tr>
      <w:tr w:rsidR="007561DF" w14:paraId="3E8BA66F" w14:textId="77777777" w:rsidTr="17B342F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81" w:type="dxa"/>
            <w:tcBorders>
              <w:top w:val="single" w:sz="4" w:space="0" w:color="002D3F" w:themeColor="accent1"/>
            </w:tcBorders>
          </w:tcPr>
          <w:p w14:paraId="6E44A1F2" w14:textId="77777777" w:rsidR="007561DF" w:rsidRDefault="007561DF" w:rsidP="00671CA4">
            <w:pPr>
              <w:spacing w:after="100"/>
            </w:pPr>
            <w:r>
              <w:t>Option</w:t>
            </w:r>
          </w:p>
        </w:tc>
        <w:tc>
          <w:tcPr>
            <w:tcW w:w="1658" w:type="dxa"/>
            <w:tcBorders>
              <w:top w:val="single" w:sz="4" w:space="0" w:color="002D3F" w:themeColor="accent1"/>
            </w:tcBorders>
            <w:vAlign w:val="top"/>
          </w:tcPr>
          <w:p w14:paraId="5A05AAC9" w14:textId="77777777" w:rsidR="007561DF" w:rsidRPr="00A646CA" w:rsidRDefault="007561DF" w:rsidP="00671CA4">
            <w:pPr>
              <w:spacing w:after="100"/>
              <w:cnfStyle w:val="100000000000" w:firstRow="1" w:lastRow="0" w:firstColumn="0" w:lastColumn="0" w:oddVBand="0" w:evenVBand="0" w:oddHBand="0" w:evenHBand="0" w:firstRowFirstColumn="0" w:firstRowLastColumn="0" w:lastRowFirstColumn="0" w:lastRowLastColumn="0"/>
            </w:pPr>
            <w:r w:rsidRPr="00A646CA">
              <w:t>Independent contractors</w:t>
            </w:r>
          </w:p>
        </w:tc>
        <w:tc>
          <w:tcPr>
            <w:tcW w:w="1922" w:type="dxa"/>
            <w:vAlign w:val="top"/>
          </w:tcPr>
          <w:p w14:paraId="2675D430" w14:textId="77777777" w:rsidR="007561DF" w:rsidRPr="00A646CA" w:rsidRDefault="007561DF" w:rsidP="00671CA4">
            <w:pPr>
              <w:spacing w:after="100"/>
              <w:cnfStyle w:val="100000000000" w:firstRow="1" w:lastRow="0" w:firstColumn="0" w:lastColumn="0" w:oddVBand="0" w:evenVBand="0" w:oddHBand="0" w:evenHBand="0" w:firstRowFirstColumn="0" w:firstRowLastColumn="0" w:lastRowFirstColumn="0" w:lastRowLastColumn="0"/>
            </w:pPr>
            <w:r w:rsidRPr="00A646CA">
              <w:t>Business</w:t>
            </w:r>
          </w:p>
        </w:tc>
        <w:tc>
          <w:tcPr>
            <w:tcW w:w="1503" w:type="dxa"/>
            <w:vAlign w:val="top"/>
          </w:tcPr>
          <w:p w14:paraId="1159EFE2" w14:textId="77777777" w:rsidR="007561DF" w:rsidRPr="00A646CA" w:rsidRDefault="007561DF" w:rsidP="00671CA4">
            <w:pPr>
              <w:spacing w:after="100"/>
              <w:cnfStyle w:val="100000000000" w:firstRow="1" w:lastRow="0" w:firstColumn="0" w:lastColumn="0" w:oddVBand="0" w:evenVBand="0" w:oddHBand="0" w:evenHBand="0" w:firstRowFirstColumn="0" w:firstRowLastColumn="0" w:lastRowFirstColumn="0" w:lastRowLastColumn="0"/>
            </w:pPr>
            <w:r w:rsidRPr="00A646CA">
              <w:t>Community organisations</w:t>
            </w:r>
          </w:p>
        </w:tc>
        <w:tc>
          <w:tcPr>
            <w:tcW w:w="2096" w:type="dxa"/>
            <w:vAlign w:val="top"/>
          </w:tcPr>
          <w:p w14:paraId="42547EA7" w14:textId="77777777" w:rsidR="007561DF" w:rsidRPr="00A646CA" w:rsidRDefault="007561DF" w:rsidP="00671CA4">
            <w:pPr>
              <w:spacing w:after="100"/>
              <w:cnfStyle w:val="100000000000" w:firstRow="1" w:lastRow="0" w:firstColumn="0" w:lastColumn="0" w:oddVBand="0" w:evenVBand="0" w:oddHBand="0" w:evenHBand="0" w:firstRowFirstColumn="0" w:firstRowLastColumn="0" w:lastRowFirstColumn="0" w:lastRowLastColumn="0"/>
            </w:pPr>
            <w:r w:rsidRPr="00A646CA">
              <w:t>Total change in costs</w:t>
            </w:r>
          </w:p>
        </w:tc>
      </w:tr>
      <w:tr w:rsidR="007561DF" w14:paraId="5D3AEA87" w14:textId="77777777" w:rsidTr="00742206">
        <w:tc>
          <w:tcPr>
            <w:cnfStyle w:val="001000000000" w:firstRow="0" w:lastRow="0" w:firstColumn="1" w:lastColumn="0" w:oddVBand="0" w:evenVBand="0" w:oddHBand="0" w:evenHBand="0" w:firstRowFirstColumn="0" w:firstRowLastColumn="0" w:lastRowFirstColumn="0" w:lastRowLastColumn="0"/>
            <w:tcW w:w="1881" w:type="dxa"/>
            <w:vAlign w:val="top"/>
          </w:tcPr>
          <w:p w14:paraId="0E7CBB08" w14:textId="77777777" w:rsidR="007561DF" w:rsidRPr="00F9171A" w:rsidRDefault="007561DF" w:rsidP="00671CA4">
            <w:pPr>
              <w:spacing w:after="100"/>
              <w:rPr>
                <w:b/>
              </w:rPr>
            </w:pPr>
            <w:r w:rsidRPr="00F9171A">
              <w:rPr>
                <w:b/>
              </w:rPr>
              <w:t>Option 1 (Status Quo)</w:t>
            </w:r>
          </w:p>
        </w:tc>
        <w:tc>
          <w:tcPr>
            <w:tcW w:w="1658" w:type="dxa"/>
            <w:vAlign w:val="top"/>
          </w:tcPr>
          <w:p w14:paraId="621FD90D" w14:textId="77777777" w:rsidR="007561DF" w:rsidRPr="00F9171A"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F9171A">
              <w:t>Nil</w:t>
            </w:r>
          </w:p>
        </w:tc>
        <w:tc>
          <w:tcPr>
            <w:tcW w:w="1922" w:type="dxa"/>
            <w:vAlign w:val="top"/>
          </w:tcPr>
          <w:p w14:paraId="7AD6BBEF" w14:textId="77777777" w:rsidR="007561DF" w:rsidRPr="00F9171A"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F9171A">
              <w:t>Nil</w:t>
            </w:r>
          </w:p>
        </w:tc>
        <w:tc>
          <w:tcPr>
            <w:tcW w:w="1503" w:type="dxa"/>
            <w:vAlign w:val="top"/>
          </w:tcPr>
          <w:p w14:paraId="1AF4B577" w14:textId="77777777" w:rsidR="007561DF" w:rsidRPr="00F9171A"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F9171A">
              <w:t xml:space="preserve">Nil </w:t>
            </w:r>
          </w:p>
        </w:tc>
        <w:tc>
          <w:tcPr>
            <w:tcW w:w="2096" w:type="dxa"/>
            <w:vAlign w:val="top"/>
          </w:tcPr>
          <w:p w14:paraId="38E2509A" w14:textId="77777777" w:rsidR="007561DF" w:rsidRPr="00F9171A"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F9171A">
              <w:t>Nil</w:t>
            </w:r>
          </w:p>
        </w:tc>
      </w:tr>
      <w:tr w:rsidR="007561DF" w14:paraId="2A61392E" w14:textId="77777777" w:rsidTr="00742206">
        <w:tc>
          <w:tcPr>
            <w:cnfStyle w:val="001000000000" w:firstRow="0" w:lastRow="0" w:firstColumn="1" w:lastColumn="0" w:oddVBand="0" w:evenVBand="0" w:oddHBand="0" w:evenHBand="0" w:firstRowFirstColumn="0" w:firstRowLastColumn="0" w:lastRowFirstColumn="0" w:lastRowLastColumn="0"/>
            <w:tcW w:w="1881" w:type="dxa"/>
            <w:vAlign w:val="top"/>
          </w:tcPr>
          <w:p w14:paraId="38441AEE" w14:textId="77777777" w:rsidR="007561DF" w:rsidRPr="00157DA1" w:rsidRDefault="007561DF" w:rsidP="00671CA4">
            <w:pPr>
              <w:spacing w:after="100"/>
              <w:rPr>
                <w:b/>
              </w:rPr>
            </w:pPr>
            <w:r w:rsidRPr="00157DA1">
              <w:rPr>
                <w:b/>
              </w:rPr>
              <w:t>Option 2</w:t>
            </w:r>
          </w:p>
        </w:tc>
        <w:tc>
          <w:tcPr>
            <w:tcW w:w="1658" w:type="dxa"/>
            <w:vAlign w:val="top"/>
          </w:tcPr>
          <w:p w14:paraId="27C9E6CB" w14:textId="77777777" w:rsidR="007561DF" w:rsidRPr="00157DA1"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157DA1">
              <w:t>Nil</w:t>
            </w:r>
          </w:p>
        </w:tc>
        <w:tc>
          <w:tcPr>
            <w:tcW w:w="1922" w:type="dxa"/>
            <w:vAlign w:val="top"/>
          </w:tcPr>
          <w:p w14:paraId="07A7B46B" w14:textId="2A87A5D2" w:rsidR="007561DF" w:rsidRPr="00157DA1" w:rsidRDefault="007561DF" w:rsidP="00A54C6D">
            <w:pPr>
              <w:cnfStyle w:val="000000000000" w:firstRow="0" w:lastRow="0" w:firstColumn="0" w:lastColumn="0" w:oddVBand="0" w:evenVBand="0" w:oddHBand="0" w:evenHBand="0" w:firstRowFirstColumn="0" w:firstRowLastColumn="0" w:lastRowFirstColumn="0" w:lastRowLastColumn="0"/>
            </w:pPr>
            <w:r w:rsidRPr="00157DA1">
              <w:t>$</w:t>
            </w:r>
            <w:r w:rsidR="29DBE689" w:rsidRPr="00157DA1">
              <w:t>9,845.12</w:t>
            </w:r>
            <w:r w:rsidRPr="00157DA1">
              <w:t xml:space="preserve"> per business</w:t>
            </w:r>
            <w:r w:rsidRPr="00157DA1" w:rsidDel="00CA4CC9">
              <w:t xml:space="preserve"> </w:t>
            </w:r>
          </w:p>
        </w:tc>
        <w:tc>
          <w:tcPr>
            <w:tcW w:w="1503" w:type="dxa"/>
            <w:vAlign w:val="top"/>
          </w:tcPr>
          <w:p w14:paraId="47C128F7" w14:textId="77777777" w:rsidR="007561DF" w:rsidRPr="00157DA1"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157DA1">
              <w:t>Nil</w:t>
            </w:r>
          </w:p>
        </w:tc>
        <w:tc>
          <w:tcPr>
            <w:tcW w:w="2096" w:type="dxa"/>
            <w:vAlign w:val="top"/>
          </w:tcPr>
          <w:p w14:paraId="584D5921" w14:textId="30F13318" w:rsidR="007561DF" w:rsidRPr="00157DA1" w:rsidRDefault="4BEE3029" w:rsidP="00671CA4">
            <w:pPr>
              <w:spacing w:after="100"/>
              <w:cnfStyle w:val="000000000000" w:firstRow="0" w:lastRow="0" w:firstColumn="0" w:lastColumn="0" w:oddVBand="0" w:evenVBand="0" w:oddHBand="0" w:evenHBand="0" w:firstRowFirstColumn="0" w:firstRowLastColumn="0" w:lastRowFirstColumn="0" w:lastRowLastColumn="0"/>
            </w:pPr>
            <w:r w:rsidRPr="00157DA1">
              <w:t>$9,845.12</w:t>
            </w:r>
            <w:r w:rsidR="007561DF" w:rsidRPr="00157DA1">
              <w:t xml:space="preserve"> per business</w:t>
            </w:r>
            <w:r w:rsidR="007561DF" w:rsidRPr="00157DA1" w:rsidDel="00CA4CC9">
              <w:t xml:space="preserve"> </w:t>
            </w:r>
          </w:p>
        </w:tc>
      </w:tr>
      <w:tr w:rsidR="007561DF" w14:paraId="6E567971" w14:textId="77777777" w:rsidTr="00742206">
        <w:tc>
          <w:tcPr>
            <w:cnfStyle w:val="001000000000" w:firstRow="0" w:lastRow="0" w:firstColumn="1" w:lastColumn="0" w:oddVBand="0" w:evenVBand="0" w:oddHBand="0" w:evenHBand="0" w:firstRowFirstColumn="0" w:firstRowLastColumn="0" w:lastRowFirstColumn="0" w:lastRowLastColumn="0"/>
            <w:tcW w:w="1881" w:type="dxa"/>
            <w:vAlign w:val="top"/>
          </w:tcPr>
          <w:p w14:paraId="6EDB6CA7" w14:textId="77777777" w:rsidR="007561DF" w:rsidRPr="00106F8D" w:rsidRDefault="007561DF" w:rsidP="00671CA4">
            <w:pPr>
              <w:spacing w:after="100"/>
              <w:rPr>
                <w:b/>
              </w:rPr>
            </w:pPr>
            <w:r w:rsidRPr="00106F8D">
              <w:rPr>
                <w:b/>
              </w:rPr>
              <w:t>Option 3</w:t>
            </w:r>
          </w:p>
        </w:tc>
        <w:tc>
          <w:tcPr>
            <w:tcW w:w="1658" w:type="dxa"/>
            <w:vAlign w:val="top"/>
          </w:tcPr>
          <w:p w14:paraId="72E445CA" w14:textId="77777777" w:rsidR="007561DF" w:rsidRPr="00106F8D"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106F8D">
              <w:t>Nil</w:t>
            </w:r>
          </w:p>
        </w:tc>
        <w:tc>
          <w:tcPr>
            <w:tcW w:w="1922" w:type="dxa"/>
            <w:vAlign w:val="top"/>
          </w:tcPr>
          <w:p w14:paraId="3A5651CA" w14:textId="24BF3606" w:rsidR="007561DF" w:rsidRPr="00106F8D" w:rsidRDefault="004862FA" w:rsidP="00F9171A">
            <w:pPr>
              <w:cnfStyle w:val="000000000000" w:firstRow="0" w:lastRow="0" w:firstColumn="0" w:lastColumn="0" w:oddVBand="0" w:evenVBand="0" w:oddHBand="0" w:evenHBand="0" w:firstRowFirstColumn="0" w:firstRowLastColumn="0" w:lastRowFirstColumn="0" w:lastRowLastColumn="0"/>
            </w:pPr>
            <w:r w:rsidRPr="00106F8D">
              <w:t>$5,889.42 per business + $258.80 per worker, or $9,845.12 per business</w:t>
            </w:r>
          </w:p>
        </w:tc>
        <w:tc>
          <w:tcPr>
            <w:tcW w:w="1503" w:type="dxa"/>
            <w:vAlign w:val="top"/>
          </w:tcPr>
          <w:p w14:paraId="1C8C9285" w14:textId="77777777" w:rsidR="007561DF" w:rsidRPr="00106F8D"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106F8D">
              <w:t>Nil</w:t>
            </w:r>
          </w:p>
        </w:tc>
        <w:tc>
          <w:tcPr>
            <w:tcW w:w="2096" w:type="dxa"/>
            <w:vAlign w:val="top"/>
          </w:tcPr>
          <w:p w14:paraId="57DDAD84" w14:textId="737E0606" w:rsidR="007561DF" w:rsidRPr="00106F8D" w:rsidRDefault="004862FA" w:rsidP="00671CA4">
            <w:pPr>
              <w:spacing w:after="100"/>
              <w:cnfStyle w:val="000000000000" w:firstRow="0" w:lastRow="0" w:firstColumn="0" w:lastColumn="0" w:oddVBand="0" w:evenVBand="0" w:oddHBand="0" w:evenHBand="0" w:firstRowFirstColumn="0" w:firstRowLastColumn="0" w:lastRowFirstColumn="0" w:lastRowLastColumn="0"/>
            </w:pPr>
            <w:r w:rsidRPr="00106F8D">
              <w:t>$5,889.42 per business + $258.80 per worker, or $9,845.12 per business</w:t>
            </w:r>
            <w:r w:rsidRPr="00573634" w:rsidDel="004862FA">
              <w:t xml:space="preserve"> </w:t>
            </w:r>
          </w:p>
        </w:tc>
      </w:tr>
      <w:tr w:rsidR="007561DF" w14:paraId="1E0B734B" w14:textId="77777777" w:rsidTr="00573634">
        <w:tc>
          <w:tcPr>
            <w:cnfStyle w:val="001000000000" w:firstRow="0" w:lastRow="0" w:firstColumn="1" w:lastColumn="0" w:oddVBand="0" w:evenVBand="0" w:oddHBand="0" w:evenHBand="0" w:firstRowFirstColumn="0" w:firstRowLastColumn="0" w:lastRowFirstColumn="0" w:lastRowLastColumn="0"/>
            <w:tcW w:w="0" w:type="dxa"/>
          </w:tcPr>
          <w:p w14:paraId="067DD1C0" w14:textId="77777777" w:rsidR="007561DF" w:rsidRPr="00106F8D" w:rsidRDefault="007561DF" w:rsidP="00671CA4">
            <w:pPr>
              <w:spacing w:after="100"/>
              <w:rPr>
                <w:b/>
              </w:rPr>
            </w:pPr>
            <w:r w:rsidRPr="00106F8D">
              <w:rPr>
                <w:b/>
              </w:rPr>
              <w:t>Option 4</w:t>
            </w:r>
          </w:p>
        </w:tc>
        <w:tc>
          <w:tcPr>
            <w:tcW w:w="0" w:type="dxa"/>
            <w:vAlign w:val="top"/>
          </w:tcPr>
          <w:p w14:paraId="23E4633B" w14:textId="77777777" w:rsidR="007561DF" w:rsidRPr="00106F8D"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106F8D">
              <w:t>Nil</w:t>
            </w:r>
          </w:p>
        </w:tc>
        <w:tc>
          <w:tcPr>
            <w:tcW w:w="0" w:type="dxa"/>
            <w:vAlign w:val="top"/>
          </w:tcPr>
          <w:p w14:paraId="0BBF95EB" w14:textId="125093FB" w:rsidR="007561DF" w:rsidRPr="00106F8D" w:rsidRDefault="004862FA" w:rsidP="00A54C6D">
            <w:pPr>
              <w:cnfStyle w:val="000000000000" w:firstRow="0" w:lastRow="0" w:firstColumn="0" w:lastColumn="0" w:oddVBand="0" w:evenVBand="0" w:oddHBand="0" w:evenHBand="0" w:firstRowFirstColumn="0" w:firstRowLastColumn="0" w:lastRowFirstColumn="0" w:lastRowLastColumn="0"/>
            </w:pPr>
            <w:r w:rsidRPr="00106F8D">
              <w:t>$235.58 per business, or up to $6,125.00 per business + $258.80 per worker, or up to $10,080.70 per business</w:t>
            </w:r>
            <w:r w:rsidR="00F45D09" w:rsidRPr="00106F8D">
              <w:rPr>
                <w:rStyle w:val="FootnoteReference"/>
              </w:rPr>
              <w:footnoteReference w:id="151"/>
            </w:r>
          </w:p>
        </w:tc>
        <w:tc>
          <w:tcPr>
            <w:tcW w:w="0" w:type="dxa"/>
            <w:vAlign w:val="top"/>
          </w:tcPr>
          <w:p w14:paraId="4FE716C9" w14:textId="77777777" w:rsidR="007561DF" w:rsidRPr="00106F8D" w:rsidRDefault="007561DF" w:rsidP="00671CA4">
            <w:pPr>
              <w:spacing w:after="100"/>
              <w:cnfStyle w:val="000000000000" w:firstRow="0" w:lastRow="0" w:firstColumn="0" w:lastColumn="0" w:oddVBand="0" w:evenVBand="0" w:oddHBand="0" w:evenHBand="0" w:firstRowFirstColumn="0" w:firstRowLastColumn="0" w:lastRowFirstColumn="0" w:lastRowLastColumn="0"/>
            </w:pPr>
            <w:r w:rsidRPr="00106F8D">
              <w:t>Nil</w:t>
            </w:r>
          </w:p>
        </w:tc>
        <w:tc>
          <w:tcPr>
            <w:tcW w:w="0" w:type="dxa"/>
            <w:vAlign w:val="top"/>
          </w:tcPr>
          <w:p w14:paraId="6F62029F" w14:textId="1318A622" w:rsidR="007561DF" w:rsidRPr="00106F8D" w:rsidRDefault="004862FA" w:rsidP="00A54C6D">
            <w:pPr>
              <w:cnfStyle w:val="000000000000" w:firstRow="0" w:lastRow="0" w:firstColumn="0" w:lastColumn="0" w:oddVBand="0" w:evenVBand="0" w:oddHBand="0" w:evenHBand="0" w:firstRowFirstColumn="0" w:firstRowLastColumn="0" w:lastRowFirstColumn="0" w:lastRowLastColumn="0"/>
            </w:pPr>
            <w:r w:rsidRPr="00106F8D">
              <w:t>$235.58 per business, or up to $6,125.00 per business + $258.80 per worker, or up to $10,080.70 per business</w:t>
            </w:r>
          </w:p>
        </w:tc>
      </w:tr>
    </w:tbl>
    <w:p w14:paraId="3852BC85" w14:textId="77777777" w:rsidR="007561DF" w:rsidRPr="00F9171A" w:rsidRDefault="007561DF" w:rsidP="00F9171A"/>
    <w:p w14:paraId="38F368A7" w14:textId="17A2119B" w:rsidR="13D6ED75" w:rsidRDefault="645D7FE1" w:rsidP="13D6ED75">
      <w:pPr>
        <w:rPr>
          <w:b/>
        </w:rPr>
      </w:pPr>
      <w:r w:rsidRPr="4F9E0E0C">
        <w:rPr>
          <w:b/>
          <w:bCs/>
        </w:rPr>
        <w:t xml:space="preserve">Table </w:t>
      </w:r>
      <w:r w:rsidRPr="13FDA411">
        <w:rPr>
          <w:b/>
          <w:bCs/>
        </w:rPr>
        <w:t>3</w:t>
      </w:r>
      <w:r w:rsidR="4F9E34C0" w:rsidRPr="13FDA411">
        <w:rPr>
          <w:b/>
          <w:bCs/>
        </w:rPr>
        <w:t>1</w:t>
      </w:r>
      <w:r w:rsidR="5518E596" w:rsidRPr="4F9E0E0C">
        <w:rPr>
          <w:b/>
          <w:bCs/>
        </w:rPr>
        <w:t xml:space="preserve"> –</w:t>
      </w:r>
      <w:r w:rsidR="00AA1237">
        <w:rPr>
          <w:b/>
          <w:bCs/>
        </w:rPr>
        <w:t xml:space="preserve"> </w:t>
      </w:r>
      <w:r w:rsidR="00E8719F">
        <w:rPr>
          <w:b/>
          <w:bCs/>
        </w:rPr>
        <w:t>Consistency</w:t>
      </w:r>
      <w:r w:rsidR="5518E596" w:rsidRPr="4F9E0E0C">
        <w:rPr>
          <w:b/>
          <w:bCs/>
        </w:rPr>
        <w:t xml:space="preserve"> </w:t>
      </w:r>
      <w:r w:rsidR="00AA1237">
        <w:rPr>
          <w:b/>
          <w:bCs/>
        </w:rPr>
        <w:t xml:space="preserve">of each option </w:t>
      </w:r>
      <w:r w:rsidR="00E8719F">
        <w:rPr>
          <w:b/>
          <w:bCs/>
        </w:rPr>
        <w:t>with</w:t>
      </w:r>
      <w:r w:rsidR="5518E596" w:rsidRPr="4F9E0E0C">
        <w:rPr>
          <w:b/>
          <w:bCs/>
        </w:rPr>
        <w:t xml:space="preserve"> </w:t>
      </w:r>
      <w:r w:rsidR="5518E596" w:rsidRPr="02AA21CB">
        <w:rPr>
          <w:b/>
          <w:bCs/>
        </w:rPr>
        <w:t>Guiding Principle</w:t>
      </w:r>
      <w:r w:rsidR="2F9A6344" w:rsidRPr="02AA21CB">
        <w:rPr>
          <w:b/>
          <w:bCs/>
        </w:rPr>
        <w:t>s</w:t>
      </w:r>
      <w:r w:rsidR="5518E596" w:rsidRPr="02AA21CB">
        <w:rPr>
          <w:b/>
          <w:bCs/>
        </w:rPr>
        <w:t xml:space="preserve"> </w:t>
      </w:r>
    </w:p>
    <w:tbl>
      <w:tblPr>
        <w:tblStyle w:val="TableGrid"/>
        <w:tblW w:w="9105" w:type="dxa"/>
        <w:tblLook w:val="04A0" w:firstRow="1" w:lastRow="0" w:firstColumn="1" w:lastColumn="0" w:noHBand="0" w:noVBand="1"/>
      </w:tblPr>
      <w:tblGrid>
        <w:gridCol w:w="4673"/>
        <w:gridCol w:w="1134"/>
        <w:gridCol w:w="1134"/>
        <w:gridCol w:w="1134"/>
        <w:gridCol w:w="1030"/>
      </w:tblGrid>
      <w:tr w:rsidR="003E3E57" w14:paraId="328202CF" w14:textId="77777777">
        <w:trPr>
          <w:trHeight w:val="410"/>
        </w:trPr>
        <w:tc>
          <w:tcPr>
            <w:tcW w:w="4673" w:type="dxa"/>
            <w:shd w:val="clear" w:color="auto" w:fill="404040" w:themeFill="text1" w:themeFillTint="BF"/>
          </w:tcPr>
          <w:p w14:paraId="796A43B7" w14:textId="1BA42E47" w:rsidR="003E3E57" w:rsidRPr="00A54C6D" w:rsidRDefault="003E3E57">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Guiding Principle</w:t>
            </w:r>
          </w:p>
        </w:tc>
        <w:tc>
          <w:tcPr>
            <w:tcW w:w="1134" w:type="dxa"/>
            <w:shd w:val="clear" w:color="auto" w:fill="404040" w:themeFill="text1" w:themeFillTint="BF"/>
          </w:tcPr>
          <w:p w14:paraId="7CB4C1E2" w14:textId="77777777" w:rsidR="003E3E57" w:rsidRPr="00A54C6D" w:rsidRDefault="003E3E57">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Option 1</w:t>
            </w:r>
          </w:p>
        </w:tc>
        <w:tc>
          <w:tcPr>
            <w:tcW w:w="1134" w:type="dxa"/>
            <w:shd w:val="clear" w:color="auto" w:fill="404040" w:themeFill="text1" w:themeFillTint="BF"/>
          </w:tcPr>
          <w:p w14:paraId="3D7EE56D" w14:textId="77777777" w:rsidR="003E3E57" w:rsidRPr="00A54C6D" w:rsidRDefault="003E3E57">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Option 2</w:t>
            </w:r>
          </w:p>
        </w:tc>
        <w:tc>
          <w:tcPr>
            <w:tcW w:w="1134" w:type="dxa"/>
            <w:shd w:val="clear" w:color="auto" w:fill="404040" w:themeFill="text1" w:themeFillTint="BF"/>
          </w:tcPr>
          <w:p w14:paraId="483456D8" w14:textId="77777777" w:rsidR="003E3E57" w:rsidRPr="00A54C6D" w:rsidRDefault="003E3E57">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Option 3</w:t>
            </w:r>
          </w:p>
        </w:tc>
        <w:tc>
          <w:tcPr>
            <w:tcW w:w="1030" w:type="dxa"/>
            <w:shd w:val="clear" w:color="auto" w:fill="404040" w:themeFill="text1" w:themeFillTint="BF"/>
          </w:tcPr>
          <w:p w14:paraId="1AF48AEA" w14:textId="77777777" w:rsidR="003E3E57" w:rsidRPr="00A54C6D" w:rsidRDefault="003E3E57">
            <w:pPr>
              <w:spacing w:before="100" w:beforeAutospacing="1" w:after="100" w:afterAutospacing="1"/>
              <w:rPr>
                <w:rFonts w:ascii="Calibri" w:hAnsi="Calibri"/>
                <w:b/>
                <w:color w:val="FFFFFF" w:themeColor="background1"/>
              </w:rPr>
            </w:pPr>
            <w:r w:rsidRPr="00A54C6D">
              <w:rPr>
                <w:rFonts w:ascii="Calibri" w:hAnsi="Calibri"/>
                <w:b/>
                <w:color w:val="FFFFFF" w:themeColor="background1"/>
              </w:rPr>
              <w:t>Option 4</w:t>
            </w:r>
          </w:p>
        </w:tc>
      </w:tr>
      <w:tr w:rsidR="003E3E57" w14:paraId="70D9E49C" w14:textId="77777777">
        <w:trPr>
          <w:trHeight w:val="871"/>
        </w:trPr>
        <w:tc>
          <w:tcPr>
            <w:tcW w:w="4673" w:type="dxa"/>
            <w:shd w:val="clear" w:color="auto" w:fill="D9D9D9" w:themeFill="background1" w:themeFillShade="D9"/>
          </w:tcPr>
          <w:p w14:paraId="40B283D5" w14:textId="77777777" w:rsidR="003E3E57" w:rsidRDefault="003E3E57">
            <w:r>
              <w:t>Australia’s workplace relations system must reflect modern working arrangements and be capable of evolving with emerging forms of work and business practices.</w:t>
            </w:r>
          </w:p>
        </w:tc>
        <w:tc>
          <w:tcPr>
            <w:tcW w:w="1134" w:type="dxa"/>
            <w:shd w:val="clear" w:color="auto" w:fill="F7A07A" w:themeFill="accent2" w:themeFillTint="99"/>
          </w:tcPr>
          <w:p w14:paraId="1B786AE8" w14:textId="77777777" w:rsidR="003E3E57" w:rsidRDefault="003E3E57">
            <w:r>
              <w:t>Poor</w:t>
            </w:r>
          </w:p>
        </w:tc>
        <w:tc>
          <w:tcPr>
            <w:tcW w:w="1134" w:type="dxa"/>
            <w:shd w:val="clear" w:color="auto" w:fill="92D050"/>
          </w:tcPr>
          <w:p w14:paraId="75AA08AA" w14:textId="77777777" w:rsidR="003E3E57" w:rsidRDefault="003E3E57">
            <w:r>
              <w:t>Good</w:t>
            </w:r>
          </w:p>
        </w:tc>
        <w:tc>
          <w:tcPr>
            <w:tcW w:w="1134" w:type="dxa"/>
            <w:shd w:val="clear" w:color="auto" w:fill="92D050"/>
          </w:tcPr>
          <w:p w14:paraId="171B5F6A" w14:textId="77777777" w:rsidR="003E3E57" w:rsidRDefault="003E3E57">
            <w:r>
              <w:t>Good</w:t>
            </w:r>
          </w:p>
        </w:tc>
        <w:tc>
          <w:tcPr>
            <w:tcW w:w="1030" w:type="dxa"/>
            <w:shd w:val="clear" w:color="auto" w:fill="92D050"/>
          </w:tcPr>
          <w:p w14:paraId="10283084" w14:textId="77777777" w:rsidR="003E3E57" w:rsidRDefault="003E3E57">
            <w:r>
              <w:t>Good</w:t>
            </w:r>
          </w:p>
        </w:tc>
      </w:tr>
      <w:tr w:rsidR="003E3E57" w14:paraId="705DA98B" w14:textId="77777777" w:rsidTr="00F9171A">
        <w:trPr>
          <w:trHeight w:val="1660"/>
        </w:trPr>
        <w:tc>
          <w:tcPr>
            <w:tcW w:w="4673" w:type="dxa"/>
            <w:shd w:val="clear" w:color="auto" w:fill="D9D9D9" w:themeFill="background1" w:themeFillShade="D9"/>
          </w:tcPr>
          <w:p w14:paraId="72241866" w14:textId="77777777" w:rsidR="003E3E57" w:rsidRDefault="003E3E57">
            <w:r>
              <w:t>All workers should have access to minimum rights and protections regardless of whether they are characterised as an employee or an independent contractor, including access to freedom of association and dispute resolution.</w:t>
            </w:r>
          </w:p>
        </w:tc>
        <w:tc>
          <w:tcPr>
            <w:tcW w:w="1134" w:type="dxa"/>
            <w:shd w:val="clear" w:color="auto" w:fill="F7A07A" w:themeFill="accent2" w:themeFillTint="99"/>
          </w:tcPr>
          <w:p w14:paraId="6DC8F843" w14:textId="77777777" w:rsidR="003E3E57" w:rsidRDefault="003E3E57">
            <w:r>
              <w:t>Poor</w:t>
            </w:r>
          </w:p>
        </w:tc>
        <w:tc>
          <w:tcPr>
            <w:tcW w:w="1134" w:type="dxa"/>
            <w:shd w:val="clear" w:color="auto" w:fill="F3CB6F" w:themeFill="accent5" w:themeFillTint="99"/>
          </w:tcPr>
          <w:p w14:paraId="51E9223E" w14:textId="77777777" w:rsidR="003E3E57" w:rsidRDefault="003E3E57">
            <w:r>
              <w:t>Fair</w:t>
            </w:r>
          </w:p>
        </w:tc>
        <w:tc>
          <w:tcPr>
            <w:tcW w:w="1134" w:type="dxa"/>
            <w:shd w:val="clear" w:color="auto" w:fill="F3CB6F" w:themeFill="accent5" w:themeFillTint="99"/>
          </w:tcPr>
          <w:p w14:paraId="77D380C2" w14:textId="4E62C3D6" w:rsidR="003E3E57" w:rsidRDefault="003E3E57">
            <w:r w:rsidDel="00B83B5E">
              <w:t>Fair</w:t>
            </w:r>
          </w:p>
        </w:tc>
        <w:tc>
          <w:tcPr>
            <w:tcW w:w="1030" w:type="dxa"/>
            <w:shd w:val="clear" w:color="auto" w:fill="92D050"/>
          </w:tcPr>
          <w:p w14:paraId="07FF8353" w14:textId="3DFFB4F2" w:rsidR="003E3E57" w:rsidRDefault="00B83B5E">
            <w:r>
              <w:t>Good</w:t>
            </w:r>
          </w:p>
        </w:tc>
      </w:tr>
      <w:tr w:rsidR="003E3E57" w14:paraId="59957145" w14:textId="77777777">
        <w:trPr>
          <w:trHeight w:val="871"/>
        </w:trPr>
        <w:tc>
          <w:tcPr>
            <w:tcW w:w="4673" w:type="dxa"/>
            <w:shd w:val="clear" w:color="auto" w:fill="D9D9D9" w:themeFill="background1" w:themeFillShade="D9"/>
          </w:tcPr>
          <w:p w14:paraId="543E21A5" w14:textId="77777777" w:rsidR="003E3E57" w:rsidRDefault="003E3E57">
            <w:r>
              <w:t>Businesses should benefit from a level playing field among industry participants while promoting competition and innovation.</w:t>
            </w:r>
          </w:p>
        </w:tc>
        <w:tc>
          <w:tcPr>
            <w:tcW w:w="1134" w:type="dxa"/>
            <w:shd w:val="clear" w:color="auto" w:fill="F7A07A" w:themeFill="accent2" w:themeFillTint="99"/>
          </w:tcPr>
          <w:p w14:paraId="6E9DA35C" w14:textId="77777777" w:rsidR="003E3E57" w:rsidRDefault="003E3E57">
            <w:r>
              <w:t>Poor</w:t>
            </w:r>
          </w:p>
        </w:tc>
        <w:tc>
          <w:tcPr>
            <w:tcW w:w="1134" w:type="dxa"/>
            <w:shd w:val="clear" w:color="auto" w:fill="F3CB6F" w:themeFill="accent5" w:themeFillTint="99"/>
          </w:tcPr>
          <w:p w14:paraId="3090FA42" w14:textId="77777777" w:rsidR="003E3E57" w:rsidRDefault="003E3E57">
            <w:r>
              <w:t>Fair</w:t>
            </w:r>
          </w:p>
        </w:tc>
        <w:tc>
          <w:tcPr>
            <w:tcW w:w="1134" w:type="dxa"/>
            <w:shd w:val="clear" w:color="auto" w:fill="92D050"/>
          </w:tcPr>
          <w:p w14:paraId="44DD76F0" w14:textId="77777777" w:rsidR="003E3E57" w:rsidRDefault="003E3E57">
            <w:r>
              <w:t>Good</w:t>
            </w:r>
          </w:p>
        </w:tc>
        <w:tc>
          <w:tcPr>
            <w:tcW w:w="1030" w:type="dxa"/>
            <w:shd w:val="clear" w:color="auto" w:fill="92D050"/>
          </w:tcPr>
          <w:p w14:paraId="7F28C188" w14:textId="77777777" w:rsidR="003E3E57" w:rsidRDefault="003E3E57">
            <w:r>
              <w:t>Good</w:t>
            </w:r>
          </w:p>
        </w:tc>
      </w:tr>
      <w:tr w:rsidR="003E3E57" w14:paraId="7A868005" w14:textId="77777777" w:rsidTr="00F9171A">
        <w:trPr>
          <w:trHeight w:val="871"/>
        </w:trPr>
        <w:tc>
          <w:tcPr>
            <w:tcW w:w="4673" w:type="dxa"/>
            <w:shd w:val="clear" w:color="auto" w:fill="D9D9D9" w:themeFill="background1" w:themeFillShade="D9"/>
          </w:tcPr>
          <w:p w14:paraId="55274F70" w14:textId="77777777" w:rsidR="003E3E57" w:rsidRDefault="003E3E57">
            <w:r>
              <w:t>The Fair Work Commission should set minimum standards that:</w:t>
            </w:r>
          </w:p>
          <w:p w14:paraId="601F60B0" w14:textId="77777777" w:rsidR="003E3E57" w:rsidRDefault="003E3E57" w:rsidP="000C31C4">
            <w:pPr>
              <w:pStyle w:val="List"/>
              <w:numPr>
                <w:ilvl w:val="0"/>
                <w:numId w:val="13"/>
              </w:numPr>
              <w:spacing w:line="276" w:lineRule="auto"/>
              <w:ind w:left="714" w:hanging="357"/>
              <w:contextualSpacing w:val="0"/>
            </w:pPr>
            <w:r>
              <w:t>are fair, relevant, proportionate, sustainable and responsive</w:t>
            </w:r>
          </w:p>
          <w:p w14:paraId="2ECD3A72" w14:textId="77777777" w:rsidR="003E3E57" w:rsidRDefault="003E3E57" w:rsidP="000C31C4">
            <w:pPr>
              <w:pStyle w:val="List"/>
              <w:numPr>
                <w:ilvl w:val="0"/>
                <w:numId w:val="13"/>
              </w:numPr>
              <w:spacing w:line="276" w:lineRule="auto"/>
              <w:ind w:left="714" w:hanging="357"/>
              <w:contextualSpacing w:val="0"/>
            </w:pPr>
            <w:r>
              <w:t>reflect workers’ independence and flexible working arrangements, for example choosing which tasks to accept and refuse, how to undertake their work, where and when they work, and which businesses to contract with</w:t>
            </w:r>
          </w:p>
          <w:p w14:paraId="12480095" w14:textId="77777777" w:rsidR="003E3E57" w:rsidRDefault="003E3E57" w:rsidP="000C31C4">
            <w:pPr>
              <w:pStyle w:val="List"/>
              <w:numPr>
                <w:ilvl w:val="0"/>
                <w:numId w:val="13"/>
              </w:numPr>
              <w:spacing w:line="276" w:lineRule="auto"/>
              <w:ind w:left="714" w:hanging="357"/>
              <w:contextualSpacing w:val="0"/>
            </w:pPr>
            <w:r>
              <w:t xml:space="preserve">mitigate to the greatest extent possible unintended consequences for workers, businesses, consumers and other aspects of the labour market </w:t>
            </w:r>
          </w:p>
        </w:tc>
        <w:tc>
          <w:tcPr>
            <w:tcW w:w="1134" w:type="dxa"/>
            <w:shd w:val="clear" w:color="auto" w:fill="F7A07A" w:themeFill="accent2" w:themeFillTint="99"/>
          </w:tcPr>
          <w:p w14:paraId="6F4B0D72" w14:textId="77777777" w:rsidR="003E3E57" w:rsidRDefault="003E3E57">
            <w:r>
              <w:t>Poor</w:t>
            </w:r>
          </w:p>
        </w:tc>
        <w:tc>
          <w:tcPr>
            <w:tcW w:w="1134" w:type="dxa"/>
            <w:shd w:val="clear" w:color="auto" w:fill="F3CB6F" w:themeFill="accent5" w:themeFillTint="99"/>
          </w:tcPr>
          <w:p w14:paraId="2D4FCCE5" w14:textId="77777777" w:rsidR="003E3E57" w:rsidRDefault="003E3E57">
            <w:r>
              <w:t>Fair</w:t>
            </w:r>
          </w:p>
        </w:tc>
        <w:tc>
          <w:tcPr>
            <w:tcW w:w="1134" w:type="dxa"/>
            <w:shd w:val="clear" w:color="auto" w:fill="92D050"/>
          </w:tcPr>
          <w:p w14:paraId="6974380B" w14:textId="15CD7757" w:rsidR="003E3E57" w:rsidRDefault="00B83B5E">
            <w:r>
              <w:t>Good</w:t>
            </w:r>
          </w:p>
        </w:tc>
        <w:tc>
          <w:tcPr>
            <w:tcW w:w="1030" w:type="dxa"/>
            <w:shd w:val="clear" w:color="auto" w:fill="92D050"/>
          </w:tcPr>
          <w:p w14:paraId="2A96E972" w14:textId="77777777" w:rsidR="003E3E57" w:rsidRDefault="003E3E57">
            <w:r>
              <w:t>Good</w:t>
            </w:r>
          </w:p>
        </w:tc>
      </w:tr>
      <w:tr w:rsidR="003E3E57" w14:paraId="544AA4E8" w14:textId="77777777">
        <w:trPr>
          <w:trHeight w:val="871"/>
        </w:trPr>
        <w:tc>
          <w:tcPr>
            <w:tcW w:w="4673" w:type="dxa"/>
            <w:shd w:val="clear" w:color="auto" w:fill="D9D9D9" w:themeFill="background1" w:themeFillShade="D9"/>
          </w:tcPr>
          <w:p w14:paraId="782E426D" w14:textId="09A82936" w:rsidR="003E3E57" w:rsidRDefault="003E3E57">
            <w:r>
              <w:t>The standard-setting framework should be accessible, transparent, fair and offer a high degree of certainty to affected parties.</w:t>
            </w:r>
          </w:p>
        </w:tc>
        <w:tc>
          <w:tcPr>
            <w:tcW w:w="1134" w:type="dxa"/>
            <w:shd w:val="clear" w:color="auto" w:fill="F7A07A" w:themeFill="accent2" w:themeFillTint="99"/>
          </w:tcPr>
          <w:p w14:paraId="21B75220" w14:textId="77777777" w:rsidR="003E3E57" w:rsidRDefault="003E3E57">
            <w:r>
              <w:t>Poor</w:t>
            </w:r>
          </w:p>
        </w:tc>
        <w:tc>
          <w:tcPr>
            <w:tcW w:w="1134" w:type="dxa"/>
            <w:shd w:val="clear" w:color="auto" w:fill="92D050"/>
          </w:tcPr>
          <w:p w14:paraId="10D6594A" w14:textId="77777777" w:rsidR="003E3E57" w:rsidRDefault="003E3E57">
            <w:r>
              <w:t>Good</w:t>
            </w:r>
          </w:p>
        </w:tc>
        <w:tc>
          <w:tcPr>
            <w:tcW w:w="1134" w:type="dxa"/>
            <w:shd w:val="clear" w:color="auto" w:fill="92D050"/>
          </w:tcPr>
          <w:p w14:paraId="0A2C2030" w14:textId="77777777" w:rsidR="003E3E57" w:rsidRDefault="003E3E57">
            <w:r>
              <w:t>Good</w:t>
            </w:r>
          </w:p>
        </w:tc>
        <w:tc>
          <w:tcPr>
            <w:tcW w:w="1030" w:type="dxa"/>
            <w:shd w:val="clear" w:color="auto" w:fill="92D050"/>
          </w:tcPr>
          <w:p w14:paraId="59DB7CAB" w14:textId="77777777" w:rsidR="003E3E57" w:rsidRDefault="003E3E57">
            <w:r>
              <w:t>Good</w:t>
            </w:r>
          </w:p>
        </w:tc>
      </w:tr>
    </w:tbl>
    <w:p w14:paraId="4EA52AA0" w14:textId="77777777" w:rsidR="003E3E57" w:rsidRDefault="003E3E57" w:rsidP="003E3E57"/>
    <w:p w14:paraId="31612DDE" w14:textId="77777777" w:rsidR="003E3E57" w:rsidRPr="00A646CA" w:rsidRDefault="003E3E57" w:rsidP="003E3E57">
      <w:pPr>
        <w:pStyle w:val="Heading3"/>
      </w:pPr>
      <w:bookmarkStart w:id="73" w:name="_Toc139295579"/>
      <w:r w:rsidRPr="00A646CA">
        <w:t>Access to dispute resolution for unfair contracts</w:t>
      </w:r>
      <w:bookmarkEnd w:id="73"/>
    </w:p>
    <w:p w14:paraId="18F786C4" w14:textId="2D990C61" w:rsidR="763E8C81" w:rsidRDefault="763E8C81" w:rsidP="00A54C6D">
      <w:r w:rsidRPr="231EF6BB">
        <w:rPr>
          <w:b/>
          <w:bCs/>
        </w:rPr>
        <w:t xml:space="preserve">Table </w:t>
      </w:r>
      <w:r w:rsidRPr="387176AC">
        <w:rPr>
          <w:b/>
          <w:bCs/>
        </w:rPr>
        <w:t>3</w:t>
      </w:r>
      <w:r w:rsidR="27D314DD" w:rsidRPr="387176AC">
        <w:rPr>
          <w:b/>
          <w:bCs/>
        </w:rPr>
        <w:t>2</w:t>
      </w:r>
      <w:r w:rsidR="6441494A" w:rsidRPr="231EF6BB">
        <w:rPr>
          <w:b/>
          <w:bCs/>
        </w:rPr>
        <w:t xml:space="preserve"> – Average annual regulatory costs (from business as usual)</w:t>
      </w:r>
    </w:p>
    <w:tbl>
      <w:tblPr>
        <w:tblStyle w:val="DESE"/>
        <w:tblW w:w="0" w:type="auto"/>
        <w:tblLook w:val="04A0" w:firstRow="1" w:lastRow="0" w:firstColumn="1" w:lastColumn="0" w:noHBand="0" w:noVBand="1"/>
      </w:tblPr>
      <w:tblGrid>
        <w:gridCol w:w="2547"/>
        <w:gridCol w:w="1559"/>
        <w:gridCol w:w="1701"/>
        <w:gridCol w:w="1559"/>
        <w:gridCol w:w="1650"/>
      </w:tblGrid>
      <w:tr w:rsidR="003E3E57" w14:paraId="70E8921B" w14:textId="77777777" w:rsidTr="7F87A1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002D3F" w:themeColor="accent1"/>
            </w:tcBorders>
          </w:tcPr>
          <w:p w14:paraId="78296D25" w14:textId="77777777" w:rsidR="003E3E57" w:rsidRPr="00B100CC" w:rsidRDefault="003E3E57">
            <w:pPr>
              <w:spacing w:after="100"/>
            </w:pPr>
          </w:p>
        </w:tc>
        <w:tc>
          <w:tcPr>
            <w:tcW w:w="6469" w:type="dxa"/>
            <w:gridSpan w:val="4"/>
            <w:tcBorders>
              <w:top w:val="single" w:sz="4" w:space="0" w:color="002D3F" w:themeColor="accent1"/>
            </w:tcBorders>
          </w:tcPr>
          <w:p w14:paraId="684D19ED" w14:textId="77777777" w:rsidR="003E3E57" w:rsidRPr="00A646CA" w:rsidRDefault="003E3E57">
            <w:pPr>
              <w:spacing w:after="100"/>
              <w:jc w:val="center"/>
              <w:cnfStyle w:val="100000000000" w:firstRow="1" w:lastRow="0" w:firstColumn="0" w:lastColumn="0" w:oddVBand="0" w:evenVBand="0" w:oddHBand="0" w:evenHBand="0" w:firstRowFirstColumn="0" w:firstRowLastColumn="0" w:lastRowFirstColumn="0" w:lastRowLastColumn="0"/>
            </w:pPr>
            <w:r w:rsidRPr="00A54C6D">
              <w:rPr>
                <w:b/>
              </w:rPr>
              <w:t>Average annual regulatory costs (from business as usual)</w:t>
            </w:r>
          </w:p>
        </w:tc>
      </w:tr>
      <w:tr w:rsidR="003E3E57" w14:paraId="1596108C" w14:textId="77777777" w:rsidTr="7F87A1C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002D3F" w:themeColor="accent1"/>
            </w:tcBorders>
          </w:tcPr>
          <w:p w14:paraId="2539FD10" w14:textId="77777777" w:rsidR="003E3E57" w:rsidRDefault="003E3E57">
            <w:pPr>
              <w:spacing w:after="100"/>
            </w:pPr>
            <w:r>
              <w:t>Option</w:t>
            </w:r>
          </w:p>
        </w:tc>
        <w:tc>
          <w:tcPr>
            <w:tcW w:w="1559" w:type="dxa"/>
            <w:tcBorders>
              <w:top w:val="single" w:sz="4" w:space="0" w:color="002D3F" w:themeColor="accent1"/>
            </w:tcBorders>
            <w:vAlign w:val="top"/>
          </w:tcPr>
          <w:p w14:paraId="3CAE0DFA" w14:textId="77777777" w:rsidR="003E3E57" w:rsidRPr="00A646CA" w:rsidRDefault="003E3E57">
            <w:pPr>
              <w:spacing w:after="100"/>
              <w:cnfStyle w:val="100000000000" w:firstRow="1" w:lastRow="0" w:firstColumn="0" w:lastColumn="0" w:oddVBand="0" w:evenVBand="0" w:oddHBand="0" w:evenHBand="0" w:firstRowFirstColumn="0" w:firstRowLastColumn="0" w:lastRowFirstColumn="0" w:lastRowLastColumn="0"/>
            </w:pPr>
            <w:r w:rsidRPr="00A646CA">
              <w:t>Independent contractors</w:t>
            </w:r>
          </w:p>
        </w:tc>
        <w:tc>
          <w:tcPr>
            <w:tcW w:w="1701" w:type="dxa"/>
            <w:vAlign w:val="top"/>
          </w:tcPr>
          <w:p w14:paraId="7C5B0E60" w14:textId="77777777" w:rsidR="003E3E57" w:rsidRPr="00A646CA" w:rsidRDefault="003E3E57">
            <w:pPr>
              <w:spacing w:after="100"/>
              <w:cnfStyle w:val="100000000000" w:firstRow="1" w:lastRow="0" w:firstColumn="0" w:lastColumn="0" w:oddVBand="0" w:evenVBand="0" w:oddHBand="0" w:evenHBand="0" w:firstRowFirstColumn="0" w:firstRowLastColumn="0" w:lastRowFirstColumn="0" w:lastRowLastColumn="0"/>
            </w:pPr>
            <w:r w:rsidRPr="00A646CA">
              <w:t>Business</w:t>
            </w:r>
          </w:p>
        </w:tc>
        <w:tc>
          <w:tcPr>
            <w:tcW w:w="1559" w:type="dxa"/>
            <w:vAlign w:val="top"/>
          </w:tcPr>
          <w:p w14:paraId="4C4381EB" w14:textId="77777777" w:rsidR="003E3E57" w:rsidRPr="00A646CA" w:rsidRDefault="003E3E57">
            <w:pPr>
              <w:spacing w:after="100"/>
              <w:cnfStyle w:val="100000000000" w:firstRow="1" w:lastRow="0" w:firstColumn="0" w:lastColumn="0" w:oddVBand="0" w:evenVBand="0" w:oddHBand="0" w:evenHBand="0" w:firstRowFirstColumn="0" w:firstRowLastColumn="0" w:lastRowFirstColumn="0" w:lastRowLastColumn="0"/>
            </w:pPr>
            <w:r w:rsidRPr="00A646CA">
              <w:t>Community organisations</w:t>
            </w:r>
          </w:p>
        </w:tc>
        <w:tc>
          <w:tcPr>
            <w:tcW w:w="1650" w:type="dxa"/>
            <w:vAlign w:val="top"/>
          </w:tcPr>
          <w:p w14:paraId="54DBF6C0" w14:textId="77777777" w:rsidR="003E3E57" w:rsidRPr="00A646CA" w:rsidRDefault="003E3E57">
            <w:pPr>
              <w:spacing w:after="100"/>
              <w:cnfStyle w:val="100000000000" w:firstRow="1" w:lastRow="0" w:firstColumn="0" w:lastColumn="0" w:oddVBand="0" w:evenVBand="0" w:oddHBand="0" w:evenHBand="0" w:firstRowFirstColumn="0" w:firstRowLastColumn="0" w:lastRowFirstColumn="0" w:lastRowLastColumn="0"/>
            </w:pPr>
            <w:r w:rsidRPr="00A646CA">
              <w:t>Total change in costs</w:t>
            </w:r>
          </w:p>
        </w:tc>
      </w:tr>
      <w:tr w:rsidR="0033487A" w14:paraId="517FC40C" w14:textId="77777777">
        <w:tc>
          <w:tcPr>
            <w:cnfStyle w:val="001000000000" w:firstRow="0" w:lastRow="0" w:firstColumn="1" w:lastColumn="0" w:oddVBand="0" w:evenVBand="0" w:oddHBand="0" w:evenHBand="0" w:firstRowFirstColumn="0" w:firstRowLastColumn="0" w:lastRowFirstColumn="0" w:lastRowLastColumn="0"/>
            <w:tcW w:w="2547" w:type="dxa"/>
            <w:vAlign w:val="top"/>
          </w:tcPr>
          <w:p w14:paraId="248F517D" w14:textId="5969E26F" w:rsidR="0033487A" w:rsidRDefault="0033487A">
            <w:pPr>
              <w:spacing w:after="100"/>
              <w:rPr>
                <w:b/>
                <w:bCs/>
              </w:rPr>
            </w:pPr>
            <w:r>
              <w:rPr>
                <w:b/>
                <w:bCs/>
              </w:rPr>
              <w:t>Option 1</w:t>
            </w:r>
          </w:p>
        </w:tc>
        <w:tc>
          <w:tcPr>
            <w:tcW w:w="1559" w:type="dxa"/>
            <w:vAlign w:val="top"/>
          </w:tcPr>
          <w:p w14:paraId="2935FAC2" w14:textId="626B1D95" w:rsidR="0033487A" w:rsidRDefault="0033487A">
            <w:pPr>
              <w:spacing w:after="100"/>
              <w:cnfStyle w:val="000000000000" w:firstRow="0" w:lastRow="0" w:firstColumn="0" w:lastColumn="0" w:oddVBand="0" w:evenVBand="0" w:oddHBand="0" w:evenHBand="0" w:firstRowFirstColumn="0" w:firstRowLastColumn="0" w:lastRowFirstColumn="0" w:lastRowLastColumn="0"/>
            </w:pPr>
            <w:r>
              <w:t>Nil</w:t>
            </w:r>
          </w:p>
        </w:tc>
        <w:tc>
          <w:tcPr>
            <w:tcW w:w="1701" w:type="dxa"/>
            <w:vAlign w:val="top"/>
          </w:tcPr>
          <w:p w14:paraId="16E1AFDB" w14:textId="5B9131BB" w:rsidR="0033487A" w:rsidRDefault="0033487A">
            <w:pPr>
              <w:spacing w:after="100"/>
              <w:cnfStyle w:val="000000000000" w:firstRow="0" w:lastRow="0" w:firstColumn="0" w:lastColumn="0" w:oddVBand="0" w:evenVBand="0" w:oddHBand="0" w:evenHBand="0" w:firstRowFirstColumn="0" w:firstRowLastColumn="0" w:lastRowFirstColumn="0" w:lastRowLastColumn="0"/>
            </w:pPr>
            <w:r>
              <w:t>Nil</w:t>
            </w:r>
          </w:p>
        </w:tc>
        <w:tc>
          <w:tcPr>
            <w:tcW w:w="1559" w:type="dxa"/>
            <w:vAlign w:val="top"/>
          </w:tcPr>
          <w:p w14:paraId="6B24340E" w14:textId="7B28F6BD" w:rsidR="0033487A" w:rsidRDefault="0033487A">
            <w:pPr>
              <w:spacing w:after="100"/>
              <w:cnfStyle w:val="000000000000" w:firstRow="0" w:lastRow="0" w:firstColumn="0" w:lastColumn="0" w:oddVBand="0" w:evenVBand="0" w:oddHBand="0" w:evenHBand="0" w:firstRowFirstColumn="0" w:firstRowLastColumn="0" w:lastRowFirstColumn="0" w:lastRowLastColumn="0"/>
            </w:pPr>
            <w:r>
              <w:t>Nil</w:t>
            </w:r>
          </w:p>
        </w:tc>
        <w:tc>
          <w:tcPr>
            <w:tcW w:w="1650" w:type="dxa"/>
            <w:vAlign w:val="top"/>
          </w:tcPr>
          <w:p w14:paraId="66EDF292" w14:textId="3448E821" w:rsidR="0033487A" w:rsidRDefault="0033487A">
            <w:pPr>
              <w:spacing w:after="100"/>
              <w:cnfStyle w:val="000000000000" w:firstRow="0" w:lastRow="0" w:firstColumn="0" w:lastColumn="0" w:oddVBand="0" w:evenVBand="0" w:oddHBand="0" w:evenHBand="0" w:firstRowFirstColumn="0" w:firstRowLastColumn="0" w:lastRowFirstColumn="0" w:lastRowLastColumn="0"/>
            </w:pPr>
            <w:r>
              <w:t>Nil</w:t>
            </w:r>
          </w:p>
        </w:tc>
      </w:tr>
      <w:tr w:rsidR="003E3E57" w14:paraId="42768C15" w14:textId="77777777">
        <w:tc>
          <w:tcPr>
            <w:cnfStyle w:val="001000000000" w:firstRow="0" w:lastRow="0" w:firstColumn="1" w:lastColumn="0" w:oddVBand="0" w:evenVBand="0" w:oddHBand="0" w:evenHBand="0" w:firstRowFirstColumn="0" w:firstRowLastColumn="0" w:lastRowFirstColumn="0" w:lastRowLastColumn="0"/>
            <w:tcW w:w="2547" w:type="dxa"/>
            <w:vAlign w:val="top"/>
          </w:tcPr>
          <w:p w14:paraId="117D7957" w14:textId="77777777" w:rsidR="003E3E57" w:rsidRPr="00861934" w:rsidRDefault="003E3E57">
            <w:pPr>
              <w:spacing w:after="100"/>
              <w:rPr>
                <w:b/>
                <w:bCs/>
              </w:rPr>
            </w:pPr>
            <w:r>
              <w:rPr>
                <w:b/>
                <w:bCs/>
              </w:rPr>
              <w:t>Option 2</w:t>
            </w:r>
          </w:p>
        </w:tc>
        <w:tc>
          <w:tcPr>
            <w:tcW w:w="1559" w:type="dxa"/>
            <w:vAlign w:val="top"/>
          </w:tcPr>
          <w:p w14:paraId="15A4C33E" w14:textId="17458B36" w:rsidR="003E3E57" w:rsidRDefault="00C00321">
            <w:pPr>
              <w:spacing w:after="100"/>
              <w:cnfStyle w:val="000000000000" w:firstRow="0" w:lastRow="0" w:firstColumn="0" w:lastColumn="0" w:oddVBand="0" w:evenVBand="0" w:oddHBand="0" w:evenHBand="0" w:firstRowFirstColumn="0" w:firstRowLastColumn="0" w:lastRowFirstColumn="0" w:lastRowLastColumn="0"/>
            </w:pPr>
            <w:r>
              <w:t>Nil</w:t>
            </w:r>
          </w:p>
        </w:tc>
        <w:tc>
          <w:tcPr>
            <w:tcW w:w="1701" w:type="dxa"/>
            <w:vAlign w:val="top"/>
          </w:tcPr>
          <w:p w14:paraId="6CE2E3AF" w14:textId="03F9C772" w:rsidR="003E3E57" w:rsidRDefault="00C00321">
            <w:pPr>
              <w:spacing w:after="100"/>
              <w:cnfStyle w:val="000000000000" w:firstRow="0" w:lastRow="0" w:firstColumn="0" w:lastColumn="0" w:oddVBand="0" w:evenVBand="0" w:oddHBand="0" w:evenHBand="0" w:firstRowFirstColumn="0" w:firstRowLastColumn="0" w:lastRowFirstColumn="0" w:lastRowLastColumn="0"/>
            </w:pPr>
            <w:r>
              <w:t>Nil</w:t>
            </w:r>
          </w:p>
        </w:tc>
        <w:tc>
          <w:tcPr>
            <w:tcW w:w="1559" w:type="dxa"/>
            <w:vAlign w:val="top"/>
          </w:tcPr>
          <w:p w14:paraId="57459953" w14:textId="77777777" w:rsidR="003E3E57" w:rsidRDefault="003E3E57">
            <w:pPr>
              <w:spacing w:after="100"/>
              <w:cnfStyle w:val="000000000000" w:firstRow="0" w:lastRow="0" w:firstColumn="0" w:lastColumn="0" w:oddVBand="0" w:evenVBand="0" w:oddHBand="0" w:evenHBand="0" w:firstRowFirstColumn="0" w:firstRowLastColumn="0" w:lastRowFirstColumn="0" w:lastRowLastColumn="0"/>
            </w:pPr>
            <w:r>
              <w:t>Nil</w:t>
            </w:r>
          </w:p>
        </w:tc>
        <w:tc>
          <w:tcPr>
            <w:tcW w:w="1650" w:type="dxa"/>
            <w:vAlign w:val="top"/>
          </w:tcPr>
          <w:p w14:paraId="2417DC98" w14:textId="6D85811C" w:rsidR="003E3E57" w:rsidRDefault="00C00321">
            <w:pPr>
              <w:spacing w:after="100"/>
              <w:cnfStyle w:val="000000000000" w:firstRow="0" w:lastRow="0" w:firstColumn="0" w:lastColumn="0" w:oddVBand="0" w:evenVBand="0" w:oddHBand="0" w:evenHBand="0" w:firstRowFirstColumn="0" w:firstRowLastColumn="0" w:lastRowFirstColumn="0" w:lastRowLastColumn="0"/>
            </w:pPr>
            <w:r>
              <w:t>Nil</w:t>
            </w:r>
          </w:p>
        </w:tc>
      </w:tr>
      <w:tr w:rsidR="003E3E57" w14:paraId="6706A697" w14:textId="77777777">
        <w:tc>
          <w:tcPr>
            <w:cnfStyle w:val="001000000000" w:firstRow="0" w:lastRow="0" w:firstColumn="1" w:lastColumn="0" w:oddVBand="0" w:evenVBand="0" w:oddHBand="0" w:evenHBand="0" w:firstRowFirstColumn="0" w:firstRowLastColumn="0" w:lastRowFirstColumn="0" w:lastRowLastColumn="0"/>
            <w:tcW w:w="2547" w:type="dxa"/>
            <w:vAlign w:val="top"/>
          </w:tcPr>
          <w:p w14:paraId="58E8EBCD" w14:textId="77777777" w:rsidR="003E3E57" w:rsidRPr="00861934" w:rsidRDefault="003E3E57">
            <w:pPr>
              <w:spacing w:after="100"/>
              <w:rPr>
                <w:b/>
                <w:bCs/>
              </w:rPr>
            </w:pPr>
            <w:r w:rsidRPr="00E06C7F">
              <w:rPr>
                <w:b/>
                <w:bCs/>
              </w:rPr>
              <w:t>Option 3</w:t>
            </w:r>
          </w:p>
        </w:tc>
        <w:tc>
          <w:tcPr>
            <w:tcW w:w="1559" w:type="dxa"/>
            <w:vAlign w:val="top"/>
          </w:tcPr>
          <w:p w14:paraId="7AAB0012" w14:textId="40C8E2FA" w:rsidR="003E3E57" w:rsidRDefault="00C00321">
            <w:pPr>
              <w:spacing w:after="100"/>
              <w:cnfStyle w:val="000000000000" w:firstRow="0" w:lastRow="0" w:firstColumn="0" w:lastColumn="0" w:oddVBand="0" w:evenVBand="0" w:oddHBand="0" w:evenHBand="0" w:firstRowFirstColumn="0" w:firstRowLastColumn="0" w:lastRowFirstColumn="0" w:lastRowLastColumn="0"/>
            </w:pPr>
            <w:r>
              <w:t>Nil</w:t>
            </w:r>
          </w:p>
        </w:tc>
        <w:tc>
          <w:tcPr>
            <w:tcW w:w="1701" w:type="dxa"/>
            <w:vAlign w:val="top"/>
          </w:tcPr>
          <w:p w14:paraId="0D2EA243" w14:textId="06302A02" w:rsidR="003E3E57" w:rsidRDefault="00C00321">
            <w:pPr>
              <w:spacing w:after="100"/>
              <w:cnfStyle w:val="000000000000" w:firstRow="0" w:lastRow="0" w:firstColumn="0" w:lastColumn="0" w:oddVBand="0" w:evenVBand="0" w:oddHBand="0" w:evenHBand="0" w:firstRowFirstColumn="0" w:firstRowLastColumn="0" w:lastRowFirstColumn="0" w:lastRowLastColumn="0"/>
            </w:pPr>
            <w:r>
              <w:t>Nil</w:t>
            </w:r>
          </w:p>
        </w:tc>
        <w:tc>
          <w:tcPr>
            <w:tcW w:w="1559" w:type="dxa"/>
            <w:vAlign w:val="top"/>
          </w:tcPr>
          <w:p w14:paraId="51139139" w14:textId="77777777" w:rsidR="003E3E57" w:rsidRDefault="003E3E57">
            <w:pPr>
              <w:spacing w:after="100"/>
              <w:cnfStyle w:val="000000000000" w:firstRow="0" w:lastRow="0" w:firstColumn="0" w:lastColumn="0" w:oddVBand="0" w:evenVBand="0" w:oddHBand="0" w:evenHBand="0" w:firstRowFirstColumn="0" w:firstRowLastColumn="0" w:lastRowFirstColumn="0" w:lastRowLastColumn="0"/>
            </w:pPr>
            <w:r>
              <w:t>Nil</w:t>
            </w:r>
          </w:p>
        </w:tc>
        <w:tc>
          <w:tcPr>
            <w:tcW w:w="1650" w:type="dxa"/>
            <w:vAlign w:val="top"/>
          </w:tcPr>
          <w:p w14:paraId="76B709FA" w14:textId="77C84C55" w:rsidR="003E3E57" w:rsidRDefault="00C00321">
            <w:pPr>
              <w:spacing w:after="100"/>
              <w:cnfStyle w:val="000000000000" w:firstRow="0" w:lastRow="0" w:firstColumn="0" w:lastColumn="0" w:oddVBand="0" w:evenVBand="0" w:oddHBand="0" w:evenHBand="0" w:firstRowFirstColumn="0" w:firstRowLastColumn="0" w:lastRowFirstColumn="0" w:lastRowLastColumn="0"/>
            </w:pPr>
            <w:r>
              <w:t>Nil</w:t>
            </w:r>
          </w:p>
        </w:tc>
      </w:tr>
    </w:tbl>
    <w:p w14:paraId="0531E8EB" w14:textId="77777777" w:rsidR="003E3E57" w:rsidRDefault="003E3E57" w:rsidP="003E3E57"/>
    <w:p w14:paraId="0DA4F731" w14:textId="31B9511B" w:rsidR="3584E9D9" w:rsidRDefault="3584E9D9" w:rsidP="2D6D1D21">
      <w:pPr>
        <w:rPr>
          <w:b/>
        </w:rPr>
      </w:pPr>
      <w:r w:rsidRPr="231EF6BB">
        <w:rPr>
          <w:b/>
          <w:bCs/>
        </w:rPr>
        <w:t xml:space="preserve">Table </w:t>
      </w:r>
      <w:r w:rsidRPr="387176AC">
        <w:rPr>
          <w:b/>
          <w:bCs/>
        </w:rPr>
        <w:t>3</w:t>
      </w:r>
      <w:r w:rsidR="4A6D64FB" w:rsidRPr="387176AC">
        <w:rPr>
          <w:b/>
          <w:bCs/>
        </w:rPr>
        <w:t>3</w:t>
      </w:r>
      <w:r w:rsidR="24EA3545" w:rsidRPr="231EF6BB">
        <w:rPr>
          <w:b/>
          <w:bCs/>
        </w:rPr>
        <w:t xml:space="preserve"> – </w:t>
      </w:r>
      <w:r w:rsidR="00AA1237">
        <w:rPr>
          <w:b/>
          <w:bCs/>
        </w:rPr>
        <w:t>Consistency</w:t>
      </w:r>
      <w:r w:rsidR="00AA1237" w:rsidRPr="4F9E0E0C">
        <w:rPr>
          <w:b/>
          <w:bCs/>
        </w:rPr>
        <w:t xml:space="preserve"> </w:t>
      </w:r>
      <w:r w:rsidR="00AA1237">
        <w:rPr>
          <w:b/>
          <w:bCs/>
        </w:rPr>
        <w:t>of each option with</w:t>
      </w:r>
      <w:r w:rsidR="00AA1237" w:rsidRPr="4F9E0E0C">
        <w:rPr>
          <w:b/>
          <w:bCs/>
        </w:rPr>
        <w:t xml:space="preserve"> </w:t>
      </w:r>
      <w:r w:rsidR="00AA1237" w:rsidRPr="02AA21CB">
        <w:rPr>
          <w:b/>
          <w:bCs/>
        </w:rPr>
        <w:t xml:space="preserve">Guiding Principles </w:t>
      </w:r>
    </w:p>
    <w:tbl>
      <w:tblPr>
        <w:tblStyle w:val="TableGrid"/>
        <w:tblW w:w="9209" w:type="dxa"/>
        <w:tblLook w:val="04A0" w:firstRow="1" w:lastRow="0" w:firstColumn="1" w:lastColumn="0" w:noHBand="0" w:noVBand="1"/>
      </w:tblPr>
      <w:tblGrid>
        <w:gridCol w:w="5807"/>
        <w:gridCol w:w="1134"/>
        <w:gridCol w:w="1134"/>
        <w:gridCol w:w="1134"/>
      </w:tblGrid>
      <w:tr w:rsidR="003E3E57" w14:paraId="7295DB8F" w14:textId="77777777">
        <w:trPr>
          <w:trHeight w:val="410"/>
        </w:trPr>
        <w:tc>
          <w:tcPr>
            <w:tcW w:w="5807" w:type="dxa"/>
            <w:shd w:val="clear" w:color="auto" w:fill="404040" w:themeFill="text1" w:themeFillTint="BF"/>
          </w:tcPr>
          <w:p w14:paraId="66C12EB9" w14:textId="77777777" w:rsidR="003E3E57" w:rsidRPr="00A54C6D" w:rsidRDefault="003E3E57">
            <w:pPr>
              <w:spacing w:before="100" w:beforeAutospacing="1" w:after="100" w:afterAutospacing="1"/>
              <w:jc w:val="center"/>
              <w:rPr>
                <w:rFonts w:ascii="Calibri" w:hAnsi="Calibri"/>
                <w:b/>
                <w:color w:val="FFFFFF" w:themeColor="background1"/>
              </w:rPr>
            </w:pPr>
            <w:r w:rsidRPr="00A54C6D">
              <w:rPr>
                <w:rFonts w:ascii="Calibri" w:hAnsi="Calibri"/>
                <w:b/>
                <w:color w:val="FFFFFF" w:themeColor="background1"/>
              </w:rPr>
              <w:t>Guiding Principle</w:t>
            </w:r>
          </w:p>
        </w:tc>
        <w:tc>
          <w:tcPr>
            <w:tcW w:w="1134" w:type="dxa"/>
            <w:shd w:val="clear" w:color="auto" w:fill="404040" w:themeFill="text1" w:themeFillTint="BF"/>
          </w:tcPr>
          <w:p w14:paraId="1C2A679F" w14:textId="77777777" w:rsidR="003E3E57" w:rsidRPr="00A54C6D" w:rsidRDefault="003E3E57">
            <w:pPr>
              <w:spacing w:before="100" w:beforeAutospacing="1" w:after="100" w:afterAutospacing="1"/>
              <w:jc w:val="center"/>
              <w:rPr>
                <w:rFonts w:ascii="Calibri" w:hAnsi="Calibri"/>
                <w:b/>
                <w:color w:val="FFFFFF" w:themeColor="background1"/>
              </w:rPr>
            </w:pPr>
            <w:r w:rsidRPr="00A54C6D">
              <w:rPr>
                <w:rFonts w:ascii="Calibri" w:hAnsi="Calibri"/>
                <w:b/>
                <w:color w:val="FFFFFF" w:themeColor="background1"/>
              </w:rPr>
              <w:t>Option 1</w:t>
            </w:r>
          </w:p>
        </w:tc>
        <w:tc>
          <w:tcPr>
            <w:tcW w:w="1134" w:type="dxa"/>
            <w:shd w:val="clear" w:color="auto" w:fill="404040" w:themeFill="text1" w:themeFillTint="BF"/>
          </w:tcPr>
          <w:p w14:paraId="21D5EE45" w14:textId="77777777" w:rsidR="003E3E57" w:rsidRPr="00A54C6D" w:rsidRDefault="003E3E57">
            <w:pPr>
              <w:spacing w:before="100" w:beforeAutospacing="1" w:after="100" w:afterAutospacing="1"/>
              <w:jc w:val="center"/>
              <w:rPr>
                <w:rFonts w:ascii="Calibri" w:hAnsi="Calibri"/>
                <w:b/>
                <w:color w:val="FFFFFF" w:themeColor="background1"/>
              </w:rPr>
            </w:pPr>
            <w:r w:rsidRPr="00A54C6D">
              <w:rPr>
                <w:rFonts w:ascii="Calibri" w:hAnsi="Calibri"/>
                <w:b/>
                <w:color w:val="FFFFFF" w:themeColor="background1"/>
              </w:rPr>
              <w:t>Option 2</w:t>
            </w:r>
          </w:p>
        </w:tc>
        <w:tc>
          <w:tcPr>
            <w:tcW w:w="1134" w:type="dxa"/>
            <w:shd w:val="clear" w:color="auto" w:fill="404040" w:themeFill="text1" w:themeFillTint="BF"/>
          </w:tcPr>
          <w:p w14:paraId="272286B0" w14:textId="77777777" w:rsidR="003E3E57" w:rsidRPr="00A54C6D" w:rsidRDefault="003E3E57">
            <w:pPr>
              <w:spacing w:before="100" w:beforeAutospacing="1" w:after="100" w:afterAutospacing="1"/>
              <w:jc w:val="center"/>
              <w:rPr>
                <w:rFonts w:ascii="Calibri" w:hAnsi="Calibri"/>
                <w:b/>
                <w:color w:val="FFFFFF" w:themeColor="background1"/>
              </w:rPr>
            </w:pPr>
            <w:r w:rsidRPr="00A54C6D">
              <w:rPr>
                <w:rFonts w:ascii="Calibri" w:hAnsi="Calibri"/>
                <w:b/>
                <w:color w:val="FFFFFF" w:themeColor="background1"/>
              </w:rPr>
              <w:t>Option 3</w:t>
            </w:r>
          </w:p>
        </w:tc>
      </w:tr>
      <w:tr w:rsidR="003E3E57" w14:paraId="7111CCBA" w14:textId="77777777">
        <w:trPr>
          <w:trHeight w:val="871"/>
        </w:trPr>
        <w:tc>
          <w:tcPr>
            <w:tcW w:w="5807" w:type="dxa"/>
            <w:shd w:val="clear" w:color="auto" w:fill="D9D9D9" w:themeFill="background1" w:themeFillShade="D9"/>
          </w:tcPr>
          <w:p w14:paraId="7A15040B" w14:textId="77777777" w:rsidR="003E3E57" w:rsidRDefault="003E3E57">
            <w:r>
              <w:t>Australia’s workplace relations system must reflect modern working arrangements and be capable of evolving with emerging forms of work and business practices.</w:t>
            </w:r>
          </w:p>
        </w:tc>
        <w:tc>
          <w:tcPr>
            <w:tcW w:w="1134" w:type="dxa"/>
            <w:shd w:val="clear" w:color="auto" w:fill="F7A07A" w:themeFill="accent2" w:themeFillTint="99"/>
          </w:tcPr>
          <w:p w14:paraId="13490705" w14:textId="77777777" w:rsidR="003E3E57" w:rsidRDefault="003E3E57">
            <w:r>
              <w:t>Poor</w:t>
            </w:r>
          </w:p>
        </w:tc>
        <w:tc>
          <w:tcPr>
            <w:tcW w:w="1134" w:type="dxa"/>
            <w:shd w:val="clear" w:color="auto" w:fill="92D050"/>
          </w:tcPr>
          <w:p w14:paraId="739F0961" w14:textId="77777777" w:rsidR="003E3E57" w:rsidRDefault="003E3E57">
            <w:r>
              <w:t>Good</w:t>
            </w:r>
          </w:p>
        </w:tc>
        <w:tc>
          <w:tcPr>
            <w:tcW w:w="1134" w:type="dxa"/>
            <w:shd w:val="clear" w:color="auto" w:fill="92D050"/>
          </w:tcPr>
          <w:p w14:paraId="3737C1C7" w14:textId="77777777" w:rsidR="003E3E57" w:rsidRDefault="003E3E57">
            <w:r>
              <w:t>Good</w:t>
            </w:r>
          </w:p>
        </w:tc>
      </w:tr>
      <w:tr w:rsidR="003E3E57" w14:paraId="0B694D79" w14:textId="77777777">
        <w:trPr>
          <w:trHeight w:val="70"/>
        </w:trPr>
        <w:tc>
          <w:tcPr>
            <w:tcW w:w="5807" w:type="dxa"/>
            <w:shd w:val="clear" w:color="auto" w:fill="D9D9D9" w:themeFill="background1" w:themeFillShade="D9"/>
          </w:tcPr>
          <w:p w14:paraId="52E7E8D1" w14:textId="77777777" w:rsidR="003E3E57" w:rsidRDefault="003E3E57">
            <w:r>
              <w:t>All workers should have access to minimum rights and protections regardless of whether they are characterised as an employee or an independent contractor, including access to freedom of association and dispute resolution.</w:t>
            </w:r>
          </w:p>
        </w:tc>
        <w:tc>
          <w:tcPr>
            <w:tcW w:w="1134" w:type="dxa"/>
            <w:shd w:val="clear" w:color="auto" w:fill="F7A07A" w:themeFill="accent2" w:themeFillTint="99"/>
          </w:tcPr>
          <w:p w14:paraId="25DB6D79" w14:textId="77777777" w:rsidR="003E3E57" w:rsidRDefault="003E3E57">
            <w:r>
              <w:t>Poor</w:t>
            </w:r>
          </w:p>
        </w:tc>
        <w:tc>
          <w:tcPr>
            <w:tcW w:w="1134" w:type="dxa"/>
            <w:shd w:val="clear" w:color="auto" w:fill="F3CB6F" w:themeFill="accent5" w:themeFillTint="99"/>
          </w:tcPr>
          <w:p w14:paraId="6E0382BC" w14:textId="77777777" w:rsidR="003E3E57" w:rsidRDefault="003E3E57">
            <w:r>
              <w:t>Fair</w:t>
            </w:r>
          </w:p>
        </w:tc>
        <w:tc>
          <w:tcPr>
            <w:tcW w:w="1134" w:type="dxa"/>
            <w:shd w:val="clear" w:color="auto" w:fill="92D050"/>
          </w:tcPr>
          <w:p w14:paraId="17BB66F4" w14:textId="77777777" w:rsidR="003E3E57" w:rsidRDefault="003E3E57">
            <w:r>
              <w:t>Good</w:t>
            </w:r>
          </w:p>
        </w:tc>
      </w:tr>
      <w:tr w:rsidR="003E3E57" w14:paraId="2BCACE95" w14:textId="77777777" w:rsidTr="00A54C6D">
        <w:trPr>
          <w:trHeight w:val="871"/>
        </w:trPr>
        <w:tc>
          <w:tcPr>
            <w:tcW w:w="5807" w:type="dxa"/>
            <w:shd w:val="clear" w:color="auto" w:fill="D9D9D9" w:themeFill="background1" w:themeFillShade="D9"/>
          </w:tcPr>
          <w:p w14:paraId="61CDE296" w14:textId="472B66DA" w:rsidR="003E3E57" w:rsidRDefault="003E3E57">
            <w:r>
              <w:t>Businesses should benefit from a level playing field among industry participants while promoting competition and innovation.</w:t>
            </w:r>
          </w:p>
        </w:tc>
        <w:tc>
          <w:tcPr>
            <w:tcW w:w="1134" w:type="dxa"/>
            <w:shd w:val="clear" w:color="auto" w:fill="F7A07A" w:themeFill="accent2" w:themeFillTint="99"/>
          </w:tcPr>
          <w:p w14:paraId="327A8735" w14:textId="77777777" w:rsidR="003E3E57" w:rsidRDefault="003E3E57" w:rsidP="00A54C6D">
            <w:r>
              <w:t>Poor</w:t>
            </w:r>
          </w:p>
        </w:tc>
        <w:tc>
          <w:tcPr>
            <w:tcW w:w="1134" w:type="dxa"/>
            <w:shd w:val="clear" w:color="auto" w:fill="F3CB6F" w:themeFill="accent5" w:themeFillTint="99"/>
          </w:tcPr>
          <w:p w14:paraId="21A1D99E" w14:textId="77777777" w:rsidR="003E3E57" w:rsidRDefault="003E3E57">
            <w:r>
              <w:t>Fair</w:t>
            </w:r>
          </w:p>
        </w:tc>
        <w:tc>
          <w:tcPr>
            <w:tcW w:w="1134" w:type="dxa"/>
            <w:shd w:val="clear" w:color="auto" w:fill="92D050"/>
          </w:tcPr>
          <w:p w14:paraId="59264250" w14:textId="77777777" w:rsidR="003E3E57" w:rsidRDefault="003E3E57">
            <w:r>
              <w:t>Good</w:t>
            </w:r>
          </w:p>
        </w:tc>
      </w:tr>
      <w:tr w:rsidR="003E3E57" w14:paraId="458B1157" w14:textId="77777777">
        <w:trPr>
          <w:trHeight w:val="871"/>
        </w:trPr>
        <w:tc>
          <w:tcPr>
            <w:tcW w:w="5807" w:type="dxa"/>
            <w:shd w:val="clear" w:color="auto" w:fill="D9D9D9" w:themeFill="background1" w:themeFillShade="D9"/>
          </w:tcPr>
          <w:p w14:paraId="1E63E39A" w14:textId="77777777" w:rsidR="003E3E57" w:rsidRDefault="003E3E57">
            <w:r>
              <w:t>The Fair Work Commission should set minimum standards that:</w:t>
            </w:r>
          </w:p>
          <w:p w14:paraId="791F4AA2" w14:textId="77777777" w:rsidR="003E3E57" w:rsidRDefault="003E3E57" w:rsidP="000C31C4">
            <w:pPr>
              <w:pStyle w:val="List"/>
              <w:numPr>
                <w:ilvl w:val="0"/>
                <w:numId w:val="13"/>
              </w:numPr>
              <w:spacing w:line="276" w:lineRule="auto"/>
              <w:ind w:left="714" w:hanging="357"/>
              <w:contextualSpacing w:val="0"/>
            </w:pPr>
            <w:r>
              <w:t>are fair, relevant, proportionate, sustainable and responsive</w:t>
            </w:r>
          </w:p>
          <w:p w14:paraId="407F11D4" w14:textId="77777777" w:rsidR="003E3E57" w:rsidRDefault="003E3E57" w:rsidP="000C31C4">
            <w:pPr>
              <w:pStyle w:val="List"/>
              <w:numPr>
                <w:ilvl w:val="0"/>
                <w:numId w:val="13"/>
              </w:numPr>
              <w:spacing w:line="276" w:lineRule="auto"/>
              <w:ind w:left="714" w:hanging="357"/>
              <w:contextualSpacing w:val="0"/>
            </w:pPr>
            <w:r>
              <w:t>reflect workers’ independence and flexible working arrangements, for example choosing which tasks to accept and refuse, how to undertake their work, where and when they work, and which businesses to contract with</w:t>
            </w:r>
          </w:p>
          <w:p w14:paraId="65DBB7EC" w14:textId="77777777" w:rsidR="003E3E57" w:rsidRDefault="003E3E57" w:rsidP="000C31C4">
            <w:pPr>
              <w:pStyle w:val="List"/>
              <w:numPr>
                <w:ilvl w:val="0"/>
                <w:numId w:val="13"/>
              </w:numPr>
              <w:spacing w:line="276" w:lineRule="auto"/>
              <w:ind w:left="714" w:hanging="357"/>
              <w:contextualSpacing w:val="0"/>
            </w:pPr>
            <w:r>
              <w:t xml:space="preserve">mitigate to the greatest extent possible unintended consequences for workers, businesses, consumers and other aspects of the labour market </w:t>
            </w:r>
          </w:p>
        </w:tc>
        <w:tc>
          <w:tcPr>
            <w:tcW w:w="1134" w:type="dxa"/>
          </w:tcPr>
          <w:p w14:paraId="392BC4A2" w14:textId="77777777" w:rsidR="003E3E57" w:rsidRDefault="003E3E57">
            <w:r>
              <w:t>N/A</w:t>
            </w:r>
          </w:p>
        </w:tc>
        <w:tc>
          <w:tcPr>
            <w:tcW w:w="1134" w:type="dxa"/>
          </w:tcPr>
          <w:p w14:paraId="5F2343E8" w14:textId="77777777" w:rsidR="003E3E57" w:rsidRDefault="003E3E57">
            <w:r>
              <w:t>N/A</w:t>
            </w:r>
          </w:p>
        </w:tc>
        <w:tc>
          <w:tcPr>
            <w:tcW w:w="1134" w:type="dxa"/>
          </w:tcPr>
          <w:p w14:paraId="66F0F8F1" w14:textId="77777777" w:rsidR="003E3E57" w:rsidRDefault="003E3E57">
            <w:r>
              <w:t>N/A</w:t>
            </w:r>
          </w:p>
        </w:tc>
      </w:tr>
      <w:tr w:rsidR="003E3E57" w14:paraId="1633E873" w14:textId="77777777">
        <w:trPr>
          <w:trHeight w:val="1028"/>
        </w:trPr>
        <w:tc>
          <w:tcPr>
            <w:tcW w:w="5807" w:type="dxa"/>
            <w:shd w:val="clear" w:color="auto" w:fill="D9D9D9" w:themeFill="background1" w:themeFillShade="D9"/>
          </w:tcPr>
          <w:p w14:paraId="0324FDA4" w14:textId="77777777" w:rsidR="003E3E57" w:rsidRDefault="003E3E57">
            <w:r>
              <w:t>The standard-setting framework should be accessible, transparent, fair and offer a high degree of certainty to affected parties.</w:t>
            </w:r>
          </w:p>
        </w:tc>
        <w:tc>
          <w:tcPr>
            <w:tcW w:w="1134" w:type="dxa"/>
            <w:shd w:val="clear" w:color="auto" w:fill="auto"/>
          </w:tcPr>
          <w:p w14:paraId="3D23378C" w14:textId="77777777" w:rsidR="003E3E57" w:rsidRDefault="003E3E57">
            <w:r>
              <w:t>N/A</w:t>
            </w:r>
          </w:p>
        </w:tc>
        <w:tc>
          <w:tcPr>
            <w:tcW w:w="1134" w:type="dxa"/>
          </w:tcPr>
          <w:p w14:paraId="0B16CDD5" w14:textId="77777777" w:rsidR="003E3E57" w:rsidRDefault="003E3E57">
            <w:r>
              <w:t>N/A</w:t>
            </w:r>
          </w:p>
        </w:tc>
        <w:tc>
          <w:tcPr>
            <w:tcW w:w="1134" w:type="dxa"/>
          </w:tcPr>
          <w:p w14:paraId="04E311F0" w14:textId="77777777" w:rsidR="003E3E57" w:rsidRDefault="003E3E57">
            <w:r>
              <w:t>N/A</w:t>
            </w:r>
          </w:p>
        </w:tc>
      </w:tr>
    </w:tbl>
    <w:p w14:paraId="60694976" w14:textId="77777777" w:rsidR="003E3E57" w:rsidRDefault="003E3E57" w:rsidP="003E3E57"/>
    <w:p w14:paraId="363451B0" w14:textId="000880A9" w:rsidR="00B07509" w:rsidRPr="00BA3819" w:rsidRDefault="00B21BF4" w:rsidP="004B4F63">
      <w:pPr>
        <w:pStyle w:val="Heading2"/>
        <w:spacing w:after="200"/>
      </w:pPr>
      <w:bookmarkStart w:id="74" w:name="_Toc139295580"/>
      <w:r w:rsidRPr="00BA3819">
        <w:t>Implementation</w:t>
      </w:r>
      <w:bookmarkEnd w:id="74"/>
      <w:r w:rsidRPr="00BA3819">
        <w:t xml:space="preserve"> </w:t>
      </w:r>
    </w:p>
    <w:p w14:paraId="0FF2ACF1" w14:textId="1197ABD4" w:rsidR="00B21BF4" w:rsidRDefault="00A60CDE" w:rsidP="00B21BF4">
      <w:r>
        <w:t xml:space="preserve">The </w:t>
      </w:r>
      <w:r w:rsidR="008C4771">
        <w:t xml:space="preserve">Government will introduce legislation to amend the Fair Work Act. </w:t>
      </w:r>
      <w:r w:rsidR="006C07F3">
        <w:t xml:space="preserve">The amendments </w:t>
      </w:r>
      <w:r w:rsidR="007F0463">
        <w:t xml:space="preserve">to the Fair Work Act </w:t>
      </w:r>
      <w:r w:rsidR="006C07F3">
        <w:t>will:</w:t>
      </w:r>
    </w:p>
    <w:p w14:paraId="0BF8093B" w14:textId="60BE6B9B" w:rsidR="006C07F3" w:rsidRDefault="006C07F3" w:rsidP="000C31C4">
      <w:pPr>
        <w:pStyle w:val="ListParagraph"/>
        <w:numPr>
          <w:ilvl w:val="0"/>
          <w:numId w:val="29"/>
        </w:numPr>
        <w:spacing w:line="276" w:lineRule="auto"/>
        <w:ind w:left="714" w:hanging="357"/>
        <w:contextualSpacing w:val="0"/>
      </w:pPr>
      <w:r>
        <w:t xml:space="preserve">Establish new powers for the Fair Work Commission to </w:t>
      </w:r>
      <w:r w:rsidR="007F0463">
        <w:t xml:space="preserve">set minimum standards </w:t>
      </w:r>
      <w:r w:rsidR="7ECD3BA1">
        <w:t xml:space="preserve">and resolve disputes </w:t>
      </w:r>
      <w:r w:rsidR="003177EB">
        <w:t xml:space="preserve">about ‘deactivation’ or unfair contract termination </w:t>
      </w:r>
      <w:r w:rsidR="007F0463">
        <w:t xml:space="preserve">for digital platform workers </w:t>
      </w:r>
      <w:r w:rsidR="004F2AD7">
        <w:t>and road transport workers</w:t>
      </w:r>
    </w:p>
    <w:p w14:paraId="6B03B084" w14:textId="04330030" w:rsidR="00DD41AE" w:rsidRDefault="00205DB4" w:rsidP="000C31C4">
      <w:pPr>
        <w:pStyle w:val="ListParagraph"/>
        <w:numPr>
          <w:ilvl w:val="0"/>
          <w:numId w:val="29"/>
        </w:numPr>
        <w:spacing w:line="276" w:lineRule="auto"/>
        <w:ind w:left="714" w:hanging="357"/>
        <w:contextualSpacing w:val="0"/>
      </w:pPr>
      <w:r>
        <w:t>Establish a</w:t>
      </w:r>
      <w:r w:rsidR="00ED02BC">
        <w:t xml:space="preserve"> Road Transport</w:t>
      </w:r>
      <w:r>
        <w:t xml:space="preserve"> Expert Panel in the Fair Work Commission</w:t>
      </w:r>
    </w:p>
    <w:p w14:paraId="431E226F" w14:textId="2343612C" w:rsidR="307DA6FF" w:rsidRDefault="307DA6FF" w:rsidP="000C31C4">
      <w:pPr>
        <w:pStyle w:val="ListParagraph"/>
        <w:numPr>
          <w:ilvl w:val="0"/>
          <w:numId w:val="29"/>
        </w:numPr>
        <w:spacing w:line="276" w:lineRule="auto"/>
        <w:ind w:left="714" w:hanging="357"/>
        <w:contextualSpacing w:val="0"/>
      </w:pPr>
      <w:r>
        <w:t xml:space="preserve">Establish a Road Transport Advisory </w:t>
      </w:r>
      <w:r w:rsidR="00193C45">
        <w:t xml:space="preserve">Group </w:t>
      </w:r>
      <w:r>
        <w:t xml:space="preserve">in the Fair Work Commission comprised of worker and business representatives to issue recommendations </w:t>
      </w:r>
      <w:r w:rsidR="1397495B">
        <w:t>to the Expert Panel to assist in the standard setting process</w:t>
      </w:r>
    </w:p>
    <w:p w14:paraId="1C00864C" w14:textId="6AF3A049" w:rsidR="007E6ABF" w:rsidRDefault="00B851C8" w:rsidP="000C31C4">
      <w:pPr>
        <w:pStyle w:val="ListParagraph"/>
        <w:numPr>
          <w:ilvl w:val="0"/>
          <w:numId w:val="29"/>
        </w:numPr>
        <w:spacing w:line="276" w:lineRule="auto"/>
        <w:ind w:left="714" w:hanging="357"/>
        <w:contextualSpacing w:val="0"/>
      </w:pPr>
      <w:r>
        <w:t xml:space="preserve">Introduce </w:t>
      </w:r>
      <w:r w:rsidR="001678A4">
        <w:t>an interpretive principle for determining the meaning of ‘employee’ and ‘employ</w:t>
      </w:r>
      <w:r w:rsidR="00977364">
        <w:t>ment</w:t>
      </w:r>
      <w:r w:rsidR="001678A4">
        <w:t>’</w:t>
      </w:r>
      <w:r w:rsidR="00BF2B68">
        <w:t>; and</w:t>
      </w:r>
    </w:p>
    <w:p w14:paraId="6561A40C" w14:textId="06B62F0D" w:rsidR="00DE2A13" w:rsidRDefault="00BE6A1E" w:rsidP="00DE2A13">
      <w:pPr>
        <w:pStyle w:val="ListParagraph"/>
        <w:numPr>
          <w:ilvl w:val="0"/>
          <w:numId w:val="29"/>
        </w:numPr>
        <w:spacing w:line="276" w:lineRule="auto"/>
        <w:ind w:left="714" w:hanging="357"/>
        <w:contextualSpacing w:val="0"/>
      </w:pPr>
      <w:r>
        <w:t>Allow</w:t>
      </w:r>
      <w:r w:rsidR="00B851C8">
        <w:t xml:space="preserve"> the Fair Work Commission </w:t>
      </w:r>
      <w:r w:rsidR="60518C15">
        <w:t xml:space="preserve">to deal with </w:t>
      </w:r>
      <w:r>
        <w:t>unfair contracts disputes</w:t>
      </w:r>
      <w:r w:rsidR="6705D5A1">
        <w:t>.</w:t>
      </w:r>
    </w:p>
    <w:p w14:paraId="5BEE94E1" w14:textId="344B58C1" w:rsidR="296FAFD2" w:rsidRDefault="00E246D3" w:rsidP="00E246D3">
      <w:r>
        <w:t>These</w:t>
      </w:r>
      <w:r w:rsidR="77B88CAA" w:rsidRPr="1404B10A">
        <w:t xml:space="preserve"> legislative amendments to the Fair Work Act will be implemented through the Fair Work Amendment (Closing Loopholes) Bill 2023, with a</w:t>
      </w:r>
      <w:r>
        <w:t xml:space="preserve"> </w:t>
      </w:r>
      <w:r w:rsidR="00BF2B68">
        <w:t xml:space="preserve">proposed </w:t>
      </w:r>
      <w:r w:rsidR="77B88CAA" w:rsidRPr="1404B10A">
        <w:t xml:space="preserve">commencement of </w:t>
      </w:r>
      <w:r w:rsidR="77B88CAA" w:rsidRPr="5C7BC390">
        <w:t>1 July 2024.</w:t>
      </w:r>
      <w:r w:rsidR="590CCE88" w:rsidRPr="26D4FD32">
        <w:t xml:space="preserve"> </w:t>
      </w:r>
    </w:p>
    <w:p w14:paraId="7F695479" w14:textId="53728F03" w:rsidR="00105DF8" w:rsidRPr="00933A0F" w:rsidRDefault="00105DF8" w:rsidP="00F60F5C">
      <w:pPr>
        <w:pStyle w:val="Heading3"/>
      </w:pPr>
      <w:bookmarkStart w:id="75" w:name="_Toc139295581"/>
      <w:r w:rsidRPr="00933A0F">
        <w:t>Role of the Fair Work Commission</w:t>
      </w:r>
      <w:bookmarkEnd w:id="75"/>
      <w:r w:rsidRPr="00933A0F">
        <w:t xml:space="preserve"> </w:t>
      </w:r>
    </w:p>
    <w:p w14:paraId="534842A5" w14:textId="77575C41" w:rsidR="34624468" w:rsidRDefault="00B6775B" w:rsidP="00E246D3">
      <w:r>
        <w:t>Depending on the passage of legislation, there would be a</w:t>
      </w:r>
      <w:r w:rsidR="00A741A9">
        <w:rPr>
          <w:rStyle w:val="normaltextrun"/>
          <w:rFonts w:cs="Calibri"/>
          <w:color w:val="000000"/>
          <w:shd w:val="clear" w:color="auto" w:fill="FFFFFF"/>
        </w:rPr>
        <w:t xml:space="preserve"> 6-month period starting on 1 January 2024 allowing the Fair Work Commission to set up the jurisdiction</w:t>
      </w:r>
      <w:r w:rsidR="00BB121F">
        <w:rPr>
          <w:rStyle w:val="normaltextrun"/>
          <w:rFonts w:cs="Calibri"/>
          <w:color w:val="000000"/>
          <w:shd w:val="clear" w:color="auto" w:fill="FFFFFF"/>
        </w:rPr>
        <w:t>.</w:t>
      </w:r>
      <w:r w:rsidR="00A741A9">
        <w:t xml:space="preserve"> </w:t>
      </w:r>
      <w:r w:rsidR="00934006">
        <w:t xml:space="preserve"> </w:t>
      </w:r>
      <w:r w:rsidR="005D6BE9">
        <w:t xml:space="preserve">Following the commencement of the </w:t>
      </w:r>
      <w:r w:rsidR="000F6432">
        <w:t>jurisdiction</w:t>
      </w:r>
      <w:r w:rsidR="005D6BE9">
        <w:t>, it would begin considering applications for minimum standards</w:t>
      </w:r>
      <w:r w:rsidR="003529A7">
        <w:t>, register</w:t>
      </w:r>
      <w:r w:rsidR="00DA0A98">
        <w:t>ing</w:t>
      </w:r>
      <w:r w:rsidR="003529A7" w:rsidRPr="00E246D3">
        <w:t xml:space="preserve"> consent </w:t>
      </w:r>
      <w:r w:rsidR="45BAEAB5" w:rsidRPr="00E246D3">
        <w:t xml:space="preserve">collective </w:t>
      </w:r>
      <w:r w:rsidR="003529A7" w:rsidRPr="00E246D3">
        <w:t>agreement</w:t>
      </w:r>
      <w:r w:rsidR="00DA0A98">
        <w:t>s</w:t>
      </w:r>
      <w:r w:rsidR="005D6BE9">
        <w:t xml:space="preserve"> or </w:t>
      </w:r>
      <w:r w:rsidR="006E10F8">
        <w:t>considering applications</w:t>
      </w:r>
      <w:r w:rsidR="005D6BE9">
        <w:t xml:space="preserve"> </w:t>
      </w:r>
      <w:r w:rsidR="00D815BF">
        <w:t>for remedy for an unfair contract term or unfair contract termination</w:t>
      </w:r>
      <w:r w:rsidR="19D9F8C9">
        <w:t xml:space="preserve"> or deactivation</w:t>
      </w:r>
      <w:r w:rsidR="00D815BF">
        <w:t xml:space="preserve">. Fair Work Commission Members would be supported by </w:t>
      </w:r>
      <w:r w:rsidR="003529A7">
        <w:t>Fair Work Commission staff to provide case management</w:t>
      </w:r>
      <w:r w:rsidR="00A044A1">
        <w:t>, administrative</w:t>
      </w:r>
      <w:r w:rsidR="003529A7">
        <w:t xml:space="preserve"> </w:t>
      </w:r>
      <w:r w:rsidR="00A044A1">
        <w:t xml:space="preserve">and research functions. </w:t>
      </w:r>
    </w:p>
    <w:p w14:paraId="1E889E4E" w14:textId="1404AB8A" w:rsidR="00C84D3D" w:rsidRPr="00933A0F" w:rsidRDefault="001F4818" w:rsidP="00F60F5C">
      <w:pPr>
        <w:pStyle w:val="Heading3"/>
      </w:pPr>
      <w:bookmarkStart w:id="76" w:name="_Toc139295582"/>
      <w:r w:rsidRPr="00933A0F">
        <w:t xml:space="preserve">Minimum standards for digital platform workers and </w:t>
      </w:r>
      <w:r w:rsidR="00CE068B">
        <w:t>road transport</w:t>
      </w:r>
      <w:bookmarkEnd w:id="76"/>
      <w:r w:rsidR="00CE068B">
        <w:t xml:space="preserve"> </w:t>
      </w:r>
    </w:p>
    <w:p w14:paraId="3D342634" w14:textId="2D693AD2" w:rsidR="00DD7C19" w:rsidRDefault="0050132B" w:rsidP="00B21BF4">
      <w:r>
        <w:t xml:space="preserve">The Fair Work Commission </w:t>
      </w:r>
      <w:r w:rsidR="00E72311">
        <w:t>will</w:t>
      </w:r>
      <w:r>
        <w:t xml:space="preserve"> </w:t>
      </w:r>
      <w:r w:rsidR="78643C41">
        <w:t>determine</w:t>
      </w:r>
      <w:r>
        <w:t xml:space="preserve"> priority cohorts for minimum standards</w:t>
      </w:r>
      <w:r w:rsidR="29D003E3">
        <w:t xml:space="preserve"> </w:t>
      </w:r>
      <w:r w:rsidR="7ED55AFD">
        <w:t>through research and consultation</w:t>
      </w:r>
      <w:r w:rsidR="00615ECD">
        <w:t xml:space="preserve">. It would accept applications or begin matters on its own </w:t>
      </w:r>
      <w:r w:rsidR="00AD7F2C">
        <w:t>motion</w:t>
      </w:r>
      <w:r w:rsidR="00615ECD">
        <w:t xml:space="preserve">. </w:t>
      </w:r>
      <w:r w:rsidR="00257CBD">
        <w:t>On</w:t>
      </w:r>
      <w:r w:rsidR="00E72311">
        <w:t>c</w:t>
      </w:r>
      <w:r w:rsidR="00257CBD">
        <w:t xml:space="preserve">e a matter has commenced, the Fair Work Commission will accept submissions from </w:t>
      </w:r>
      <w:r w:rsidR="00A5554B">
        <w:t xml:space="preserve">parties to a matter, including </w:t>
      </w:r>
      <w:r w:rsidR="0075778F">
        <w:t xml:space="preserve">relevant businesses and their representatives and workers and their representatives. </w:t>
      </w:r>
      <w:r w:rsidR="00DD7C19">
        <w:t xml:space="preserve">After considering evidence and the views of parties, the Fair Work Commission </w:t>
      </w:r>
      <w:r w:rsidR="00BF01C1">
        <w:t xml:space="preserve">may </w:t>
      </w:r>
      <w:r w:rsidR="00DD7C19">
        <w:t xml:space="preserve">make a binding order setting minimum standards. </w:t>
      </w:r>
    </w:p>
    <w:p w14:paraId="41F8A99C" w14:textId="47ACF588" w:rsidR="00C634B6" w:rsidRDefault="00C634B6" w:rsidP="00C634B6">
      <w:r>
        <w:t xml:space="preserve">A new Road Transport Expert Panel will also be established in the Fair Work Commission, with the capacity to set priorities in relation to the making of orders, based on consultation with the Advisory Group. </w:t>
      </w:r>
    </w:p>
    <w:p w14:paraId="7F83A4C5" w14:textId="22FCA863" w:rsidR="00DD7C19" w:rsidRDefault="00DD7C19" w:rsidP="00B21BF4">
      <w:r w:rsidRPr="00F9171A">
        <w:t xml:space="preserve">The Fair Work Commission will also </w:t>
      </w:r>
      <w:r w:rsidR="6A7B38E3" w:rsidRPr="00F9171A">
        <w:t xml:space="preserve">be empowered to register consent collective agreements </w:t>
      </w:r>
      <w:r w:rsidR="00AD7F2C" w:rsidRPr="00F9171A">
        <w:t xml:space="preserve">in relation to </w:t>
      </w:r>
      <w:r w:rsidR="00C315DB" w:rsidRPr="00F9171A">
        <w:t>digital platform workers and road transport workers</w:t>
      </w:r>
      <w:r w:rsidR="00C315DB">
        <w:t>.</w:t>
      </w:r>
      <w:r w:rsidR="00DB038F" w:rsidRPr="00F9171A">
        <w:t xml:space="preserve"> </w:t>
      </w:r>
    </w:p>
    <w:p w14:paraId="685C947C" w14:textId="57D9E28E" w:rsidR="00DD7C19" w:rsidRPr="00933A0F" w:rsidRDefault="00A17AB5" w:rsidP="00F60F5C">
      <w:pPr>
        <w:pStyle w:val="Heading3"/>
      </w:pPr>
      <w:bookmarkStart w:id="77" w:name="_Toc139295583"/>
      <w:r>
        <w:t xml:space="preserve">Disputes </w:t>
      </w:r>
      <w:r w:rsidR="00096831">
        <w:t>in relation to u</w:t>
      </w:r>
      <w:r w:rsidR="00927585" w:rsidRPr="00933A0F">
        <w:t>nfair contracts</w:t>
      </w:r>
      <w:r>
        <w:t xml:space="preserve">, </w:t>
      </w:r>
      <w:r w:rsidR="007166B6">
        <w:t>unfair contract terminations and ‘deactivation’</w:t>
      </w:r>
      <w:bookmarkEnd w:id="77"/>
    </w:p>
    <w:p w14:paraId="4B9F08DE" w14:textId="65912E8E" w:rsidR="0473E7B0" w:rsidRDefault="00927585" w:rsidP="0473E7B0">
      <w:r>
        <w:t>The Fair Work Commission will accept applications from individual independent contractors and their representatives to dispute an unfair contract term</w:t>
      </w:r>
      <w:r w:rsidR="008B7B1C">
        <w:t>.</w:t>
      </w:r>
      <w:r w:rsidR="729F02EB">
        <w:t xml:space="preserve"> </w:t>
      </w:r>
      <w:r w:rsidR="008B7B1C">
        <w:t>C</w:t>
      </w:r>
      <w:r w:rsidR="729F02EB">
        <w:t xml:space="preserve">onsistent with other dispute resolution jurisdictions in the Fair Work Commission, applicants will be required to pay an application fee. </w:t>
      </w:r>
      <w:r w:rsidR="38FC50C3">
        <w:t xml:space="preserve">The </w:t>
      </w:r>
      <w:r w:rsidR="1CAEE7B3">
        <w:t>Fair Work</w:t>
      </w:r>
      <w:r w:rsidR="38FC50C3">
        <w:t xml:space="preserve"> Commission will be able to deal with unfair contracts claims by conciliation, mediation or compulsory arbitration</w:t>
      </w:r>
      <w:r w:rsidR="69A2274C">
        <w:t>.</w:t>
      </w:r>
    </w:p>
    <w:p w14:paraId="2E8C9F87" w14:textId="508715CE" w:rsidR="424DB97E" w:rsidRDefault="0A21A5E2" w:rsidP="189B18C4">
      <w:r>
        <w:t xml:space="preserve">Limiting the capacity </w:t>
      </w:r>
      <w:r w:rsidR="2616D17D">
        <w:t xml:space="preserve">to deal with unfair contract termination claims to identified areas of need within the road transport sector and (in relation to deactivation protections) the digital platform sector will mean that the impact of the </w:t>
      </w:r>
      <w:r w:rsidR="0CD2C2CA">
        <w:t xml:space="preserve">introduction of </w:t>
      </w:r>
      <w:r w:rsidR="00E05073">
        <w:t>these protections</w:t>
      </w:r>
      <w:r w:rsidR="2616D17D">
        <w:t xml:space="preserve"> on the application numbers in the Fair Work Commission </w:t>
      </w:r>
      <w:r w:rsidR="1E605CBD">
        <w:t>is expected to be relatively small.</w:t>
      </w:r>
      <w:r w:rsidR="51A77F84">
        <w:t xml:space="preserve"> A high-income threshold applying to both unfair contract disputes and termination claims will further confine the scope of the jurisdiction.</w:t>
      </w:r>
    </w:p>
    <w:p w14:paraId="1115D078" w14:textId="36D9D17B" w:rsidR="00105DF8" w:rsidRPr="00933A0F" w:rsidRDefault="00105DF8" w:rsidP="00F60F5C">
      <w:pPr>
        <w:pStyle w:val="Heading3"/>
      </w:pPr>
      <w:bookmarkStart w:id="78" w:name="_Toc139295584"/>
      <w:r w:rsidRPr="00933A0F">
        <w:t>Role of the Fair Work Ombudsman</w:t>
      </w:r>
      <w:bookmarkEnd w:id="78"/>
    </w:p>
    <w:p w14:paraId="557BEB78" w14:textId="010D3B49" w:rsidR="00105DF8" w:rsidRPr="00105DF8" w:rsidRDefault="00105DF8" w:rsidP="00B21BF4">
      <w:r>
        <w:t xml:space="preserve">The Fair Work Ombudsman will have responsibility for </w:t>
      </w:r>
      <w:r w:rsidR="00AC1014">
        <w:t xml:space="preserve">educating and assisting independent contractors and businesses engaging independent contractors on their new rights and obligations. It will also be empowered to </w:t>
      </w:r>
      <w:r w:rsidR="00776BCC">
        <w:t xml:space="preserve">enforce new minimum standards, including though litigation. As an independent statutory body, the Fair Work Ombudsman will </w:t>
      </w:r>
      <w:r w:rsidR="00716A22">
        <w:t xml:space="preserve">develop its own policies and procedures to meet these new responsibilities. </w:t>
      </w:r>
    </w:p>
    <w:p w14:paraId="1599B881" w14:textId="34FEC685" w:rsidR="00260A66" w:rsidRDefault="00DB2823" w:rsidP="004B4F63">
      <w:pPr>
        <w:pStyle w:val="Heading1"/>
        <w:spacing w:after="200"/>
      </w:pPr>
      <w:bookmarkStart w:id="79" w:name="_Toc139295585"/>
      <w:r>
        <w:t>8</w:t>
      </w:r>
      <w:r w:rsidR="00D71ACA">
        <w:t>.</w:t>
      </w:r>
      <w:r w:rsidR="006D5CFA">
        <w:t xml:space="preserve"> </w:t>
      </w:r>
      <w:r w:rsidR="00260A66">
        <w:t>How will you evaluate your chosen option</w:t>
      </w:r>
      <w:r w:rsidR="0019016C">
        <w:t>s</w:t>
      </w:r>
      <w:r w:rsidR="00260A66">
        <w:t xml:space="preserve"> against the success metrics?</w:t>
      </w:r>
      <w:bookmarkEnd w:id="79"/>
    </w:p>
    <w:p w14:paraId="7C15D103" w14:textId="1A9D210B" w:rsidR="00860FEE" w:rsidRDefault="00D35260" w:rsidP="00C165D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metrics for success will be the ability of the chosen options to meet the </w:t>
      </w:r>
      <w:r w:rsidR="00E71CE1">
        <w:rPr>
          <w:rStyle w:val="normaltextrun"/>
          <w:rFonts w:ascii="Calibri" w:hAnsi="Calibri" w:cs="Calibri"/>
          <w:color w:val="000000"/>
          <w:shd w:val="clear" w:color="auto" w:fill="FFFFFF"/>
        </w:rPr>
        <w:t>g</w:t>
      </w:r>
      <w:r>
        <w:rPr>
          <w:rStyle w:val="normaltextrun"/>
          <w:rFonts w:ascii="Calibri" w:hAnsi="Calibri" w:cs="Calibri"/>
          <w:color w:val="000000"/>
          <w:shd w:val="clear" w:color="auto" w:fill="FFFFFF"/>
        </w:rPr>
        <w:t xml:space="preserve">uiding </w:t>
      </w:r>
      <w:r w:rsidR="00E71CE1">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rinciples. </w:t>
      </w:r>
      <w:r w:rsidR="00860FEE">
        <w:rPr>
          <w:rStyle w:val="normaltextrun"/>
          <w:rFonts w:ascii="Calibri" w:hAnsi="Calibri" w:cs="Calibri"/>
          <w:color w:val="000000"/>
          <w:shd w:val="clear" w:color="auto" w:fill="FFFFFF"/>
        </w:rPr>
        <w:t xml:space="preserve">The department will monitor </w:t>
      </w:r>
      <w:r w:rsidR="001241A6">
        <w:rPr>
          <w:rStyle w:val="normaltextrun"/>
          <w:rFonts w:ascii="Calibri" w:hAnsi="Calibri" w:cs="Calibri"/>
          <w:color w:val="000000"/>
          <w:shd w:val="clear" w:color="auto" w:fill="FFFFFF"/>
        </w:rPr>
        <w:t xml:space="preserve">the </w:t>
      </w:r>
      <w:r w:rsidR="00421C16">
        <w:rPr>
          <w:rStyle w:val="normaltextrun"/>
          <w:rFonts w:ascii="Calibri" w:hAnsi="Calibri" w:cs="Calibri"/>
          <w:color w:val="000000"/>
          <w:shd w:val="clear" w:color="auto" w:fill="FFFFFF"/>
        </w:rPr>
        <w:t>operation of the new jurisdiction</w:t>
      </w:r>
      <w:r w:rsidR="002A5BC6">
        <w:rPr>
          <w:rStyle w:val="normaltextrun"/>
          <w:rFonts w:ascii="Calibri" w:hAnsi="Calibri" w:cs="Calibri"/>
          <w:color w:val="000000"/>
          <w:shd w:val="clear" w:color="auto" w:fill="FFFFFF"/>
        </w:rPr>
        <w:t xml:space="preserve">, including by monitoring Fair Work Commission matters </w:t>
      </w:r>
      <w:r w:rsidR="005264FE">
        <w:rPr>
          <w:rStyle w:val="normaltextrun"/>
          <w:rFonts w:ascii="Calibri" w:hAnsi="Calibri" w:cs="Calibri"/>
          <w:color w:val="000000"/>
          <w:shd w:val="clear" w:color="auto" w:fill="FFFFFF"/>
        </w:rPr>
        <w:t xml:space="preserve">and providing legal and policy advice to Government to ensure it is working as intended. </w:t>
      </w:r>
      <w:r w:rsidR="004E354B">
        <w:rPr>
          <w:rStyle w:val="normaltextrun"/>
          <w:rFonts w:ascii="Calibri" w:hAnsi="Calibri" w:cs="Calibri"/>
          <w:color w:val="000000"/>
          <w:shd w:val="clear" w:color="auto" w:fill="FFFFFF"/>
        </w:rPr>
        <w:t xml:space="preserve">Similar to its </w:t>
      </w:r>
      <w:r w:rsidR="00C55E3D">
        <w:rPr>
          <w:rStyle w:val="normaltextrun"/>
          <w:rFonts w:ascii="Calibri" w:hAnsi="Calibri" w:cs="Calibri"/>
          <w:color w:val="000000"/>
          <w:shd w:val="clear" w:color="auto" w:fill="FFFFFF"/>
        </w:rPr>
        <w:t>involvement</w:t>
      </w:r>
      <w:r w:rsidR="004E354B">
        <w:rPr>
          <w:rStyle w:val="normaltextrun"/>
          <w:rFonts w:ascii="Calibri" w:hAnsi="Calibri" w:cs="Calibri"/>
          <w:color w:val="000000"/>
          <w:shd w:val="clear" w:color="auto" w:fill="FFFFFF"/>
        </w:rPr>
        <w:t xml:space="preserve"> in the</w:t>
      </w:r>
      <w:r w:rsidR="004715FC">
        <w:rPr>
          <w:rStyle w:val="normaltextrun"/>
          <w:rFonts w:ascii="Calibri" w:hAnsi="Calibri" w:cs="Calibri"/>
          <w:color w:val="000000"/>
          <w:shd w:val="clear" w:color="auto" w:fill="FFFFFF"/>
        </w:rPr>
        <w:t xml:space="preserve"> Fair Work Commission’s</w:t>
      </w:r>
      <w:r w:rsidR="004E354B">
        <w:rPr>
          <w:rStyle w:val="normaltextrun"/>
          <w:rFonts w:ascii="Calibri" w:hAnsi="Calibri" w:cs="Calibri"/>
          <w:color w:val="000000"/>
          <w:shd w:val="clear" w:color="auto" w:fill="FFFFFF"/>
        </w:rPr>
        <w:t xml:space="preserve"> Annual Wage Review, the department will prepare submissions to minimum standards application processes</w:t>
      </w:r>
      <w:r w:rsidR="008737CE">
        <w:rPr>
          <w:rStyle w:val="normaltextrun"/>
          <w:rFonts w:ascii="Calibri" w:hAnsi="Calibri" w:cs="Calibri"/>
          <w:color w:val="000000"/>
          <w:shd w:val="clear" w:color="auto" w:fill="FFFFFF"/>
        </w:rPr>
        <w:t xml:space="preserve"> and participate in hearings as required. </w:t>
      </w:r>
    </w:p>
    <w:p w14:paraId="4E129FF2" w14:textId="190954E7" w:rsidR="008737CE" w:rsidRDefault="008737CE" w:rsidP="00C165D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The </w:t>
      </w:r>
      <w:r w:rsidR="002B1ADD">
        <w:rPr>
          <w:rStyle w:val="normaltextrun"/>
          <w:rFonts w:ascii="Calibri" w:hAnsi="Calibri" w:cs="Calibri"/>
          <w:color w:val="000000"/>
          <w:shd w:val="clear" w:color="auto" w:fill="FFFFFF"/>
        </w:rPr>
        <w:t>ABS</w:t>
      </w:r>
      <w:r>
        <w:rPr>
          <w:rStyle w:val="normaltextrun"/>
          <w:rFonts w:ascii="Calibri" w:hAnsi="Calibri" w:cs="Calibri"/>
          <w:color w:val="000000"/>
          <w:shd w:val="clear" w:color="auto" w:fill="FFFFFF"/>
        </w:rPr>
        <w:t xml:space="preserve"> </w:t>
      </w:r>
      <w:r w:rsidR="00000AA9">
        <w:rPr>
          <w:rStyle w:val="normaltextrun"/>
          <w:rFonts w:ascii="Calibri" w:hAnsi="Calibri" w:cs="Calibri"/>
          <w:color w:val="000000"/>
          <w:shd w:val="clear" w:color="auto" w:fill="FFFFFF"/>
        </w:rPr>
        <w:t xml:space="preserve">began </w:t>
      </w:r>
      <w:r w:rsidR="00000AA9" w:rsidRPr="004B4F63">
        <w:t>collecting</w:t>
      </w:r>
      <w:r w:rsidR="00000AA9">
        <w:rPr>
          <w:rStyle w:val="normaltextrun"/>
          <w:rFonts w:ascii="Calibri" w:hAnsi="Calibri" w:cs="Calibri"/>
          <w:color w:val="000000"/>
          <w:shd w:val="clear" w:color="auto" w:fill="FFFFFF"/>
        </w:rPr>
        <w:t xml:space="preserve"> information on digital platform workers in the Multi-Purpose Household survey from 2022-23</w:t>
      </w:r>
      <w:r w:rsidR="003169A6">
        <w:rPr>
          <w:rStyle w:val="normaltextrun"/>
          <w:rFonts w:ascii="Calibri" w:hAnsi="Calibri" w:cs="Calibri"/>
          <w:color w:val="000000"/>
          <w:shd w:val="clear" w:color="auto" w:fill="FFFFFF"/>
        </w:rPr>
        <w:t xml:space="preserve"> and expects to</w:t>
      </w:r>
      <w:r w:rsidR="799B1F20" w:rsidRPr="131F9B53">
        <w:rPr>
          <w:rStyle w:val="normaltextrun"/>
          <w:rFonts w:ascii="Calibri" w:hAnsi="Calibri" w:cs="Calibri"/>
          <w:color w:val="000000" w:themeColor="text1"/>
        </w:rPr>
        <w:t xml:space="preserve">, </w:t>
      </w:r>
      <w:r w:rsidR="003169A6">
        <w:rPr>
          <w:rStyle w:val="normaltextrun"/>
          <w:rFonts w:ascii="Calibri" w:hAnsi="Calibri" w:cs="Calibri"/>
          <w:color w:val="000000"/>
          <w:shd w:val="clear" w:color="auto" w:fill="FFFFFF"/>
        </w:rPr>
        <w:t>in time, introduce a dedicated module within the ‘Characteristics of Employment’ supplementary topic in the Labour Force Survey.</w:t>
      </w:r>
      <w:r w:rsidR="003169A6">
        <w:rPr>
          <w:rStyle w:val="FootnoteReference"/>
          <w:rFonts w:ascii="Calibri" w:hAnsi="Calibri" w:cs="Calibri"/>
          <w:color w:val="000000"/>
          <w:shd w:val="clear" w:color="auto" w:fill="FFFFFF"/>
        </w:rPr>
        <w:footnoteReference w:id="152"/>
      </w:r>
      <w:r w:rsidR="003169A6">
        <w:rPr>
          <w:rStyle w:val="normaltextrun"/>
          <w:rFonts w:ascii="Calibri" w:hAnsi="Calibri" w:cs="Calibri"/>
          <w:color w:val="000000"/>
          <w:shd w:val="clear" w:color="auto" w:fill="FFFFFF"/>
        </w:rPr>
        <w:t xml:space="preserve"> </w:t>
      </w:r>
      <w:r w:rsidR="00D629CC">
        <w:rPr>
          <w:rStyle w:val="normaltextrun"/>
          <w:rFonts w:ascii="Calibri" w:hAnsi="Calibri" w:cs="Calibri"/>
          <w:color w:val="000000"/>
          <w:shd w:val="clear" w:color="auto" w:fill="FFFFFF"/>
        </w:rPr>
        <w:t xml:space="preserve">The forthcoming publication of this data will assist the department to monitor the </w:t>
      </w:r>
      <w:r w:rsidR="0019016C">
        <w:rPr>
          <w:rStyle w:val="normaltextrun"/>
          <w:rFonts w:ascii="Calibri" w:hAnsi="Calibri" w:cs="Calibri"/>
          <w:color w:val="000000"/>
          <w:shd w:val="clear" w:color="auto" w:fill="FFFFFF"/>
        </w:rPr>
        <w:t xml:space="preserve">implementation of the proposed measures and their impact on digital platform workers. </w:t>
      </w:r>
    </w:p>
    <w:p w14:paraId="7ABB7CD6" w14:textId="49F7ADDA" w:rsidR="0096797B" w:rsidRDefault="00A55F37" w:rsidP="00C165DD">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A</w:t>
      </w:r>
      <w:r w:rsidR="0096797B">
        <w:rPr>
          <w:rStyle w:val="normaltextrun"/>
          <w:rFonts w:ascii="Calibri" w:hAnsi="Calibri" w:cs="Calibri"/>
          <w:color w:val="000000"/>
          <w:shd w:val="clear" w:color="auto" w:fill="FFFFFF"/>
        </w:rPr>
        <w:t xml:space="preserve">ny further initiatives to improve data collection relating to the digital platform economy, road transport industry and unfair contracts would </w:t>
      </w:r>
      <w:r w:rsidR="00FC0E30">
        <w:rPr>
          <w:rStyle w:val="normaltextrun"/>
          <w:rFonts w:ascii="Calibri" w:hAnsi="Calibri" w:cs="Calibri"/>
          <w:color w:val="000000"/>
          <w:shd w:val="clear" w:color="auto" w:fill="FFFFFF"/>
        </w:rPr>
        <w:t xml:space="preserve">need to be balanced against </w:t>
      </w:r>
      <w:r w:rsidR="00F3058D">
        <w:rPr>
          <w:rStyle w:val="normaltextrun"/>
          <w:rFonts w:ascii="Calibri" w:hAnsi="Calibri" w:cs="Calibri"/>
          <w:color w:val="000000"/>
          <w:shd w:val="clear" w:color="auto" w:fill="FFFFFF"/>
        </w:rPr>
        <w:t>the introduction of new</w:t>
      </w:r>
      <w:r w:rsidR="0096797B">
        <w:rPr>
          <w:rStyle w:val="normaltextrun"/>
          <w:rFonts w:ascii="Calibri" w:hAnsi="Calibri" w:cs="Calibri"/>
          <w:color w:val="000000"/>
          <w:shd w:val="clear" w:color="auto" w:fill="FFFFFF"/>
        </w:rPr>
        <w:t xml:space="preserve"> regulatory burden</w:t>
      </w:r>
      <w:r w:rsidR="00F3058D">
        <w:rPr>
          <w:rStyle w:val="normaltextrun"/>
          <w:rFonts w:ascii="Calibri" w:hAnsi="Calibri" w:cs="Calibri"/>
          <w:color w:val="000000"/>
          <w:shd w:val="clear" w:color="auto" w:fill="FFFFFF"/>
        </w:rPr>
        <w:t>s</w:t>
      </w:r>
      <w:r w:rsidR="0096797B">
        <w:rPr>
          <w:rStyle w:val="normaltextrun"/>
          <w:rFonts w:ascii="Calibri" w:hAnsi="Calibri" w:cs="Calibri"/>
          <w:color w:val="000000"/>
          <w:shd w:val="clear" w:color="auto" w:fill="FFFFFF"/>
        </w:rPr>
        <w:t xml:space="preserve"> on </w:t>
      </w:r>
      <w:r w:rsidR="00F0711F">
        <w:rPr>
          <w:rStyle w:val="normaltextrun"/>
          <w:rFonts w:ascii="Calibri" w:hAnsi="Calibri" w:cs="Calibri"/>
          <w:color w:val="000000"/>
          <w:shd w:val="clear" w:color="auto" w:fill="FFFFFF"/>
        </w:rPr>
        <w:t xml:space="preserve">individuals and businesses. For example, </w:t>
      </w:r>
      <w:r w:rsidR="004C594B">
        <w:rPr>
          <w:rStyle w:val="normaltextrun"/>
          <w:rFonts w:ascii="Calibri" w:hAnsi="Calibri" w:cs="Calibri"/>
          <w:color w:val="000000"/>
          <w:shd w:val="clear" w:color="auto" w:fill="FFFFFF"/>
        </w:rPr>
        <w:t>imposing reporting requirements on independent contractors and entities that they contract with would improve data on</w:t>
      </w:r>
      <w:r w:rsidR="00263A91">
        <w:rPr>
          <w:rStyle w:val="normaltextrun"/>
          <w:rFonts w:ascii="Calibri" w:hAnsi="Calibri" w:cs="Calibri"/>
          <w:color w:val="000000"/>
          <w:shd w:val="clear" w:color="auto" w:fill="FFFFFF"/>
        </w:rPr>
        <w:t xml:space="preserve"> this cohort, however</w:t>
      </w:r>
      <w:r w:rsidR="00F3058D">
        <w:rPr>
          <w:rStyle w:val="normaltextrun"/>
          <w:rFonts w:ascii="Calibri" w:hAnsi="Calibri" w:cs="Calibri"/>
          <w:color w:val="000000"/>
          <w:shd w:val="clear" w:color="auto" w:fill="FFFFFF"/>
        </w:rPr>
        <w:t>,</w:t>
      </w:r>
      <w:r w:rsidR="00263A91">
        <w:rPr>
          <w:rStyle w:val="normaltextrun"/>
          <w:rFonts w:ascii="Calibri" w:hAnsi="Calibri" w:cs="Calibri"/>
          <w:color w:val="000000"/>
          <w:shd w:val="clear" w:color="auto" w:fill="FFFFFF"/>
        </w:rPr>
        <w:t xml:space="preserve"> would a</w:t>
      </w:r>
      <w:r w:rsidR="00F135EA">
        <w:rPr>
          <w:rStyle w:val="normaltextrun"/>
          <w:rFonts w:ascii="Calibri" w:hAnsi="Calibri" w:cs="Calibri"/>
          <w:color w:val="000000"/>
          <w:shd w:val="clear" w:color="auto" w:fill="FFFFFF"/>
        </w:rPr>
        <w:t>lso introduce a new burden.</w:t>
      </w:r>
      <w:r w:rsidR="001038F4">
        <w:rPr>
          <w:rStyle w:val="normaltextrun"/>
          <w:rFonts w:ascii="Calibri" w:hAnsi="Calibri" w:cs="Calibri"/>
          <w:color w:val="000000"/>
          <w:shd w:val="clear" w:color="auto" w:fill="FFFFFF"/>
        </w:rPr>
        <w:t xml:space="preserve"> </w:t>
      </w:r>
    </w:p>
    <w:p w14:paraId="507915AD" w14:textId="245161B2" w:rsidR="00C165DD" w:rsidRPr="00C165DD" w:rsidRDefault="5BA22ED7" w:rsidP="00346A57">
      <w:r w:rsidRPr="4ACB7A04">
        <w:rPr>
          <w:rStyle w:val="normaltextrun"/>
          <w:rFonts w:ascii="Calibri" w:hAnsi="Calibri" w:cs="Calibri"/>
          <w:color w:val="000000" w:themeColor="text1"/>
        </w:rPr>
        <w:t>T</w:t>
      </w:r>
      <w:r>
        <w:rPr>
          <w:rStyle w:val="normaltextrun"/>
          <w:rFonts w:ascii="Calibri" w:hAnsi="Calibri" w:cs="Calibri"/>
          <w:color w:val="000000"/>
          <w:shd w:val="clear" w:color="auto" w:fill="FFFFFF"/>
        </w:rPr>
        <w:t>he department will</w:t>
      </w:r>
      <w:r w:rsidRPr="4ACB7A04">
        <w:rPr>
          <w:rStyle w:val="normaltextrun"/>
          <w:rFonts w:ascii="Calibri" w:hAnsi="Calibri" w:cs="Calibri"/>
          <w:color w:val="000000" w:themeColor="text1"/>
        </w:rPr>
        <w:t xml:space="preserve"> monitor the implementation of the measures, including in consultation with the Fair Work Commission and the Fair Work Ombudsman. After it has been in operation for two years, the department will undertake an evaluation of the operation of the provisions. </w:t>
      </w:r>
      <w:r>
        <w:rPr>
          <w:rStyle w:val="normaltextrun"/>
          <w:rFonts w:ascii="Calibri" w:hAnsi="Calibri" w:cs="Calibri"/>
          <w:color w:val="000000"/>
          <w:shd w:val="clear" w:color="auto" w:fill="FFFFFF"/>
        </w:rPr>
        <w:t xml:space="preserve">This is likely to look at matters such as the number of Minimum Standards Orders, agreements and dispute applications, and an assessment of the extent to which the changes have advanced the guiding principles. </w:t>
      </w:r>
    </w:p>
    <w:sectPr w:rsidR="00C165DD" w:rsidRPr="00C165DD" w:rsidSect="00A36CC2">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66F88" w14:textId="77777777" w:rsidR="0048449E" w:rsidRDefault="0048449E" w:rsidP="0051352E">
      <w:pPr>
        <w:spacing w:after="0" w:line="240" w:lineRule="auto"/>
      </w:pPr>
      <w:r>
        <w:separator/>
      </w:r>
    </w:p>
  </w:endnote>
  <w:endnote w:type="continuationSeparator" w:id="0">
    <w:p w14:paraId="40FA36D2" w14:textId="77777777" w:rsidR="0048449E" w:rsidRDefault="0048449E" w:rsidP="0051352E">
      <w:pPr>
        <w:spacing w:after="0" w:line="240" w:lineRule="auto"/>
      </w:pPr>
      <w:r>
        <w:continuationSeparator/>
      </w:r>
    </w:p>
  </w:endnote>
  <w:endnote w:type="continuationNotice" w:id="1">
    <w:p w14:paraId="1761EB63" w14:textId="77777777" w:rsidR="0048449E" w:rsidRDefault="004844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26638" w14:textId="77777777" w:rsidR="00EA67FC" w:rsidRDefault="00EA67FC">
    <w:pPr>
      <w:pStyle w:val="Footer"/>
      <w:jc w:val="right"/>
    </w:pPr>
  </w:p>
  <w:p w14:paraId="69B8631C" w14:textId="77777777" w:rsidR="00EA67FC" w:rsidRDefault="00EA67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D923" w14:textId="156C12BA" w:rsidR="00EA67FC" w:rsidRDefault="00C665CA">
    <w:pPr>
      <w:pStyle w:val="Footer"/>
      <w:jc w:val="right"/>
    </w:pPr>
    <w:r>
      <w:t>S</w:t>
    </w:r>
    <w:r w:rsidR="003D6712">
      <w:t>upplementary analysis</w:t>
    </w:r>
    <w:r>
      <w:t xml:space="preserve"> to Impact Analysis Equivalent process</w:t>
    </w:r>
    <w:r w:rsidR="00AB6730">
      <w:t xml:space="preserve">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973846">
          <w:rPr>
            <w:noProof/>
          </w:rPr>
          <w:t>3</w:t>
        </w:r>
        <w:r w:rsidR="00EA67FC">
          <w:rPr>
            <w:noProof/>
          </w:rPr>
          <w:fldChar w:fldCharType="end"/>
        </w:r>
      </w:sdtContent>
    </w:sdt>
  </w:p>
  <w:p w14:paraId="6E459A75" w14:textId="77777777" w:rsidR="00610C5A" w:rsidRDefault="00610C5A" w:rsidP="00610C5A">
    <w:pPr>
      <w:pStyle w:val="Header"/>
      <w:jc w:val="center"/>
      <w:rPr>
        <w:b/>
        <w:bCs/>
        <w:color w:val="FF0000"/>
        <w:sz w:val="24"/>
        <w:szCs w:val="24"/>
      </w:rPr>
    </w:pPr>
  </w:p>
  <w:p w14:paraId="5620B9A1" w14:textId="6ADB4864" w:rsidR="00EA67FC" w:rsidRPr="009304E3" w:rsidRDefault="00BE737E" w:rsidP="009304E3">
    <w:pPr>
      <w:pStyle w:val="Header"/>
      <w:jc w:val="center"/>
      <w:rPr>
        <w:b/>
        <w:bCs/>
        <w:color w:val="FF0000"/>
        <w:sz w:val="24"/>
        <w:szCs w:val="24"/>
      </w:rPr>
    </w:pPr>
    <w:r w:rsidRPr="002804E0">
      <w:rPr>
        <w:b/>
        <w:bCs/>
        <w:noProof/>
        <w:color w:val="FF0000"/>
        <w:sz w:val="24"/>
        <w:szCs w:val="24"/>
        <w:lang w:eastAsia="en-AU"/>
      </w:rPr>
      <mc:AlternateContent>
        <mc:Choice Requires="wps">
          <w:drawing>
            <wp:anchor distT="0" distB="0" distL="114300" distR="114300" simplePos="0" relativeHeight="251658240" behindDoc="0" locked="0" layoutInCell="1" allowOverlap="1" wp14:anchorId="04F7627B" wp14:editId="242DB177">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5BB50" id="Rectangle 1" o:spid="_x0000_s1026" style="position:absolute;margin-left:0;margin-top:19.8pt;width:595.25pt;height:15.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CF412" w14:textId="77777777" w:rsidR="0048449E" w:rsidRDefault="0048449E" w:rsidP="0051352E">
      <w:pPr>
        <w:spacing w:after="0" w:line="240" w:lineRule="auto"/>
      </w:pPr>
      <w:r>
        <w:separator/>
      </w:r>
    </w:p>
  </w:footnote>
  <w:footnote w:type="continuationSeparator" w:id="0">
    <w:p w14:paraId="0491DC81" w14:textId="77777777" w:rsidR="0048449E" w:rsidRDefault="0048449E" w:rsidP="0051352E">
      <w:pPr>
        <w:spacing w:after="0" w:line="240" w:lineRule="auto"/>
      </w:pPr>
      <w:r>
        <w:continuationSeparator/>
      </w:r>
    </w:p>
  </w:footnote>
  <w:footnote w:type="continuationNotice" w:id="1">
    <w:p w14:paraId="1E8E59EC" w14:textId="77777777" w:rsidR="0048449E" w:rsidRDefault="0048449E">
      <w:pPr>
        <w:spacing w:after="0" w:line="240" w:lineRule="auto"/>
      </w:pPr>
    </w:p>
  </w:footnote>
  <w:footnote w:id="2">
    <w:p w14:paraId="7B0A5E04" w14:textId="43EBCEF3" w:rsidR="005948A9" w:rsidRPr="005948A9" w:rsidRDefault="005948A9">
      <w:pPr>
        <w:pStyle w:val="FootnoteText"/>
        <w:rPr>
          <w:i/>
          <w:iCs/>
        </w:rPr>
      </w:pPr>
      <w:r>
        <w:rPr>
          <w:rStyle w:val="FootnoteReference"/>
        </w:rPr>
        <w:footnoteRef/>
      </w:r>
      <w:r>
        <w:t xml:space="preserve"> Section 3</w:t>
      </w:r>
      <w:r w:rsidR="00C97037">
        <w:t>,</w:t>
      </w:r>
      <w:r>
        <w:t xml:space="preserve"> </w:t>
      </w:r>
      <w:r>
        <w:rPr>
          <w:i/>
          <w:iCs/>
        </w:rPr>
        <w:t xml:space="preserve">Fair Work Act 2009 </w:t>
      </w:r>
      <w:r w:rsidRPr="00AB78C1">
        <w:t>(Cth)</w:t>
      </w:r>
      <w:r>
        <w:rPr>
          <w:i/>
          <w:iCs/>
        </w:rPr>
        <w:t xml:space="preserve">. </w:t>
      </w:r>
    </w:p>
  </w:footnote>
  <w:footnote w:id="3">
    <w:p w14:paraId="311CF8C7" w14:textId="66898241" w:rsidR="00DC042E" w:rsidRPr="00A00798" w:rsidRDefault="00DC042E">
      <w:pPr>
        <w:pStyle w:val="FootnoteText"/>
      </w:pPr>
      <w:r>
        <w:rPr>
          <w:rStyle w:val="FootnoteReference"/>
        </w:rPr>
        <w:footnoteRef/>
      </w:r>
      <w:r>
        <w:t xml:space="preserve"> </w:t>
      </w:r>
      <w:r w:rsidR="00A00798">
        <w:t>Section 3</w:t>
      </w:r>
      <w:r w:rsidR="00C97037">
        <w:t>,</w:t>
      </w:r>
      <w:r w:rsidR="00A00798">
        <w:t xml:space="preserve"> </w:t>
      </w:r>
      <w:r w:rsidR="00A00798">
        <w:rPr>
          <w:i/>
          <w:iCs/>
        </w:rPr>
        <w:t xml:space="preserve">Independent Contractors Act 2006 </w:t>
      </w:r>
      <w:r w:rsidR="00A00798" w:rsidRPr="0B2CB441">
        <w:t>(Cth)</w:t>
      </w:r>
      <w:r w:rsidR="00A00798">
        <w:rPr>
          <w:i/>
          <w:iCs/>
        </w:rPr>
        <w:t xml:space="preserve">. </w:t>
      </w:r>
    </w:p>
  </w:footnote>
  <w:footnote w:id="4">
    <w:p w14:paraId="1FC9C909" w14:textId="1ECAAE80" w:rsidR="00280312" w:rsidRDefault="00280312" w:rsidP="00280312">
      <w:pPr>
        <w:pStyle w:val="FootnoteText"/>
      </w:pPr>
      <w:r>
        <w:rPr>
          <w:rStyle w:val="FootnoteReference"/>
        </w:rPr>
        <w:footnoteRef/>
      </w:r>
      <w:r>
        <w:t xml:space="preserve"> </w:t>
      </w:r>
      <w:r w:rsidR="007D338D">
        <w:t>Department of Premier and Cabinet</w:t>
      </w:r>
      <w:r w:rsidR="00712705">
        <w:t xml:space="preserve"> (DPC)</w:t>
      </w:r>
      <w:r>
        <w:t xml:space="preserve">, </w:t>
      </w:r>
      <w:hyperlink r:id="rId1" w:history="1">
        <w:r w:rsidRPr="008B793A">
          <w:rPr>
            <w:rStyle w:val="Hyperlink"/>
            <w:i/>
          </w:rPr>
          <w:t>Report of the Inquiry into the Victorian On-Demand Workforce</w:t>
        </w:r>
      </w:hyperlink>
      <w:r>
        <w:t>, Industrial Relations Victoria, D</w:t>
      </w:r>
      <w:r w:rsidR="0009114E">
        <w:t>PC</w:t>
      </w:r>
      <w:r>
        <w:t xml:space="preserve">, </w:t>
      </w:r>
      <w:r w:rsidR="0009114E">
        <w:t xml:space="preserve">Victorian Government, </w:t>
      </w:r>
      <w:r>
        <w:t>2020, p 15.</w:t>
      </w:r>
    </w:p>
  </w:footnote>
  <w:footnote w:id="5">
    <w:p w14:paraId="1E5CDE5A" w14:textId="562F7C2D" w:rsidR="00CC155C" w:rsidRPr="0016063C" w:rsidRDefault="00CC155C">
      <w:pPr>
        <w:pStyle w:val="FootnoteText"/>
      </w:pPr>
      <w:r>
        <w:rPr>
          <w:rStyle w:val="FootnoteReference"/>
        </w:rPr>
        <w:footnoteRef/>
      </w:r>
      <w:r>
        <w:t xml:space="preserve"> </w:t>
      </w:r>
      <w:r w:rsidR="00691909">
        <w:t xml:space="preserve">P </w:t>
      </w:r>
      <w:r w:rsidR="00087E21">
        <w:t xml:space="preserve">McDonald. et al, </w:t>
      </w:r>
      <w:hyperlink r:id="rId2" w:history="1">
        <w:r w:rsidR="00087E21" w:rsidRPr="008216F9">
          <w:rPr>
            <w:rStyle w:val="Hyperlink"/>
            <w:i/>
            <w:iCs/>
          </w:rPr>
          <w:t>Digital Platform Work in Australia</w:t>
        </w:r>
        <w:r w:rsidR="0016063C" w:rsidRPr="008216F9">
          <w:rPr>
            <w:rStyle w:val="Hyperlink"/>
            <w:i/>
            <w:iCs/>
          </w:rPr>
          <w:t>: Prevalence, Nature and Impact</w:t>
        </w:r>
        <w:r w:rsidR="00450A0E" w:rsidRPr="008216F9">
          <w:rPr>
            <w:rStyle w:val="Hyperlink"/>
            <w:i/>
            <w:iCs/>
          </w:rPr>
          <w:t xml:space="preserve"> (Digital platform work in Australia)</w:t>
        </w:r>
      </w:hyperlink>
      <w:r w:rsidR="0016063C">
        <w:rPr>
          <w:i/>
          <w:iCs/>
        </w:rPr>
        <w:t xml:space="preserve">, </w:t>
      </w:r>
      <w:r w:rsidR="00450A0E">
        <w:t xml:space="preserve">commissioned by the Victorian Department of Premier and Cabinet, </w:t>
      </w:r>
      <w:r w:rsidR="00716418">
        <w:t xml:space="preserve">2019, </w:t>
      </w:r>
      <w:r w:rsidR="00FA13AD">
        <w:t xml:space="preserve">p </w:t>
      </w:r>
      <w:r w:rsidR="00957934">
        <w:t>40.</w:t>
      </w:r>
    </w:p>
  </w:footnote>
  <w:footnote w:id="6">
    <w:p w14:paraId="4746C484" w14:textId="1F684A59" w:rsidR="00FB508E" w:rsidRDefault="00FB508E">
      <w:pPr>
        <w:pStyle w:val="FootnoteText"/>
      </w:pPr>
      <w:r>
        <w:rPr>
          <w:rStyle w:val="FootnoteReference"/>
        </w:rPr>
        <w:footnoteRef/>
      </w:r>
      <w:r w:rsidR="20EC82BA">
        <w:t xml:space="preserve">  Department of Premier and Cabinet (DPC), </w:t>
      </w:r>
      <w:hyperlink r:id="rId3" w:history="1">
        <w:hyperlink r:id="rId4" w:history="1">
          <w:r w:rsidR="20EC82BA" w:rsidRPr="20EC82BA">
            <w:rPr>
              <w:i/>
              <w:iCs/>
            </w:rPr>
            <w:t>Report of the Inquiry into the Victorian On-Demand Workforce</w:t>
          </w:r>
        </w:hyperlink>
      </w:hyperlink>
      <w:r w:rsidR="20EC82BA">
        <w:t xml:space="preserve"> </w:t>
      </w:r>
      <w:hyperlink r:id="rId5" w:history="1">
        <w:r>
          <w:rPr>
            <w:rStyle w:val="Hyperlink"/>
          </w:rPr>
          <w:t>https://engage.vic.gov.au/inquiry-on-demand-workforce</w:t>
        </w:r>
      </w:hyperlink>
      <w:r w:rsidR="20EC82BA">
        <w:t>Industrial Relations Victoria, DPC, Victorian Government, 2020, pp. 65-69.</w:t>
      </w:r>
    </w:p>
  </w:footnote>
  <w:footnote w:id="7">
    <w:p w14:paraId="47F025ED" w14:textId="151A7208" w:rsidR="00F801FC" w:rsidRDefault="00F801FC" w:rsidP="00F801FC">
      <w:pPr>
        <w:pStyle w:val="FootnoteText"/>
      </w:pPr>
      <w:r>
        <w:rPr>
          <w:rStyle w:val="FootnoteReference"/>
        </w:rPr>
        <w:footnoteRef/>
      </w:r>
      <w:r>
        <w:t xml:space="preserve"> Australian Government, </w:t>
      </w:r>
      <w:hyperlink r:id="rId6" w:history="1">
        <w:r w:rsidR="00A006E1" w:rsidRPr="008B793A">
          <w:rPr>
            <w:rStyle w:val="Hyperlink"/>
            <w:i/>
          </w:rPr>
          <w:t>Jobs + Skills Summit: Outcomes 1-2 September</w:t>
        </w:r>
      </w:hyperlink>
      <w:r w:rsidR="00A006E1">
        <w:t>, Australian Government, 2022</w:t>
      </w:r>
      <w:r>
        <w:t>, p 7.</w:t>
      </w:r>
    </w:p>
  </w:footnote>
  <w:footnote w:id="8">
    <w:p w14:paraId="48A5D1C9" w14:textId="29A85C37" w:rsidR="000F1EAC" w:rsidRDefault="000F1EAC" w:rsidP="000F1EAC">
      <w:pPr>
        <w:pStyle w:val="FootnoteText"/>
      </w:pPr>
      <w:r>
        <w:rPr>
          <w:rStyle w:val="FootnoteReference"/>
        </w:rPr>
        <w:footnoteRef/>
      </w:r>
      <w:r>
        <w:t xml:space="preserve"> Australian Government, </w:t>
      </w:r>
      <w:r w:rsidR="009B4ABC" w:rsidRPr="0018615D">
        <w:rPr>
          <w:i/>
        </w:rPr>
        <w:t>Jobs + Skills Summit</w:t>
      </w:r>
      <w:r>
        <w:t xml:space="preserve">, p 6. </w:t>
      </w:r>
    </w:p>
  </w:footnote>
  <w:footnote w:id="9">
    <w:p w14:paraId="541370E5" w14:textId="0E12080D" w:rsidR="008A6E97" w:rsidRDefault="008A6E97">
      <w:pPr>
        <w:pStyle w:val="FootnoteText"/>
      </w:pPr>
      <w:r>
        <w:rPr>
          <w:rStyle w:val="FootnoteReference"/>
        </w:rPr>
        <w:footnoteRef/>
      </w:r>
      <w:r>
        <w:t xml:space="preserve"> DPC, </w:t>
      </w:r>
      <w:r w:rsidRPr="000B02F3">
        <w:rPr>
          <w:i/>
          <w:iCs/>
        </w:rPr>
        <w:t>Report of the Inquiry into the Victorian On-Demand Workforce</w:t>
      </w:r>
      <w:r>
        <w:t>, p 11.</w:t>
      </w:r>
    </w:p>
  </w:footnote>
  <w:footnote w:id="10">
    <w:p w14:paraId="4868B8A5" w14:textId="2F6D6890" w:rsidR="002F25D1" w:rsidRDefault="002F25D1">
      <w:pPr>
        <w:pStyle w:val="FootnoteText"/>
      </w:pPr>
      <w:r>
        <w:rPr>
          <w:rStyle w:val="FootnoteReference"/>
        </w:rPr>
        <w:footnoteRef/>
      </w:r>
      <w:r>
        <w:t xml:space="preserve"> </w:t>
      </w:r>
      <w:r w:rsidR="00A13FA0">
        <w:t>DPC</w:t>
      </w:r>
      <w:r>
        <w:t xml:space="preserve">, </w:t>
      </w:r>
      <w:r w:rsidR="00A13FA0" w:rsidRPr="002479CF">
        <w:rPr>
          <w:i/>
        </w:rPr>
        <w:t xml:space="preserve">Report of the </w:t>
      </w:r>
      <w:r w:rsidR="00F65C9F" w:rsidRPr="002479CF">
        <w:rPr>
          <w:i/>
        </w:rPr>
        <w:t xml:space="preserve">Inquiry into the Victorian </w:t>
      </w:r>
      <w:r w:rsidR="00A13FA0" w:rsidRPr="002479CF">
        <w:rPr>
          <w:i/>
        </w:rPr>
        <w:t>O</w:t>
      </w:r>
      <w:r w:rsidR="00F65C9F" w:rsidRPr="002479CF">
        <w:rPr>
          <w:i/>
        </w:rPr>
        <w:t>n-</w:t>
      </w:r>
      <w:r w:rsidR="00A13FA0" w:rsidRPr="002479CF">
        <w:rPr>
          <w:i/>
        </w:rPr>
        <w:t>D</w:t>
      </w:r>
      <w:r w:rsidR="00F65C9F" w:rsidRPr="002479CF">
        <w:rPr>
          <w:i/>
        </w:rPr>
        <w:t xml:space="preserve">emand </w:t>
      </w:r>
      <w:r w:rsidR="00A13FA0" w:rsidRPr="002479CF">
        <w:rPr>
          <w:i/>
        </w:rPr>
        <w:t>W</w:t>
      </w:r>
      <w:r w:rsidR="00F65C9F" w:rsidRPr="002479CF">
        <w:rPr>
          <w:i/>
        </w:rPr>
        <w:t>orkforce</w:t>
      </w:r>
      <w:r>
        <w:t xml:space="preserve">. </w:t>
      </w:r>
    </w:p>
  </w:footnote>
  <w:footnote w:id="11">
    <w:p w14:paraId="0E35A428" w14:textId="0C1DE789" w:rsidR="002F25D1" w:rsidRDefault="002F25D1">
      <w:pPr>
        <w:pStyle w:val="FootnoteText"/>
      </w:pPr>
      <w:r>
        <w:rPr>
          <w:rStyle w:val="FootnoteReference"/>
        </w:rPr>
        <w:footnoteRef/>
      </w:r>
      <w:r>
        <w:t xml:space="preserve"> </w:t>
      </w:r>
      <w:r w:rsidR="000846A5">
        <w:t xml:space="preserve">Productivity Commission, </w:t>
      </w:r>
      <w:hyperlink r:id="rId7" w:history="1">
        <w:r w:rsidR="0036433A" w:rsidRPr="008B793A">
          <w:rPr>
            <w:rStyle w:val="Hyperlink"/>
            <w:i/>
            <w:iCs/>
          </w:rPr>
          <w:t>5-</w:t>
        </w:r>
        <w:r w:rsidR="00B05C0A">
          <w:rPr>
            <w:rStyle w:val="Hyperlink"/>
            <w:i/>
            <w:iCs/>
          </w:rPr>
          <w:t>Y</w:t>
        </w:r>
        <w:r w:rsidR="0036433A" w:rsidRPr="008B793A">
          <w:rPr>
            <w:rStyle w:val="Hyperlink"/>
            <w:i/>
            <w:iCs/>
          </w:rPr>
          <w:t xml:space="preserve">ear </w:t>
        </w:r>
        <w:r w:rsidR="000846A5" w:rsidRPr="008B793A">
          <w:rPr>
            <w:rStyle w:val="Hyperlink"/>
            <w:i/>
            <w:iCs/>
          </w:rPr>
          <w:t>Productivity Inquiry</w:t>
        </w:r>
        <w:r w:rsidR="0036433A" w:rsidRPr="008B793A">
          <w:rPr>
            <w:rStyle w:val="Hyperlink"/>
            <w:i/>
            <w:iCs/>
          </w:rPr>
          <w:t xml:space="preserve"> report – Volume 7: </w:t>
        </w:r>
        <w:r w:rsidR="008A2F08" w:rsidRPr="008B793A">
          <w:rPr>
            <w:rStyle w:val="Hyperlink"/>
            <w:i/>
            <w:iCs/>
          </w:rPr>
          <w:t>A more productive labour market</w:t>
        </w:r>
      </w:hyperlink>
      <w:r w:rsidR="000846A5">
        <w:t xml:space="preserve">, </w:t>
      </w:r>
      <w:r w:rsidR="00AA1545">
        <w:t>P</w:t>
      </w:r>
      <w:r w:rsidR="00127D7B">
        <w:t>roduc</w:t>
      </w:r>
      <w:r w:rsidR="00E77404">
        <w:t xml:space="preserve">tivity </w:t>
      </w:r>
      <w:r w:rsidR="00AA1545">
        <w:t>C</w:t>
      </w:r>
      <w:r w:rsidR="00E77404">
        <w:t>ommission</w:t>
      </w:r>
      <w:r w:rsidR="00AA1545">
        <w:t xml:space="preserve">, </w:t>
      </w:r>
      <w:r w:rsidR="003030D8">
        <w:t xml:space="preserve">Australian Government, </w:t>
      </w:r>
      <w:r w:rsidR="000846A5">
        <w:t>2023</w:t>
      </w:r>
      <w:r w:rsidR="001652D3">
        <w:t>.</w:t>
      </w:r>
    </w:p>
  </w:footnote>
  <w:footnote w:id="12">
    <w:p w14:paraId="060F7992" w14:textId="7E3C600D" w:rsidR="00DE4647" w:rsidRDefault="00DE4647">
      <w:pPr>
        <w:pStyle w:val="FootnoteText"/>
      </w:pPr>
      <w:r>
        <w:rPr>
          <w:rStyle w:val="FootnoteReference"/>
        </w:rPr>
        <w:footnoteRef/>
      </w:r>
      <w:r>
        <w:t xml:space="preserve"> </w:t>
      </w:r>
      <w:r w:rsidR="00531B43">
        <w:t>Parliament of Australia</w:t>
      </w:r>
      <w:r w:rsidR="00F10023">
        <w:t xml:space="preserve">, </w:t>
      </w:r>
      <w:hyperlink r:id="rId8" w:history="1">
        <w:r w:rsidR="00531B43" w:rsidRPr="008B793A">
          <w:rPr>
            <w:rStyle w:val="Hyperlink"/>
            <w:i/>
            <w:iCs/>
          </w:rPr>
          <w:t>Senate Select Committee on Job Security</w:t>
        </w:r>
      </w:hyperlink>
      <w:r w:rsidR="00F8767E">
        <w:t xml:space="preserve">, </w:t>
      </w:r>
      <w:r w:rsidR="005272DA">
        <w:t>Parliament of Australia</w:t>
      </w:r>
      <w:r w:rsidR="00E26FC0">
        <w:t xml:space="preserve">, </w:t>
      </w:r>
      <w:r w:rsidR="00891FCF">
        <w:t>Australian Government</w:t>
      </w:r>
      <w:r w:rsidR="00E26FC0">
        <w:t xml:space="preserve">, </w:t>
      </w:r>
      <w:r w:rsidR="00F10023">
        <w:t>2021</w:t>
      </w:r>
      <w:r w:rsidR="001652D3">
        <w:t>.</w:t>
      </w:r>
    </w:p>
  </w:footnote>
  <w:footnote w:id="13">
    <w:p w14:paraId="2F83BEAC" w14:textId="75C0B7A3" w:rsidR="0049395F" w:rsidRDefault="0049395F">
      <w:pPr>
        <w:pStyle w:val="FootnoteText"/>
      </w:pPr>
      <w:r>
        <w:rPr>
          <w:rStyle w:val="FootnoteReference"/>
        </w:rPr>
        <w:footnoteRef/>
      </w:r>
      <w:r>
        <w:t xml:space="preserve"> </w:t>
      </w:r>
      <w:r w:rsidR="000819DF">
        <w:t>Parliament</w:t>
      </w:r>
      <w:r w:rsidR="00586A61">
        <w:t xml:space="preserve"> of Australia</w:t>
      </w:r>
      <w:r w:rsidR="00E37489">
        <w:t xml:space="preserve">, </w:t>
      </w:r>
      <w:hyperlink r:id="rId9" w:history="1">
        <w:r w:rsidR="008802FF" w:rsidRPr="005A2BC9">
          <w:rPr>
            <w:rStyle w:val="Hyperlink"/>
            <w:i/>
            <w:iCs/>
          </w:rPr>
          <w:t xml:space="preserve">Senate </w:t>
        </w:r>
        <w:r w:rsidR="0064295E" w:rsidRPr="005A2BC9">
          <w:rPr>
            <w:rStyle w:val="Hyperlink"/>
            <w:i/>
            <w:iCs/>
          </w:rPr>
          <w:t>Rural and Regional Affairs and Transport References Committee</w:t>
        </w:r>
        <w:r w:rsidR="00126BD7" w:rsidRPr="005A2BC9">
          <w:rPr>
            <w:rStyle w:val="Hyperlink"/>
            <w:i/>
            <w:iCs/>
          </w:rPr>
          <w:t xml:space="preserve"> – </w:t>
        </w:r>
        <w:r w:rsidR="003A5847">
          <w:rPr>
            <w:rStyle w:val="Hyperlink"/>
            <w:i/>
            <w:iCs/>
          </w:rPr>
          <w:t>Without Trucks Australia Stops: the developmen</w:t>
        </w:r>
        <w:r w:rsidR="00031DE0">
          <w:rPr>
            <w:rStyle w:val="Hyperlink"/>
            <w:i/>
            <w:iCs/>
          </w:rPr>
          <w:t>t</w:t>
        </w:r>
        <w:r w:rsidR="00126BD7" w:rsidRPr="005A2BC9">
          <w:rPr>
            <w:rStyle w:val="Hyperlink"/>
            <w:i/>
            <w:iCs/>
          </w:rPr>
          <w:t xml:space="preserve"> of a viable, safe, sustainable and efficient road transport industry</w:t>
        </w:r>
      </w:hyperlink>
      <w:r w:rsidR="00307E06">
        <w:rPr>
          <w:i/>
          <w:iCs/>
        </w:rPr>
        <w:t xml:space="preserve">, </w:t>
      </w:r>
      <w:r w:rsidR="006B6FD5">
        <w:t xml:space="preserve">Parliament of Australia, Australian Government, </w:t>
      </w:r>
      <w:r w:rsidR="00E87B0C">
        <w:t>202</w:t>
      </w:r>
      <w:r w:rsidR="00CC7443">
        <w:t>1</w:t>
      </w:r>
      <w:r w:rsidR="008943A0">
        <w:t>.</w:t>
      </w:r>
    </w:p>
  </w:footnote>
  <w:footnote w:id="14">
    <w:p w14:paraId="308A7BD8" w14:textId="4D0DE957" w:rsidR="005D1A1C" w:rsidRDefault="005D1A1C">
      <w:pPr>
        <w:pStyle w:val="FootnoteText"/>
      </w:pPr>
      <w:r>
        <w:rPr>
          <w:rStyle w:val="FootnoteReference"/>
        </w:rPr>
        <w:footnoteRef/>
      </w:r>
      <w:r>
        <w:t xml:space="preserve"> </w:t>
      </w:r>
      <w:r w:rsidR="006D5F9C">
        <w:t xml:space="preserve">Parliament of </w:t>
      </w:r>
      <w:r>
        <w:t xml:space="preserve">New South Wales </w:t>
      </w:r>
      <w:r w:rsidR="006D5F9C">
        <w:t>(NSW)</w:t>
      </w:r>
      <w:r>
        <w:t xml:space="preserve">, </w:t>
      </w:r>
      <w:hyperlink r:id="rId10" w:history="1">
        <w:r w:rsidRPr="008B793A">
          <w:rPr>
            <w:rStyle w:val="Hyperlink"/>
            <w:i/>
          </w:rPr>
          <w:t>Select Committee on the impact of technological and other change on the future of work and workers in New South Wales</w:t>
        </w:r>
      </w:hyperlink>
      <w:r>
        <w:rPr>
          <w:color w:val="auto"/>
        </w:rPr>
        <w:t>,</w:t>
      </w:r>
      <w:r w:rsidRPr="005D1A1C">
        <w:rPr>
          <w:color w:val="auto"/>
        </w:rPr>
        <w:t xml:space="preserve"> </w:t>
      </w:r>
      <w:r w:rsidR="00FC154D">
        <w:rPr>
          <w:color w:val="auto"/>
        </w:rPr>
        <w:t xml:space="preserve">Parliament of </w:t>
      </w:r>
      <w:r w:rsidR="00AD2F94">
        <w:rPr>
          <w:color w:val="auto"/>
        </w:rPr>
        <w:t>NSW, Government of NSW</w:t>
      </w:r>
      <w:r w:rsidR="000B1D70">
        <w:rPr>
          <w:color w:val="auto"/>
        </w:rPr>
        <w:t xml:space="preserve">, </w:t>
      </w:r>
      <w:r>
        <w:rPr>
          <w:color w:val="auto"/>
        </w:rPr>
        <w:t>202</w:t>
      </w:r>
      <w:r w:rsidR="00976E37">
        <w:rPr>
          <w:color w:val="auto"/>
        </w:rPr>
        <w:t>2</w:t>
      </w:r>
      <w:r w:rsidR="001652D3">
        <w:rPr>
          <w:color w:val="auto"/>
        </w:rPr>
        <w:t>.</w:t>
      </w:r>
    </w:p>
  </w:footnote>
  <w:footnote w:id="15">
    <w:p w14:paraId="754F8B76" w14:textId="1572DC2D" w:rsidR="009B0257" w:rsidRDefault="009B0257">
      <w:pPr>
        <w:pStyle w:val="FootnoteText"/>
      </w:pPr>
      <w:r>
        <w:rPr>
          <w:rStyle w:val="FootnoteReference"/>
        </w:rPr>
        <w:footnoteRef/>
      </w:r>
      <w:r>
        <w:t xml:space="preserve"> </w:t>
      </w:r>
      <w:r w:rsidR="00605BCB">
        <w:t xml:space="preserve">P McDonald et al, </w:t>
      </w:r>
      <w:hyperlink r:id="rId11" w:history="1">
        <w:r w:rsidR="00605BCB" w:rsidRPr="008216F9">
          <w:rPr>
            <w:rStyle w:val="Hyperlink"/>
            <w:i/>
            <w:iCs/>
          </w:rPr>
          <w:t>Digital Platform Work in Australia: Prevalence, Nature and Impact (Digital platform work in Australia)</w:t>
        </w:r>
      </w:hyperlink>
      <w:r w:rsidR="00605BCB">
        <w:rPr>
          <w:i/>
          <w:iCs/>
        </w:rPr>
        <w:t xml:space="preserve">, </w:t>
      </w:r>
      <w:r w:rsidR="00605BCB">
        <w:t>commissioned by the Victorian Department of Premier and Cabinet, 2019.</w:t>
      </w:r>
    </w:p>
  </w:footnote>
  <w:footnote w:id="16">
    <w:p w14:paraId="55ADBD6D" w14:textId="3345648E" w:rsidR="0019644E" w:rsidRDefault="0019644E">
      <w:pPr>
        <w:pStyle w:val="FootnoteText"/>
      </w:pPr>
      <w:r>
        <w:rPr>
          <w:rStyle w:val="FootnoteReference"/>
        </w:rPr>
        <w:footnoteRef/>
      </w:r>
      <w:r>
        <w:t xml:space="preserve"> </w:t>
      </w:r>
      <w:r w:rsidR="004F751B">
        <w:t>DPC</w:t>
      </w:r>
      <w:r>
        <w:t>,</w:t>
      </w:r>
      <w:r w:rsidRPr="00F65C9F">
        <w:rPr>
          <w:i/>
          <w:iCs/>
        </w:rPr>
        <w:t xml:space="preserve"> </w:t>
      </w:r>
      <w:hyperlink r:id="rId12" w:history="1">
        <w:r w:rsidRPr="005310B2">
          <w:rPr>
            <w:rStyle w:val="Hyperlink"/>
            <w:i/>
            <w:iCs/>
          </w:rPr>
          <w:t>Report of the Inquiry into the Victorian On-Demand Workforce</w:t>
        </w:r>
      </w:hyperlink>
      <w:r>
        <w:t>.</w:t>
      </w:r>
    </w:p>
  </w:footnote>
  <w:footnote w:id="17">
    <w:p w14:paraId="367A0451" w14:textId="7C9C36BE" w:rsidR="000846A5" w:rsidRPr="008B793A" w:rsidRDefault="000846A5">
      <w:pPr>
        <w:pStyle w:val="FootnoteText"/>
        <w:rPr>
          <w:i/>
        </w:rPr>
      </w:pPr>
      <w:r>
        <w:rPr>
          <w:rStyle w:val="FootnoteReference"/>
        </w:rPr>
        <w:footnoteRef/>
      </w:r>
      <w:r>
        <w:t xml:space="preserve"> </w:t>
      </w:r>
      <w:r w:rsidR="00576E6F">
        <w:t xml:space="preserve">Productivity Commission, </w:t>
      </w:r>
      <w:hyperlink r:id="rId13" w:history="1">
        <w:r w:rsidR="00576E6F" w:rsidRPr="005310B2">
          <w:rPr>
            <w:rStyle w:val="Hyperlink"/>
            <w:i/>
            <w:iCs/>
          </w:rPr>
          <w:t>5-</w:t>
        </w:r>
        <w:r w:rsidR="00B05C0A" w:rsidRPr="005310B2">
          <w:rPr>
            <w:rStyle w:val="Hyperlink"/>
            <w:i/>
            <w:iCs/>
          </w:rPr>
          <w:t>Y</w:t>
        </w:r>
        <w:r w:rsidR="00576E6F" w:rsidRPr="005310B2">
          <w:rPr>
            <w:rStyle w:val="Hyperlink"/>
            <w:i/>
            <w:iCs/>
          </w:rPr>
          <w:t>ear Productivity Inquiry report – Volume 7</w:t>
        </w:r>
      </w:hyperlink>
      <w:r w:rsidR="00576E6F">
        <w:rPr>
          <w:i/>
          <w:iCs/>
        </w:rPr>
        <w:t>.</w:t>
      </w:r>
    </w:p>
  </w:footnote>
  <w:footnote w:id="18">
    <w:p w14:paraId="241AF3B4" w14:textId="2855E6AE" w:rsidR="001E4CE3" w:rsidRDefault="001E4CE3">
      <w:pPr>
        <w:pStyle w:val="FootnoteText"/>
      </w:pPr>
      <w:r>
        <w:rPr>
          <w:rStyle w:val="FootnoteReference"/>
        </w:rPr>
        <w:footnoteRef/>
      </w:r>
      <w:r>
        <w:t xml:space="preserve"> </w:t>
      </w:r>
      <w:r w:rsidR="00DB2AD0">
        <w:t>Parliament</w:t>
      </w:r>
      <w:r>
        <w:t xml:space="preserve"> of Australia, </w:t>
      </w:r>
      <w:hyperlink r:id="rId14" w:history="1">
        <w:r w:rsidR="00DB2AD0" w:rsidRPr="003E6C06">
          <w:rPr>
            <w:rStyle w:val="Hyperlink"/>
            <w:i/>
            <w:iCs/>
          </w:rPr>
          <w:t>Senate Select Committee on Job Security</w:t>
        </w:r>
        <w:r w:rsidR="00814B4E" w:rsidRPr="003E6C06">
          <w:rPr>
            <w:rStyle w:val="Hyperlink"/>
            <w:i/>
            <w:iCs/>
          </w:rPr>
          <w:t xml:space="preserve"> - </w:t>
        </w:r>
        <w:r w:rsidRPr="003E6C06">
          <w:rPr>
            <w:rStyle w:val="Hyperlink"/>
            <w:i/>
            <w:iCs/>
          </w:rPr>
          <w:t>First interim report</w:t>
        </w:r>
      </w:hyperlink>
      <w:r>
        <w:rPr>
          <w:i/>
        </w:rPr>
        <w:t>.</w:t>
      </w:r>
    </w:p>
  </w:footnote>
  <w:footnote w:id="19">
    <w:p w14:paraId="61CAF774" w14:textId="29BD7EA1" w:rsidR="002A6025" w:rsidRDefault="002A6025">
      <w:pPr>
        <w:pStyle w:val="FootnoteText"/>
      </w:pPr>
      <w:r>
        <w:rPr>
          <w:rStyle w:val="FootnoteReference"/>
        </w:rPr>
        <w:footnoteRef/>
      </w:r>
      <w:r w:rsidDel="00C56E30">
        <w:t xml:space="preserve"> </w:t>
      </w:r>
      <w:r w:rsidR="00C56E30">
        <w:t xml:space="preserve">Parliament of Australia, </w:t>
      </w:r>
      <w:hyperlink r:id="rId15" w:history="1">
        <w:r w:rsidR="00C56E30" w:rsidRPr="00F9171A">
          <w:rPr>
            <w:rStyle w:val="Hyperlink"/>
            <w:i/>
            <w:iCs/>
          </w:rPr>
          <w:t>Senate Select Committee on Job Security -</w:t>
        </w:r>
        <w:r w:rsidR="00C56E30" w:rsidRPr="00BE2253">
          <w:rPr>
            <w:rStyle w:val="Hyperlink"/>
          </w:rPr>
          <w:t xml:space="preserve"> </w:t>
        </w:r>
        <w:r w:rsidR="00C56E30" w:rsidRPr="001A207C">
          <w:rPr>
            <w:rStyle w:val="Hyperlink"/>
            <w:i/>
            <w:iCs/>
          </w:rPr>
          <w:t xml:space="preserve">Fourth interim report: </w:t>
        </w:r>
        <w:r w:rsidR="00A80086" w:rsidRPr="001A207C">
          <w:rPr>
            <w:rStyle w:val="Hyperlink"/>
            <w:i/>
            <w:iCs/>
          </w:rPr>
          <w:t>the job insecurity report</w:t>
        </w:r>
      </w:hyperlink>
      <w:r w:rsidR="00C56E30">
        <w:t>, Parliament of Australia, Australian Government, 202</w:t>
      </w:r>
      <w:r w:rsidR="00A80086">
        <w:t>2.</w:t>
      </w:r>
    </w:p>
  </w:footnote>
  <w:footnote w:id="20">
    <w:p w14:paraId="0CE3C6C2" w14:textId="2266A8B5" w:rsidR="0014625D" w:rsidRDefault="0014625D">
      <w:pPr>
        <w:pStyle w:val="FootnoteText"/>
      </w:pPr>
      <w:r>
        <w:rPr>
          <w:rStyle w:val="FootnoteReference"/>
        </w:rPr>
        <w:footnoteRef/>
      </w:r>
      <w:r>
        <w:t xml:space="preserve"> </w:t>
      </w:r>
      <w:r w:rsidR="00BD4B15">
        <w:t>Parliament</w:t>
      </w:r>
      <w:r>
        <w:t xml:space="preserve"> of Australia, </w:t>
      </w:r>
      <w:hyperlink r:id="rId16" w:history="1">
        <w:r w:rsidR="001A207C" w:rsidRPr="00B95192">
          <w:rPr>
            <w:rStyle w:val="Hyperlink"/>
            <w:i/>
            <w:iCs/>
          </w:rPr>
          <w:t xml:space="preserve">Without </w:t>
        </w:r>
        <w:r w:rsidR="009E79BD" w:rsidRPr="00B95192">
          <w:rPr>
            <w:rStyle w:val="Hyperlink"/>
            <w:i/>
            <w:iCs/>
          </w:rPr>
          <w:t>T</w:t>
        </w:r>
        <w:r w:rsidR="001A207C" w:rsidRPr="00B95192">
          <w:rPr>
            <w:rStyle w:val="Hyperlink"/>
            <w:i/>
            <w:iCs/>
          </w:rPr>
          <w:t xml:space="preserve">rucks Australia </w:t>
        </w:r>
        <w:r w:rsidR="009E79BD" w:rsidRPr="00B95192">
          <w:rPr>
            <w:rStyle w:val="Hyperlink"/>
            <w:i/>
            <w:iCs/>
          </w:rPr>
          <w:t>S</w:t>
        </w:r>
        <w:r w:rsidR="001A207C" w:rsidRPr="00B95192">
          <w:rPr>
            <w:rStyle w:val="Hyperlink"/>
            <w:i/>
            <w:iCs/>
          </w:rPr>
          <w:t>tops</w:t>
        </w:r>
      </w:hyperlink>
      <w:r>
        <w:t>.</w:t>
      </w:r>
    </w:p>
  </w:footnote>
  <w:footnote w:id="21">
    <w:p w14:paraId="696BB9CC" w14:textId="55920FD4" w:rsidR="005C0ABC" w:rsidRDefault="005C0ABC">
      <w:pPr>
        <w:pStyle w:val="FootnoteText"/>
      </w:pPr>
      <w:r>
        <w:rPr>
          <w:rStyle w:val="FootnoteReference"/>
        </w:rPr>
        <w:footnoteRef/>
      </w:r>
      <w:r>
        <w:t xml:space="preserve"> </w:t>
      </w:r>
      <w:r w:rsidR="003036AC">
        <w:t xml:space="preserve">Parliament of </w:t>
      </w:r>
      <w:r>
        <w:t>N</w:t>
      </w:r>
      <w:r w:rsidR="003036AC">
        <w:t>SW</w:t>
      </w:r>
      <w:r>
        <w:t xml:space="preserve">, </w:t>
      </w:r>
      <w:hyperlink r:id="rId17" w:history="1">
        <w:r w:rsidRPr="00691677">
          <w:rPr>
            <w:rStyle w:val="Hyperlink"/>
            <w:i/>
          </w:rPr>
          <w:t>Select Committee on the impact of technological and other change on the future of work and workers in New South Wales</w:t>
        </w:r>
        <w:r w:rsidR="004C758B" w:rsidRPr="00691677">
          <w:rPr>
            <w:rStyle w:val="Hyperlink"/>
            <w:i/>
          </w:rPr>
          <w:t xml:space="preserve"> – </w:t>
        </w:r>
        <w:r w:rsidR="00374013" w:rsidRPr="00691677">
          <w:rPr>
            <w:rStyle w:val="Hyperlink"/>
            <w:i/>
            <w:iCs/>
          </w:rPr>
          <w:t>First report</w:t>
        </w:r>
        <w:r w:rsidR="008B29B7" w:rsidRPr="00691677">
          <w:rPr>
            <w:rStyle w:val="Hyperlink"/>
            <w:i/>
          </w:rPr>
          <w:t xml:space="preserve">: the gig </w:t>
        </w:r>
        <w:r w:rsidR="008B29B7" w:rsidRPr="00691677">
          <w:rPr>
            <w:rStyle w:val="Hyperlink"/>
            <w:i/>
            <w:iCs/>
          </w:rPr>
          <w:t>economy</w:t>
        </w:r>
      </w:hyperlink>
      <w:r>
        <w:rPr>
          <w:color w:val="auto"/>
        </w:rPr>
        <w:t>,</w:t>
      </w:r>
      <w:r w:rsidRPr="005D1A1C">
        <w:rPr>
          <w:color w:val="auto"/>
        </w:rPr>
        <w:t xml:space="preserve"> </w:t>
      </w:r>
      <w:r w:rsidR="00AB5794">
        <w:rPr>
          <w:color w:val="auto"/>
        </w:rPr>
        <w:t xml:space="preserve">Parliament of NSW, </w:t>
      </w:r>
      <w:r w:rsidR="00E467F2">
        <w:rPr>
          <w:color w:val="auto"/>
        </w:rPr>
        <w:t xml:space="preserve">Government of NSW, </w:t>
      </w:r>
      <w:r>
        <w:rPr>
          <w:color w:val="auto"/>
        </w:rPr>
        <w:t>2022</w:t>
      </w:r>
      <w:r w:rsidR="009E79BD">
        <w:rPr>
          <w:color w:val="auto"/>
        </w:rPr>
        <w:t>.</w:t>
      </w:r>
    </w:p>
  </w:footnote>
  <w:footnote w:id="22">
    <w:p w14:paraId="40F27F57" w14:textId="09A7D579" w:rsidR="00D204D1" w:rsidRDefault="00D204D1">
      <w:pPr>
        <w:pStyle w:val="FootnoteText"/>
      </w:pPr>
      <w:r>
        <w:rPr>
          <w:rStyle w:val="FootnoteReference"/>
        </w:rPr>
        <w:footnoteRef/>
      </w:r>
      <w:r>
        <w:t xml:space="preserve"> </w:t>
      </w:r>
      <w:r w:rsidR="00AB5794">
        <w:t>Parliament of NSW</w:t>
      </w:r>
      <w:r>
        <w:t xml:space="preserve">, </w:t>
      </w:r>
      <w:hyperlink r:id="rId18" w:history="1">
        <w:r w:rsidRPr="00714F51">
          <w:rPr>
            <w:rStyle w:val="Hyperlink"/>
            <w:i/>
          </w:rPr>
          <w:t>Select Committee on the impact of technological and other change on the future of work and workers in New South Wales</w:t>
        </w:r>
        <w:r w:rsidR="001A0BA5" w:rsidRPr="00714F51">
          <w:rPr>
            <w:rStyle w:val="Hyperlink"/>
            <w:i/>
          </w:rPr>
          <w:t xml:space="preserve"> – </w:t>
        </w:r>
        <w:r w:rsidR="00374013" w:rsidRPr="00714F51">
          <w:rPr>
            <w:rStyle w:val="Hyperlink"/>
            <w:i/>
          </w:rPr>
          <w:t>Final report</w:t>
        </w:r>
        <w:r w:rsidR="001A0BA5" w:rsidRPr="00714F51">
          <w:rPr>
            <w:rStyle w:val="Hyperlink"/>
            <w:i/>
          </w:rPr>
          <w:t>:</w:t>
        </w:r>
        <w:r w:rsidR="00374013" w:rsidRPr="00714F51">
          <w:rPr>
            <w:rStyle w:val="Hyperlink"/>
            <w:i/>
          </w:rPr>
          <w:t xml:space="preserve"> </w:t>
        </w:r>
        <w:r w:rsidR="00354EB2" w:rsidRPr="00714F51">
          <w:rPr>
            <w:rStyle w:val="Hyperlink"/>
            <w:i/>
          </w:rPr>
          <w:t>workplace surveillance and automation</w:t>
        </w:r>
      </w:hyperlink>
      <w:r>
        <w:rPr>
          <w:color w:val="auto"/>
        </w:rPr>
        <w:t>,</w:t>
      </w:r>
      <w:r w:rsidRPr="005D1A1C">
        <w:rPr>
          <w:color w:val="auto"/>
        </w:rPr>
        <w:t xml:space="preserve"> </w:t>
      </w:r>
      <w:r w:rsidR="00E82493">
        <w:rPr>
          <w:color w:val="auto"/>
        </w:rPr>
        <w:t xml:space="preserve">Parliament of NSW, Government of NSW, </w:t>
      </w:r>
      <w:r>
        <w:rPr>
          <w:color w:val="auto"/>
        </w:rPr>
        <w:t>2022.</w:t>
      </w:r>
    </w:p>
  </w:footnote>
  <w:footnote w:id="23">
    <w:p w14:paraId="66AF4C14" w14:textId="168E0BEB" w:rsidR="0063078B" w:rsidRDefault="0063078B">
      <w:pPr>
        <w:pStyle w:val="FootnoteText"/>
      </w:pPr>
      <w:r>
        <w:rPr>
          <w:rStyle w:val="FootnoteReference"/>
        </w:rPr>
        <w:footnoteRef/>
      </w:r>
      <w:r>
        <w:t xml:space="preserve"> DPC, </w:t>
      </w:r>
      <w:hyperlink r:id="rId19" w:history="1">
        <w:r w:rsidR="00944334" w:rsidRPr="005310B2">
          <w:rPr>
            <w:rStyle w:val="Hyperlink"/>
            <w:i/>
            <w:iCs/>
          </w:rPr>
          <w:t>Report of the Inquiry into the Victorian On-Demand Workforce</w:t>
        </w:r>
      </w:hyperlink>
      <w:r>
        <w:t>, p 185.</w:t>
      </w:r>
    </w:p>
  </w:footnote>
  <w:footnote w:id="24">
    <w:p w14:paraId="48347382" w14:textId="64AE70B2" w:rsidR="00D43946" w:rsidRDefault="00D43946">
      <w:pPr>
        <w:pStyle w:val="FootnoteText"/>
      </w:pPr>
      <w:r>
        <w:rPr>
          <w:rStyle w:val="FootnoteReference"/>
        </w:rPr>
        <w:footnoteRef/>
      </w:r>
      <w:r>
        <w:t xml:space="preserve"> </w:t>
      </w:r>
      <w:r w:rsidR="00136833">
        <w:t>DPC</w:t>
      </w:r>
      <w:r>
        <w:t xml:space="preserve">, </w:t>
      </w:r>
      <w:hyperlink r:id="rId20" w:history="1">
        <w:r w:rsidR="00944334" w:rsidRPr="005310B2">
          <w:rPr>
            <w:rStyle w:val="Hyperlink"/>
            <w:i/>
            <w:iCs/>
          </w:rPr>
          <w:t>Report of the Inquiry into the Victorian On-Demand Workforce</w:t>
        </w:r>
      </w:hyperlink>
      <w:r w:rsidR="00136833">
        <w:t>,</w:t>
      </w:r>
      <w:r>
        <w:t xml:space="preserve"> p 192.</w:t>
      </w:r>
    </w:p>
  </w:footnote>
  <w:footnote w:id="25">
    <w:p w14:paraId="6E073BFA" w14:textId="77777777" w:rsidR="006549B6" w:rsidRDefault="006549B6" w:rsidP="006549B6">
      <w:pPr>
        <w:pStyle w:val="FootnoteText"/>
      </w:pPr>
      <w:r>
        <w:rPr>
          <w:rStyle w:val="FootnoteReference"/>
        </w:rPr>
        <w:footnoteRef/>
      </w:r>
      <w:r>
        <w:t xml:space="preserve"> DPC, </w:t>
      </w:r>
      <w:hyperlink r:id="rId21" w:history="1">
        <w:r w:rsidRPr="005310B2">
          <w:rPr>
            <w:rStyle w:val="Hyperlink"/>
            <w:i/>
            <w:iCs/>
          </w:rPr>
          <w:t>Report of the Inquiry into the Victorian On-Demand Workforce</w:t>
        </w:r>
      </w:hyperlink>
      <w:r>
        <w:t>, p 187.</w:t>
      </w:r>
    </w:p>
  </w:footnote>
  <w:footnote w:id="26">
    <w:p w14:paraId="742390B8" w14:textId="3E8107F4" w:rsidR="00A43C8E" w:rsidRDefault="00A43C8E">
      <w:pPr>
        <w:pStyle w:val="FootnoteText"/>
      </w:pPr>
      <w:r>
        <w:rPr>
          <w:rStyle w:val="FootnoteReference"/>
        </w:rPr>
        <w:footnoteRef/>
      </w:r>
      <w:r>
        <w:t xml:space="preserve"> </w:t>
      </w:r>
      <w:r w:rsidR="00F2432F">
        <w:t>DPC</w:t>
      </w:r>
      <w:r>
        <w:t xml:space="preserve">, </w:t>
      </w:r>
      <w:hyperlink r:id="rId22" w:history="1">
        <w:r w:rsidR="00944334" w:rsidRPr="005310B2">
          <w:rPr>
            <w:rStyle w:val="Hyperlink"/>
            <w:i/>
            <w:iCs/>
          </w:rPr>
          <w:t>Report of the Inquiry into the Victorian On-Demand Workforce</w:t>
        </w:r>
      </w:hyperlink>
      <w:r>
        <w:t>, p 187.</w:t>
      </w:r>
    </w:p>
  </w:footnote>
  <w:footnote w:id="27">
    <w:p w14:paraId="5E9A48D3" w14:textId="55DED0E0" w:rsidR="00A43F87" w:rsidRDefault="00A43F87">
      <w:pPr>
        <w:pStyle w:val="FootnoteText"/>
      </w:pPr>
      <w:r>
        <w:rPr>
          <w:rStyle w:val="FootnoteReference"/>
        </w:rPr>
        <w:footnoteRef/>
      </w:r>
      <w:r>
        <w:t xml:space="preserve"> </w:t>
      </w:r>
      <w:r w:rsidR="006C0D71">
        <w:t>Parliament of NSW</w:t>
      </w:r>
      <w:r>
        <w:t xml:space="preserve">, </w:t>
      </w:r>
      <w:hyperlink r:id="rId23" w:history="1">
        <w:r w:rsidRPr="00020DC9">
          <w:rPr>
            <w:rStyle w:val="Hyperlink"/>
            <w:i/>
            <w:iCs/>
          </w:rPr>
          <w:t>First report – The gig economy</w:t>
        </w:r>
      </w:hyperlink>
      <w:r>
        <w:rPr>
          <w:i/>
          <w:iCs/>
        </w:rPr>
        <w:t xml:space="preserve">, </w:t>
      </w:r>
      <w:r>
        <w:rPr>
          <w:color w:val="auto"/>
        </w:rPr>
        <w:t>p xii.</w:t>
      </w:r>
    </w:p>
  </w:footnote>
  <w:footnote w:id="28">
    <w:p w14:paraId="78EA4246" w14:textId="002EF304" w:rsidR="00DD0EC4" w:rsidRDefault="00DD0EC4">
      <w:pPr>
        <w:pStyle w:val="FootnoteText"/>
      </w:pPr>
      <w:r>
        <w:rPr>
          <w:rStyle w:val="FootnoteReference"/>
        </w:rPr>
        <w:footnoteRef/>
      </w:r>
      <w:r>
        <w:t xml:space="preserve"> </w:t>
      </w:r>
      <w:r w:rsidR="000D67C1">
        <w:t>Productivity Commission</w:t>
      </w:r>
      <w:hyperlink r:id="rId24" w:history="1">
        <w:r w:rsidRPr="007644F7">
          <w:rPr>
            <w:rStyle w:val="Hyperlink"/>
          </w:rPr>
          <w:t xml:space="preserve">, </w:t>
        </w:r>
        <w:r w:rsidR="00B05C0A" w:rsidRPr="00F9171A">
          <w:rPr>
            <w:rStyle w:val="Hyperlink"/>
            <w:i/>
          </w:rPr>
          <w:t>5-Year Productivity Inquiry – Volume 7</w:t>
        </w:r>
      </w:hyperlink>
      <w:r w:rsidR="00B05C0A">
        <w:t xml:space="preserve">, </w:t>
      </w:r>
      <w:r>
        <w:t xml:space="preserve">p </w:t>
      </w:r>
      <w:r w:rsidR="004851FB">
        <w:t>143.</w:t>
      </w:r>
    </w:p>
  </w:footnote>
  <w:footnote w:id="29">
    <w:p w14:paraId="63C1FAA1" w14:textId="55E3A9D9" w:rsidR="0061045B" w:rsidRDefault="0061045B">
      <w:pPr>
        <w:pStyle w:val="FootnoteText"/>
      </w:pPr>
      <w:r>
        <w:rPr>
          <w:rStyle w:val="FootnoteReference"/>
        </w:rPr>
        <w:footnoteRef/>
      </w:r>
      <w:r>
        <w:t xml:space="preserve"> </w:t>
      </w:r>
      <w:r w:rsidR="00627747">
        <w:t>Productivity Commission,</w:t>
      </w:r>
      <w:r>
        <w:t xml:space="preserve"> </w:t>
      </w:r>
      <w:hyperlink r:id="rId25" w:history="1">
        <w:r w:rsidR="00627747" w:rsidRPr="007644F7">
          <w:rPr>
            <w:rStyle w:val="Hyperlink"/>
            <w:i/>
          </w:rPr>
          <w:t>5-Year Productivity Inquiry – Volume 7</w:t>
        </w:r>
      </w:hyperlink>
      <w:r w:rsidR="00627747">
        <w:t xml:space="preserve">, </w:t>
      </w:r>
      <w:r>
        <w:t>p 143.</w:t>
      </w:r>
    </w:p>
  </w:footnote>
  <w:footnote w:id="30">
    <w:p w14:paraId="5F8B0141" w14:textId="4E04F9CD" w:rsidR="002F6D36" w:rsidRDefault="002F6D36">
      <w:pPr>
        <w:pStyle w:val="FootnoteText"/>
      </w:pPr>
      <w:r>
        <w:rPr>
          <w:rStyle w:val="FootnoteReference"/>
        </w:rPr>
        <w:footnoteRef/>
      </w:r>
      <w:r>
        <w:t xml:space="preserve"> Productivity Commission, </w:t>
      </w:r>
      <w:hyperlink r:id="rId26" w:history="1">
        <w:r w:rsidRPr="007644F7">
          <w:rPr>
            <w:rStyle w:val="Hyperlink"/>
            <w:i/>
          </w:rPr>
          <w:t>5-Year Productivity Inquiry</w:t>
        </w:r>
        <w:r w:rsidR="00627747" w:rsidRPr="00F9171A">
          <w:rPr>
            <w:rStyle w:val="Hyperlink"/>
            <w:i/>
          </w:rPr>
          <w:t xml:space="preserve"> – Volume 7</w:t>
        </w:r>
      </w:hyperlink>
      <w:r w:rsidR="00627747">
        <w:t>,</w:t>
      </w:r>
      <w:r>
        <w:t xml:space="preserve"> p</w:t>
      </w:r>
      <w:r w:rsidR="00627747">
        <w:t>p</w:t>
      </w:r>
      <w:r>
        <w:t xml:space="preserve"> 151-152.</w:t>
      </w:r>
    </w:p>
  </w:footnote>
  <w:footnote w:id="31">
    <w:p w14:paraId="4D70F046" w14:textId="5C051E3F" w:rsidR="0038765E" w:rsidRDefault="0038765E">
      <w:pPr>
        <w:pStyle w:val="FootnoteText"/>
      </w:pPr>
      <w:r>
        <w:rPr>
          <w:rStyle w:val="FootnoteReference"/>
        </w:rPr>
        <w:footnoteRef/>
      </w:r>
      <w:r>
        <w:t xml:space="preserve"> Productivity Commission, </w:t>
      </w:r>
      <w:hyperlink r:id="rId27" w:history="1">
        <w:r w:rsidRPr="007644F7">
          <w:rPr>
            <w:rStyle w:val="Hyperlink"/>
            <w:i/>
          </w:rPr>
          <w:t>5-Year Productivity Inquiry</w:t>
        </w:r>
        <w:r w:rsidRPr="00F9171A">
          <w:rPr>
            <w:rStyle w:val="Hyperlink"/>
            <w:i/>
          </w:rPr>
          <w:t xml:space="preserve"> – Volume 7</w:t>
        </w:r>
      </w:hyperlink>
      <w:r>
        <w:t>, pp 158-163.</w:t>
      </w:r>
    </w:p>
  </w:footnote>
  <w:footnote w:id="32">
    <w:p w14:paraId="109F212D" w14:textId="771AFEFE" w:rsidR="00FF5A7D" w:rsidRDefault="00FF5A7D" w:rsidP="00FF5A7D">
      <w:pPr>
        <w:pStyle w:val="FootnoteText"/>
      </w:pPr>
      <w:r>
        <w:rPr>
          <w:rStyle w:val="FootnoteReference"/>
        </w:rPr>
        <w:footnoteRef/>
      </w:r>
      <w:r>
        <w:t xml:space="preserve"> Parliament of Australia, </w:t>
      </w:r>
      <w:hyperlink r:id="rId28" w:history="1">
        <w:r w:rsidRPr="00841E48">
          <w:rPr>
            <w:rStyle w:val="Hyperlink"/>
            <w:i/>
            <w:iCs/>
          </w:rPr>
          <w:t>Without trucks Australia stops</w:t>
        </w:r>
      </w:hyperlink>
      <w:r>
        <w:t>, pp 28-34.</w:t>
      </w:r>
    </w:p>
  </w:footnote>
  <w:footnote w:id="33">
    <w:p w14:paraId="3883D374" w14:textId="7CA56C86" w:rsidR="002168F9" w:rsidRDefault="002168F9" w:rsidP="002168F9">
      <w:pPr>
        <w:pStyle w:val="FootnoteText"/>
      </w:pPr>
      <w:r>
        <w:rPr>
          <w:rStyle w:val="FootnoteReference"/>
        </w:rPr>
        <w:footnoteRef/>
      </w:r>
      <w:r>
        <w:t xml:space="preserve"> Parliament of Australia, </w:t>
      </w:r>
      <w:hyperlink r:id="rId29" w:history="1">
        <w:r w:rsidRPr="00841E48">
          <w:rPr>
            <w:rStyle w:val="Hyperlink"/>
            <w:i/>
            <w:iCs/>
          </w:rPr>
          <w:t>Without trucks Australia stops</w:t>
        </w:r>
      </w:hyperlink>
      <w:r>
        <w:t xml:space="preserve">, </w:t>
      </w:r>
      <w:r w:rsidR="4AE4F553">
        <w:t xml:space="preserve">August 2021, </w:t>
      </w:r>
      <w:r>
        <w:t>pp 28-34.</w:t>
      </w:r>
    </w:p>
  </w:footnote>
  <w:footnote w:id="34">
    <w:p w14:paraId="1715083D" w14:textId="74BBC89F" w:rsidR="00420D6A" w:rsidRDefault="00420D6A">
      <w:pPr>
        <w:pStyle w:val="FootnoteText"/>
      </w:pPr>
      <w:r>
        <w:rPr>
          <w:rStyle w:val="FootnoteReference"/>
        </w:rPr>
        <w:footnoteRef/>
      </w:r>
      <w:r>
        <w:t xml:space="preserve"> Parliament of Australia, </w:t>
      </w:r>
      <w:hyperlink r:id="rId30" w:history="1">
        <w:r w:rsidRPr="00841E48">
          <w:rPr>
            <w:rStyle w:val="Hyperlink"/>
            <w:i/>
            <w:iCs/>
          </w:rPr>
          <w:t>Without trucks Australia stops</w:t>
        </w:r>
      </w:hyperlink>
      <w:r>
        <w:t xml:space="preserve">, </w:t>
      </w:r>
      <w:r w:rsidR="4AE4F553">
        <w:t xml:space="preserve">August 2021, pp </w:t>
      </w:r>
      <w:r w:rsidR="00562676">
        <w:t>28-29.</w:t>
      </w:r>
    </w:p>
  </w:footnote>
  <w:footnote w:id="35">
    <w:p w14:paraId="5B8572DF" w14:textId="64E7242A" w:rsidR="00DF2403" w:rsidRDefault="00DF2403">
      <w:pPr>
        <w:pStyle w:val="FootnoteText"/>
      </w:pPr>
      <w:r>
        <w:rPr>
          <w:rStyle w:val="FootnoteReference"/>
        </w:rPr>
        <w:footnoteRef/>
      </w:r>
      <w:r>
        <w:t xml:space="preserve"> </w:t>
      </w:r>
      <w:r w:rsidR="00627747">
        <w:t>DPC</w:t>
      </w:r>
      <w:r>
        <w:t xml:space="preserve">, </w:t>
      </w:r>
      <w:hyperlink r:id="rId31" w:history="1">
        <w:r w:rsidRPr="00D72F0B">
          <w:rPr>
            <w:rStyle w:val="Hyperlink"/>
            <w:i/>
          </w:rPr>
          <w:t>Report of the Inquiry into the Victorian On-Demand Workforce</w:t>
        </w:r>
      </w:hyperlink>
      <w:r>
        <w:t>, p 165.</w:t>
      </w:r>
    </w:p>
  </w:footnote>
  <w:footnote w:id="36">
    <w:p w14:paraId="3B518865" w14:textId="630C76DE" w:rsidR="00F54464" w:rsidRDefault="00F54464">
      <w:pPr>
        <w:pStyle w:val="FootnoteText"/>
        <w:rPr>
          <w:rStyle w:val="FootnoteReference"/>
        </w:rPr>
      </w:pPr>
      <w:r>
        <w:rPr>
          <w:rStyle w:val="FootnoteReference"/>
        </w:rPr>
        <w:footnoteRef/>
      </w:r>
      <w:r>
        <w:t xml:space="preserve"> </w:t>
      </w:r>
      <w:r w:rsidR="005E0538">
        <w:t xml:space="preserve">Productivity Commission, </w:t>
      </w:r>
      <w:hyperlink r:id="rId32" w:history="1">
        <w:r w:rsidR="005E0538" w:rsidRPr="007644F7">
          <w:rPr>
            <w:rStyle w:val="Hyperlink"/>
            <w:i/>
            <w:iCs/>
          </w:rPr>
          <w:t>5-Year Productivity Inquiry – Volume 7</w:t>
        </w:r>
      </w:hyperlink>
      <w:r w:rsidR="005E0538">
        <w:t>,</w:t>
      </w:r>
      <w:r>
        <w:t xml:space="preserve"> </w:t>
      </w:r>
      <w:r w:rsidR="220524B0">
        <w:t>March 2023, p 160.</w:t>
      </w:r>
    </w:p>
  </w:footnote>
  <w:footnote w:id="37">
    <w:p w14:paraId="2F6C26B2" w14:textId="44779821" w:rsidR="00FE6EEC" w:rsidRDefault="00FE6EEC">
      <w:pPr>
        <w:pStyle w:val="FootnoteText"/>
      </w:pPr>
      <w:r>
        <w:rPr>
          <w:rStyle w:val="FootnoteReference"/>
        </w:rPr>
        <w:footnoteRef/>
      </w:r>
      <w:r>
        <w:t xml:space="preserve"> </w:t>
      </w:r>
      <w:r w:rsidR="00287140">
        <w:t xml:space="preserve">DPC, </w:t>
      </w:r>
      <w:hyperlink r:id="rId33" w:history="1">
        <w:r w:rsidR="00287140" w:rsidRPr="00D72F0B">
          <w:rPr>
            <w:rStyle w:val="Hyperlink"/>
            <w:i/>
          </w:rPr>
          <w:t>Report of the Inquiry into the Victorian On-Demand Workforce</w:t>
        </w:r>
      </w:hyperlink>
      <w:r w:rsidR="00287140">
        <w:t>, p 185.</w:t>
      </w:r>
    </w:p>
  </w:footnote>
  <w:footnote w:id="38">
    <w:p w14:paraId="0E2D9938" w14:textId="70390D45" w:rsidR="00287140" w:rsidRDefault="00287140">
      <w:pPr>
        <w:pStyle w:val="FootnoteText"/>
      </w:pPr>
      <w:r>
        <w:rPr>
          <w:rStyle w:val="FootnoteReference"/>
        </w:rPr>
        <w:footnoteRef/>
      </w:r>
      <w:r>
        <w:t xml:space="preserve"> DPC, </w:t>
      </w:r>
      <w:hyperlink r:id="rId34" w:history="1">
        <w:r w:rsidRPr="00D72F0B">
          <w:rPr>
            <w:rStyle w:val="Hyperlink"/>
            <w:i/>
          </w:rPr>
          <w:t>Report of the Inquiry into the Victorian On-Demand Workforce</w:t>
        </w:r>
      </w:hyperlink>
      <w:r>
        <w:t>, p</w:t>
      </w:r>
      <w:r w:rsidR="00932A24">
        <w:t xml:space="preserve">p </w:t>
      </w:r>
      <w:r>
        <w:t>185</w:t>
      </w:r>
      <w:r w:rsidR="00932A24">
        <w:t>-187.</w:t>
      </w:r>
    </w:p>
  </w:footnote>
  <w:footnote w:id="39">
    <w:p w14:paraId="22E429C6" w14:textId="57BEFC1D" w:rsidR="001D3406" w:rsidRPr="008C3077" w:rsidRDefault="001D3406">
      <w:pPr>
        <w:pStyle w:val="FootnoteText"/>
      </w:pPr>
      <w:r>
        <w:rPr>
          <w:rStyle w:val="FootnoteReference"/>
        </w:rPr>
        <w:footnoteRef/>
      </w:r>
      <w:r>
        <w:t xml:space="preserve"> Productivity Commission, </w:t>
      </w:r>
      <w:hyperlink r:id="rId35" w:history="1">
        <w:r w:rsidRPr="007644F7">
          <w:rPr>
            <w:rStyle w:val="Hyperlink"/>
            <w:i/>
            <w:iCs/>
          </w:rPr>
          <w:t>5-Year Productivity Inquiry report – Volume 7</w:t>
        </w:r>
      </w:hyperlink>
      <w:r>
        <w:rPr>
          <w:i/>
          <w:iCs/>
        </w:rPr>
        <w:t xml:space="preserve">, </w:t>
      </w:r>
      <w:r w:rsidR="008C3077">
        <w:t>p 162.</w:t>
      </w:r>
    </w:p>
  </w:footnote>
  <w:footnote w:id="40">
    <w:p w14:paraId="35B3F5F9" w14:textId="54DABBAD" w:rsidR="00C206AF" w:rsidRDefault="00C206AF">
      <w:pPr>
        <w:pStyle w:val="FootnoteText"/>
      </w:pPr>
      <w:r>
        <w:rPr>
          <w:rStyle w:val="FootnoteReference"/>
        </w:rPr>
        <w:footnoteRef/>
      </w:r>
      <w:r>
        <w:t xml:space="preserve"> Productivity Commission, </w:t>
      </w:r>
      <w:hyperlink r:id="rId36" w:history="1">
        <w:r w:rsidRPr="00841E48">
          <w:rPr>
            <w:rStyle w:val="Hyperlink"/>
            <w:i/>
            <w:iCs/>
          </w:rPr>
          <w:t>5-Year Productivity Inquiry report – Volume 7</w:t>
        </w:r>
      </w:hyperlink>
      <w:r>
        <w:rPr>
          <w:i/>
          <w:iCs/>
        </w:rPr>
        <w:t xml:space="preserve">, </w:t>
      </w:r>
      <w:r>
        <w:t>p 162.</w:t>
      </w:r>
    </w:p>
  </w:footnote>
  <w:footnote w:id="41">
    <w:p w14:paraId="26C5B6DA" w14:textId="665EBF33" w:rsidR="00931126" w:rsidRPr="00171C8C" w:rsidRDefault="00931126">
      <w:pPr>
        <w:pStyle w:val="FootnoteText"/>
      </w:pPr>
      <w:r>
        <w:rPr>
          <w:rStyle w:val="FootnoteReference"/>
        </w:rPr>
        <w:footnoteRef/>
      </w:r>
      <w:r>
        <w:t xml:space="preserve"> Parliament of Australia, </w:t>
      </w:r>
      <w:hyperlink r:id="rId37" w:history="1">
        <w:r w:rsidRPr="00D72F0B">
          <w:rPr>
            <w:rStyle w:val="Hyperlink"/>
            <w:i/>
            <w:iCs/>
          </w:rPr>
          <w:t>Senate Select Committee on Job Security - First interim report</w:t>
        </w:r>
      </w:hyperlink>
      <w:r>
        <w:rPr>
          <w:i/>
          <w:iCs/>
        </w:rPr>
        <w:t xml:space="preserve">, </w:t>
      </w:r>
      <w:r w:rsidR="00171C8C">
        <w:t>p 163.</w:t>
      </w:r>
    </w:p>
  </w:footnote>
  <w:footnote w:id="42">
    <w:p w14:paraId="0D1A7D68" w14:textId="76E411C9" w:rsidR="00AD6DBA" w:rsidRDefault="00AD6DBA">
      <w:pPr>
        <w:pStyle w:val="FootnoteText"/>
      </w:pPr>
      <w:r>
        <w:rPr>
          <w:rStyle w:val="FootnoteReference"/>
        </w:rPr>
        <w:footnoteRef/>
      </w:r>
      <w:r>
        <w:t xml:space="preserve"> Parliament of Australia, </w:t>
      </w:r>
      <w:hyperlink r:id="rId38" w:history="1">
        <w:r w:rsidRPr="004D404F">
          <w:rPr>
            <w:rStyle w:val="Hyperlink"/>
            <w:i/>
            <w:iCs/>
          </w:rPr>
          <w:t xml:space="preserve">Without </w:t>
        </w:r>
        <w:r w:rsidR="00AA6FD4" w:rsidRPr="004D404F">
          <w:rPr>
            <w:rStyle w:val="Hyperlink"/>
            <w:i/>
            <w:iCs/>
          </w:rPr>
          <w:t>T</w:t>
        </w:r>
        <w:r w:rsidRPr="004D404F">
          <w:rPr>
            <w:rStyle w:val="Hyperlink"/>
            <w:i/>
            <w:iCs/>
          </w:rPr>
          <w:t xml:space="preserve">rucks Australia </w:t>
        </w:r>
        <w:r w:rsidR="00AA6FD4" w:rsidRPr="004D404F">
          <w:rPr>
            <w:rStyle w:val="Hyperlink"/>
            <w:i/>
            <w:iCs/>
          </w:rPr>
          <w:t>S</w:t>
        </w:r>
        <w:r w:rsidRPr="004D404F">
          <w:rPr>
            <w:rStyle w:val="Hyperlink"/>
            <w:i/>
            <w:iCs/>
          </w:rPr>
          <w:t>tops</w:t>
        </w:r>
      </w:hyperlink>
      <w:r>
        <w:t>, p 179.</w:t>
      </w:r>
    </w:p>
  </w:footnote>
  <w:footnote w:id="43">
    <w:p w14:paraId="18FFA7E7" w14:textId="33D39A9B" w:rsidR="00712094" w:rsidRDefault="00712094">
      <w:pPr>
        <w:pStyle w:val="FootnoteText"/>
      </w:pPr>
      <w:r>
        <w:rPr>
          <w:rStyle w:val="FootnoteReference"/>
        </w:rPr>
        <w:footnoteRef/>
      </w:r>
      <w:r>
        <w:t xml:space="preserve"> </w:t>
      </w:r>
      <w:r w:rsidR="00265771">
        <w:t xml:space="preserve">Parliament of NSW, </w:t>
      </w:r>
      <w:hyperlink r:id="rId39" w:history="1">
        <w:r w:rsidR="00265771" w:rsidRPr="00020DC9">
          <w:rPr>
            <w:rStyle w:val="Hyperlink"/>
            <w:i/>
            <w:iCs/>
          </w:rPr>
          <w:t>First report – The gig economy</w:t>
        </w:r>
      </w:hyperlink>
      <w:r w:rsidR="00265771">
        <w:rPr>
          <w:i/>
          <w:iCs/>
        </w:rPr>
        <w:t xml:space="preserve">, </w:t>
      </w:r>
      <w:r w:rsidR="00265771">
        <w:rPr>
          <w:color w:val="auto"/>
        </w:rPr>
        <w:t>p 28.</w:t>
      </w:r>
    </w:p>
  </w:footnote>
  <w:footnote w:id="44">
    <w:p w14:paraId="4AC0C732" w14:textId="48D29A36" w:rsidR="00ED672D" w:rsidRDefault="00ED672D" w:rsidP="00ED672D">
      <w:pPr>
        <w:pStyle w:val="FootnoteText"/>
      </w:pPr>
      <w:r>
        <w:rPr>
          <w:rStyle w:val="FootnoteReference"/>
        </w:rPr>
        <w:footnoteRef/>
      </w:r>
      <w:r>
        <w:t xml:space="preserve"> Department of Employment and Workplace Relations (DEWR), </w:t>
      </w:r>
      <w:hyperlink r:id="rId40" w:history="1">
        <w:r w:rsidRPr="00E7081D">
          <w:rPr>
            <w:rStyle w:val="Hyperlink"/>
            <w:i/>
            <w:iCs/>
          </w:rPr>
          <w:t>Employee-like’ forms of work and stronger protections for independent contractors: Consultation paper</w:t>
        </w:r>
      </w:hyperlink>
      <w:r>
        <w:t xml:space="preserve">, DEWR, Australian Government, 2023.  </w:t>
      </w:r>
    </w:p>
  </w:footnote>
  <w:footnote w:id="45">
    <w:p w14:paraId="4D2907AC" w14:textId="1B1A01DD" w:rsidR="008B07E9" w:rsidRPr="000164B0" w:rsidRDefault="008B07E9" w:rsidP="008B07E9">
      <w:pPr>
        <w:pStyle w:val="FootnoteText"/>
        <w:rPr>
          <w:i/>
          <w:iCs/>
        </w:rPr>
      </w:pPr>
      <w:r>
        <w:rPr>
          <w:rStyle w:val="FootnoteReference"/>
        </w:rPr>
        <w:footnoteRef/>
      </w:r>
      <w:r>
        <w:t xml:space="preserve"> </w:t>
      </w:r>
      <w:r w:rsidRPr="000164B0">
        <w:rPr>
          <w:i/>
          <w:iCs/>
        </w:rPr>
        <w:t xml:space="preserve">ZG Operations </w:t>
      </w:r>
      <w:r w:rsidR="000C3D0B">
        <w:rPr>
          <w:i/>
          <w:iCs/>
        </w:rPr>
        <w:t>Australia Pty Ltd</w:t>
      </w:r>
      <w:r w:rsidRPr="000164B0">
        <w:rPr>
          <w:i/>
          <w:iCs/>
        </w:rPr>
        <w:t xml:space="preserve"> v Jamsek </w:t>
      </w:r>
      <w:r w:rsidRPr="00F9171A">
        <w:t>[2022] HCA 2</w:t>
      </w:r>
      <w:r w:rsidRPr="000164B0">
        <w:rPr>
          <w:i/>
          <w:iCs/>
        </w:rPr>
        <w:t xml:space="preserve">. </w:t>
      </w:r>
    </w:p>
  </w:footnote>
  <w:footnote w:id="46">
    <w:p w14:paraId="3A183238" w14:textId="4FC628D7" w:rsidR="008B07E9" w:rsidRPr="00FF6D43" w:rsidRDefault="008B07E9" w:rsidP="008B07E9">
      <w:pPr>
        <w:pStyle w:val="FootnoteText"/>
      </w:pPr>
      <w:r w:rsidRPr="00FF6D43">
        <w:rPr>
          <w:rStyle w:val="FootnoteReference"/>
        </w:rPr>
        <w:footnoteRef/>
      </w:r>
      <w:r w:rsidRPr="00FF6D43">
        <w:t xml:space="preserve"> </w:t>
      </w:r>
      <w:r w:rsidRPr="00FF6D43">
        <w:rPr>
          <w:rStyle w:val="normaltextrun"/>
          <w:rFonts w:ascii="Calibri" w:hAnsi="Calibri" w:cs="Calibri"/>
          <w:i/>
          <w:iCs/>
          <w:color w:val="000000"/>
          <w:bdr w:val="none" w:sz="0" w:space="0" w:color="auto" w:frame="1"/>
        </w:rPr>
        <w:t xml:space="preserve">Construction, Forestry, Maritime, Mining and Energy Union v Personnel Contracting Pty Ltd </w:t>
      </w:r>
      <w:r w:rsidRPr="00F9171A">
        <w:rPr>
          <w:rStyle w:val="normaltextrun"/>
          <w:rFonts w:ascii="Calibri" w:hAnsi="Calibri" w:cs="Calibri"/>
          <w:color w:val="000000"/>
          <w:bdr w:val="none" w:sz="0" w:space="0" w:color="auto" w:frame="1"/>
        </w:rPr>
        <w:t>[2022] HCA 1</w:t>
      </w:r>
      <w:r w:rsidRPr="00FF6D43">
        <w:rPr>
          <w:rStyle w:val="normaltextrun"/>
          <w:rFonts w:ascii="Calibri" w:hAnsi="Calibri" w:cs="Calibri"/>
          <w:i/>
          <w:iCs/>
          <w:color w:val="000000"/>
          <w:bdr w:val="none" w:sz="0" w:space="0" w:color="auto" w:frame="1"/>
        </w:rPr>
        <w:t xml:space="preserve">. </w:t>
      </w:r>
    </w:p>
  </w:footnote>
  <w:footnote w:id="47">
    <w:p w14:paraId="01115B71" w14:textId="748A4880" w:rsidR="6B473E83" w:rsidRPr="00F9171A" w:rsidRDefault="6B473E83" w:rsidP="00F9171A">
      <w:pPr>
        <w:spacing w:after="0" w:line="240" w:lineRule="auto"/>
        <w:rPr>
          <w:rStyle w:val="eop"/>
          <w:rFonts w:cs="Calibri"/>
          <w:sz w:val="20"/>
          <w:szCs w:val="20"/>
        </w:rPr>
      </w:pPr>
      <w:r w:rsidRPr="00F9171A">
        <w:rPr>
          <w:sz w:val="20"/>
          <w:szCs w:val="20"/>
          <w:vertAlign w:val="superscript"/>
        </w:rPr>
        <w:footnoteRef/>
      </w:r>
      <w:r w:rsidR="5272AA44" w:rsidRPr="00F9171A">
        <w:rPr>
          <w:sz w:val="20"/>
          <w:szCs w:val="20"/>
        </w:rPr>
        <w:t xml:space="preserve"> </w:t>
      </w:r>
      <w:r w:rsidR="006D72CD" w:rsidRPr="00F9171A">
        <w:rPr>
          <w:rFonts w:ascii="Calibri" w:eastAsia="Calibri" w:hAnsi="Calibri" w:cs="Calibri"/>
          <w:i/>
          <w:color w:val="000000" w:themeColor="text1"/>
          <w:sz w:val="20"/>
          <w:szCs w:val="20"/>
        </w:rPr>
        <w:t>Stevens v Brodribb Sawmilling Co Pty Ltd</w:t>
      </w:r>
      <w:r w:rsidR="006D72CD" w:rsidRPr="00F9171A">
        <w:rPr>
          <w:sz w:val="20"/>
          <w:szCs w:val="20"/>
        </w:rPr>
        <w:t xml:space="preserve"> [1986] </w:t>
      </w:r>
      <w:r w:rsidR="5272AA44" w:rsidRPr="00F9171A">
        <w:rPr>
          <w:rFonts w:ascii="Calibri" w:eastAsia="Calibri" w:hAnsi="Calibri" w:cs="Calibri"/>
          <w:color w:val="000000" w:themeColor="text1"/>
          <w:sz w:val="20"/>
          <w:szCs w:val="20"/>
        </w:rPr>
        <w:t>160 CLR 16</w:t>
      </w:r>
    </w:p>
  </w:footnote>
  <w:footnote w:id="48">
    <w:p w14:paraId="16D1D0ED" w14:textId="53017AA5" w:rsidR="00FF6D43" w:rsidRPr="009570FD" w:rsidRDefault="00FF6D43">
      <w:pPr>
        <w:pStyle w:val="FootnoteText"/>
        <w:rPr>
          <w:i/>
          <w:iCs/>
        </w:rPr>
      </w:pPr>
      <w:r>
        <w:rPr>
          <w:rStyle w:val="FootnoteReference"/>
        </w:rPr>
        <w:footnoteRef/>
      </w:r>
      <w:r>
        <w:t xml:space="preserve"> </w:t>
      </w:r>
      <w:r w:rsidRPr="009570FD">
        <w:rPr>
          <w:i/>
          <w:iCs/>
        </w:rPr>
        <w:t>Hollis v Vabu Pty Ltd</w:t>
      </w:r>
      <w:r w:rsidR="009570FD" w:rsidRPr="009570FD">
        <w:rPr>
          <w:i/>
          <w:iCs/>
        </w:rPr>
        <w:t xml:space="preserve"> </w:t>
      </w:r>
      <w:r w:rsidR="009570FD" w:rsidRPr="00F9171A">
        <w:t>[2001] HCA 44</w:t>
      </w:r>
      <w:r w:rsidR="009570FD" w:rsidRPr="009570FD">
        <w:rPr>
          <w:i/>
          <w:iCs/>
        </w:rPr>
        <w:t>.</w:t>
      </w:r>
    </w:p>
  </w:footnote>
  <w:footnote w:id="49">
    <w:p w14:paraId="0B00C2D8" w14:textId="5E790DFE" w:rsidR="00BB00A2" w:rsidRDefault="00BB00A2">
      <w:pPr>
        <w:pStyle w:val="FootnoteText"/>
      </w:pPr>
      <w:r>
        <w:rPr>
          <w:rStyle w:val="FootnoteReference"/>
        </w:rPr>
        <w:footnoteRef/>
      </w:r>
      <w:r>
        <w:t xml:space="preserve"> </w:t>
      </w:r>
      <w:hyperlink r:id="rId41" w:history="1">
        <w:r w:rsidR="00332A32" w:rsidRPr="00292B6B">
          <w:rPr>
            <w:rStyle w:val="Hyperlink"/>
          </w:rPr>
          <w:t>Explanatory Memorandu</w:t>
        </w:r>
        <w:r w:rsidR="006C5DEF" w:rsidRPr="00292B6B">
          <w:rPr>
            <w:rStyle w:val="Hyperlink"/>
          </w:rPr>
          <w:t>m, Independent Contractors Bill 2006</w:t>
        </w:r>
      </w:hyperlink>
      <w:r w:rsidR="00325617">
        <w:t>, p 1</w:t>
      </w:r>
      <w:r w:rsidR="00CD224A">
        <w:t xml:space="preserve">. </w:t>
      </w:r>
    </w:p>
  </w:footnote>
  <w:footnote w:id="50">
    <w:p w14:paraId="71EC3190" w14:textId="330BBDC0" w:rsidR="00B76C2C" w:rsidRPr="00D41098" w:rsidRDefault="00B76C2C" w:rsidP="00B76C2C">
      <w:pPr>
        <w:pStyle w:val="FootnoteText"/>
      </w:pPr>
      <w:r>
        <w:rPr>
          <w:rStyle w:val="FootnoteReference"/>
        </w:rPr>
        <w:footnoteRef/>
      </w:r>
      <w:r>
        <w:t xml:space="preserve"> </w:t>
      </w:r>
      <w:r w:rsidR="00C824F9">
        <w:t>Productivity Commission</w:t>
      </w:r>
      <w:hyperlink r:id="rId42" w:history="1">
        <w:r w:rsidR="00C824F9" w:rsidRPr="007644F7">
          <w:rPr>
            <w:rStyle w:val="Hyperlink"/>
          </w:rPr>
          <w:t xml:space="preserve">, </w:t>
        </w:r>
        <w:r w:rsidR="00C824F9" w:rsidRPr="00F9171A">
          <w:rPr>
            <w:rStyle w:val="Hyperlink"/>
            <w:i/>
          </w:rPr>
          <w:t>5-Year Productivity Inquiry – Volume 7</w:t>
        </w:r>
      </w:hyperlink>
      <w:r w:rsidRPr="00D41098">
        <w:rPr>
          <w:i/>
          <w:iCs/>
        </w:rPr>
        <w:t>,</w:t>
      </w:r>
      <w:r w:rsidDel="006211C8">
        <w:t xml:space="preserve"> </w:t>
      </w:r>
      <w:r>
        <w:t xml:space="preserve">p 160. </w:t>
      </w:r>
    </w:p>
  </w:footnote>
  <w:footnote w:id="51">
    <w:p w14:paraId="365B4F0A" w14:textId="78535B7F" w:rsidR="00DE7325" w:rsidRDefault="00DE7325">
      <w:pPr>
        <w:pStyle w:val="FootnoteText"/>
      </w:pPr>
      <w:r>
        <w:rPr>
          <w:rStyle w:val="FootnoteReference"/>
        </w:rPr>
        <w:footnoteRef/>
      </w:r>
      <w:r>
        <w:t xml:space="preserve"> </w:t>
      </w:r>
      <w:r w:rsidR="00C824F9">
        <w:t>Productivity Commission</w:t>
      </w:r>
      <w:hyperlink r:id="rId43" w:history="1">
        <w:r w:rsidR="00C824F9" w:rsidRPr="007644F7">
          <w:rPr>
            <w:rStyle w:val="Hyperlink"/>
          </w:rPr>
          <w:t xml:space="preserve">, </w:t>
        </w:r>
        <w:r w:rsidR="00C824F9" w:rsidRPr="00F9171A">
          <w:rPr>
            <w:rStyle w:val="Hyperlink"/>
            <w:i/>
          </w:rPr>
          <w:t>5-Year Productivity Inquiry – Volume 7</w:t>
        </w:r>
      </w:hyperlink>
      <w:r w:rsidRPr="00D41098">
        <w:rPr>
          <w:i/>
          <w:iCs/>
        </w:rPr>
        <w:t>,</w:t>
      </w:r>
      <w:r w:rsidDel="006211C8">
        <w:t xml:space="preserve"> </w:t>
      </w:r>
      <w:r>
        <w:t>p 160.</w:t>
      </w:r>
    </w:p>
  </w:footnote>
  <w:footnote w:id="52">
    <w:p w14:paraId="30DAC3E1" w14:textId="57EBEC90" w:rsidR="005D56F6" w:rsidRDefault="005D56F6" w:rsidP="005D56F6">
      <w:pPr>
        <w:pStyle w:val="FootnoteText"/>
      </w:pPr>
      <w:r>
        <w:rPr>
          <w:rStyle w:val="FootnoteReference"/>
        </w:rPr>
        <w:footnoteRef/>
      </w:r>
      <w:r>
        <w:t xml:space="preserve"> </w:t>
      </w:r>
      <w:r w:rsidRPr="00F9171A">
        <w:t>National Heavy Vehicle Regulator</w:t>
      </w:r>
      <w:r w:rsidR="00AB088E" w:rsidRPr="00F9171A">
        <w:t xml:space="preserve"> (NHVR)</w:t>
      </w:r>
      <w:r w:rsidRPr="00F9171A">
        <w:t xml:space="preserve">, </w:t>
      </w:r>
      <w:hyperlink r:id="rId44" w:history="1">
        <w:r w:rsidRPr="008B793A">
          <w:rPr>
            <w:rStyle w:val="Hyperlink"/>
            <w:i/>
          </w:rPr>
          <w:t>Heavy Vehicle National Law and Regulations</w:t>
        </w:r>
      </w:hyperlink>
      <w:r w:rsidRPr="00F9171A">
        <w:t xml:space="preserve">, </w:t>
      </w:r>
      <w:r w:rsidR="00677DAC" w:rsidRPr="00F9171A">
        <w:t>NHVR website</w:t>
      </w:r>
      <w:r w:rsidRPr="00F9171A">
        <w:t>,</w:t>
      </w:r>
      <w:r w:rsidR="00677DAC" w:rsidRPr="00F9171A">
        <w:t xml:space="preserve"> n.d., accessed 16 June 2023.</w:t>
      </w:r>
    </w:p>
  </w:footnote>
  <w:footnote w:id="53">
    <w:p w14:paraId="539965BB" w14:textId="0B18443F" w:rsidR="005D56F6" w:rsidRPr="00FA0A4B" w:rsidRDefault="005D56F6" w:rsidP="005D56F6">
      <w:pPr>
        <w:pStyle w:val="FootnoteText"/>
      </w:pPr>
      <w:r>
        <w:rPr>
          <w:rStyle w:val="FootnoteReference"/>
        </w:rPr>
        <w:footnoteRef/>
      </w:r>
      <w:r>
        <w:t xml:space="preserve"> </w:t>
      </w:r>
      <w:r>
        <w:rPr>
          <w:i/>
          <w:iCs/>
        </w:rPr>
        <w:t xml:space="preserve">Heavy Vehicle National Law Act 2012 </w:t>
      </w:r>
      <w:r w:rsidRPr="00F9171A">
        <w:t>(Q</w:t>
      </w:r>
      <w:r w:rsidR="00805C80">
        <w:t>ld</w:t>
      </w:r>
      <w:r w:rsidRPr="00F9171A">
        <w:t xml:space="preserve">), </w:t>
      </w:r>
      <w:r>
        <w:t xml:space="preserve">s 3. </w:t>
      </w:r>
    </w:p>
  </w:footnote>
  <w:footnote w:id="54">
    <w:p w14:paraId="088FDD5B" w14:textId="63C0BD64" w:rsidR="00BD0D38" w:rsidRDefault="00BD0D38" w:rsidP="00BD0D38">
      <w:pPr>
        <w:pStyle w:val="FootnoteText"/>
      </w:pPr>
      <w:r>
        <w:rPr>
          <w:rStyle w:val="FootnoteReference"/>
        </w:rPr>
        <w:footnoteRef/>
      </w:r>
      <w:r>
        <w:t xml:space="preserve"> </w:t>
      </w:r>
      <w:r w:rsidR="002814B5">
        <w:t>Department of Premier and Cabinet (DPC)</w:t>
      </w:r>
      <w:r>
        <w:t xml:space="preserve">, </w:t>
      </w:r>
      <w:r w:rsidR="00C568A8">
        <w:rPr>
          <w:i/>
          <w:iCs/>
        </w:rPr>
        <w:t>Transport Industry Council</w:t>
      </w:r>
      <w:r w:rsidR="008F5383">
        <w:rPr>
          <w:i/>
          <w:iCs/>
        </w:rPr>
        <w:t>,</w:t>
      </w:r>
      <w:r w:rsidR="00C568A8">
        <w:rPr>
          <w:i/>
          <w:iCs/>
        </w:rPr>
        <w:t xml:space="preserve"> </w:t>
      </w:r>
      <w:hyperlink r:id="rId45" w:history="1">
        <w:r w:rsidRPr="008B793A">
          <w:rPr>
            <w:rStyle w:val="Hyperlink"/>
            <w:i/>
          </w:rPr>
          <w:t>Rates and costs schedule 2022-23: 1 Tonne Van, Courier/Messenger: Road Transport and Distribution Award 2020 Category 2</w:t>
        </w:r>
      </w:hyperlink>
      <w:r>
        <w:t xml:space="preserve">, </w:t>
      </w:r>
      <w:r w:rsidR="002814B5">
        <w:t>Industrial Relations Victoria</w:t>
      </w:r>
      <w:r w:rsidR="00BF02FF">
        <w:t xml:space="preserve">, DPC, </w:t>
      </w:r>
      <w:r w:rsidR="00A40EB9">
        <w:t>2022.</w:t>
      </w:r>
    </w:p>
  </w:footnote>
  <w:footnote w:id="55">
    <w:p w14:paraId="17BB9EE0" w14:textId="04696F3B" w:rsidR="00AA29A9" w:rsidRDefault="00AA29A9" w:rsidP="00AA29A9">
      <w:pPr>
        <w:pStyle w:val="FootnoteText"/>
      </w:pPr>
      <w:r>
        <w:rPr>
          <w:rStyle w:val="FootnoteReference"/>
        </w:rPr>
        <w:footnoteRef/>
      </w:r>
      <w:r>
        <w:t xml:space="preserve"> </w:t>
      </w:r>
      <w:r w:rsidR="008C093C">
        <w:t>Department of Premier and Cabinet (DPC)</w:t>
      </w:r>
      <w:r>
        <w:t xml:space="preserve">, </w:t>
      </w:r>
      <w:hyperlink r:id="rId46" w:history="1">
        <w:r w:rsidRPr="008B793A">
          <w:rPr>
            <w:rStyle w:val="Hyperlink"/>
            <w:i/>
          </w:rPr>
          <w:t>Voluntary Fair Conduct and Accountability Standards for Platforms</w:t>
        </w:r>
      </w:hyperlink>
      <w:r>
        <w:t>, Industrial Relations Victoria, D</w:t>
      </w:r>
      <w:r w:rsidR="005227DD">
        <w:t>PC</w:t>
      </w:r>
      <w:r>
        <w:t xml:space="preserve">, </w:t>
      </w:r>
      <w:r w:rsidR="007B0872">
        <w:t xml:space="preserve">Victorian Government, </w:t>
      </w:r>
      <w:r>
        <w:t>2022</w:t>
      </w:r>
      <w:r w:rsidDel="00DC0E45">
        <w:t>.</w:t>
      </w:r>
    </w:p>
  </w:footnote>
  <w:footnote w:id="56">
    <w:p w14:paraId="13CAA5FC" w14:textId="4C562556" w:rsidR="00AA29A9" w:rsidRDefault="00AA29A9" w:rsidP="00AA29A9">
      <w:pPr>
        <w:pStyle w:val="FootnoteText"/>
      </w:pPr>
      <w:r>
        <w:rPr>
          <w:rStyle w:val="FootnoteReference"/>
        </w:rPr>
        <w:footnoteRef/>
      </w:r>
      <w:r>
        <w:t xml:space="preserve"> </w:t>
      </w:r>
      <w:r w:rsidR="002743CE">
        <w:rPr>
          <w:rFonts w:eastAsia="Times New Roman"/>
        </w:rPr>
        <w:t xml:space="preserve">Department of Premier </w:t>
      </w:r>
      <w:r w:rsidR="000938AC">
        <w:rPr>
          <w:rFonts w:eastAsia="Times New Roman"/>
        </w:rPr>
        <w:t>(DPC)</w:t>
      </w:r>
      <w:r>
        <w:rPr>
          <w:rFonts w:eastAsia="Times New Roman"/>
        </w:rPr>
        <w:t xml:space="preserve">, </w:t>
      </w:r>
      <w:hyperlink r:id="rId47" w:history="1">
        <w:r w:rsidRPr="008B793A">
          <w:rPr>
            <w:rStyle w:val="Hyperlink"/>
            <w:i/>
          </w:rPr>
          <w:t>Roadmap to introducing Victorian Standards for the Gig Workforce and Gig Worker Support Service</w:t>
        </w:r>
      </w:hyperlink>
      <w:r>
        <w:rPr>
          <w:rFonts w:eastAsia="Times New Roman"/>
        </w:rPr>
        <w:t xml:space="preserve">, </w:t>
      </w:r>
      <w:r>
        <w:t xml:space="preserve">Industrial Relations Victoria, </w:t>
      </w:r>
      <w:r w:rsidR="00590DF0">
        <w:t>DPC, Victorian Government</w:t>
      </w:r>
      <w:r>
        <w:t>, 2022</w:t>
      </w:r>
      <w:r w:rsidDel="00375F14">
        <w:t>.</w:t>
      </w:r>
    </w:p>
  </w:footnote>
  <w:footnote w:id="57">
    <w:p w14:paraId="604E7E46" w14:textId="26A0B1DC" w:rsidR="00AA29A9" w:rsidRDefault="00AA29A9" w:rsidP="00AA29A9">
      <w:pPr>
        <w:pStyle w:val="FootnoteText"/>
      </w:pPr>
      <w:r>
        <w:rPr>
          <w:rStyle w:val="FootnoteReference"/>
        </w:rPr>
        <w:footnoteRef/>
      </w:r>
      <w:r>
        <w:t xml:space="preserve"> </w:t>
      </w:r>
      <w:r w:rsidR="004D752F">
        <w:t>Parliament</w:t>
      </w:r>
      <w:r w:rsidR="005350ED">
        <w:t xml:space="preserve"> of </w:t>
      </w:r>
      <w:r>
        <w:t xml:space="preserve">New South Wales </w:t>
      </w:r>
      <w:r w:rsidR="00F51B17">
        <w:t>(NSW)</w:t>
      </w:r>
      <w:r>
        <w:t xml:space="preserve">, </w:t>
      </w:r>
      <w:hyperlink r:id="rId48" w:history="1">
        <w:r w:rsidRPr="008B793A">
          <w:rPr>
            <w:rStyle w:val="Hyperlink"/>
            <w:i/>
          </w:rPr>
          <w:t>2023 ALP election policy costings – Modernise laws to respond to the gig economy</w:t>
        </w:r>
      </w:hyperlink>
      <w:r>
        <w:t xml:space="preserve">, </w:t>
      </w:r>
      <w:r w:rsidR="00F51B17">
        <w:t xml:space="preserve">Parliamentary Budget Office, NSW Parliament, </w:t>
      </w:r>
      <w:r>
        <w:t>2023</w:t>
      </w:r>
      <w:r w:rsidDel="00D41DFA">
        <w:t>.</w:t>
      </w:r>
      <w:r>
        <w:t xml:space="preserve"> </w:t>
      </w:r>
    </w:p>
  </w:footnote>
  <w:footnote w:id="58">
    <w:p w14:paraId="4FC398DE" w14:textId="61F4316F" w:rsidR="004326A8" w:rsidRDefault="004326A8" w:rsidP="004326A8">
      <w:pPr>
        <w:pStyle w:val="FootnoteText"/>
      </w:pPr>
      <w:r>
        <w:rPr>
          <w:rStyle w:val="FootnoteReference"/>
        </w:rPr>
        <w:footnoteRef/>
      </w:r>
      <w:r w:rsidR="5F8F5829">
        <w:t xml:space="preserve"> Australian Bureau of Statistics</w:t>
      </w:r>
      <w:r w:rsidR="634E5618">
        <w:t xml:space="preserve"> (2021),</w:t>
      </w:r>
      <w:r w:rsidR="0B6CF1D6">
        <w:t xml:space="preserve"> </w:t>
      </w:r>
      <w:hyperlink r:id="rId49" w:history="1">
        <w:r w:rsidR="0B6CF1D6" w:rsidRPr="634E5618">
          <w:rPr>
            <w:rStyle w:val="Hyperlink"/>
            <w:i/>
          </w:rPr>
          <w:t xml:space="preserve">Employment arrangements – Labour Statistics: Concepts, Sources and </w:t>
        </w:r>
        <w:r w:rsidR="634E5618" w:rsidRPr="634E5618">
          <w:rPr>
            <w:rStyle w:val="Hyperlink"/>
            <w:i/>
            <w:iCs/>
          </w:rPr>
          <w:t>Methods</w:t>
        </w:r>
      </w:hyperlink>
      <w:r w:rsidR="68C8D88A" w:rsidRPr="68C8D88A">
        <w:rPr>
          <w:i/>
          <w:iCs/>
        </w:rPr>
        <w:t xml:space="preserve"> </w:t>
      </w:r>
      <w:r w:rsidR="68C8D88A" w:rsidRPr="68C8D88A">
        <w:t xml:space="preserve">ABS Website, accessed 29 May 2023. </w:t>
      </w:r>
    </w:p>
  </w:footnote>
  <w:footnote w:id="59">
    <w:p w14:paraId="1DCC6267" w14:textId="640CAFA3" w:rsidR="004326A8" w:rsidRPr="00AD1A1E" w:rsidRDefault="004326A8" w:rsidP="004326A8">
      <w:pPr>
        <w:pStyle w:val="FootnoteText"/>
        <w:rPr>
          <w:i/>
          <w:iCs/>
        </w:rPr>
      </w:pPr>
      <w:r>
        <w:rPr>
          <w:rStyle w:val="FootnoteReference"/>
        </w:rPr>
        <w:footnoteRef/>
      </w:r>
      <w:r w:rsidR="06BFF270">
        <w:t xml:space="preserve"> Australian Bureau of Statistics</w:t>
      </w:r>
      <w:r w:rsidR="008E52FE">
        <w:t>,</w:t>
      </w:r>
      <w:r w:rsidR="06BFF270">
        <w:t xml:space="preserve"> </w:t>
      </w:r>
      <w:hyperlink r:id="rId50" w:history="1">
        <w:r w:rsidR="06BFF270" w:rsidRPr="06BFF270">
          <w:rPr>
            <w:rStyle w:val="Hyperlink"/>
          </w:rPr>
          <w:t>Characteristics of Employment, Australia, August 2022</w:t>
        </w:r>
      </w:hyperlink>
    </w:p>
  </w:footnote>
  <w:footnote w:id="60">
    <w:p w14:paraId="44E7D685" w14:textId="678974A6" w:rsidR="004326A8" w:rsidRDefault="004326A8" w:rsidP="004326A8">
      <w:pPr>
        <w:pStyle w:val="FootnoteText"/>
      </w:pPr>
      <w:r>
        <w:rPr>
          <w:rStyle w:val="FootnoteReference"/>
        </w:rPr>
        <w:footnoteRef/>
      </w:r>
      <w:r>
        <w:t xml:space="preserve"> </w:t>
      </w:r>
      <w:r w:rsidR="002939B8">
        <w:t>P McDonald et al., ‘</w:t>
      </w:r>
      <w:hyperlink r:id="rId51" w:history="1">
        <w:r w:rsidR="002939B8" w:rsidRPr="00AD257A">
          <w:rPr>
            <w:rStyle w:val="Hyperlink"/>
          </w:rPr>
          <w:t>Digital Platform Work in Australia: Prevalence, Nature and Impact</w:t>
        </w:r>
      </w:hyperlink>
      <w:r w:rsidR="002939B8">
        <w:t xml:space="preserve"> (Digital platform work in Australia)’, commissioned by the Victorian Department of Premier and Cabinet, 2019</w:t>
      </w:r>
      <w:r>
        <w:t>, p. 5.</w:t>
      </w:r>
    </w:p>
  </w:footnote>
  <w:footnote w:id="61">
    <w:p w14:paraId="0D1D82A3" w14:textId="228F59CE" w:rsidR="004326A8" w:rsidRDefault="004326A8" w:rsidP="004326A8">
      <w:pPr>
        <w:pStyle w:val="FootnoteText"/>
      </w:pPr>
      <w:r>
        <w:rPr>
          <w:rStyle w:val="FootnoteReference"/>
        </w:rPr>
        <w:footnoteRef/>
      </w:r>
      <w:r w:rsidR="543DFE65">
        <w:t xml:space="preserve"> </w:t>
      </w:r>
      <w:r w:rsidR="00F30A21">
        <w:t>P McDonald et al., ‘</w:t>
      </w:r>
      <w:hyperlink r:id="rId52" w:history="1">
        <w:r w:rsidR="00F30A21" w:rsidRPr="00AD257A">
          <w:rPr>
            <w:rStyle w:val="Hyperlink"/>
          </w:rPr>
          <w:t>Digital Platform Work in Australia: Prevalence, Nature and Impact</w:t>
        </w:r>
      </w:hyperlink>
      <w:r w:rsidDel="00F30A21">
        <w:t xml:space="preserve"> (Digital platform work in Australia)’, commissioned by the Victorian Department of Premier and Cabinet,</w:t>
      </w:r>
      <w:r>
        <w:t xml:space="preserve"> 2019.</w:t>
      </w:r>
    </w:p>
  </w:footnote>
  <w:footnote w:id="62">
    <w:p w14:paraId="40296448" w14:textId="07F79263" w:rsidR="004326A8" w:rsidRDefault="004326A8" w:rsidP="004326A8">
      <w:pPr>
        <w:pStyle w:val="FootnoteText"/>
      </w:pPr>
      <w:r>
        <w:rPr>
          <w:rStyle w:val="FootnoteReference"/>
        </w:rPr>
        <w:footnoteRef/>
      </w:r>
      <w:r>
        <w:t xml:space="preserve"> T</w:t>
      </w:r>
      <w:r w:rsidR="543DFE65">
        <w:t xml:space="preserve"> </w:t>
      </w:r>
      <w:r w:rsidR="1B27B8DB">
        <w:t>Samardzija et</w:t>
      </w:r>
      <w:r>
        <w:t xml:space="preserve"> al., ‘</w:t>
      </w:r>
      <w:hyperlink r:id="rId53" w:history="1">
        <w:r w:rsidRPr="00E77201">
          <w:rPr>
            <w:rStyle w:val="Hyperlink"/>
          </w:rPr>
          <w:t>Extending the super guarantee to gig workers</w:t>
        </w:r>
      </w:hyperlink>
      <w:r>
        <w:t>’, Industry Super Australia, 2023.</w:t>
      </w:r>
    </w:p>
  </w:footnote>
  <w:footnote w:id="63">
    <w:p w14:paraId="0EF8F96C" w14:textId="500A8607" w:rsidR="004326A8" w:rsidRDefault="004326A8" w:rsidP="004326A8">
      <w:pPr>
        <w:pStyle w:val="FootnoteText"/>
      </w:pPr>
      <w:r>
        <w:rPr>
          <w:rStyle w:val="FootnoteReference"/>
        </w:rPr>
        <w:footnoteRef/>
      </w:r>
      <w:r w:rsidR="1B27B8DB">
        <w:t xml:space="preserve"> </w:t>
      </w:r>
      <w:r w:rsidR="001705A6" w:rsidRPr="34151D83">
        <w:rPr>
          <w:rStyle w:val="normaltextrun"/>
          <w:rFonts w:cs="Arial"/>
          <w:color w:val="000000" w:themeColor="text1"/>
        </w:rPr>
        <w:t>Actuaries Institute, ’</w:t>
      </w:r>
      <w:hyperlink r:id="rId54" w:history="1">
        <w:r w:rsidR="001705A6" w:rsidRPr="00B85800">
          <w:rPr>
            <w:rStyle w:val="Hyperlink"/>
            <w:rFonts w:cs="Arial"/>
          </w:rPr>
          <w:t>The rise of the gig economy and its impact on the Australian workforce</w:t>
        </w:r>
      </w:hyperlink>
      <w:r w:rsidR="001705A6" w:rsidRPr="34151D83">
        <w:rPr>
          <w:rStyle w:val="normaltextrun"/>
          <w:rFonts w:cs="Arial"/>
          <w:color w:val="000000" w:themeColor="text1"/>
        </w:rPr>
        <w:t>’, Green paper</w:t>
      </w:r>
      <w:r>
        <w:t>,</w:t>
      </w:r>
      <w:r w:rsidR="00767FD4">
        <w:t xml:space="preserve"> December</w:t>
      </w:r>
      <w:r>
        <w:t xml:space="preserve"> 2020, p. 5.</w:t>
      </w:r>
    </w:p>
  </w:footnote>
  <w:footnote w:id="64">
    <w:p w14:paraId="008560DB" w14:textId="609C58D8" w:rsidR="004326A8" w:rsidRDefault="004326A8" w:rsidP="004326A8">
      <w:pPr>
        <w:pStyle w:val="FootnoteText"/>
      </w:pPr>
      <w:r>
        <w:rPr>
          <w:rStyle w:val="FootnoteReference"/>
        </w:rPr>
        <w:footnoteRef/>
      </w:r>
      <w:r>
        <w:t xml:space="preserve"> A</w:t>
      </w:r>
      <w:r w:rsidR="1B27B8DB">
        <w:t xml:space="preserve"> Craston,</w:t>
      </w:r>
      <w:r>
        <w:t xml:space="preserve"> ‘</w:t>
      </w:r>
      <w:hyperlink r:id="rId55" w:history="1">
        <w:r w:rsidRPr="00C60BF4">
          <w:rPr>
            <w:rStyle w:val="Hyperlink"/>
          </w:rPr>
          <w:t>Superannuation and the Changing Nature of Work: Discussion Paper</w:t>
        </w:r>
      </w:hyperlink>
      <w:r>
        <w:t>’, The Association of Superannuation Funds of Australia, 2017, p. 4.</w:t>
      </w:r>
    </w:p>
  </w:footnote>
  <w:footnote w:id="65">
    <w:p w14:paraId="17E16304" w14:textId="77777777" w:rsidR="004326A8" w:rsidRDefault="004326A8" w:rsidP="004326A8">
      <w:pPr>
        <w:pStyle w:val="FootnoteText"/>
      </w:pPr>
      <w:r>
        <w:rPr>
          <w:rStyle w:val="FootnoteReference"/>
        </w:rPr>
        <w:footnoteRef/>
      </w:r>
      <w:r>
        <w:t xml:space="preserve"> Uber, 'Elevating the voices of 150,000 Australian gig workers’, March 2023, </w:t>
      </w:r>
      <w:hyperlink r:id="rId56" w:history="1">
        <w:r w:rsidRPr="00DA6515">
          <w:rPr>
            <w:rStyle w:val="Hyperlink"/>
          </w:rPr>
          <w:t>https://www.uber.com/en-AU/newsroom/flexibility-works/</w:t>
        </w:r>
      </w:hyperlink>
      <w:r>
        <w:t xml:space="preserve">, [accessed 7 June 2023]. </w:t>
      </w:r>
    </w:p>
  </w:footnote>
  <w:footnote w:id="66">
    <w:p w14:paraId="3CA03F6F" w14:textId="77777777" w:rsidR="004326A8" w:rsidRDefault="004326A8" w:rsidP="004326A8">
      <w:pPr>
        <w:pStyle w:val="FootnoteText"/>
      </w:pPr>
      <w:r>
        <w:rPr>
          <w:rStyle w:val="FootnoteReference"/>
        </w:rPr>
        <w:footnoteRef/>
      </w:r>
      <w:r>
        <w:t xml:space="preserve"> Airtasker, ‘Annual Report FY22’, Airtasker Limited, 2022.</w:t>
      </w:r>
    </w:p>
  </w:footnote>
  <w:footnote w:id="67">
    <w:p w14:paraId="6AAE6664" w14:textId="58D13BB1" w:rsidR="004326A8" w:rsidRDefault="004326A8" w:rsidP="004326A8">
      <w:pPr>
        <w:pStyle w:val="FootnoteText"/>
      </w:pPr>
      <w:r>
        <w:rPr>
          <w:rStyle w:val="FootnoteReference"/>
        </w:rPr>
        <w:footnoteRef/>
      </w:r>
      <w:r w:rsidR="1B27B8DB">
        <w:t xml:space="preserve"> R</w:t>
      </w:r>
      <w:r>
        <w:t xml:space="preserve"> Wilkins et al., ‘</w:t>
      </w:r>
      <w:hyperlink r:id="rId57" w:history="1">
        <w:r w:rsidRPr="0030150E">
          <w:rPr>
            <w:rStyle w:val="Hyperlink"/>
          </w:rPr>
          <w:t>The Household, Income and Labour Dynamics in Australia Survey: Selected Findings from Waves 1 to 20’</w:t>
        </w:r>
      </w:hyperlink>
      <w:r>
        <w:t>, Melbourne Institute: Applied Economic &amp; Social Research, University of Melbourne, 2022, p. 89.</w:t>
      </w:r>
    </w:p>
  </w:footnote>
  <w:footnote w:id="68">
    <w:p w14:paraId="3F9B036A" w14:textId="0A31A13D" w:rsidR="004326A8" w:rsidRDefault="004326A8" w:rsidP="004326A8">
      <w:pPr>
        <w:pStyle w:val="FootnoteText"/>
      </w:pPr>
      <w:r>
        <w:rPr>
          <w:rStyle w:val="FootnoteReference"/>
        </w:rPr>
        <w:footnoteRef/>
      </w:r>
      <w:r w:rsidR="5F07FF00">
        <w:t xml:space="preserve"> </w:t>
      </w:r>
      <w:r w:rsidR="00F30A21">
        <w:t>P McDonald et al., ‘</w:t>
      </w:r>
      <w:hyperlink r:id="rId58" w:history="1">
        <w:r w:rsidR="00F30A21" w:rsidRPr="00AD257A">
          <w:rPr>
            <w:rStyle w:val="Hyperlink"/>
          </w:rPr>
          <w:t>Digital Platform Work in Australia: Prevalence, Nature and Impact</w:t>
        </w:r>
      </w:hyperlink>
      <w:r w:rsidR="00F30A21">
        <w:t xml:space="preserve"> (Digital platform work in Australia)’, commissioned by the Victorian Department of Premier and Cabinet, 2019</w:t>
      </w:r>
      <w:r>
        <w:t>, p. 3.</w:t>
      </w:r>
    </w:p>
  </w:footnote>
  <w:footnote w:id="69">
    <w:p w14:paraId="54ACEE0B" w14:textId="77777777" w:rsidR="004326A8" w:rsidRDefault="004326A8" w:rsidP="004326A8">
      <w:pPr>
        <w:pStyle w:val="FootnoteText"/>
      </w:pPr>
      <w:r>
        <w:rPr>
          <w:rStyle w:val="FootnoteReference"/>
        </w:rPr>
        <w:footnoteRef/>
      </w:r>
      <w:r>
        <w:t xml:space="preserve"> Parliament of New South Wales (NSW), </w:t>
      </w:r>
      <w:hyperlink r:id="rId59" w:anchor="tab-reportsandgovernmentresponses" w:history="1">
        <w:r w:rsidRPr="005A3C23">
          <w:rPr>
            <w:rStyle w:val="Hyperlink"/>
            <w:i/>
            <w:iCs/>
          </w:rPr>
          <w:t>Select Committee on the impact of technological and other change on the future of work and workers in New South Wales</w:t>
        </w:r>
      </w:hyperlink>
      <w:r>
        <w:rPr>
          <w:color w:val="auto"/>
        </w:rPr>
        <w:t>,</w:t>
      </w:r>
      <w:r w:rsidRPr="005D1A1C">
        <w:rPr>
          <w:color w:val="auto"/>
        </w:rPr>
        <w:t xml:space="preserve"> </w:t>
      </w:r>
      <w:r>
        <w:rPr>
          <w:color w:val="auto"/>
        </w:rPr>
        <w:t>Parliament of NSW, Government of NSW, 2022, accessed 22 June 2023, p. 6.</w:t>
      </w:r>
    </w:p>
  </w:footnote>
  <w:footnote w:id="70">
    <w:p w14:paraId="5FD0EC8A" w14:textId="2D14781B" w:rsidR="00227CB9" w:rsidRDefault="00227CB9">
      <w:pPr>
        <w:pStyle w:val="FootnoteText"/>
      </w:pPr>
      <w:r>
        <w:rPr>
          <w:rStyle w:val="FootnoteReference"/>
        </w:rPr>
        <w:footnoteRef/>
      </w:r>
      <w:r>
        <w:t xml:space="preserve"> </w:t>
      </w:r>
      <w:r w:rsidR="00A97F05">
        <w:t xml:space="preserve">Uber, ‘Flexibility works’, </w:t>
      </w:r>
      <w:hyperlink r:id="rId60" w:history="1">
        <w:r w:rsidR="00222EFB" w:rsidRPr="006A3475">
          <w:rPr>
            <w:rStyle w:val="Hyperlink"/>
          </w:rPr>
          <w:t>https://www.uber.com/au/en/u/gig-reform/</w:t>
        </w:r>
      </w:hyperlink>
      <w:r w:rsidR="00222EFB">
        <w:t xml:space="preserve">, accessed 28 June 2023. </w:t>
      </w:r>
    </w:p>
  </w:footnote>
  <w:footnote w:id="71">
    <w:p w14:paraId="4B49C2E6" w14:textId="77777777" w:rsidR="0018085D" w:rsidRDefault="0018085D" w:rsidP="0018085D">
      <w:pPr>
        <w:pStyle w:val="FootnoteText"/>
      </w:pPr>
      <w:r>
        <w:rPr>
          <w:rStyle w:val="FootnoteReference"/>
        </w:rPr>
        <w:footnoteRef/>
      </w:r>
      <w:r>
        <w:t xml:space="preserve"> P McDonald et al., ‘</w:t>
      </w:r>
      <w:hyperlink r:id="rId61" w:history="1">
        <w:r w:rsidRPr="00AD257A">
          <w:rPr>
            <w:rStyle w:val="Hyperlink"/>
          </w:rPr>
          <w:t>Digital Platform Work in Australia: Prevalence, Nature and Impact</w:t>
        </w:r>
      </w:hyperlink>
      <w:r w:rsidDel="0052393F">
        <w:t xml:space="preserve"> (Digital platform work in Australia)’, commissioned by the Victorian Department of Premier and Cabinet, 2019</w:t>
      </w:r>
      <w:r>
        <w:t>, p. 40.</w:t>
      </w:r>
    </w:p>
  </w:footnote>
  <w:footnote w:id="72">
    <w:p w14:paraId="3D4FD4B1" w14:textId="5D91DF44" w:rsidR="00F23F29" w:rsidRDefault="00F23F29">
      <w:pPr>
        <w:pStyle w:val="FootnoteText"/>
      </w:pPr>
      <w:r>
        <w:rPr>
          <w:rStyle w:val="FootnoteReference"/>
        </w:rPr>
        <w:footnoteRef/>
      </w:r>
      <w:r>
        <w:t xml:space="preserve"> While not including</w:t>
      </w:r>
      <w:r w:rsidR="00A1687C">
        <w:t xml:space="preserve"> </w:t>
      </w:r>
      <w:r w:rsidR="005E67EC">
        <w:t>the transport of passengers by electric tramway, monorail or light rail (</w:t>
      </w:r>
      <w:r w:rsidR="00473674">
        <w:t xml:space="preserve">paragraph 4.2(c)). </w:t>
      </w:r>
    </w:p>
  </w:footnote>
  <w:footnote w:id="73">
    <w:p w14:paraId="0934ECFF" w14:textId="20488CBB" w:rsidR="004326A8" w:rsidRPr="00AD1A1E" w:rsidRDefault="004326A8" w:rsidP="004326A8">
      <w:pPr>
        <w:pStyle w:val="FootnoteText"/>
        <w:rPr>
          <w:i/>
          <w:iCs/>
        </w:rPr>
      </w:pPr>
      <w:r>
        <w:rPr>
          <w:rStyle w:val="FootnoteReference"/>
        </w:rPr>
        <w:footnoteRef/>
      </w:r>
      <w:r>
        <w:t xml:space="preserve"> ABS, </w:t>
      </w:r>
      <w:hyperlink r:id="rId62" w:anchor=":~:text=Media%20releases-,Key%20statistics,2.4%20million%20in%20August%202021." w:history="1">
        <w:r w:rsidRPr="002C2558">
          <w:rPr>
            <w:rStyle w:val="Hyperlink"/>
            <w:i/>
            <w:iCs/>
          </w:rPr>
          <w:t>Characteristics of Employment, August 2022</w:t>
        </w:r>
      </w:hyperlink>
      <w:r>
        <w:rPr>
          <w:i/>
          <w:iCs/>
        </w:rPr>
        <w:t>.</w:t>
      </w:r>
    </w:p>
  </w:footnote>
  <w:footnote w:id="74">
    <w:p w14:paraId="4E74B3AD" w14:textId="0026A0A4" w:rsidR="004326A8" w:rsidRPr="00621121" w:rsidRDefault="004326A8" w:rsidP="004326A8">
      <w:pPr>
        <w:pStyle w:val="FootnoteText"/>
        <w:rPr>
          <w:i/>
          <w:iCs/>
        </w:rPr>
      </w:pPr>
      <w:r>
        <w:rPr>
          <w:rStyle w:val="FootnoteReference"/>
        </w:rPr>
        <w:footnoteRef/>
      </w:r>
      <w:r>
        <w:t xml:space="preserve"> ABS, </w:t>
      </w:r>
      <w:hyperlink r:id="rId63" w:history="1">
        <w:r w:rsidRPr="00A75403">
          <w:rPr>
            <w:rStyle w:val="Hyperlink"/>
            <w:i/>
            <w:iCs/>
          </w:rPr>
          <w:t>Counts of Australian Businesses, including Entries and Exits, Ju</w:t>
        </w:r>
        <w:r w:rsidR="00A75403" w:rsidRPr="00A75403">
          <w:rPr>
            <w:rStyle w:val="Hyperlink"/>
            <w:i/>
            <w:iCs/>
          </w:rPr>
          <w:t>ly</w:t>
        </w:r>
        <w:r w:rsidRPr="00A75403">
          <w:rPr>
            <w:rStyle w:val="Hyperlink"/>
            <w:i/>
            <w:iCs/>
          </w:rPr>
          <w:t xml:space="preserve"> 2018 to June 2022</w:t>
        </w:r>
      </w:hyperlink>
    </w:p>
  </w:footnote>
  <w:footnote w:id="75">
    <w:p w14:paraId="2ACCF0A2" w14:textId="058117B5" w:rsidR="00875148" w:rsidRDefault="00875148">
      <w:pPr>
        <w:pStyle w:val="FootnoteText"/>
      </w:pPr>
      <w:r>
        <w:rPr>
          <w:rStyle w:val="FootnoteReference"/>
        </w:rPr>
        <w:footnoteRef/>
      </w:r>
      <w:r>
        <w:t xml:space="preserve"> </w:t>
      </w:r>
      <w:r w:rsidR="00D376EA">
        <w:t>Department of Employment and Workplace Relations (DEWR)</w:t>
      </w:r>
      <w:r>
        <w:t xml:space="preserve">, </w:t>
      </w:r>
      <w:hyperlink r:id="rId64" w:history="1">
        <w:r w:rsidRPr="008B793A">
          <w:rPr>
            <w:rStyle w:val="Hyperlink"/>
            <w:i/>
          </w:rPr>
          <w:t>2023 Workplace Relations Reform Consultations</w:t>
        </w:r>
      </w:hyperlink>
      <w:r>
        <w:t xml:space="preserve">, </w:t>
      </w:r>
      <w:r w:rsidR="00D376EA">
        <w:t>DEWR</w:t>
      </w:r>
      <w:r>
        <w:t xml:space="preserve">, </w:t>
      </w:r>
      <w:r w:rsidR="00D376EA">
        <w:t xml:space="preserve">Australian Government, </w:t>
      </w:r>
      <w:r>
        <w:t>2023.</w:t>
      </w:r>
    </w:p>
  </w:footnote>
  <w:footnote w:id="76">
    <w:p w14:paraId="5D057F3D" w14:textId="65199919" w:rsidR="00875148" w:rsidRDefault="00875148">
      <w:pPr>
        <w:pStyle w:val="FootnoteText"/>
      </w:pPr>
      <w:r>
        <w:rPr>
          <w:rStyle w:val="FootnoteReference"/>
        </w:rPr>
        <w:footnoteRef/>
      </w:r>
      <w:r w:rsidR="00FC37C8">
        <w:t>Department of Employment and Workplace Relations (DEWR)</w:t>
      </w:r>
      <w:r>
        <w:t xml:space="preserve">, </w:t>
      </w:r>
      <w:hyperlink r:id="rId65" w:history="1">
        <w:r w:rsidRPr="008B793A">
          <w:rPr>
            <w:rStyle w:val="Hyperlink"/>
            <w:i/>
          </w:rPr>
          <w:t>Employee-like’ forms of work and stronger protections for independent contractors: Consultation paper</w:t>
        </w:r>
      </w:hyperlink>
      <w:r>
        <w:t xml:space="preserve">, </w:t>
      </w:r>
      <w:r w:rsidR="00FC37C8">
        <w:t>DEWR, Australian Government</w:t>
      </w:r>
      <w:r>
        <w:t xml:space="preserve">, 2023.  </w:t>
      </w:r>
    </w:p>
  </w:footnote>
  <w:footnote w:id="77">
    <w:p w14:paraId="38ACC0E1" w14:textId="77777777" w:rsidR="006E2A86" w:rsidRDefault="006E2A86">
      <w:pPr>
        <w:pStyle w:val="FootnoteText"/>
      </w:pPr>
      <w:r>
        <w:rPr>
          <w:rStyle w:val="FootnoteReference"/>
        </w:rPr>
        <w:footnoteRef/>
      </w:r>
      <w:r>
        <w:t xml:space="preserve"> Australian Government, </w:t>
      </w:r>
      <w:hyperlink r:id="rId66" w:history="1">
        <w:r w:rsidRPr="008B793A">
          <w:rPr>
            <w:rStyle w:val="Hyperlink"/>
            <w:i/>
          </w:rPr>
          <w:t>National Workplace Relations Consultative Council</w:t>
        </w:r>
      </w:hyperlink>
      <w:r>
        <w:t xml:space="preserve">, </w:t>
      </w:r>
      <w:hyperlink r:id="rId67" w:history="1">
        <w:r w:rsidRPr="008E53C4">
          <w:rPr>
            <w:rStyle w:val="Hyperlink"/>
          </w:rPr>
          <w:t>www.directory.gov.au</w:t>
        </w:r>
      </w:hyperlink>
      <w:r>
        <w:t xml:space="preserve">, 2023, accessed 13 June 2023. </w:t>
      </w:r>
    </w:p>
  </w:footnote>
  <w:footnote w:id="78">
    <w:p w14:paraId="70334A2E" w14:textId="6324F57F" w:rsidR="00AB2D29" w:rsidRDefault="00AB2D29">
      <w:pPr>
        <w:pStyle w:val="FootnoteText"/>
      </w:pPr>
      <w:r>
        <w:rPr>
          <w:rStyle w:val="FootnoteReference"/>
        </w:rPr>
        <w:footnoteRef/>
      </w:r>
      <w:r>
        <w:t xml:space="preserve"> While not included in these figures, some peak bodies (for example, union or business peak bodies) chose to invite affiliate organisations to consultation meetings. </w:t>
      </w:r>
    </w:p>
  </w:footnote>
  <w:footnote w:id="79">
    <w:p w14:paraId="1DAF17CF" w14:textId="3E84BE4C" w:rsidR="00B4732B" w:rsidRDefault="00B4732B">
      <w:pPr>
        <w:pStyle w:val="FootnoteText"/>
      </w:pPr>
      <w:r>
        <w:rPr>
          <w:rStyle w:val="FootnoteReference"/>
        </w:rPr>
        <w:footnoteRef/>
      </w:r>
      <w:r>
        <w:t xml:space="preserve"> </w:t>
      </w:r>
      <w:r w:rsidR="00170060">
        <w:t xml:space="preserve">Parliament of Australia, </w:t>
      </w:r>
      <w:hyperlink r:id="rId68" w:history="1">
        <w:r w:rsidR="00170060" w:rsidRPr="00F9171A">
          <w:rPr>
            <w:rStyle w:val="Hyperlink"/>
            <w:i/>
            <w:iCs/>
          </w:rPr>
          <w:t>Senate Select Committee on Job Security -</w:t>
        </w:r>
        <w:r w:rsidR="00170060" w:rsidRPr="00BE2253">
          <w:rPr>
            <w:rStyle w:val="Hyperlink"/>
          </w:rPr>
          <w:t xml:space="preserve"> </w:t>
        </w:r>
        <w:r w:rsidR="00170060" w:rsidRPr="001A207C">
          <w:rPr>
            <w:rStyle w:val="Hyperlink"/>
            <w:i/>
            <w:iCs/>
          </w:rPr>
          <w:t>Fourth interim report: the job insecurity report</w:t>
        </w:r>
      </w:hyperlink>
      <w:r w:rsidR="00170060">
        <w:t xml:space="preserve">, Parliament of Australia, Australian Government, 2022, </w:t>
      </w:r>
      <w:r w:rsidR="00770535">
        <w:t>p xix.</w:t>
      </w:r>
    </w:p>
  </w:footnote>
  <w:footnote w:id="80">
    <w:p w14:paraId="7946C65E" w14:textId="50502638" w:rsidR="008175DE" w:rsidRDefault="008175DE">
      <w:pPr>
        <w:pStyle w:val="FootnoteText"/>
      </w:pPr>
      <w:r>
        <w:rPr>
          <w:rStyle w:val="FootnoteReference"/>
        </w:rPr>
        <w:footnoteRef/>
      </w:r>
      <w:r>
        <w:t xml:space="preserve"> Parliament of New South Wales (NSW), </w:t>
      </w:r>
      <w:hyperlink r:id="rId69" w:history="1">
        <w:r w:rsidRPr="008B793A">
          <w:rPr>
            <w:rStyle w:val="Hyperlink"/>
            <w:i/>
          </w:rPr>
          <w:t>Select Committee on the impact of technological and other change on the future of work and workers in New South Wales</w:t>
        </w:r>
      </w:hyperlink>
      <w:r>
        <w:rPr>
          <w:color w:val="auto"/>
        </w:rPr>
        <w:t>,</w:t>
      </w:r>
      <w:r w:rsidRPr="005D1A1C">
        <w:rPr>
          <w:color w:val="auto"/>
        </w:rPr>
        <w:t xml:space="preserve"> </w:t>
      </w:r>
      <w:r>
        <w:rPr>
          <w:color w:val="auto"/>
        </w:rPr>
        <w:t>Parliament of NSW, Government of NSW, 2022, p</w:t>
      </w:r>
      <w:r w:rsidR="00F0607B">
        <w:rPr>
          <w:color w:val="auto"/>
        </w:rPr>
        <w:t xml:space="preserve"> 46.</w:t>
      </w:r>
      <w:r>
        <w:rPr>
          <w:color w:val="auto"/>
        </w:rPr>
        <w:t xml:space="preserve"> </w:t>
      </w:r>
    </w:p>
  </w:footnote>
  <w:footnote w:id="81">
    <w:p w14:paraId="23E422ED" w14:textId="31B4DEB8" w:rsidR="00CC195A" w:rsidRDefault="00CC195A">
      <w:pPr>
        <w:pStyle w:val="FootnoteText"/>
      </w:pPr>
      <w:r>
        <w:rPr>
          <w:rStyle w:val="FootnoteReference"/>
        </w:rPr>
        <w:footnoteRef/>
      </w:r>
      <w:r>
        <w:t xml:space="preserve"> Parliament of New South Wales (NSW), </w:t>
      </w:r>
      <w:hyperlink r:id="rId70" w:history="1">
        <w:r w:rsidRPr="008B793A">
          <w:rPr>
            <w:rStyle w:val="Hyperlink"/>
            <w:i/>
          </w:rPr>
          <w:t>Select Committee on the impact of technological and other change on the future of work and workers in New South Wales</w:t>
        </w:r>
      </w:hyperlink>
      <w:r>
        <w:rPr>
          <w:color w:val="auto"/>
        </w:rPr>
        <w:t>,</w:t>
      </w:r>
      <w:r w:rsidRPr="005D1A1C">
        <w:rPr>
          <w:color w:val="auto"/>
        </w:rPr>
        <w:t xml:space="preserve"> </w:t>
      </w:r>
      <w:r>
        <w:rPr>
          <w:color w:val="auto"/>
        </w:rPr>
        <w:t>Parliament of NSW, Government of NSW, 2022</w:t>
      </w:r>
      <w:r w:rsidR="002A5D1D">
        <w:rPr>
          <w:color w:val="auto"/>
        </w:rPr>
        <w:t>, p 47.</w:t>
      </w:r>
    </w:p>
  </w:footnote>
  <w:footnote w:id="82">
    <w:p w14:paraId="05DC3B2E" w14:textId="61416997" w:rsidR="00636293" w:rsidRDefault="00636293">
      <w:pPr>
        <w:pStyle w:val="FootnoteText"/>
      </w:pPr>
      <w:r>
        <w:rPr>
          <w:rStyle w:val="FootnoteReference"/>
        </w:rPr>
        <w:footnoteRef/>
      </w:r>
      <w:r>
        <w:t xml:space="preserve"> </w:t>
      </w:r>
      <w:r w:rsidR="00114519">
        <w:t>While s</w:t>
      </w:r>
      <w:r>
        <w:t xml:space="preserve">ome of the independent reviews </w:t>
      </w:r>
      <w:r w:rsidR="004A58A4">
        <w:t xml:space="preserve">raised </w:t>
      </w:r>
      <w:r w:rsidR="00C06692">
        <w:t xml:space="preserve">the need to provide </w:t>
      </w:r>
      <w:r w:rsidR="00E05CFB">
        <w:t xml:space="preserve">protections from deactivation </w:t>
      </w:r>
      <w:r w:rsidR="00C26150">
        <w:t xml:space="preserve">or </w:t>
      </w:r>
      <w:r w:rsidR="00B43437">
        <w:t xml:space="preserve">unfair contract terminations as part of unfair </w:t>
      </w:r>
      <w:r w:rsidR="00970A1C">
        <w:t xml:space="preserve">contracts </w:t>
      </w:r>
      <w:r w:rsidR="00F118AF">
        <w:t>changes</w:t>
      </w:r>
      <w:r w:rsidR="00114519">
        <w:t>, these</w:t>
      </w:r>
      <w:r w:rsidR="00170A7C">
        <w:t xml:space="preserve"> options </w:t>
      </w:r>
      <w:r w:rsidR="00F93EA0">
        <w:t xml:space="preserve">include deactivation and unfair termination protections as part of the </w:t>
      </w:r>
      <w:r w:rsidR="00A54714">
        <w:t xml:space="preserve">minimum standards </w:t>
      </w:r>
      <w:r w:rsidR="00114519">
        <w:t>m</w:t>
      </w:r>
      <w:r w:rsidR="00534D1F">
        <w:t>easure</w:t>
      </w:r>
      <w:r w:rsidR="00732BD9">
        <w:t>s</w:t>
      </w:r>
      <w:r w:rsidR="00114519">
        <w:t xml:space="preserve">. </w:t>
      </w:r>
    </w:p>
  </w:footnote>
  <w:footnote w:id="83">
    <w:p w14:paraId="17F4114F" w14:textId="7E1CE9C7" w:rsidR="008562E1" w:rsidRPr="00934F48" w:rsidRDefault="008562E1">
      <w:pPr>
        <w:pStyle w:val="FootnoteText"/>
      </w:pPr>
      <w:r>
        <w:rPr>
          <w:rStyle w:val="FootnoteReference"/>
        </w:rPr>
        <w:footnoteRef/>
      </w:r>
      <w:r>
        <w:t xml:space="preserve"> PricewaterhouseCoopers</w:t>
      </w:r>
      <w:r w:rsidR="00CF66B3">
        <w:t xml:space="preserve"> (PwC)</w:t>
      </w:r>
      <w:r>
        <w:t xml:space="preserve">, </w:t>
      </w:r>
      <w:hyperlink r:id="rId71" w:history="1">
        <w:r w:rsidR="00934F48" w:rsidRPr="008F6025">
          <w:rPr>
            <w:rStyle w:val="Hyperlink"/>
            <w:i/>
            <w:iCs/>
          </w:rPr>
          <w:t>Review of the Road Safety Remuneration System: Final Report</w:t>
        </w:r>
      </w:hyperlink>
      <w:r w:rsidR="00934F48">
        <w:rPr>
          <w:i/>
          <w:iCs/>
        </w:rPr>
        <w:t xml:space="preserve">, </w:t>
      </w:r>
      <w:r w:rsidR="00146564">
        <w:t>r</w:t>
      </w:r>
      <w:r w:rsidR="00C64F74">
        <w:t xml:space="preserve">eport </w:t>
      </w:r>
      <w:r w:rsidR="00146564">
        <w:t>to</w:t>
      </w:r>
      <w:r w:rsidR="00C64F74">
        <w:t xml:space="preserve"> the Australian Government Department of Employment, </w:t>
      </w:r>
      <w:r w:rsidR="006D7C20">
        <w:t xml:space="preserve">PwC, </w:t>
      </w:r>
      <w:r w:rsidR="00934F48">
        <w:t xml:space="preserve">2016, p iv. </w:t>
      </w:r>
    </w:p>
  </w:footnote>
  <w:footnote w:id="84">
    <w:p w14:paraId="05ACC657" w14:textId="08B1B38A" w:rsidR="0027411E" w:rsidRPr="0093172B" w:rsidRDefault="0027411E" w:rsidP="0027411E">
      <w:pPr>
        <w:pStyle w:val="FootnoteText"/>
      </w:pPr>
      <w:r>
        <w:rPr>
          <w:rStyle w:val="FootnoteReference"/>
        </w:rPr>
        <w:footnoteRef/>
      </w:r>
      <w:r>
        <w:t xml:space="preserve"> All data for independent contractors in this section is from </w:t>
      </w:r>
      <w:r w:rsidR="5F2BBAE9">
        <w:t>Australian Bureau of Statistics (ABS),</w:t>
      </w:r>
      <w:r>
        <w:t xml:space="preserve"> </w:t>
      </w:r>
      <w:hyperlink r:id="rId72" w:history="1">
        <w:r w:rsidRPr="00317628">
          <w:rPr>
            <w:rStyle w:val="Hyperlink"/>
            <w:i/>
            <w:iCs/>
          </w:rPr>
          <w:t>Characteristics of Employment, August 2022</w:t>
        </w:r>
      </w:hyperlink>
      <w:r>
        <w:rPr>
          <w:i/>
          <w:iCs/>
        </w:rPr>
        <w:t xml:space="preserve">, </w:t>
      </w:r>
      <w:r>
        <w:t xml:space="preserve"> </w:t>
      </w:r>
      <w:r w:rsidR="6E72953F">
        <w:t>[TableBuilder].</w:t>
      </w:r>
    </w:p>
  </w:footnote>
  <w:footnote w:id="85">
    <w:p w14:paraId="25CF2981" w14:textId="6319B478" w:rsidR="009F737D" w:rsidRDefault="009F737D" w:rsidP="009F737D">
      <w:pPr>
        <w:pStyle w:val="FootnoteText"/>
      </w:pPr>
      <w:r>
        <w:rPr>
          <w:rStyle w:val="FootnoteReference"/>
        </w:rPr>
        <w:footnoteRef/>
      </w:r>
      <w:r w:rsidR="4403611C">
        <w:t xml:space="preserve"> P</w:t>
      </w:r>
      <w:r>
        <w:t xml:space="preserve"> McDonald et al., ‘</w:t>
      </w:r>
      <w:hyperlink r:id="rId73" w:history="1">
        <w:r w:rsidRPr="00333588">
          <w:rPr>
            <w:rStyle w:val="Hyperlink"/>
          </w:rPr>
          <w:t>Digital Platform Work in Australia: Prevalence, Nature and Impact (Digital platform work in Australia)</w:t>
        </w:r>
      </w:hyperlink>
      <w:r>
        <w:t>’, commissioned by the Victorian Department of Premier and Cabinet, 2019, p. 3.</w:t>
      </w:r>
    </w:p>
  </w:footnote>
  <w:footnote w:id="86">
    <w:p w14:paraId="313D27F5" w14:textId="2483C54C" w:rsidR="00810162" w:rsidRDefault="00810162">
      <w:pPr>
        <w:pStyle w:val="FootnoteText"/>
      </w:pPr>
      <w:r>
        <w:rPr>
          <w:rStyle w:val="FootnoteReference"/>
        </w:rPr>
        <w:footnoteRef/>
      </w:r>
      <w:r w:rsidR="4403611C">
        <w:t xml:space="preserve"> P</w:t>
      </w:r>
      <w:r>
        <w:t xml:space="preserve"> McDonald et al., ‘</w:t>
      </w:r>
      <w:hyperlink r:id="rId74" w:history="1">
        <w:r w:rsidRPr="005B0FD6">
          <w:rPr>
            <w:rStyle w:val="Hyperlink"/>
          </w:rPr>
          <w:t>Digital Platform Work in Australia: Prevalence, Nature and Impact (Digital platform work in Australia)</w:t>
        </w:r>
      </w:hyperlink>
      <w:r>
        <w:t xml:space="preserve">’, commissioned by the Victorian Department of Premier and Cabinet, 2019, p. </w:t>
      </w:r>
      <w:r w:rsidR="004903AE">
        <w:t>30</w:t>
      </w:r>
      <w:r>
        <w:t>.</w:t>
      </w:r>
    </w:p>
  </w:footnote>
  <w:footnote w:id="87">
    <w:p w14:paraId="0A85A4DA" w14:textId="42E8A025" w:rsidR="00810162" w:rsidRDefault="00810162">
      <w:pPr>
        <w:pStyle w:val="FootnoteText"/>
      </w:pPr>
      <w:r>
        <w:rPr>
          <w:rStyle w:val="FootnoteReference"/>
        </w:rPr>
        <w:footnoteRef/>
      </w:r>
      <w:r w:rsidR="4403611C">
        <w:t xml:space="preserve"> P</w:t>
      </w:r>
      <w:r>
        <w:t xml:space="preserve"> McDonald et al., ‘</w:t>
      </w:r>
      <w:hyperlink r:id="rId75" w:history="1">
        <w:r w:rsidRPr="00061159">
          <w:rPr>
            <w:rStyle w:val="Hyperlink"/>
          </w:rPr>
          <w:t>Digital Platform Work in Australia: Prevalence, Nature and Impact (Digital platform work in Australia)</w:t>
        </w:r>
      </w:hyperlink>
      <w:r>
        <w:t xml:space="preserve">’, commissioned by the Victorian Department of Premier and Cabinet, 2019, p. </w:t>
      </w:r>
      <w:r w:rsidR="00B80FA1">
        <w:t>30</w:t>
      </w:r>
      <w:r>
        <w:t>.</w:t>
      </w:r>
    </w:p>
  </w:footnote>
  <w:footnote w:id="88">
    <w:p w14:paraId="7107A165" w14:textId="47851A49" w:rsidR="00D3751C" w:rsidRPr="00D3751C" w:rsidRDefault="00D3751C">
      <w:pPr>
        <w:pStyle w:val="FootnoteText"/>
      </w:pPr>
      <w:r>
        <w:rPr>
          <w:rStyle w:val="FootnoteReference"/>
        </w:rPr>
        <w:footnoteRef/>
      </w:r>
      <w:r>
        <w:t xml:space="preserve"> </w:t>
      </w:r>
      <w:r w:rsidR="328236C7">
        <w:t xml:space="preserve"> Australian Bureau of Statistics (ABS), </w:t>
      </w:r>
      <w:hyperlink r:id="rId76" w:history="1">
        <w:r w:rsidR="328236C7" w:rsidRPr="008D5CE3">
          <w:rPr>
            <w:rStyle w:val="Hyperlink"/>
            <w:i/>
            <w:iCs/>
          </w:rPr>
          <w:t>Characteristics of Employment, August 2022</w:t>
        </w:r>
      </w:hyperlink>
      <w:r w:rsidR="328236C7" w:rsidRPr="328236C7">
        <w:rPr>
          <w:i/>
          <w:iCs/>
        </w:rPr>
        <w:t xml:space="preserve">, </w:t>
      </w:r>
      <w:r w:rsidR="328236C7">
        <w:t xml:space="preserve"> [TableBuilder].</w:t>
      </w:r>
    </w:p>
  </w:footnote>
  <w:footnote w:id="89">
    <w:p w14:paraId="5A84DF5E" w14:textId="4F1DDBFB" w:rsidR="00824A72" w:rsidRDefault="00824A72" w:rsidP="00824A72">
      <w:pPr>
        <w:pStyle w:val="FootnoteText"/>
        <w:rPr>
          <w:rFonts w:ascii="Arial" w:hAnsi="Arial"/>
          <w:color w:val="auto"/>
        </w:rPr>
      </w:pPr>
      <w:r>
        <w:rPr>
          <w:rStyle w:val="FootnoteReference"/>
        </w:rPr>
        <w:footnoteRef/>
      </w:r>
      <w:r>
        <w:t xml:space="preserve"> </w:t>
      </w:r>
      <w:r w:rsidRPr="34151D83">
        <w:rPr>
          <w:rStyle w:val="normaltextrun"/>
          <w:rFonts w:cs="Arial"/>
          <w:color w:val="000000" w:themeColor="text1"/>
        </w:rPr>
        <w:t xml:space="preserve">Actuaries Institute, </w:t>
      </w:r>
      <w:r w:rsidR="34151D83" w:rsidRPr="34151D83">
        <w:rPr>
          <w:rStyle w:val="normaltextrun"/>
          <w:rFonts w:cs="Arial"/>
          <w:color w:val="000000" w:themeColor="text1"/>
        </w:rPr>
        <w:t>’</w:t>
      </w:r>
      <w:hyperlink r:id="rId77" w:history="1">
        <w:r w:rsidR="34151D83" w:rsidRPr="00B85800">
          <w:rPr>
            <w:rStyle w:val="Hyperlink"/>
            <w:rFonts w:cs="Arial"/>
          </w:rPr>
          <w:t>The</w:t>
        </w:r>
        <w:r w:rsidRPr="00B85800">
          <w:rPr>
            <w:rStyle w:val="Hyperlink"/>
            <w:rFonts w:cs="Arial"/>
          </w:rPr>
          <w:t xml:space="preserve"> rise of the gig economy and its impact on the Australian </w:t>
        </w:r>
        <w:r w:rsidR="34151D83" w:rsidRPr="00B85800">
          <w:rPr>
            <w:rStyle w:val="Hyperlink"/>
            <w:rFonts w:cs="Arial"/>
          </w:rPr>
          <w:t>workforce</w:t>
        </w:r>
      </w:hyperlink>
      <w:r w:rsidR="34151D83" w:rsidRPr="34151D83">
        <w:rPr>
          <w:rStyle w:val="normaltextrun"/>
          <w:rFonts w:cs="Arial"/>
          <w:color w:val="000000" w:themeColor="text1"/>
        </w:rPr>
        <w:t>’</w:t>
      </w:r>
      <w:r w:rsidRPr="34151D83">
        <w:rPr>
          <w:rStyle w:val="normaltextrun"/>
          <w:rFonts w:cs="Arial"/>
          <w:color w:val="000000" w:themeColor="text1"/>
        </w:rPr>
        <w:t>, Green paper, 2020.</w:t>
      </w:r>
    </w:p>
  </w:footnote>
  <w:footnote w:id="90">
    <w:p w14:paraId="3679F191" w14:textId="0FA1840E" w:rsidR="00824A72" w:rsidRDefault="00824A72" w:rsidP="00824A72">
      <w:pPr>
        <w:pStyle w:val="FootnoteText"/>
        <w:rPr>
          <w:rFonts w:ascii="Arial" w:hAnsi="Arial"/>
          <w:color w:val="auto"/>
        </w:rPr>
      </w:pPr>
      <w:r>
        <w:rPr>
          <w:rStyle w:val="FootnoteReference"/>
        </w:rPr>
        <w:footnoteRef/>
      </w:r>
      <w:r>
        <w:t xml:space="preserve"> </w:t>
      </w:r>
      <w:r w:rsidRPr="0B6CF1D6">
        <w:rPr>
          <w:rStyle w:val="normaltextrun"/>
          <w:rFonts w:cs="Arial"/>
          <w:color w:val="000000" w:themeColor="text1"/>
        </w:rPr>
        <w:t xml:space="preserve">Actuaries Institute, </w:t>
      </w:r>
      <w:r w:rsidR="0B6CF1D6" w:rsidRPr="0B6CF1D6">
        <w:rPr>
          <w:rStyle w:val="normaltextrun"/>
          <w:rFonts w:cs="Arial"/>
          <w:color w:val="000000" w:themeColor="text1"/>
        </w:rPr>
        <w:t>’</w:t>
      </w:r>
      <w:hyperlink r:id="rId78" w:history="1">
        <w:r w:rsidR="0B6CF1D6" w:rsidRPr="00B85800">
          <w:rPr>
            <w:rStyle w:val="Hyperlink"/>
            <w:rFonts w:cs="Arial"/>
          </w:rPr>
          <w:t>The</w:t>
        </w:r>
        <w:r w:rsidRPr="00B85800">
          <w:rPr>
            <w:rStyle w:val="Hyperlink"/>
            <w:rFonts w:cs="Arial"/>
          </w:rPr>
          <w:t xml:space="preserve"> rise of the gig economy and its impact on the Australian </w:t>
        </w:r>
        <w:r w:rsidR="0B6CF1D6" w:rsidRPr="00B85800">
          <w:rPr>
            <w:rStyle w:val="Hyperlink"/>
            <w:rFonts w:cs="Arial"/>
          </w:rPr>
          <w:t>workforce</w:t>
        </w:r>
      </w:hyperlink>
      <w:r w:rsidR="0B6CF1D6" w:rsidRPr="0B6CF1D6">
        <w:rPr>
          <w:rStyle w:val="normaltextrun"/>
          <w:rFonts w:cs="Arial"/>
          <w:color w:val="000000" w:themeColor="text1"/>
        </w:rPr>
        <w:t>’</w:t>
      </w:r>
      <w:r w:rsidRPr="0B6CF1D6">
        <w:rPr>
          <w:rStyle w:val="normaltextrun"/>
          <w:rFonts w:cs="Arial"/>
          <w:color w:val="000000" w:themeColor="text1"/>
        </w:rPr>
        <w:t>, Green paper, 2020, p. 15.</w:t>
      </w:r>
    </w:p>
  </w:footnote>
  <w:footnote w:id="91">
    <w:p w14:paraId="7F350809" w14:textId="610CA47A" w:rsidR="00824A72" w:rsidRDefault="00824A72" w:rsidP="00824A72">
      <w:pPr>
        <w:pStyle w:val="FootnoteText"/>
      </w:pPr>
      <w:r>
        <w:rPr>
          <w:rStyle w:val="FootnoteReference"/>
        </w:rPr>
        <w:footnoteRef/>
      </w:r>
      <w:r>
        <w:t xml:space="preserve"> </w:t>
      </w:r>
      <w:r w:rsidRPr="0B6CF1D6">
        <w:rPr>
          <w:rStyle w:val="normaltextrun"/>
          <w:rFonts w:cs="Arial"/>
          <w:color w:val="000000" w:themeColor="text1"/>
        </w:rPr>
        <w:t xml:space="preserve">Actuaries Institute, </w:t>
      </w:r>
      <w:r w:rsidR="0B6CF1D6" w:rsidRPr="0B6CF1D6">
        <w:rPr>
          <w:rStyle w:val="normaltextrun"/>
          <w:rFonts w:cs="Arial"/>
          <w:color w:val="000000" w:themeColor="text1"/>
        </w:rPr>
        <w:t>’</w:t>
      </w:r>
      <w:hyperlink r:id="rId79" w:history="1">
        <w:r w:rsidR="0B6CF1D6" w:rsidRPr="00B85800">
          <w:rPr>
            <w:rStyle w:val="Hyperlink"/>
            <w:rFonts w:cs="Arial"/>
          </w:rPr>
          <w:t>The</w:t>
        </w:r>
        <w:r w:rsidRPr="00B85800">
          <w:rPr>
            <w:rStyle w:val="Hyperlink"/>
            <w:rFonts w:cs="Arial"/>
          </w:rPr>
          <w:t xml:space="preserve"> rise of the gig economy and its impact on the Australian </w:t>
        </w:r>
        <w:r w:rsidR="474EA52D" w:rsidRPr="00B85800">
          <w:rPr>
            <w:rStyle w:val="Hyperlink"/>
            <w:rFonts w:cs="Arial"/>
          </w:rPr>
          <w:t>workforce</w:t>
        </w:r>
      </w:hyperlink>
      <w:r w:rsidR="474EA52D" w:rsidRPr="474EA52D">
        <w:rPr>
          <w:rStyle w:val="normaltextrun"/>
          <w:rFonts w:cs="Arial"/>
          <w:color w:val="000000" w:themeColor="text1"/>
        </w:rPr>
        <w:t>’</w:t>
      </w:r>
      <w:r w:rsidRPr="0B6CF1D6">
        <w:rPr>
          <w:rStyle w:val="normaltextrun"/>
          <w:rFonts w:cs="Arial"/>
          <w:color w:val="000000" w:themeColor="text1"/>
        </w:rPr>
        <w:t xml:space="preserve">, Green paper, 2020, pp. 31-32. </w:t>
      </w:r>
    </w:p>
  </w:footnote>
  <w:footnote w:id="92">
    <w:p w14:paraId="15F94EF9" w14:textId="4EE9AA83" w:rsidR="00634A37" w:rsidRDefault="00634A37">
      <w:pPr>
        <w:pStyle w:val="FootnoteText"/>
      </w:pPr>
      <w:r>
        <w:rPr>
          <w:rStyle w:val="FootnoteReference"/>
        </w:rPr>
        <w:footnoteRef/>
      </w:r>
      <w:r>
        <w:t xml:space="preserve"> Uber, </w:t>
      </w:r>
      <w:r w:rsidR="42F70E3F">
        <w:t>’</w:t>
      </w:r>
      <w:hyperlink r:id="rId80" w:history="1">
        <w:r w:rsidR="42F70E3F" w:rsidRPr="006B23D7">
          <w:rPr>
            <w:rStyle w:val="Hyperlink"/>
          </w:rPr>
          <w:t>The Impact of Uber in Australia,</w:t>
        </w:r>
        <w:r w:rsidRPr="006B23D7">
          <w:rPr>
            <w:rStyle w:val="Hyperlink"/>
          </w:rPr>
          <w:t xml:space="preserve"> 2022</w:t>
        </w:r>
      </w:hyperlink>
      <w:r>
        <w:t>,</w:t>
      </w:r>
      <w:r w:rsidR="000A21C5">
        <w:t xml:space="preserve">. </w:t>
      </w:r>
    </w:p>
  </w:footnote>
  <w:footnote w:id="93">
    <w:p w14:paraId="6831AE5D" w14:textId="753F46F1" w:rsidR="00B00A2D" w:rsidRDefault="00B00A2D" w:rsidP="00B00A2D">
      <w:pPr>
        <w:pStyle w:val="FootnoteText"/>
      </w:pPr>
      <w:r>
        <w:rPr>
          <w:rStyle w:val="FootnoteReference"/>
        </w:rPr>
        <w:footnoteRef/>
      </w:r>
      <w:r>
        <w:t xml:space="preserve"> </w:t>
      </w:r>
      <w:r w:rsidR="000F3617">
        <w:t>Productivity Commission</w:t>
      </w:r>
      <w:hyperlink r:id="rId81" w:history="1">
        <w:r w:rsidR="000F3617" w:rsidRPr="007644F7">
          <w:rPr>
            <w:rStyle w:val="Hyperlink"/>
          </w:rPr>
          <w:t xml:space="preserve">, </w:t>
        </w:r>
        <w:r w:rsidR="000F3617" w:rsidRPr="00F9171A">
          <w:rPr>
            <w:rStyle w:val="Hyperlink"/>
            <w:i/>
          </w:rPr>
          <w:t>5-Year Productivity Inquiry – Volume 7</w:t>
        </w:r>
      </w:hyperlink>
      <w:r>
        <w:t>, p. 136.</w:t>
      </w:r>
    </w:p>
  </w:footnote>
  <w:footnote w:id="94">
    <w:p w14:paraId="54FB0F49" w14:textId="44D6866E" w:rsidR="00B00A2D" w:rsidRDefault="00B00A2D" w:rsidP="00B00A2D">
      <w:pPr>
        <w:pStyle w:val="FootnoteText"/>
      </w:pPr>
      <w:r>
        <w:rPr>
          <w:rStyle w:val="FootnoteReference"/>
        </w:rPr>
        <w:footnoteRef/>
      </w:r>
      <w:r>
        <w:t xml:space="preserve"> </w:t>
      </w:r>
      <w:r w:rsidR="000F3617">
        <w:t>Productivity Commission</w:t>
      </w:r>
      <w:hyperlink r:id="rId82" w:history="1">
        <w:r w:rsidR="000F3617" w:rsidRPr="007644F7">
          <w:rPr>
            <w:rStyle w:val="Hyperlink"/>
          </w:rPr>
          <w:t xml:space="preserve">, </w:t>
        </w:r>
        <w:r w:rsidR="000F3617" w:rsidRPr="00F9171A">
          <w:rPr>
            <w:rStyle w:val="Hyperlink"/>
            <w:i/>
          </w:rPr>
          <w:t>5-Year Productivity Inquiry – Volume 7</w:t>
        </w:r>
      </w:hyperlink>
      <w:r>
        <w:t>, p. 138.</w:t>
      </w:r>
    </w:p>
  </w:footnote>
  <w:footnote w:id="95">
    <w:p w14:paraId="166743FD" w14:textId="48600707" w:rsidR="00CC24D4" w:rsidRDefault="00CC24D4" w:rsidP="00CC24D4">
      <w:pPr>
        <w:pStyle w:val="FootnoteText"/>
      </w:pPr>
      <w:r>
        <w:rPr>
          <w:rStyle w:val="FootnoteReference"/>
        </w:rPr>
        <w:footnoteRef/>
      </w:r>
      <w:r w:rsidR="51361DAC">
        <w:t xml:space="preserve"> P</w:t>
      </w:r>
      <w:r>
        <w:t xml:space="preserve"> McDonald,  et al., ‘</w:t>
      </w:r>
      <w:hyperlink r:id="rId83" w:history="1">
        <w:r w:rsidRPr="0097319B">
          <w:rPr>
            <w:rStyle w:val="Hyperlink"/>
          </w:rPr>
          <w:t>Digital Platform Work in Australia: Prevalence, Nature and Impact (Digital platform work in Australia)</w:t>
        </w:r>
      </w:hyperlink>
      <w:r>
        <w:t>’, commissioned by the Victorian Department of Premier and Cabinet, 2019, p. 18.</w:t>
      </w:r>
    </w:p>
  </w:footnote>
  <w:footnote w:id="96">
    <w:p w14:paraId="12A7EE78" w14:textId="26FA6BD7" w:rsidR="00CC24D4" w:rsidRDefault="00CC24D4" w:rsidP="00CC24D4">
      <w:pPr>
        <w:pStyle w:val="FootnoteText"/>
      </w:pPr>
      <w:r>
        <w:rPr>
          <w:rStyle w:val="FootnoteReference"/>
        </w:rPr>
        <w:footnoteRef/>
      </w:r>
      <w:r w:rsidR="51361DAC">
        <w:t xml:space="preserve"> P</w:t>
      </w:r>
      <w:r>
        <w:t xml:space="preserve"> McDonald,  et al., ‘</w:t>
      </w:r>
      <w:hyperlink r:id="rId84" w:history="1">
        <w:r w:rsidRPr="0097319B">
          <w:rPr>
            <w:rStyle w:val="Hyperlink"/>
          </w:rPr>
          <w:t>Digital Platform Work in Australia: Prevalence, Nature and Impact (Digital platform work in Australia)</w:t>
        </w:r>
      </w:hyperlink>
      <w:r>
        <w:t>’, commissioned by the Victorian Department of Premier and Cabinet, 2019, p. 19.</w:t>
      </w:r>
    </w:p>
  </w:footnote>
  <w:footnote w:id="97">
    <w:p w14:paraId="4F7435DA" w14:textId="19B79443" w:rsidR="00CC24D4" w:rsidRDefault="00CC24D4" w:rsidP="00CC24D4">
      <w:pPr>
        <w:pStyle w:val="FootnoteText"/>
      </w:pPr>
      <w:r>
        <w:rPr>
          <w:rStyle w:val="FootnoteReference"/>
        </w:rPr>
        <w:footnoteRef/>
      </w:r>
      <w:r w:rsidR="51361DAC">
        <w:t xml:space="preserve"> P</w:t>
      </w:r>
      <w:r>
        <w:t xml:space="preserve"> </w:t>
      </w:r>
      <w:r w:rsidR="00285560">
        <w:t>McDonald,</w:t>
      </w:r>
      <w:r>
        <w:t xml:space="preserve"> et al., ‘</w:t>
      </w:r>
      <w:hyperlink r:id="rId85" w:history="1">
        <w:r w:rsidRPr="0097319B">
          <w:rPr>
            <w:rStyle w:val="Hyperlink"/>
          </w:rPr>
          <w:t>Digital Platform Work in Australia: Prevalence, Nature and Impact (Digital platform work in Australia)</w:t>
        </w:r>
      </w:hyperlink>
      <w:r>
        <w:t>’, commissioned by the Victorian Department of Premier and Cabinet, 2019, p. 18.</w:t>
      </w:r>
    </w:p>
    <w:p w14:paraId="3842D83E" w14:textId="77777777" w:rsidR="00CC24D4" w:rsidRDefault="00CC24D4" w:rsidP="00CC24D4">
      <w:pPr>
        <w:pStyle w:val="FootnoteText"/>
      </w:pPr>
      <w:r>
        <w:t>Note also that this earnings data does not account for costs of operation e.g. petrol, car or bike maintenance.</w:t>
      </w:r>
    </w:p>
  </w:footnote>
  <w:footnote w:id="98">
    <w:p w14:paraId="20A2F56A" w14:textId="4870F53B" w:rsidR="00347748" w:rsidRDefault="00347748" w:rsidP="00347748">
      <w:pPr>
        <w:pStyle w:val="FootnoteText"/>
      </w:pPr>
      <w:r>
        <w:rPr>
          <w:rStyle w:val="FootnoteReference"/>
        </w:rPr>
        <w:footnoteRef/>
      </w:r>
      <w:r w:rsidR="20EC82BA">
        <w:t xml:space="preserve"> Parliament of Australia</w:t>
      </w:r>
      <w:hyperlink r:id="rId86" w:history="1">
        <w:r w:rsidR="20EC82BA" w:rsidRPr="20EC82BA">
          <w:rPr>
            <w:rStyle w:val="Hyperlink"/>
            <w:i/>
            <w:iCs/>
          </w:rPr>
          <w:t>, Senate Select Committee on Job Security - First interim report</w:t>
        </w:r>
      </w:hyperlink>
      <w:r w:rsidR="20EC82BA">
        <w:t>, Select Committee on Job Security, June 2021 p 79.</w:t>
      </w:r>
    </w:p>
  </w:footnote>
  <w:footnote w:id="99">
    <w:p w14:paraId="37758D44" w14:textId="629B444C" w:rsidR="00191D30" w:rsidRPr="00F9171A" w:rsidRDefault="00191D30">
      <w:pPr>
        <w:pStyle w:val="FootnoteText"/>
        <w:rPr>
          <w:i/>
        </w:rPr>
      </w:pPr>
      <w:r>
        <w:rPr>
          <w:rStyle w:val="FootnoteReference"/>
        </w:rPr>
        <w:footnoteRef/>
      </w:r>
      <w:r>
        <w:t xml:space="preserve"> </w:t>
      </w:r>
      <w:r w:rsidR="4403611C">
        <w:t xml:space="preserve">Australia Bureau of Statistics (ABS), </w:t>
      </w:r>
      <w:hyperlink r:id="rId87" w:history="1">
        <w:r w:rsidRPr="00683D34">
          <w:rPr>
            <w:rStyle w:val="Hyperlink"/>
          </w:rPr>
          <w:t>Participation, Job Search and Mobility, February 2022</w:t>
        </w:r>
      </w:hyperlink>
      <w:r w:rsidR="4403611C">
        <w:t xml:space="preserve"> [TableBuilder].</w:t>
      </w:r>
    </w:p>
  </w:footnote>
  <w:footnote w:id="100">
    <w:p w14:paraId="03005286" w14:textId="785A2330" w:rsidR="00003843" w:rsidRDefault="00003843">
      <w:pPr>
        <w:pStyle w:val="FootnoteText"/>
      </w:pPr>
      <w:r>
        <w:rPr>
          <w:rStyle w:val="FootnoteReference"/>
        </w:rPr>
        <w:footnoteRef/>
      </w:r>
      <w:r w:rsidR="45A355C5">
        <w:t xml:space="preserve"> Productivity Commission, </w:t>
      </w:r>
      <w:hyperlink r:id="rId88" w:history="1">
        <w:r w:rsidR="45A355C5" w:rsidRPr="00A242BF">
          <w:rPr>
            <w:rStyle w:val="Hyperlink"/>
            <w:i/>
            <w:iCs/>
          </w:rPr>
          <w:t>5-Year Productivity Inquiry – Volume 7</w:t>
        </w:r>
      </w:hyperlink>
      <w:r w:rsidR="45A355C5">
        <w:t>, pp 136-140.</w:t>
      </w:r>
    </w:p>
  </w:footnote>
  <w:footnote w:id="101">
    <w:p w14:paraId="198E8537" w14:textId="31EAF6EA" w:rsidR="00734C24" w:rsidRDefault="00734C24">
      <w:pPr>
        <w:pStyle w:val="FootnoteText"/>
      </w:pPr>
      <w:r>
        <w:rPr>
          <w:rStyle w:val="FootnoteReference"/>
        </w:rPr>
        <w:footnoteRef/>
      </w:r>
      <w:r>
        <w:t xml:space="preserve"> </w:t>
      </w:r>
      <w:r w:rsidR="001A6E61">
        <w:t>DPC</w:t>
      </w:r>
      <w:r w:rsidR="00C4182A">
        <w:t xml:space="preserve">, </w:t>
      </w:r>
      <w:hyperlink r:id="rId89" w:history="1">
        <w:r w:rsidR="00C4182A" w:rsidRPr="00ED4892">
          <w:rPr>
            <w:rStyle w:val="Hyperlink"/>
            <w:i/>
          </w:rPr>
          <w:t xml:space="preserve">Report of the Inquiry into the Victorian On-Demand </w:t>
        </w:r>
        <w:r w:rsidR="00C4182A" w:rsidRPr="00ED4892">
          <w:rPr>
            <w:rStyle w:val="Hyperlink"/>
            <w:i/>
            <w:iCs/>
          </w:rPr>
          <w:t>Workforce</w:t>
        </w:r>
      </w:hyperlink>
      <w:r w:rsidR="00C4182A">
        <w:t>, p 97</w:t>
      </w:r>
      <w:r w:rsidR="001A6E61">
        <w:t>;</w:t>
      </w:r>
      <w:r w:rsidR="00276B87">
        <w:t xml:space="preserve"> Productivity Commission, </w:t>
      </w:r>
      <w:hyperlink r:id="rId90" w:history="1">
        <w:r w:rsidR="00276B87" w:rsidRPr="000A65B2">
          <w:rPr>
            <w:rStyle w:val="Hyperlink"/>
            <w:i/>
          </w:rPr>
          <w:t>5-</w:t>
        </w:r>
        <w:r w:rsidR="001A6E61" w:rsidRPr="000A65B2">
          <w:rPr>
            <w:rStyle w:val="Hyperlink"/>
            <w:i/>
            <w:iCs/>
          </w:rPr>
          <w:t>Y</w:t>
        </w:r>
        <w:r w:rsidR="00276B87" w:rsidRPr="000A65B2">
          <w:rPr>
            <w:rStyle w:val="Hyperlink"/>
            <w:i/>
            <w:iCs/>
          </w:rPr>
          <w:t>ear</w:t>
        </w:r>
        <w:r w:rsidR="00276B87" w:rsidRPr="000A65B2">
          <w:rPr>
            <w:rStyle w:val="Hyperlink"/>
            <w:i/>
          </w:rPr>
          <w:t xml:space="preserve"> Productivity Inquiry</w:t>
        </w:r>
        <w:r w:rsidR="001A6E61" w:rsidRPr="000A65B2">
          <w:rPr>
            <w:rStyle w:val="Hyperlink"/>
            <w:i/>
          </w:rPr>
          <w:t xml:space="preserve"> </w:t>
        </w:r>
        <w:r w:rsidR="00276B87" w:rsidRPr="000A65B2">
          <w:rPr>
            <w:rStyle w:val="Hyperlink"/>
            <w:i/>
            <w:iCs/>
          </w:rPr>
          <w:t xml:space="preserve">– </w:t>
        </w:r>
        <w:r w:rsidR="001A6E61" w:rsidRPr="000A65B2">
          <w:rPr>
            <w:rStyle w:val="Hyperlink"/>
            <w:i/>
            <w:iCs/>
          </w:rPr>
          <w:t>V</w:t>
        </w:r>
        <w:r w:rsidR="00276B87" w:rsidRPr="000A65B2">
          <w:rPr>
            <w:rStyle w:val="Hyperlink"/>
            <w:i/>
            <w:iCs/>
          </w:rPr>
          <w:t>olume 7</w:t>
        </w:r>
      </w:hyperlink>
      <w:r w:rsidR="00276B87">
        <w:t>, p 136.</w:t>
      </w:r>
    </w:p>
  </w:footnote>
  <w:footnote w:id="102">
    <w:p w14:paraId="61A1B850" w14:textId="20401D40" w:rsidR="00116E38" w:rsidRDefault="00116E38">
      <w:pPr>
        <w:pStyle w:val="FootnoteText"/>
      </w:pPr>
      <w:r>
        <w:rPr>
          <w:rStyle w:val="FootnoteReference"/>
        </w:rPr>
        <w:footnoteRef/>
      </w:r>
      <w:r>
        <w:t xml:space="preserve"> Deloitte Access Economics, ‘Economic Effects of Ridesharing in Australia, </w:t>
      </w:r>
      <w:r w:rsidR="008B695E">
        <w:t>cited in Victorian Government, ‘</w:t>
      </w:r>
      <w:hyperlink r:id="rId91" w:history="1">
        <w:r w:rsidR="008B695E" w:rsidRPr="00CD75E2">
          <w:rPr>
            <w:rStyle w:val="Hyperlink"/>
          </w:rPr>
          <w:t>Report of the Inquiry into the Victorian On-Demand Workforce</w:t>
        </w:r>
      </w:hyperlink>
      <w:r w:rsidR="008B695E">
        <w:t>’, Industrial Relations Victoria, Department of Premier and Cabinet, 2020, p. 97.</w:t>
      </w:r>
    </w:p>
  </w:footnote>
  <w:footnote w:id="103">
    <w:p w14:paraId="2D134F26" w14:textId="1151558A" w:rsidR="00AB74AF" w:rsidRDefault="00AB74AF">
      <w:pPr>
        <w:pStyle w:val="FootnoteText"/>
      </w:pPr>
      <w:r>
        <w:rPr>
          <w:rStyle w:val="FootnoteReference"/>
        </w:rPr>
        <w:footnoteRef/>
      </w:r>
      <w:r>
        <w:t xml:space="preserve"> </w:t>
      </w:r>
      <w:r w:rsidR="00FD23B4">
        <w:t>DPC</w:t>
      </w:r>
      <w:r>
        <w:t xml:space="preserve">, </w:t>
      </w:r>
      <w:hyperlink r:id="rId92" w:history="1">
        <w:r w:rsidRPr="00D84324">
          <w:rPr>
            <w:rStyle w:val="Hyperlink"/>
            <w:i/>
            <w:iCs/>
          </w:rPr>
          <w:t>Report of the Inquiry into the Victorian On-Demand Workforce</w:t>
        </w:r>
      </w:hyperlink>
      <w:r>
        <w:t xml:space="preserve">, </w:t>
      </w:r>
      <w:r w:rsidR="00891764">
        <w:t>p</w:t>
      </w:r>
      <w:r>
        <w:t xml:space="preserve"> 84.</w:t>
      </w:r>
    </w:p>
  </w:footnote>
  <w:footnote w:id="104">
    <w:p w14:paraId="48C335AB" w14:textId="31D1E878" w:rsidR="007576B3" w:rsidRDefault="007576B3">
      <w:pPr>
        <w:pStyle w:val="FootnoteText"/>
      </w:pPr>
      <w:r>
        <w:rPr>
          <w:rStyle w:val="FootnoteReference"/>
        </w:rPr>
        <w:footnoteRef/>
      </w:r>
      <w:r>
        <w:t xml:space="preserve"> </w:t>
      </w:r>
      <w:r w:rsidR="00825778">
        <w:t xml:space="preserve">Productivity Commission, </w:t>
      </w:r>
      <w:hyperlink r:id="rId93" w:history="1">
        <w:r w:rsidR="00825778" w:rsidRPr="008B793A">
          <w:rPr>
            <w:rStyle w:val="Hyperlink"/>
            <w:i/>
          </w:rPr>
          <w:t>Aged Care Employment: Study Report</w:t>
        </w:r>
      </w:hyperlink>
      <w:r w:rsidR="00825778">
        <w:t xml:space="preserve">, </w:t>
      </w:r>
      <w:r w:rsidR="004A51F5">
        <w:t xml:space="preserve">Productivity Commission, Australian Government, </w:t>
      </w:r>
      <w:r w:rsidR="00585C7C">
        <w:t>2022</w:t>
      </w:r>
      <w:r w:rsidR="004A51F5">
        <w:t xml:space="preserve">, </w:t>
      </w:r>
      <w:r w:rsidR="00825778">
        <w:t xml:space="preserve">p 100. </w:t>
      </w:r>
    </w:p>
  </w:footnote>
  <w:footnote w:id="105">
    <w:p w14:paraId="7F00CBB1" w14:textId="5A0B4A46" w:rsidR="00DF66D4" w:rsidRPr="008B793A" w:rsidRDefault="00DF66D4">
      <w:pPr>
        <w:pStyle w:val="FootnoteText"/>
        <w:rPr>
          <w:i/>
        </w:rPr>
      </w:pPr>
      <w:r>
        <w:rPr>
          <w:rStyle w:val="FootnoteReference"/>
        </w:rPr>
        <w:footnoteRef/>
      </w:r>
      <w:r>
        <w:t xml:space="preserve"> </w:t>
      </w:r>
      <w:r w:rsidR="45A355C5">
        <w:t>Australian Bureau of Statistics (</w:t>
      </w:r>
      <w:r>
        <w:t>ABS</w:t>
      </w:r>
      <w:r w:rsidR="45A355C5">
        <w:t>),</w:t>
      </w:r>
      <w:r>
        <w:t xml:space="preserve"> </w:t>
      </w:r>
      <w:hyperlink r:id="rId94" w:history="1">
        <w:r w:rsidRPr="003C415C">
          <w:rPr>
            <w:rStyle w:val="Hyperlink"/>
            <w:i/>
            <w:iCs/>
          </w:rPr>
          <w:t>Characteristics of Employment, August 2022</w:t>
        </w:r>
      </w:hyperlink>
      <w:r w:rsidR="45A355C5" w:rsidRPr="45A355C5">
        <w:rPr>
          <w:i/>
          <w:iCs/>
        </w:rPr>
        <w:t xml:space="preserve"> </w:t>
      </w:r>
      <w:r w:rsidR="45A355C5" w:rsidRPr="00F9171A">
        <w:t>[Table</w:t>
      </w:r>
      <w:r w:rsidR="45A355C5" w:rsidRPr="45A355C5">
        <w:t>B</w:t>
      </w:r>
      <w:r w:rsidR="45A355C5" w:rsidRPr="00F9171A">
        <w:t>uilder]</w:t>
      </w:r>
    </w:p>
  </w:footnote>
  <w:footnote w:id="106">
    <w:p w14:paraId="34DE9E3C" w14:textId="60CB0A06" w:rsidR="00F27D26" w:rsidRPr="00F63E5D" w:rsidRDefault="00F27D26" w:rsidP="00F27D26">
      <w:pPr>
        <w:pStyle w:val="FootnoteText"/>
        <w:rPr>
          <w:i/>
          <w:iCs/>
        </w:rPr>
      </w:pPr>
      <w:r>
        <w:rPr>
          <w:rStyle w:val="FootnoteReference"/>
        </w:rPr>
        <w:footnoteRef/>
      </w:r>
      <w:r>
        <w:t xml:space="preserve"> </w:t>
      </w:r>
      <w:r w:rsidR="45A355C5">
        <w:t xml:space="preserve"> Australian Bureau of Statistics (ABS), </w:t>
      </w:r>
      <w:hyperlink r:id="rId95" w:anchor=":~:text=Media%20releases-,Key%20statistics,2.4%20million%20in%20August%202021." w:history="1">
        <w:r w:rsidR="45A355C5" w:rsidRPr="00C64816">
          <w:rPr>
            <w:rStyle w:val="Hyperlink"/>
            <w:i/>
            <w:iCs/>
          </w:rPr>
          <w:t>Characteristics of Employment, August 2022</w:t>
        </w:r>
      </w:hyperlink>
      <w:r w:rsidR="45A355C5" w:rsidRPr="45A355C5">
        <w:rPr>
          <w:i/>
          <w:iCs/>
        </w:rPr>
        <w:t xml:space="preserve"> </w:t>
      </w:r>
      <w:r w:rsidR="45A355C5" w:rsidRPr="45A355C5">
        <w:t>[TableBuilder].</w:t>
      </w:r>
    </w:p>
  </w:footnote>
  <w:footnote w:id="107">
    <w:p w14:paraId="11FB8ED9" w14:textId="55142E97" w:rsidR="0084683A" w:rsidRPr="00F9171A" w:rsidRDefault="0084683A" w:rsidP="0084683A">
      <w:pPr>
        <w:pStyle w:val="FootnoteText"/>
      </w:pPr>
      <w:r>
        <w:rPr>
          <w:rStyle w:val="FootnoteReference"/>
        </w:rPr>
        <w:footnoteRef/>
      </w:r>
      <w:r>
        <w:t xml:space="preserve"> </w:t>
      </w:r>
      <w:r w:rsidR="45A355C5">
        <w:t xml:space="preserve"> Australian Bureau of Statistics (ABS), </w:t>
      </w:r>
      <w:hyperlink r:id="rId96" w:anchor=":~:text=Media%20releases-,Key%20statistics,2.4%20million%20in%20August%202021." w:history="1">
        <w:r w:rsidR="45A355C5" w:rsidRPr="003048B1">
          <w:rPr>
            <w:rStyle w:val="Hyperlink"/>
            <w:i/>
            <w:iCs/>
          </w:rPr>
          <w:t>Characteristics of Employment, August 2022</w:t>
        </w:r>
      </w:hyperlink>
      <w:r w:rsidR="45A355C5" w:rsidRPr="45A355C5">
        <w:rPr>
          <w:i/>
          <w:iCs/>
        </w:rPr>
        <w:t xml:space="preserve"> </w:t>
      </w:r>
      <w:r w:rsidR="45A355C5" w:rsidRPr="45A355C5">
        <w:t>[TableBuilder]</w:t>
      </w:r>
      <w:r w:rsidR="45A355C5">
        <w:t>.</w:t>
      </w:r>
      <w:r w:rsidR="006D5BEB">
        <w:t xml:space="preserve"> Data is </w:t>
      </w:r>
      <w:r w:rsidR="00DB30A3">
        <w:t>f</w:t>
      </w:r>
      <w:r w:rsidR="00D8018A">
        <w:t>or form of employment in main job</w:t>
      </w:r>
      <w:r w:rsidR="009E4AEB">
        <w:t>.</w:t>
      </w:r>
    </w:p>
  </w:footnote>
  <w:footnote w:id="108">
    <w:p w14:paraId="7AA3D6C5" w14:textId="77777777" w:rsidR="0084683A" w:rsidRDefault="0084683A" w:rsidP="0084683A">
      <w:pPr>
        <w:pStyle w:val="FootnoteText"/>
      </w:pPr>
      <w:r>
        <w:rPr>
          <w:rStyle w:val="FootnoteReference"/>
        </w:rPr>
        <w:footnoteRef/>
      </w:r>
      <w:r>
        <w:t xml:space="preserve"> Andrew Stew</w:t>
      </w:r>
      <w:r w:rsidRPr="00F513DF">
        <w:t>art, ‘Tackling Insecure Work: Assessing the Albanese Government’s Reform Agenda’, speech given at Melbourne Law School, May 8, 2023</w:t>
      </w:r>
      <w:r>
        <w:t xml:space="preserve">. </w:t>
      </w:r>
    </w:p>
  </w:footnote>
  <w:footnote w:id="109">
    <w:p w14:paraId="41D6F2CF" w14:textId="433688D5" w:rsidR="00CC7E9A" w:rsidRDefault="00CC7E9A">
      <w:pPr>
        <w:pStyle w:val="FootnoteText"/>
      </w:pPr>
      <w:r>
        <w:rPr>
          <w:rStyle w:val="FootnoteReference"/>
        </w:rPr>
        <w:footnoteRef/>
      </w:r>
      <w:r>
        <w:t xml:space="preserve"> </w:t>
      </w:r>
      <w:r w:rsidR="00760CD5" w:rsidRPr="00477911">
        <w:rPr>
          <w:rFonts w:cstheme="minorHAnsi"/>
          <w:sz w:val="18"/>
          <w:szCs w:val="18"/>
        </w:rPr>
        <w:t xml:space="preserve">Office of Impact Assessment, </w:t>
      </w:r>
      <w:hyperlink r:id="rId97" w:history="1">
        <w:r w:rsidR="00760CD5" w:rsidRPr="00477911">
          <w:rPr>
            <w:rStyle w:val="Hyperlink"/>
            <w:rFonts w:cstheme="minorHAnsi"/>
            <w:sz w:val="18"/>
            <w:szCs w:val="18"/>
          </w:rPr>
          <w:t>Guidance Note, Regulatory Burden Measurement Framework</w:t>
        </w:r>
      </w:hyperlink>
      <w:r w:rsidR="00760CD5" w:rsidRPr="00477911">
        <w:rPr>
          <w:rFonts w:cstheme="minorHAnsi"/>
          <w:sz w:val="18"/>
          <w:szCs w:val="18"/>
        </w:rPr>
        <w:t>, p</w:t>
      </w:r>
      <w:r w:rsidR="002B1D6F">
        <w:rPr>
          <w:rFonts w:cstheme="minorHAnsi"/>
          <w:sz w:val="18"/>
          <w:szCs w:val="18"/>
        </w:rPr>
        <w:t xml:space="preserve"> </w:t>
      </w:r>
      <w:r w:rsidR="00760CD5" w:rsidRPr="00477911">
        <w:rPr>
          <w:rFonts w:cstheme="minorHAnsi"/>
          <w:sz w:val="18"/>
          <w:szCs w:val="18"/>
        </w:rPr>
        <w:t>11</w:t>
      </w:r>
      <w:r w:rsidR="00760CD5">
        <w:rPr>
          <w:rFonts w:cstheme="minorHAnsi"/>
          <w:sz w:val="18"/>
          <w:szCs w:val="18"/>
        </w:rPr>
        <w:t xml:space="preserve"> </w:t>
      </w:r>
    </w:p>
  </w:footnote>
  <w:footnote w:id="110">
    <w:p w14:paraId="4A10C30D" w14:textId="0BA3549B" w:rsidR="00B863C3" w:rsidRDefault="00B863C3">
      <w:pPr>
        <w:pStyle w:val="FootnoteText"/>
      </w:pPr>
      <w:r w:rsidRPr="00010735">
        <w:rPr>
          <w:rStyle w:val="FootnoteReference"/>
        </w:rPr>
        <w:footnoteRef/>
      </w:r>
      <w:r w:rsidRPr="00010735">
        <w:t xml:space="preserve"> </w:t>
      </w:r>
      <w:hyperlink r:id="rId98" w:history="1">
        <w:r w:rsidR="00365C59" w:rsidRPr="00730FC8">
          <w:rPr>
            <w:rStyle w:val="Hyperlink"/>
          </w:rPr>
          <w:t>Mahlab Report</w:t>
        </w:r>
      </w:hyperlink>
      <w:r w:rsidR="00223FAD" w:rsidRPr="00F9171A">
        <w:t xml:space="preserve">, July </w:t>
      </w:r>
      <w:r w:rsidR="00365C59" w:rsidRPr="00010735">
        <w:t>2022</w:t>
      </w:r>
      <w:r w:rsidR="004D7F12" w:rsidRPr="00010735">
        <w:t xml:space="preserve">, salary for a </w:t>
      </w:r>
      <w:r w:rsidR="00431969" w:rsidRPr="00010735">
        <w:t xml:space="preserve">corporate lawyer in Sydney with 8-10 </w:t>
      </w:r>
      <w:r w:rsidR="00BC7E11" w:rsidRPr="00010735">
        <w:t>years’ experience</w:t>
      </w:r>
      <w:r w:rsidR="00FC1DD5" w:rsidRPr="00010735">
        <w:t>.</w:t>
      </w:r>
    </w:p>
  </w:footnote>
  <w:footnote w:id="111">
    <w:p w14:paraId="2F774F1F" w14:textId="7EEC8917" w:rsidR="00014ADA" w:rsidRDefault="00014ADA">
      <w:pPr>
        <w:pStyle w:val="FootnoteText"/>
      </w:pPr>
      <w:r>
        <w:rPr>
          <w:rStyle w:val="FootnoteReference"/>
        </w:rPr>
        <w:footnoteRef/>
      </w:r>
      <w:r>
        <w:t xml:space="preserve"> </w:t>
      </w:r>
      <w:r w:rsidR="002E7088">
        <w:rPr>
          <w:rFonts w:ascii="Calibri" w:hAnsi="Calibri" w:cs="Calibri"/>
          <w:color w:val="000000"/>
          <w:shd w:val="clear" w:color="auto" w:fill="FFFFFF"/>
        </w:rPr>
        <w:t xml:space="preserve">Actuaries Institute, </w:t>
      </w:r>
      <w:hyperlink r:id="rId99" w:history="1">
        <w:r w:rsidR="002E7088" w:rsidRPr="00BB4A5E">
          <w:rPr>
            <w:rStyle w:val="Hyperlink"/>
            <w:rFonts w:ascii="Calibri" w:hAnsi="Calibri" w:cs="Calibri"/>
            <w:shd w:val="clear" w:color="auto" w:fill="FFFFFF"/>
          </w:rPr>
          <w:t>The rise of the gig economy and its impact on the Australian workforce</w:t>
        </w:r>
      </w:hyperlink>
      <w:r w:rsidR="002E7088">
        <w:rPr>
          <w:rFonts w:ascii="Calibri" w:hAnsi="Calibri" w:cs="Calibri"/>
          <w:color w:val="000000"/>
          <w:shd w:val="clear" w:color="auto" w:fill="FFFFFF"/>
        </w:rPr>
        <w:t xml:space="preserve">, Green paper, </w:t>
      </w:r>
      <w:r w:rsidR="00BB4A5E">
        <w:rPr>
          <w:rFonts w:ascii="Calibri" w:hAnsi="Calibri" w:cs="Calibri"/>
          <w:color w:val="000000"/>
          <w:shd w:val="clear" w:color="auto" w:fill="FFFFFF"/>
        </w:rPr>
        <w:t xml:space="preserve">December </w:t>
      </w:r>
      <w:r w:rsidR="002E7088">
        <w:rPr>
          <w:rFonts w:ascii="Calibri" w:hAnsi="Calibri" w:cs="Calibri"/>
          <w:color w:val="000000"/>
          <w:shd w:val="clear" w:color="auto" w:fill="FFFFFF"/>
        </w:rPr>
        <w:t xml:space="preserve">2020, p. </w:t>
      </w:r>
      <w:r w:rsidR="00E148C5">
        <w:rPr>
          <w:rFonts w:ascii="Calibri" w:hAnsi="Calibri" w:cs="Calibri"/>
          <w:color w:val="000000"/>
          <w:shd w:val="clear" w:color="auto" w:fill="FFFFFF"/>
        </w:rPr>
        <w:t>14</w:t>
      </w:r>
      <w:r w:rsidR="002E7088">
        <w:rPr>
          <w:rFonts w:ascii="Calibri" w:hAnsi="Calibri" w:cs="Calibri"/>
          <w:color w:val="000000"/>
          <w:shd w:val="clear" w:color="auto" w:fill="FFFFFF"/>
        </w:rPr>
        <w:t>.</w:t>
      </w:r>
    </w:p>
  </w:footnote>
  <w:footnote w:id="112">
    <w:p w14:paraId="15654122" w14:textId="535444AB" w:rsidR="00763AA9" w:rsidRDefault="00763AA9" w:rsidP="00763AA9">
      <w:pPr>
        <w:pStyle w:val="FootnoteText"/>
      </w:pPr>
      <w:r>
        <w:rPr>
          <w:rStyle w:val="FootnoteReference"/>
        </w:rPr>
        <w:footnoteRef/>
      </w:r>
      <w:r>
        <w:t xml:space="preserve"> </w:t>
      </w:r>
      <w:r w:rsidR="006F65BF">
        <w:t>P</w:t>
      </w:r>
      <w:r>
        <w:t xml:space="preserve"> McDonald. et al., ‘</w:t>
      </w:r>
      <w:hyperlink r:id="rId100" w:history="1">
        <w:r w:rsidRPr="00FB3699">
          <w:rPr>
            <w:rStyle w:val="Hyperlink"/>
          </w:rPr>
          <w:t>Digital Platform Work in Australia: Prevalence, Nature and Impact</w:t>
        </w:r>
      </w:hyperlink>
      <w:r>
        <w:t xml:space="preserve"> (Digital platform work in Australia)’, commissioned by the Victorian Department of Premier and Cabinet, 2019.</w:t>
      </w:r>
    </w:p>
  </w:footnote>
  <w:footnote w:id="113">
    <w:p w14:paraId="688069A6" w14:textId="1779EC63" w:rsidR="00763AA9" w:rsidRDefault="00763AA9" w:rsidP="00763AA9">
      <w:pPr>
        <w:pStyle w:val="FootnoteText"/>
      </w:pPr>
      <w:r>
        <w:rPr>
          <w:rStyle w:val="FootnoteReference"/>
        </w:rPr>
        <w:footnoteRef/>
      </w:r>
      <w:r>
        <w:t xml:space="preserve"> ABS, </w:t>
      </w:r>
      <w:hyperlink r:id="rId101" w:history="1">
        <w:r w:rsidRPr="00D87A00">
          <w:rPr>
            <w:rStyle w:val="Hyperlink"/>
            <w:i/>
            <w:iCs/>
          </w:rPr>
          <w:t>Labour Force, May 2023</w:t>
        </w:r>
      </w:hyperlink>
      <w:r>
        <w:rPr>
          <w:i/>
          <w:iCs/>
        </w:rPr>
        <w:t xml:space="preserve">, </w:t>
      </w:r>
      <w:r>
        <w:t>using the seasonally adjusted estimate for April 2019.</w:t>
      </w:r>
    </w:p>
  </w:footnote>
  <w:footnote w:id="114">
    <w:p w14:paraId="2161FD44" w14:textId="5ECEB0A8" w:rsidR="00763AA9" w:rsidRDefault="00763AA9" w:rsidP="00763AA9">
      <w:pPr>
        <w:pStyle w:val="FootnoteText"/>
      </w:pPr>
      <w:r>
        <w:rPr>
          <w:rStyle w:val="FootnoteReference"/>
        </w:rPr>
        <w:footnoteRef/>
      </w:r>
      <w:r>
        <w:t xml:space="preserve"> </w:t>
      </w:r>
      <w:r w:rsidR="006F65BF">
        <w:t>P</w:t>
      </w:r>
      <w:r>
        <w:t xml:space="preserve"> McDonald et al., ‘</w:t>
      </w:r>
      <w:hyperlink r:id="rId102" w:history="1">
        <w:r w:rsidRPr="00AD257A">
          <w:rPr>
            <w:rStyle w:val="Hyperlink"/>
          </w:rPr>
          <w:t>Digital Platform Work in Australia: Prevalence, Nature and Impact</w:t>
        </w:r>
      </w:hyperlink>
      <w:r>
        <w:t xml:space="preserve"> (Digital platform work in Australia)’, commissioned by the Victorian Department of Premier and Cabinet, 2019, p. </w:t>
      </w:r>
      <w:r w:rsidR="00AD257A">
        <w:t>7</w:t>
      </w:r>
      <w:r>
        <w:t>.</w:t>
      </w:r>
    </w:p>
  </w:footnote>
  <w:footnote w:id="115">
    <w:p w14:paraId="1CCC4A04" w14:textId="0BDD2FA7" w:rsidR="006C1FAF" w:rsidRDefault="006C1FAF">
      <w:pPr>
        <w:pStyle w:val="FootnoteText"/>
      </w:pPr>
      <w:r>
        <w:rPr>
          <w:rStyle w:val="FootnoteReference"/>
        </w:rPr>
        <w:footnoteRef/>
      </w:r>
      <w:r>
        <w:t xml:space="preserve"> Calculated using the Fair Work Ombudsman </w:t>
      </w:r>
      <w:hyperlink r:id="rId103" w:history="1">
        <w:r w:rsidRPr="00DB63E1">
          <w:rPr>
            <w:rStyle w:val="Hyperlink"/>
          </w:rPr>
          <w:t>Pay and Conditions Tool</w:t>
        </w:r>
      </w:hyperlink>
      <w:r>
        <w:t xml:space="preserve"> (PACT)</w:t>
      </w:r>
      <w:r w:rsidR="000E3DF1">
        <w:t xml:space="preserve">, </w:t>
      </w:r>
      <w:r w:rsidR="00C402F3">
        <w:t>with</w:t>
      </w:r>
      <w:r w:rsidR="000E3DF1">
        <w:t xml:space="preserve"> a calculation date of 1 April 2019</w:t>
      </w:r>
      <w:r>
        <w:t>.</w:t>
      </w:r>
    </w:p>
  </w:footnote>
  <w:footnote w:id="116">
    <w:p w14:paraId="473DEC20" w14:textId="3A5C0D6D" w:rsidR="00763AA9" w:rsidRDefault="00763AA9" w:rsidP="00763AA9">
      <w:pPr>
        <w:pStyle w:val="FootnoteText"/>
      </w:pPr>
      <w:r>
        <w:rPr>
          <w:rStyle w:val="FootnoteReference"/>
        </w:rPr>
        <w:footnoteRef/>
      </w:r>
      <w:r>
        <w:t xml:space="preserve"> </w:t>
      </w:r>
      <w:r w:rsidR="001A3D2A">
        <w:t>Schedule B</w:t>
      </w:r>
      <w:r w:rsidR="001611E3">
        <w:t xml:space="preserve"> – Classification Structure and Definitions, </w:t>
      </w:r>
      <w:hyperlink r:id="rId104" w:history="1">
        <w:r w:rsidRPr="00C670AC">
          <w:rPr>
            <w:rStyle w:val="Hyperlink"/>
          </w:rPr>
          <w:t>Restaurant Industry Award</w:t>
        </w:r>
      </w:hyperlink>
      <w:r>
        <w:t>, as at April 2019</w:t>
      </w:r>
      <w:r w:rsidR="002E74BB">
        <w:t>.</w:t>
      </w:r>
      <w:r>
        <w:t xml:space="preserve"> Level 2 – means an employee who has not achieve the appropriate level of training and who is engaged in a variety of tasks, including “performing delivery duties”</w:t>
      </w:r>
    </w:p>
  </w:footnote>
  <w:footnote w:id="117">
    <w:p w14:paraId="2D9859F9" w14:textId="1127986C" w:rsidR="00763AA9" w:rsidRDefault="00763AA9" w:rsidP="00763AA9">
      <w:pPr>
        <w:pStyle w:val="FootnoteText"/>
      </w:pPr>
      <w:r>
        <w:rPr>
          <w:rStyle w:val="FootnoteReference"/>
        </w:rPr>
        <w:footnoteRef/>
      </w:r>
      <w:r>
        <w:t xml:space="preserve"> </w:t>
      </w:r>
      <w:r w:rsidR="0079335B">
        <w:t>Schedule B – Classifications,</w:t>
      </w:r>
      <w:r>
        <w:t xml:space="preserve"> </w:t>
      </w:r>
      <w:hyperlink r:id="rId105" w:history="1">
        <w:r w:rsidR="00DC6482" w:rsidRPr="00794174">
          <w:rPr>
            <w:rStyle w:val="Hyperlink"/>
          </w:rPr>
          <w:t>Passenger Vehicle Transportation Award</w:t>
        </w:r>
      </w:hyperlink>
      <w:r w:rsidR="00DC6482">
        <w:t>,</w:t>
      </w:r>
      <w:r>
        <w:t xml:space="preserve"> </w:t>
      </w:r>
      <w:r w:rsidR="004A7C89">
        <w:t>as at April 2019</w:t>
      </w:r>
      <w:r w:rsidR="002E74BB">
        <w:t xml:space="preserve">. </w:t>
      </w:r>
      <w:r>
        <w:t xml:space="preserve">Grade 2 employees include </w:t>
      </w:r>
      <w:r w:rsidRPr="005001F6">
        <w:t>a driver of a motor vehicle, limousine or hire car capable of carrying less than 8 persons and used for hire or reward but excluding motor vehicles used for private purposes.</w:t>
      </w:r>
    </w:p>
  </w:footnote>
  <w:footnote w:id="118">
    <w:p w14:paraId="48C070D6" w14:textId="787BD3C1" w:rsidR="00763AA9" w:rsidRDefault="00763AA9" w:rsidP="00763AA9">
      <w:pPr>
        <w:pStyle w:val="FootnoteText"/>
      </w:pPr>
      <w:r w:rsidRPr="00AD1A1E">
        <w:rPr>
          <w:rStyle w:val="FootnoteReference"/>
        </w:rPr>
        <w:footnoteRef/>
      </w:r>
      <w:r w:rsidRPr="000F1CC8">
        <w:rPr>
          <w:vertAlign w:val="superscript"/>
        </w:rPr>
        <w:t xml:space="preserve"> </w:t>
      </w:r>
      <w:r w:rsidR="00794174" w:rsidRPr="004C76F0">
        <w:t>S</w:t>
      </w:r>
      <w:r w:rsidR="00B52022" w:rsidRPr="004C76F0">
        <w:t xml:space="preserve">chedule E – Classification </w:t>
      </w:r>
      <w:r w:rsidR="00BE760E" w:rsidRPr="004C76F0">
        <w:t>Definitions – Home Care Employees</w:t>
      </w:r>
      <w:hyperlink r:id="rId106" w:history="1">
        <w:r w:rsidR="00BE760E" w:rsidRPr="00E87ABA">
          <w:rPr>
            <w:rStyle w:val="Hyperlink"/>
          </w:rPr>
          <w:t xml:space="preserve">, </w:t>
        </w:r>
        <w:r w:rsidR="00794174" w:rsidRPr="00E87ABA">
          <w:rPr>
            <w:rStyle w:val="Hyperlink"/>
          </w:rPr>
          <w:t>Social, Community, Home Care and Disability Services Industry Award</w:t>
        </w:r>
      </w:hyperlink>
      <w:r w:rsidR="00794174">
        <w:t xml:space="preserve">, </w:t>
      </w:r>
      <w:r w:rsidR="004A7C89">
        <w:t>as at April 2019</w:t>
      </w:r>
      <w:r w:rsidR="002F46E4">
        <w:t>.</w:t>
      </w:r>
      <w:r w:rsidR="004A7C89">
        <w:t xml:space="preserve"> </w:t>
      </w:r>
      <w:r>
        <w:t xml:space="preserve">Home Care Employee Level 2 - </w:t>
      </w:r>
      <w:r w:rsidRPr="000F1CC8">
        <w:t>Indicative but not exclusive tasks include: the provision of personal care, supervising daily hygiene, laying out clothes and assisting in dressing, make beds, tidy rooms, preparation and cooking of meals and assistance with meals, dry cleaning, perform gardening duties, undertake basic repairs, clean, fitting and removal of aids and appliances, monitoring medications, fitting and changing of catheters, assistance with communication, accompanying clients on outings, domestics assistance and organising appointments.</w:t>
      </w:r>
    </w:p>
  </w:footnote>
  <w:footnote w:id="119">
    <w:p w14:paraId="19B5913E" w14:textId="4177860E" w:rsidR="00763AA9" w:rsidRDefault="00763AA9" w:rsidP="00763AA9">
      <w:pPr>
        <w:pStyle w:val="FootnoteText"/>
      </w:pPr>
      <w:r>
        <w:rPr>
          <w:rStyle w:val="FootnoteReference"/>
        </w:rPr>
        <w:footnoteRef/>
      </w:r>
      <w:r>
        <w:t xml:space="preserve"> DPC, </w:t>
      </w:r>
      <w:hyperlink r:id="rId107" w:history="1">
        <w:r w:rsidRPr="00A271A9">
          <w:rPr>
            <w:rStyle w:val="Hyperlink"/>
            <w:i/>
          </w:rPr>
          <w:t>Report of the Inquiry into the Victorian On-Demand Workforce</w:t>
        </w:r>
      </w:hyperlink>
      <w:r>
        <w:t xml:space="preserve">, p. </w:t>
      </w:r>
      <w:r w:rsidR="002A28BA">
        <w:t>40</w:t>
      </w:r>
      <w:r>
        <w:t>.</w:t>
      </w:r>
    </w:p>
  </w:footnote>
  <w:footnote w:id="120">
    <w:p w14:paraId="6591C6A5" w14:textId="16D41F8E" w:rsidR="00763AA9" w:rsidRDefault="00763AA9" w:rsidP="00763AA9">
      <w:pPr>
        <w:pStyle w:val="FootnoteText"/>
      </w:pPr>
      <w:r>
        <w:rPr>
          <w:rStyle w:val="FootnoteReference"/>
        </w:rPr>
        <w:footnoteRef/>
      </w:r>
      <w:r>
        <w:t xml:space="preserve"> ABS, </w:t>
      </w:r>
      <w:hyperlink r:id="rId108" w:history="1">
        <w:r w:rsidRPr="00567D53">
          <w:rPr>
            <w:rStyle w:val="Hyperlink"/>
            <w:i/>
          </w:rPr>
          <w:t>Australian National Accounts: National Income, Expenditure and Product, March 2023</w:t>
        </w:r>
      </w:hyperlink>
      <w:r>
        <w:t>. Calculated using compensation of employees – wages and salaries, seasonally adjusted data.</w:t>
      </w:r>
    </w:p>
  </w:footnote>
  <w:footnote w:id="121">
    <w:p w14:paraId="5B7E9A45" w14:textId="6F73FF12" w:rsidR="0023723E" w:rsidRDefault="0023723E">
      <w:pPr>
        <w:pStyle w:val="FootnoteText"/>
      </w:pPr>
      <w:r>
        <w:rPr>
          <w:rStyle w:val="FootnoteReference"/>
        </w:rPr>
        <w:footnoteRef/>
      </w:r>
      <w:r>
        <w:t xml:space="preserve"> Uber, </w:t>
      </w:r>
      <w:hyperlink r:id="rId109" w:history="1">
        <w:r w:rsidRPr="00567D53">
          <w:rPr>
            <w:rStyle w:val="Hyperlink"/>
          </w:rPr>
          <w:t>‘</w:t>
        </w:r>
        <w:r w:rsidR="00636D4B" w:rsidRPr="00567D53">
          <w:rPr>
            <w:rStyle w:val="Hyperlink"/>
          </w:rPr>
          <w:t>Flexibility works’</w:t>
        </w:r>
      </w:hyperlink>
      <w:r w:rsidR="00B65938">
        <w:t xml:space="preserve">, March </w:t>
      </w:r>
      <w:r w:rsidR="008E64C0">
        <w:t>2023.</w:t>
      </w:r>
    </w:p>
  </w:footnote>
  <w:footnote w:id="122">
    <w:p w14:paraId="28F17188" w14:textId="02E78B03" w:rsidR="00763AA9" w:rsidRDefault="00763AA9" w:rsidP="00763AA9">
      <w:pPr>
        <w:pStyle w:val="FootnoteText"/>
      </w:pPr>
      <w:r>
        <w:rPr>
          <w:rStyle w:val="FootnoteReference"/>
        </w:rPr>
        <w:footnoteRef/>
      </w:r>
      <w:r w:rsidR="5974407A">
        <w:t xml:space="preserve"> Australian Bureau of Statistics (ABS), </w:t>
      </w:r>
      <w:hyperlink r:id="rId110" w:history="1">
        <w:r w:rsidR="5974407A" w:rsidRPr="5974407A">
          <w:rPr>
            <w:rStyle w:val="Hyperlink"/>
            <w:i/>
            <w:iCs/>
          </w:rPr>
          <w:t>Australian National Accounts: National Income, Expenditure and Product, March 2023</w:t>
        </w:r>
      </w:hyperlink>
      <w:r w:rsidR="5974407A">
        <w:t>, ABS website, June 2023. Calculated using compensation of employees – wages and salaries, seasonally adjusted data.</w:t>
      </w:r>
    </w:p>
  </w:footnote>
  <w:footnote w:id="123">
    <w:p w14:paraId="519D2D6C" w14:textId="3067A455" w:rsidR="00763AA9" w:rsidRDefault="00763AA9" w:rsidP="00763AA9">
      <w:pPr>
        <w:pStyle w:val="FootnoteText"/>
      </w:pPr>
      <w:r>
        <w:rPr>
          <w:rStyle w:val="FootnoteReference"/>
        </w:rPr>
        <w:footnoteRef/>
      </w:r>
      <w:r w:rsidR="49F43296">
        <w:t xml:space="preserve"> Australian Bureau of Statistics (ABS), </w:t>
      </w:r>
      <w:hyperlink r:id="rId111" w:history="1">
        <w:r w:rsidR="49F43296" w:rsidRPr="49F43296">
          <w:rPr>
            <w:rStyle w:val="Hyperlink"/>
            <w:i/>
            <w:iCs/>
          </w:rPr>
          <w:t>Australian National Accounts: National Income, Expenditure and Product, March 2023</w:t>
        </w:r>
      </w:hyperlink>
      <w:r w:rsidR="49F43296">
        <w:t>. Calculated using compensation of employees – wages and salaries, seasonally adjusted data.</w:t>
      </w:r>
    </w:p>
  </w:footnote>
  <w:footnote w:id="124">
    <w:p w14:paraId="09B09862" w14:textId="15A60BAF" w:rsidR="00E02B6F" w:rsidRDefault="00E02B6F">
      <w:pPr>
        <w:pStyle w:val="FootnoteText"/>
      </w:pPr>
      <w:r>
        <w:rPr>
          <w:rStyle w:val="FootnoteReference"/>
        </w:rPr>
        <w:footnoteRef/>
      </w:r>
      <w:r>
        <w:t xml:space="preserve"> </w:t>
      </w:r>
      <w:hyperlink r:id="rId112" w:history="1">
        <w:r w:rsidR="0090183B" w:rsidRPr="00FE2F03">
          <w:rPr>
            <w:rStyle w:val="Hyperlink"/>
          </w:rPr>
          <w:t>Budget 2023-24</w:t>
        </w:r>
      </w:hyperlink>
      <w:r w:rsidR="0090183B">
        <w:t xml:space="preserve"> CPI forecast for 2025-26</w:t>
      </w:r>
    </w:p>
  </w:footnote>
  <w:footnote w:id="125">
    <w:p w14:paraId="494C162F" w14:textId="31C9C237" w:rsidR="003C5E9F" w:rsidRDefault="003C5E9F" w:rsidP="003C5E9F">
      <w:pPr>
        <w:pStyle w:val="FootnoteText"/>
      </w:pPr>
      <w:r>
        <w:rPr>
          <w:rStyle w:val="FootnoteReference"/>
        </w:rPr>
        <w:footnoteRef/>
      </w:r>
      <w:r>
        <w:t xml:space="preserve"> Treasury, </w:t>
      </w:r>
      <w:hyperlink r:id="rId113" w:history="1">
        <w:r w:rsidRPr="006A61AB">
          <w:rPr>
            <w:rStyle w:val="Hyperlink"/>
          </w:rPr>
          <w:t>Budget 2023-24</w:t>
        </w:r>
      </w:hyperlink>
      <w:r>
        <w:t>, Budget Paper 1, Table 1.1.</w:t>
      </w:r>
    </w:p>
  </w:footnote>
  <w:footnote w:id="126">
    <w:p w14:paraId="3F277215" w14:textId="77777777" w:rsidR="00DC1D12" w:rsidRDefault="00DC1D12" w:rsidP="00DC1D12">
      <w:pPr>
        <w:pStyle w:val="FootnoteText"/>
      </w:pPr>
      <w:r>
        <w:rPr>
          <w:rStyle w:val="FootnoteReference"/>
        </w:rPr>
        <w:footnoteRef/>
      </w:r>
      <w:r>
        <w:t xml:space="preserve"> D Lancaster, </w:t>
      </w:r>
      <w:hyperlink r:id="rId114" w:history="1">
        <w:r w:rsidRPr="008B793A">
          <w:rPr>
            <w:rStyle w:val="Hyperlink"/>
            <w:i/>
          </w:rPr>
          <w:t>The financial cost of job loss in Australia</w:t>
        </w:r>
      </w:hyperlink>
      <w:r>
        <w:t xml:space="preserve">, Reserve Bank of Australia, 2021. </w:t>
      </w:r>
    </w:p>
  </w:footnote>
  <w:footnote w:id="127">
    <w:p w14:paraId="661E9C9C" w14:textId="2D616E57" w:rsidR="00AD75C3" w:rsidRPr="00591CD7" w:rsidRDefault="00AD75C3" w:rsidP="00AD75C3">
      <w:pPr>
        <w:pStyle w:val="FootnoteText"/>
        <w:rPr>
          <w:i/>
          <w:iCs/>
        </w:rPr>
      </w:pPr>
      <w:r>
        <w:rPr>
          <w:rStyle w:val="FootnoteReference"/>
        </w:rPr>
        <w:footnoteRef/>
      </w:r>
      <w:r>
        <w:t xml:space="preserve"> </w:t>
      </w:r>
      <w:r w:rsidR="4AA05FD3">
        <w:t>Australian Bureau of Statistics (</w:t>
      </w:r>
      <w:r>
        <w:t>ABS</w:t>
      </w:r>
      <w:r w:rsidR="4AA05FD3">
        <w:t>),</w:t>
      </w:r>
      <w:r>
        <w:t xml:space="preserve"> </w:t>
      </w:r>
      <w:hyperlink r:id="rId115" w:history="1">
        <w:r w:rsidR="008A2734" w:rsidRPr="008A2734">
          <w:rPr>
            <w:rStyle w:val="Hyperlink"/>
            <w:i/>
            <w:iCs/>
          </w:rPr>
          <w:t>Participation, Job Search and Mobility</w:t>
        </w:r>
      </w:hyperlink>
      <w:r>
        <w:rPr>
          <w:i/>
          <w:iCs/>
        </w:rPr>
        <w:t>, February 2022</w:t>
      </w:r>
      <w:r w:rsidR="4BE6C7BC" w:rsidRPr="4BE6C7BC">
        <w:rPr>
          <w:i/>
          <w:iCs/>
        </w:rPr>
        <w:t xml:space="preserve">, </w:t>
      </w:r>
      <w:r w:rsidR="4BE6C7BC" w:rsidRPr="00F9171A">
        <w:t>[TableBuilder]</w:t>
      </w:r>
      <w:r w:rsidR="4BE6C7BC" w:rsidRPr="4BE6C7BC">
        <w:rPr>
          <w:i/>
          <w:iCs/>
        </w:rPr>
        <w:t>.</w:t>
      </w:r>
    </w:p>
  </w:footnote>
  <w:footnote w:id="128">
    <w:p w14:paraId="60907806" w14:textId="77777777" w:rsidR="003E15CF" w:rsidRDefault="003E15CF" w:rsidP="003E15CF">
      <w:pPr>
        <w:pStyle w:val="FootnoteText"/>
      </w:pPr>
      <w:r>
        <w:rPr>
          <w:rStyle w:val="FootnoteReference"/>
        </w:rPr>
        <w:footnoteRef/>
      </w:r>
      <w:r>
        <w:t xml:space="preserve"> Department of Premier and Cabinet (DPC), </w:t>
      </w:r>
      <w:hyperlink r:id="rId116" w:history="1">
        <w:r w:rsidRPr="20EC82BA">
          <w:rPr>
            <w:rStyle w:val="Hyperlink"/>
            <w:i/>
            <w:iCs/>
          </w:rPr>
          <w:t>Report of the Inquiry into the Victorian On-Demand Workforce</w:t>
        </w:r>
      </w:hyperlink>
      <w:r>
        <w:t xml:space="preserve">, DPC website, n.d. p 84. </w:t>
      </w:r>
    </w:p>
  </w:footnote>
  <w:footnote w:id="129">
    <w:p w14:paraId="21596057" w14:textId="77777777" w:rsidR="003E15CF" w:rsidRDefault="003E15CF" w:rsidP="003E15CF">
      <w:pPr>
        <w:pStyle w:val="FootnoteText"/>
      </w:pPr>
      <w:r>
        <w:rPr>
          <w:rStyle w:val="FootnoteReference"/>
        </w:rPr>
        <w:footnoteRef/>
      </w:r>
      <w:r>
        <w:t xml:space="preserve"> DPC, </w:t>
      </w:r>
      <w:hyperlink r:id="rId117" w:history="1">
        <w:r w:rsidRPr="00ED4892">
          <w:rPr>
            <w:rStyle w:val="Hyperlink"/>
            <w:i/>
            <w:iCs/>
          </w:rPr>
          <w:t>Report of the Inquiry into the Victorian On-Demand Workforce</w:t>
        </w:r>
      </w:hyperlink>
      <w:r>
        <w:t>, p 84.</w:t>
      </w:r>
    </w:p>
  </w:footnote>
  <w:footnote w:id="130">
    <w:p w14:paraId="2997F4B0" w14:textId="317069AA" w:rsidR="00CC09F5" w:rsidRDefault="00CC09F5" w:rsidP="00CC09F5">
      <w:pPr>
        <w:pStyle w:val="FootnoteText"/>
      </w:pPr>
      <w:r>
        <w:rPr>
          <w:rStyle w:val="FootnoteReference"/>
        </w:rPr>
        <w:footnoteRef/>
      </w:r>
      <w:r>
        <w:t xml:space="preserve"> Hireup, ‘</w:t>
      </w:r>
      <w:hyperlink r:id="rId118" w:history="1">
        <w:r w:rsidRPr="168EC16B">
          <w:rPr>
            <w:rStyle w:val="Hyperlink"/>
          </w:rPr>
          <w:t>Support worker pay rates</w:t>
        </w:r>
      </w:hyperlink>
      <w:r>
        <w:t>’, 2023.</w:t>
      </w:r>
    </w:p>
  </w:footnote>
  <w:footnote w:id="131">
    <w:p w14:paraId="4592DF93" w14:textId="77777777" w:rsidR="00CC09F5" w:rsidRDefault="00CC09F5" w:rsidP="00CC09F5">
      <w:pPr>
        <w:pStyle w:val="FootnoteText"/>
      </w:pPr>
      <w:r>
        <w:rPr>
          <w:rStyle w:val="FootnoteReference"/>
        </w:rPr>
        <w:footnoteRef/>
      </w:r>
      <w:r>
        <w:t xml:space="preserve"> Department of Premier and Cabinet (DPC), </w:t>
      </w:r>
      <w:hyperlink r:id="rId119" w:history="1">
        <w:r w:rsidRPr="20EC82BA">
          <w:rPr>
            <w:rStyle w:val="Hyperlink"/>
            <w:i/>
            <w:iCs/>
          </w:rPr>
          <w:t>Report of the Inquiry into the Victorian On-Demand Workforce</w:t>
        </w:r>
      </w:hyperlink>
      <w:r>
        <w:t>,  p. 89.</w:t>
      </w:r>
    </w:p>
  </w:footnote>
  <w:footnote w:id="132">
    <w:p w14:paraId="2446D09F" w14:textId="77777777" w:rsidR="008A7F65" w:rsidRDefault="008A7F65" w:rsidP="008A7F65">
      <w:pPr>
        <w:pStyle w:val="FootnoteText"/>
      </w:pPr>
      <w:r>
        <w:rPr>
          <w:rStyle w:val="FootnoteReference"/>
        </w:rPr>
        <w:footnoteRef/>
      </w:r>
      <w:r>
        <w:t xml:space="preserve"> For example – Marin-Guzman, D. Industry says Labor gig worker laws will drive up NDIS costs, Australian Financial Review, 2023, p. 4. </w:t>
      </w:r>
    </w:p>
  </w:footnote>
  <w:footnote w:id="133">
    <w:p w14:paraId="4BBE2B51" w14:textId="77777777" w:rsidR="008A7F65" w:rsidRDefault="008A7F65" w:rsidP="008A7F65">
      <w:pPr>
        <w:pStyle w:val="FootnoteText"/>
      </w:pPr>
      <w:r>
        <w:rPr>
          <w:rStyle w:val="FootnoteReference"/>
        </w:rPr>
        <w:footnoteRef/>
      </w:r>
      <w:r>
        <w:t xml:space="preserve"> National Disability Insurance Scheme (NDIS), Disability Support Worker Cost Model – Assumptions and methodology 2022-23, 2022.</w:t>
      </w:r>
    </w:p>
  </w:footnote>
  <w:footnote w:id="134">
    <w:p w14:paraId="4A364E22" w14:textId="77777777" w:rsidR="008A7F65" w:rsidRDefault="008A7F65" w:rsidP="008A7F65">
      <w:pPr>
        <w:pStyle w:val="FootnoteText"/>
      </w:pPr>
      <w:r>
        <w:rPr>
          <w:rStyle w:val="FootnoteReference"/>
        </w:rPr>
        <w:footnoteRef/>
      </w:r>
      <w:r>
        <w:t xml:space="preserve"> Australian Government Productivity Commission, </w:t>
      </w:r>
      <w:hyperlink r:id="rId120" w:history="1">
        <w:r w:rsidRPr="49F43296">
          <w:rPr>
            <w:rStyle w:val="Hyperlink"/>
            <w:i/>
            <w:iCs/>
          </w:rPr>
          <w:t>Aged Care Employment</w:t>
        </w:r>
      </w:hyperlink>
      <w:r w:rsidRPr="49F43296">
        <w:rPr>
          <w:i/>
          <w:iCs/>
        </w:rPr>
        <w:t xml:space="preserve">, </w:t>
      </w:r>
      <w:r>
        <w:t>2022, p 2.</w:t>
      </w:r>
    </w:p>
  </w:footnote>
  <w:footnote w:id="135">
    <w:p w14:paraId="20604964" w14:textId="77777777" w:rsidR="008A7F65" w:rsidRDefault="008A7F65" w:rsidP="008A7F65">
      <w:pPr>
        <w:pStyle w:val="FootnoteText"/>
      </w:pPr>
      <w:r>
        <w:rPr>
          <w:rStyle w:val="FootnoteReference"/>
        </w:rPr>
        <w:footnoteRef/>
      </w:r>
      <w:r>
        <w:t xml:space="preserve"> Australian Government, </w:t>
      </w:r>
      <w:hyperlink r:id="rId121" w:history="1">
        <w:r w:rsidRPr="00275423">
          <w:rPr>
            <w:rStyle w:val="Hyperlink"/>
          </w:rPr>
          <w:t>A Matter of Care: Australia’s Aged Care Workforce Strategy</w:t>
        </w:r>
      </w:hyperlink>
      <w:r>
        <w:t xml:space="preserve">, </w:t>
      </w:r>
      <w:r w:rsidRPr="00EA2C8F">
        <w:rPr>
          <w:i/>
          <w:iCs/>
        </w:rPr>
        <w:t>Report of the Aged Care Workforce Strategy Taskforce</w:t>
      </w:r>
      <w:r>
        <w:t xml:space="preserve">, 2018; McDonald, F. </w:t>
      </w:r>
      <w:hyperlink r:id="rId122" w:history="1">
        <w:r w:rsidRPr="00ED56D4">
          <w:rPr>
            <w:rStyle w:val="Hyperlink"/>
            <w:i/>
            <w:iCs/>
          </w:rPr>
          <w:t>Unacceptable Risks: The Dangers of Gig Models of Care and Support Work</w:t>
        </w:r>
      </w:hyperlink>
      <w:r>
        <w:rPr>
          <w:i/>
          <w:iCs/>
        </w:rPr>
        <w:t xml:space="preserve">, </w:t>
      </w:r>
      <w:r>
        <w:t>The Centre for Future Work at the Australia Institute, 2023, pp 20-22.</w:t>
      </w:r>
    </w:p>
  </w:footnote>
  <w:footnote w:id="136">
    <w:p w14:paraId="2C4F3196" w14:textId="1E558324" w:rsidR="00B15607" w:rsidRDefault="00B15607">
      <w:pPr>
        <w:pStyle w:val="FootnoteText"/>
      </w:pPr>
      <w:r>
        <w:rPr>
          <w:rStyle w:val="FootnoteReference"/>
        </w:rPr>
        <w:footnoteRef/>
      </w:r>
      <w:r>
        <w:t xml:space="preserve"> </w:t>
      </w:r>
      <w:r w:rsidRPr="00A54C6D">
        <w:t>This figure is the estimated direct increase in compliance costs to affected businesses as a result of the proposal. Due to data constraints that do not allow for an estimate of the total number of businesses impacted by Option 2, this is expressed as a per business cost. This figure is an average annualised cost</w:t>
      </w:r>
      <w:r w:rsidR="00525F57" w:rsidRPr="00A54C6D">
        <w:t xml:space="preserve"> over 10 years</w:t>
      </w:r>
      <w:r w:rsidR="002877B9" w:rsidRPr="00A54C6D">
        <w:t>.</w:t>
      </w:r>
    </w:p>
  </w:footnote>
  <w:footnote w:id="137">
    <w:p w14:paraId="26401834" w14:textId="40925F92" w:rsidR="003044CE" w:rsidRPr="00DA259A" w:rsidRDefault="003044CE">
      <w:pPr>
        <w:pStyle w:val="FootnoteText"/>
      </w:pPr>
      <w:r w:rsidRPr="00DA259A">
        <w:rPr>
          <w:rStyle w:val="FootnoteReference"/>
        </w:rPr>
        <w:footnoteRef/>
      </w:r>
      <w:r w:rsidRPr="00DA259A">
        <w:t xml:space="preserve"> ‘last mile</w:t>
      </w:r>
      <w:r w:rsidR="005F79F6">
        <w:t xml:space="preserve"> delivery</w:t>
      </w:r>
      <w:r w:rsidRPr="00DA259A">
        <w:t>’ here is defined as the Postal and courier pick-up and delivery services industry.</w:t>
      </w:r>
    </w:p>
  </w:footnote>
  <w:footnote w:id="138">
    <w:p w14:paraId="3AD21B1C" w14:textId="4A694273" w:rsidR="00B16AC0" w:rsidRPr="00A063C4" w:rsidRDefault="00B16AC0" w:rsidP="00B16AC0">
      <w:pPr>
        <w:pStyle w:val="FootnoteText"/>
      </w:pPr>
      <w:r>
        <w:rPr>
          <w:rStyle w:val="FootnoteReference"/>
        </w:rPr>
        <w:footnoteRef/>
      </w:r>
      <w:r>
        <w:t xml:space="preserve"> It sh</w:t>
      </w:r>
      <w:r w:rsidRPr="00A063C4">
        <w:t xml:space="preserve">ould be noted that the median hours worked for owner managers in the </w:t>
      </w:r>
      <w:r w:rsidR="00336D51" w:rsidRPr="00DA259A">
        <w:t>last mile delivery</w:t>
      </w:r>
      <w:r w:rsidRPr="00A063C4">
        <w:t xml:space="preserve"> sector exceed the full-time hours noted in the award (40-44 hours per week compared to 38 hours). As such, the negative wage gap between these earnings and the award may be larger than an hourly comparison would estimate.</w:t>
      </w:r>
    </w:p>
  </w:footnote>
  <w:footnote w:id="139">
    <w:p w14:paraId="5B2D9E64" w14:textId="250077DE" w:rsidR="00377EB3" w:rsidRDefault="00377EB3">
      <w:pPr>
        <w:pStyle w:val="FootnoteText"/>
      </w:pPr>
      <w:r w:rsidRPr="007E6141">
        <w:rPr>
          <w:rStyle w:val="FootnoteReference"/>
        </w:rPr>
        <w:footnoteRef/>
      </w:r>
      <w:r w:rsidRPr="007E6141">
        <w:t xml:space="preserve"> Note that these figures have been rounded for ease of reading. Unrounded figures have been used for calculations in this section which may affect totals.</w:t>
      </w:r>
    </w:p>
  </w:footnote>
  <w:footnote w:id="140">
    <w:p w14:paraId="3C6BA366" w14:textId="43270A85" w:rsidR="00D85E2F" w:rsidRDefault="00D85E2F" w:rsidP="00D85E2F">
      <w:pPr>
        <w:pStyle w:val="FootnoteText"/>
      </w:pPr>
      <w:r w:rsidRPr="00A063C4">
        <w:rPr>
          <w:rStyle w:val="FootnoteReference"/>
        </w:rPr>
        <w:footnoteRef/>
      </w:r>
      <w:r w:rsidRPr="00A063C4">
        <w:t xml:space="preserve"> This figure includes the </w:t>
      </w:r>
      <w:r w:rsidR="1B4E0158" w:rsidRPr="00A063C4">
        <w:t>2021-22</w:t>
      </w:r>
      <w:r w:rsidRPr="00A063C4">
        <w:t xml:space="preserve"> AWR decision increase of $40 per week for relevant award rates, and the </w:t>
      </w:r>
      <w:r w:rsidR="1B4E0158" w:rsidRPr="00A063C4">
        <w:t>2022-23</w:t>
      </w:r>
      <w:r w:rsidRPr="00A063C4">
        <w:t xml:space="preserve"> AWR decision increase of 5.75 per cent, and a further increase of 2.</w:t>
      </w:r>
      <w:r w:rsidR="00CF6DCB">
        <w:t xml:space="preserve">75 per cent (the forecast inflation rate in </w:t>
      </w:r>
      <w:r w:rsidR="001479A1">
        <w:t xml:space="preserve">2024-25), and </w:t>
      </w:r>
      <w:r w:rsidRPr="00A063C4">
        <w:t xml:space="preserve">2.5 per cent (the forecast inflation rate) </w:t>
      </w:r>
      <w:r w:rsidR="0081633A">
        <w:t>from</w:t>
      </w:r>
      <w:r w:rsidR="0081633A" w:rsidRPr="00A063C4">
        <w:t xml:space="preserve"> </w:t>
      </w:r>
      <w:r w:rsidRPr="00A063C4">
        <w:t xml:space="preserve">2025-26 </w:t>
      </w:r>
      <w:r w:rsidR="0081633A">
        <w:t xml:space="preserve">to 2028-29 </w:t>
      </w:r>
      <w:r w:rsidRPr="00A063C4">
        <w:t>when the minimum standards are predicted to take effect.</w:t>
      </w:r>
    </w:p>
  </w:footnote>
  <w:footnote w:id="141">
    <w:p w14:paraId="3967CFA6" w14:textId="4BCB7ADD" w:rsidR="49909354" w:rsidRPr="00A54C6D" w:rsidRDefault="49909354">
      <w:pPr>
        <w:rPr>
          <w:sz w:val="20"/>
          <w:szCs w:val="20"/>
        </w:rPr>
      </w:pPr>
      <w:r w:rsidRPr="00A54C6D">
        <w:rPr>
          <w:sz w:val="20"/>
          <w:szCs w:val="20"/>
          <w:vertAlign w:val="superscript"/>
        </w:rPr>
        <w:footnoteRef/>
      </w:r>
      <w:r w:rsidR="0E3DC50E" w:rsidRPr="00A54C6D">
        <w:rPr>
          <w:sz w:val="20"/>
          <w:szCs w:val="20"/>
        </w:rPr>
        <w:t xml:space="preserve"> This figure assumes the Fair Work Commission makes an update to the award to reflect the projected rate of inflation over the period from 2028-29 to 203</w:t>
      </w:r>
      <w:r w:rsidR="004718F9">
        <w:rPr>
          <w:sz w:val="20"/>
          <w:szCs w:val="20"/>
        </w:rPr>
        <w:t>2-33</w:t>
      </w:r>
      <w:r w:rsidR="0E3DC50E" w:rsidRPr="00A54C6D">
        <w:rPr>
          <w:sz w:val="20"/>
          <w:szCs w:val="20"/>
        </w:rPr>
        <w:t>.</w:t>
      </w:r>
    </w:p>
  </w:footnote>
  <w:footnote w:id="142">
    <w:p w14:paraId="181AD8D5" w14:textId="77777777" w:rsidR="006D410A" w:rsidRDefault="006D410A" w:rsidP="006D410A">
      <w:pPr>
        <w:pStyle w:val="FootnoteText"/>
      </w:pPr>
      <w:r>
        <w:rPr>
          <w:rStyle w:val="FootnoteReference"/>
        </w:rPr>
        <w:footnoteRef/>
      </w:r>
      <w:r>
        <w:t xml:space="preserve"> Australian Industry Standards, </w:t>
      </w:r>
      <w:r w:rsidRPr="00573634">
        <w:rPr>
          <w:i/>
          <w:iCs/>
        </w:rPr>
        <w:t>Industry Outlook: transport and logistics</w:t>
      </w:r>
      <w:r>
        <w:t>, 2021.</w:t>
      </w:r>
    </w:p>
  </w:footnote>
  <w:footnote w:id="143">
    <w:p w14:paraId="53BB8AF6" w14:textId="57011B7B" w:rsidR="002374D5" w:rsidRDefault="002374D5">
      <w:pPr>
        <w:pStyle w:val="FootnoteText"/>
      </w:pPr>
      <w:r>
        <w:rPr>
          <w:rStyle w:val="FootnoteReference"/>
        </w:rPr>
        <w:footnoteRef/>
      </w:r>
      <w:r>
        <w:t xml:space="preserve"> </w:t>
      </w:r>
      <w:r w:rsidR="00C5575A" w:rsidRPr="6A243CED">
        <w:rPr>
          <w:sz w:val="18"/>
          <w:szCs w:val="18"/>
        </w:rPr>
        <w:t xml:space="preserve">This figure is the estimated direct increase </w:t>
      </w:r>
      <w:r w:rsidR="00C5575A">
        <w:rPr>
          <w:sz w:val="18"/>
          <w:szCs w:val="18"/>
        </w:rPr>
        <w:t xml:space="preserve">in </w:t>
      </w:r>
      <w:r w:rsidR="00C5575A" w:rsidRPr="6A243CED">
        <w:rPr>
          <w:sz w:val="18"/>
          <w:szCs w:val="18"/>
        </w:rPr>
        <w:t xml:space="preserve">compliance costs </w:t>
      </w:r>
      <w:r w:rsidR="00C5575A">
        <w:rPr>
          <w:sz w:val="18"/>
          <w:szCs w:val="18"/>
        </w:rPr>
        <w:t xml:space="preserve">to affected businesses </w:t>
      </w:r>
      <w:r w:rsidR="00C5575A" w:rsidRPr="6A243CED">
        <w:rPr>
          <w:sz w:val="18"/>
          <w:szCs w:val="18"/>
        </w:rPr>
        <w:t xml:space="preserve">as a result of the proposal. </w:t>
      </w:r>
      <w:r w:rsidR="00C5575A">
        <w:rPr>
          <w:sz w:val="18"/>
          <w:szCs w:val="18"/>
        </w:rPr>
        <w:t>Due to data constraints</w:t>
      </w:r>
      <w:r w:rsidR="00886B52">
        <w:rPr>
          <w:sz w:val="18"/>
          <w:szCs w:val="18"/>
        </w:rPr>
        <w:t xml:space="preserve"> that do not allow for an estimate of the total number of businesses impacted by the options</w:t>
      </w:r>
      <w:r w:rsidR="00C5575A">
        <w:rPr>
          <w:sz w:val="18"/>
          <w:szCs w:val="18"/>
        </w:rPr>
        <w:t>, this is expressed as a per business and per worker cost.</w:t>
      </w:r>
      <w:r w:rsidR="0070236E">
        <w:rPr>
          <w:sz w:val="18"/>
          <w:szCs w:val="18"/>
        </w:rPr>
        <w:t xml:space="preserve"> Only businesses within the scope of each option will </w:t>
      </w:r>
      <w:r w:rsidR="00BA2076">
        <w:rPr>
          <w:sz w:val="18"/>
          <w:szCs w:val="18"/>
        </w:rPr>
        <w:t>be impacted by these estimated costs</w:t>
      </w:r>
      <w:r w:rsidR="0070015A">
        <w:rPr>
          <w:sz w:val="18"/>
          <w:szCs w:val="18"/>
        </w:rPr>
        <w:t xml:space="preserve">, including digital platform businesses and </w:t>
      </w:r>
      <w:r w:rsidR="00D86170">
        <w:rPr>
          <w:sz w:val="18"/>
          <w:szCs w:val="18"/>
        </w:rPr>
        <w:t xml:space="preserve">businesses engaged affected road transport workers. </w:t>
      </w:r>
    </w:p>
  </w:footnote>
  <w:footnote w:id="144">
    <w:p w14:paraId="325DF019" w14:textId="77777777" w:rsidR="00E36759" w:rsidRDefault="00E36759" w:rsidP="00E36759">
      <w:pPr>
        <w:pStyle w:val="FootnoteText"/>
      </w:pPr>
      <w:r>
        <w:rPr>
          <w:rStyle w:val="FootnoteReference"/>
        </w:rPr>
        <w:footnoteRef/>
      </w:r>
      <w:r>
        <w:t xml:space="preserve"> The department has conducted this analysis using an hourly rate that is more detailed than the 2 decimal point rate outlined here. This results in minor differences between the per business cost outlined here, and what would be calculated by multiplying the figures as they appear in this section.</w:t>
      </w:r>
    </w:p>
  </w:footnote>
  <w:footnote w:id="145">
    <w:p w14:paraId="19DD7DAC" w14:textId="7A876B98" w:rsidR="00CB5F31" w:rsidRDefault="00CB5F31" w:rsidP="00CB5F31">
      <w:pPr>
        <w:pStyle w:val="FootnoteText"/>
      </w:pPr>
      <w:r>
        <w:rPr>
          <w:rStyle w:val="FootnoteReference"/>
        </w:rPr>
        <w:footnoteRef/>
      </w:r>
      <w:r>
        <w:t xml:space="preserve"> </w:t>
      </w:r>
      <w:r>
        <w:rPr>
          <w:sz w:val="18"/>
          <w:szCs w:val="18"/>
        </w:rPr>
        <w:t>Data constraints do not allow for an estimate of the types of business engaging workers whose status is on the margins of employment and independent contracting. The department considers that the majority of businesses impacted by an interpretive principle would not also be impacted by proposed minimum standards. The maximum of $10,</w:t>
      </w:r>
      <w:r w:rsidR="00AF3FE3">
        <w:rPr>
          <w:sz w:val="18"/>
          <w:szCs w:val="18"/>
        </w:rPr>
        <w:t>080.70</w:t>
      </w:r>
      <w:r>
        <w:rPr>
          <w:sz w:val="18"/>
          <w:szCs w:val="18"/>
        </w:rPr>
        <w:t xml:space="preserve"> per digital platform business or $6,125.00 + $258.80 per worker per road transport business is to account for the possibility that a business would engage workers whose status is uncertain and also become subject to a minimum standards order. This figure includes the maximum initial compliance cost for businesses to implement minimum standards ($9,845.12 or $5,889.42</w:t>
      </w:r>
      <w:r w:rsidR="00766AEB">
        <w:rPr>
          <w:sz w:val="18"/>
          <w:szCs w:val="18"/>
        </w:rPr>
        <w:t xml:space="preserve"> plus $258.80 per worker</w:t>
      </w:r>
      <w:r>
        <w:rPr>
          <w:sz w:val="18"/>
          <w:szCs w:val="18"/>
        </w:rPr>
        <w:t xml:space="preserve">) with the additional $235.58 estimate of complying with a new interpretive principle. This would only be an initial cost as businesses clarify their new obligations. While it is not likely that an existing digital platform business would be impacted by this option, these costings account for the maximum possible costs a business would face (for example, for a new digital platform which engages workers who are more likely to be found employees under a new interpretive principle). </w:t>
      </w:r>
    </w:p>
  </w:footnote>
  <w:footnote w:id="146">
    <w:p w14:paraId="59F0FC13" w14:textId="16D20857" w:rsidR="002225E6" w:rsidRDefault="002225E6" w:rsidP="002225E6">
      <w:pPr>
        <w:pStyle w:val="FootnoteText"/>
      </w:pPr>
      <w:r>
        <w:rPr>
          <w:rStyle w:val="FootnoteReference"/>
        </w:rPr>
        <w:footnoteRef/>
      </w:r>
      <w:r w:rsidR="00CB5F31">
        <w:t xml:space="preserve">  </w:t>
      </w:r>
      <w:r w:rsidR="00CB5F31">
        <w:rPr>
          <w:sz w:val="18"/>
          <w:szCs w:val="18"/>
        </w:rPr>
        <w:t>Data constraints do not allow for an estimate of the types of business engaging workers whose status is on the margins of employment and independent contracting. The department considers that the majority of businesses impacted by an interpretive principle would not also be impacted by proposed minimum standards. The maximum of $100,806.97 per digital platform business or $61,250.00 + $2,587.98 per worker per road transport business is to account for the possibility that a business would engage workers whose status is uncertain and also become subject to a minimum standards order. This figure includes the maximum initial compliance cost for businesses to implement minimum standards ($98,451.20 or $58,894.23</w:t>
      </w:r>
      <w:r w:rsidR="00F909DC">
        <w:rPr>
          <w:sz w:val="18"/>
          <w:szCs w:val="18"/>
        </w:rPr>
        <w:t xml:space="preserve"> + $2,587.98</w:t>
      </w:r>
      <w:r w:rsidR="003010EB">
        <w:rPr>
          <w:sz w:val="18"/>
          <w:szCs w:val="18"/>
        </w:rPr>
        <w:t xml:space="preserve"> per worker</w:t>
      </w:r>
      <w:r w:rsidR="00CB5F31">
        <w:rPr>
          <w:sz w:val="18"/>
          <w:szCs w:val="18"/>
        </w:rPr>
        <w:t>) with the additional $2,</w:t>
      </w:r>
      <w:r w:rsidR="001E1A6A">
        <w:rPr>
          <w:sz w:val="18"/>
          <w:szCs w:val="18"/>
        </w:rPr>
        <w:t>355.77</w:t>
      </w:r>
      <w:r w:rsidR="00CB5F31">
        <w:rPr>
          <w:sz w:val="18"/>
          <w:szCs w:val="18"/>
        </w:rPr>
        <w:t xml:space="preserve"> estimate of complying with a new interpretive principle. This would only be an initial cost as businesses clarify their new obligations. While it is not likely that an existing digital platform business would be impacted by this option, these costings account for the maximum possible costs a business would face (for example, for a new digital platform which engages workers who are more likely to be found employees under a new interpretive principle). </w:t>
      </w:r>
    </w:p>
  </w:footnote>
  <w:footnote w:id="147">
    <w:p w14:paraId="1354A93B" w14:textId="4A6C4954" w:rsidR="004F1EBF" w:rsidRDefault="004F1EBF" w:rsidP="49F43296">
      <w:pPr>
        <w:pStyle w:val="FootnoteText"/>
        <w:rPr>
          <w:rStyle w:val="eop"/>
          <w:rFonts w:cs="Calibri"/>
        </w:rPr>
      </w:pPr>
      <w:r>
        <w:rPr>
          <w:rStyle w:val="FootnoteReference"/>
        </w:rPr>
        <w:footnoteRef/>
      </w:r>
      <w:r w:rsidR="49F43296">
        <w:t xml:space="preserve"> </w:t>
      </w:r>
      <w:r w:rsidR="49F43296">
        <w:rPr>
          <w:rStyle w:val="superscript"/>
          <w:rFonts w:ascii="Calibri" w:hAnsi="Calibri" w:cs="Calibri"/>
          <w:color w:val="262626"/>
          <w:sz w:val="16"/>
          <w:szCs w:val="16"/>
          <w:shd w:val="clear" w:color="auto" w:fill="FFFFFF"/>
          <w:vertAlign w:val="superscript"/>
        </w:rPr>
        <w:t>75</w:t>
      </w:r>
      <w:r w:rsidR="49F43296">
        <w:rPr>
          <w:rStyle w:val="normaltextrun"/>
          <w:rFonts w:cs="Calibri"/>
          <w:color w:val="262626"/>
          <w:shd w:val="clear" w:color="auto" w:fill="FFFFFF"/>
        </w:rPr>
        <w:t xml:space="preserve"> Federal </w:t>
      </w:r>
      <w:r w:rsidR="49F43296" w:rsidRPr="49F43296">
        <w:rPr>
          <w:rStyle w:val="normaltextrun"/>
          <w:rFonts w:cs="Calibri"/>
        </w:rPr>
        <w:t xml:space="preserve">Circuit and Family </w:t>
      </w:r>
      <w:r w:rsidR="49F43296">
        <w:rPr>
          <w:rStyle w:val="normaltextrun"/>
          <w:rFonts w:cs="Calibri"/>
          <w:color w:val="262626"/>
          <w:shd w:val="clear" w:color="auto" w:fill="FFFFFF"/>
        </w:rPr>
        <w:t>Court of Australia, ‘</w:t>
      </w:r>
      <w:r>
        <w:fldChar w:fldCharType="begin"/>
      </w:r>
      <w:r>
        <w:fldChar w:fldCharType="separate"/>
      </w:r>
      <w:r w:rsidR="49F43296" w:rsidRPr="49F43296">
        <w:rPr>
          <w:rStyle w:val="Hyperlink"/>
          <w:rFonts w:cs="Calibri"/>
        </w:rPr>
        <w:t>General federal law fees</w:t>
      </w:r>
      <w:r>
        <w:fldChar w:fldCharType="end"/>
      </w:r>
      <w:r w:rsidR="49F43296">
        <w:rPr>
          <w:rStyle w:val="normaltextrun"/>
          <w:rFonts w:cs="Calibri"/>
          <w:color w:val="262626"/>
          <w:shd w:val="clear" w:color="auto" w:fill="FFFFFF"/>
        </w:rPr>
        <w:t>’, </w:t>
      </w:r>
      <w:r w:rsidR="49F43296" w:rsidRPr="49F43296">
        <w:rPr>
          <w:rStyle w:val="normaltextrun"/>
          <w:rFonts w:cs="Calibri"/>
        </w:rPr>
        <w:t>Federal Circuit and Family Court of Australia website, n.d..</w:t>
      </w:r>
      <w:r w:rsidR="49F43296">
        <w:rPr>
          <w:rStyle w:val="normaltextrun"/>
          <w:rFonts w:cs="Calibri"/>
          <w:color w:val="262626"/>
          <w:shd w:val="clear" w:color="auto" w:fill="FFFFFF"/>
        </w:rPr>
        <w:t>]. </w:t>
      </w:r>
      <w:r w:rsidR="49F43296">
        <w:rPr>
          <w:rStyle w:val="eop"/>
          <w:rFonts w:cs="Calibri"/>
          <w:color w:val="262626"/>
          <w:shd w:val="clear" w:color="auto" w:fill="FFFFFF"/>
        </w:rPr>
        <w:t> </w:t>
      </w:r>
    </w:p>
  </w:footnote>
  <w:footnote w:id="148">
    <w:p w14:paraId="20390D8A" w14:textId="2158E74D" w:rsidR="00286F47" w:rsidRDefault="00286F47">
      <w:pPr>
        <w:pStyle w:val="FootnoteText"/>
      </w:pPr>
      <w:r>
        <w:rPr>
          <w:rStyle w:val="FootnoteReference"/>
        </w:rPr>
        <w:footnoteRef/>
      </w:r>
      <w:r w:rsidR="49F43296">
        <w:t xml:space="preserve"> </w:t>
      </w:r>
      <w:r w:rsidR="49F43296">
        <w:rPr>
          <w:rStyle w:val="normaltextrun"/>
          <w:rFonts w:cs="Calibri"/>
          <w:color w:val="262626"/>
          <w:shd w:val="clear" w:color="auto" w:fill="FFFFFF"/>
        </w:rPr>
        <w:t>Fair Work Commission, </w:t>
      </w:r>
      <w:hyperlink r:id="rId123" w:history="1">
        <w:hyperlink r:id="rId124" w:history="1">
          <w:r w:rsidR="49F43296" w:rsidRPr="00647106">
            <w:rPr>
              <w:rFonts w:cs="Calibri"/>
              <w:i/>
              <w:iCs/>
              <w:u w:val="single"/>
            </w:rPr>
            <w:t>Fees and cost</w:t>
          </w:r>
          <w:r w:rsidR="49F43296" w:rsidRPr="00647106">
            <w:rPr>
              <w:rFonts w:cs="Calibri"/>
              <w:u w:val="single"/>
            </w:rPr>
            <w:t>s</w:t>
          </w:r>
        </w:hyperlink>
      </w:hyperlink>
      <w:r w:rsidR="49F43296" w:rsidRPr="43B447FB">
        <w:rPr>
          <w:rStyle w:val="normaltextrun"/>
          <w:rFonts w:cs="Calibri"/>
        </w:rPr>
        <w:t>,</w:t>
      </w:r>
      <w:r w:rsidR="49F43296" w:rsidRPr="49F43296">
        <w:rPr>
          <w:rStyle w:val="normaltextrun"/>
          <w:rFonts w:cs="Calibri"/>
        </w:rPr>
        <w:t xml:space="preserve"> </w:t>
      </w:r>
      <w:r w:rsidR="005437BD">
        <w:rPr>
          <w:rStyle w:val="normaltextrun"/>
          <w:rFonts w:cs="Calibri"/>
        </w:rPr>
        <w:t xml:space="preserve">FWC </w:t>
      </w:r>
      <w:r w:rsidR="002E1DA0">
        <w:rPr>
          <w:rStyle w:val="normaltextrun"/>
          <w:rFonts w:cs="Calibri"/>
        </w:rPr>
        <w:t>website</w:t>
      </w:r>
      <w:r w:rsidR="49F43296" w:rsidRPr="49F43296">
        <w:rPr>
          <w:rStyle w:val="normaltextrun"/>
          <w:rFonts w:cs="Calibri"/>
        </w:rPr>
        <w:t>, n.d.</w:t>
      </w:r>
      <w:r w:rsidR="49F43296" w:rsidRPr="43B447FB">
        <w:rPr>
          <w:rStyle w:val="normaltextrun"/>
          <w:rFonts w:cs="Calibri"/>
          <w:shd w:val="clear" w:color="auto" w:fill="FFFFFF"/>
        </w:rPr>
        <w:t xml:space="preserve">, </w:t>
      </w:r>
      <w:r w:rsidR="49F43296">
        <w:rPr>
          <w:rStyle w:val="normaltextrun"/>
          <w:rFonts w:cs="Calibri"/>
          <w:color w:val="262626"/>
          <w:shd w:val="clear" w:color="auto" w:fill="FFFFFF"/>
        </w:rPr>
        <w:t>. </w:t>
      </w:r>
      <w:r w:rsidR="49F43296" w:rsidRPr="49F43296">
        <w:rPr>
          <w:rStyle w:val="eop"/>
          <w:rFonts w:cs="Calibri"/>
        </w:rPr>
        <w:t> </w:t>
      </w:r>
    </w:p>
  </w:footnote>
  <w:footnote w:id="149">
    <w:p w14:paraId="2D0578D9" w14:textId="6ED7D603" w:rsidR="00BC54F0" w:rsidRDefault="00BC54F0">
      <w:pPr>
        <w:pStyle w:val="FootnoteText"/>
      </w:pPr>
      <w:r>
        <w:rPr>
          <w:rStyle w:val="FootnoteReference"/>
        </w:rPr>
        <w:footnoteRef/>
      </w:r>
      <w:r w:rsidR="49F43296" w:rsidRPr="49F43296">
        <w:rPr>
          <w:rStyle w:val="normaltextrun"/>
          <w:rFonts w:cs="Calibri"/>
        </w:rPr>
        <w:t>Federal Circuit and Family Court of Australia, </w:t>
      </w:r>
      <w:hyperlink r:id="rId125" w:history="1">
        <w:r w:rsidRPr="00A249A3">
          <w:rPr>
            <w:rStyle w:val="Hyperlink"/>
            <w:i/>
            <w:iCs/>
          </w:rPr>
          <w:fldChar w:fldCharType="begin"/>
        </w:r>
        <w:r w:rsidRPr="00A249A3">
          <w:rPr>
            <w:rStyle w:val="Hyperlink"/>
            <w:i/>
            <w:iCs/>
          </w:rPr>
          <w:fldChar w:fldCharType="end"/>
        </w:r>
        <w:r w:rsidR="00D72AA0" w:rsidRPr="00A249A3">
          <w:rPr>
            <w:rStyle w:val="Hyperlink"/>
            <w:i/>
            <w:iCs/>
          </w:rPr>
          <w:t>General federal law fees</w:t>
        </w:r>
      </w:hyperlink>
      <w:r w:rsidR="49F43296" w:rsidRPr="49F43296">
        <w:rPr>
          <w:rStyle w:val="normaltextrun"/>
          <w:rFonts w:cs="Calibri"/>
        </w:rPr>
        <w:t xml:space="preserve">, Federal Circuit and Family Court of Australia </w:t>
      </w:r>
      <w:r w:rsidR="008E64C0" w:rsidRPr="49F43296">
        <w:rPr>
          <w:rStyle w:val="normaltextrun"/>
          <w:rFonts w:cs="Calibri"/>
        </w:rPr>
        <w:t>website</w:t>
      </w:r>
      <w:r w:rsidR="49F43296" w:rsidRPr="49F43296">
        <w:rPr>
          <w:rStyle w:val="normaltextrun"/>
          <w:rFonts w:cs="Calibri"/>
        </w:rPr>
        <w:t>, n.d.</w:t>
      </w:r>
      <w:hyperlink r:id="rId126" w:history="1">
        <w:r>
          <w:rPr>
            <w:rStyle w:val="Hyperlink"/>
          </w:rPr>
          <w:t>https://www.fcfcoa.gov.au/gfl/gfl-fees</w:t>
        </w:r>
      </w:hyperlink>
      <w:r w:rsidR="49F43296" w:rsidRPr="3147F644">
        <w:rPr>
          <w:rStyle w:val="normaltextrun"/>
          <w:rFonts w:cs="Calibri"/>
          <w:color w:val="404246"/>
          <w:u w:val="single"/>
          <w:shd w:val="clear" w:color="auto" w:fill="FFFFFF"/>
        </w:rPr>
        <w:t> </w:t>
      </w:r>
      <w:r w:rsidR="49F43296" w:rsidRPr="3147F644">
        <w:rPr>
          <w:rStyle w:val="normaltextrun"/>
          <w:rFonts w:cs="Calibri"/>
        </w:rPr>
        <w:t>. </w:t>
      </w:r>
      <w:r w:rsidR="49F43296" w:rsidRPr="7D8FF5AE">
        <w:rPr>
          <w:rStyle w:val="eop"/>
          <w:rFonts w:cs="Calibri"/>
        </w:rPr>
        <w:t> </w:t>
      </w:r>
    </w:p>
  </w:footnote>
  <w:footnote w:id="150">
    <w:p w14:paraId="043C101D" w14:textId="759DF277" w:rsidR="00FF1440" w:rsidRDefault="00FF1440">
      <w:pPr>
        <w:pStyle w:val="FootnoteText"/>
      </w:pPr>
      <w:r>
        <w:rPr>
          <w:rStyle w:val="FootnoteReference"/>
        </w:rPr>
        <w:footnoteRef/>
      </w:r>
      <w:r>
        <w:t xml:space="preserve"> For example, see </w:t>
      </w:r>
      <w:r w:rsidR="00E444D2">
        <w:t>Coates, B., Wiltshire, T. and Reysenbach, T.</w:t>
      </w:r>
      <w:r w:rsidR="00D20BE8">
        <w:t xml:space="preserve">, ‘Short-changed: How to stop the exploitation of migrant workers in Australia’, the Grattan Institute, 2023. </w:t>
      </w:r>
    </w:p>
  </w:footnote>
  <w:footnote w:id="151">
    <w:p w14:paraId="73C14332" w14:textId="68E70120" w:rsidR="00F45D09" w:rsidRDefault="00F45D09">
      <w:pPr>
        <w:pStyle w:val="FootnoteText"/>
      </w:pPr>
      <w:r>
        <w:rPr>
          <w:rStyle w:val="FootnoteReference"/>
        </w:rPr>
        <w:footnoteRef/>
      </w:r>
      <w:r>
        <w:t xml:space="preserve"> Further detail is included under Section 6, Option 4 (Minimum Standards). </w:t>
      </w:r>
    </w:p>
  </w:footnote>
  <w:footnote w:id="152">
    <w:p w14:paraId="7365677B" w14:textId="70602D5A" w:rsidR="003169A6" w:rsidRDefault="003169A6">
      <w:pPr>
        <w:pStyle w:val="FootnoteText"/>
      </w:pPr>
      <w:r>
        <w:rPr>
          <w:rStyle w:val="FootnoteReference"/>
        </w:rPr>
        <w:footnoteRef/>
      </w:r>
      <w:r w:rsidR="4DAD9D61">
        <w:t xml:space="preserve"> Australian Bureau of Statistics (</w:t>
      </w:r>
      <w:r w:rsidR="00A442EB">
        <w:t>ABS</w:t>
      </w:r>
      <w:r w:rsidR="4DAD9D61">
        <w:t>),</w:t>
      </w:r>
      <w:r>
        <w:t xml:space="preserve"> </w:t>
      </w:r>
      <w:hyperlink r:id="rId127" w:history="1">
        <w:r w:rsidR="00C231DC" w:rsidRPr="008B793A">
          <w:rPr>
            <w:rStyle w:val="Hyperlink"/>
            <w:i/>
          </w:rPr>
          <w:t xml:space="preserve">Employment arrangements </w:t>
        </w:r>
        <w:r w:rsidR="007D09CE" w:rsidRPr="008B793A">
          <w:rPr>
            <w:rStyle w:val="Hyperlink"/>
            <w:i/>
          </w:rPr>
          <w:t>–</w:t>
        </w:r>
        <w:r w:rsidR="00C231DC" w:rsidRPr="008B793A">
          <w:rPr>
            <w:rStyle w:val="Hyperlink"/>
            <w:i/>
          </w:rPr>
          <w:t xml:space="preserve"> Labour</w:t>
        </w:r>
        <w:r w:rsidR="007D09CE" w:rsidRPr="008B793A">
          <w:rPr>
            <w:rStyle w:val="Hyperlink"/>
            <w:i/>
          </w:rPr>
          <w:t xml:space="preserve"> Statistics: Concepts, Sources and Methods</w:t>
        </w:r>
      </w:hyperlink>
      <w:r w:rsidR="007D09CE">
        <w:t xml:space="preserve">, </w:t>
      </w:r>
      <w:r w:rsidR="00B415AC">
        <w:t xml:space="preserve">ABS, Australian Government, </w:t>
      </w:r>
      <w:r w:rsidR="007D09CE">
        <w:t xml:space="preserve">2021, </w:t>
      </w:r>
      <w:r w:rsidR="0063383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2A351" w14:textId="69E75601" w:rsidR="00EA67FC" w:rsidRPr="004A575D" w:rsidRDefault="00EA67FC" w:rsidP="009304E3">
    <w:pPr>
      <w:pStyle w:val="Header"/>
      <w:jc w:val="center"/>
      <w:rPr>
        <w:b/>
        <w:bCs/>
        <w:color w:val="FF0000"/>
        <w:sz w:val="24"/>
        <w:szCs w:val="24"/>
      </w:rPr>
    </w:pPr>
  </w:p>
</w:hdr>
</file>

<file path=word/intelligence2.xml><?xml version="1.0" encoding="utf-8"?>
<int2:intelligence xmlns:int2="http://schemas.microsoft.com/office/intelligence/2020/intelligence" xmlns:oel="http://schemas.microsoft.com/office/2019/extlst">
  <int2:observations>
    <int2:textHash int2:hashCode="mQe29NyM5d/BMV" int2:id="5tuuZuyQ">
      <int2:state int2:value="Rejected" int2:type="AugLoop_Text_Critique"/>
    </int2:textHash>
    <int2:textHash int2:hashCode="1mhbyogkjJBhFV" int2:id="NdhfetF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10C4"/>
    <w:multiLevelType w:val="hybridMultilevel"/>
    <w:tmpl w:val="E8AA7D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3F56B14"/>
    <w:multiLevelType w:val="hybridMultilevel"/>
    <w:tmpl w:val="B3C03AA6"/>
    <w:lvl w:ilvl="0" w:tplc="92D8F108">
      <w:start w:val="1"/>
      <w:numFmt w:val="decimal"/>
      <w:pStyle w:val="MBPoint"/>
      <w:lvlText w:val="%1."/>
      <w:lvlJc w:val="left"/>
      <w:pPr>
        <w:ind w:left="360" w:hanging="360"/>
      </w:pPr>
      <w:rPr>
        <w:rFonts w:ascii="Times New Roman" w:hAnsi="Times New Roman" w:cs="Times New Roman" w:hint="default"/>
        <w:b w:val="0"/>
        <w:bCs/>
        <w:color w:val="auto"/>
        <w:sz w:val="24"/>
        <w:szCs w:val="24"/>
      </w:rPr>
    </w:lvl>
    <w:lvl w:ilvl="1" w:tplc="42C28FBA">
      <w:start w:val="1"/>
      <w:numFmt w:val="bullet"/>
      <w:lvlText w:val=""/>
      <w:lvlJc w:val="left"/>
      <w:pPr>
        <w:ind w:left="1137" w:hanging="360"/>
      </w:pPr>
      <w:rPr>
        <w:rFonts w:ascii="Symbol" w:hAnsi="Symbol" w:hint="default"/>
      </w:rPr>
    </w:lvl>
    <w:lvl w:ilvl="2" w:tplc="6E5058EE">
      <w:start w:val="1"/>
      <w:numFmt w:val="lowerRoman"/>
      <w:lvlText w:val="%3."/>
      <w:lvlJc w:val="right"/>
      <w:pPr>
        <w:ind w:left="1857" w:hanging="180"/>
      </w:pPr>
    </w:lvl>
    <w:lvl w:ilvl="3" w:tplc="FC2CBFD6">
      <w:start w:val="1"/>
      <w:numFmt w:val="decimal"/>
      <w:lvlText w:val="%4."/>
      <w:lvlJc w:val="left"/>
      <w:pPr>
        <w:ind w:left="2577" w:hanging="360"/>
      </w:pPr>
    </w:lvl>
    <w:lvl w:ilvl="4" w:tplc="002CE772">
      <w:start w:val="1"/>
      <w:numFmt w:val="lowerLetter"/>
      <w:lvlText w:val="%5."/>
      <w:lvlJc w:val="left"/>
      <w:pPr>
        <w:ind w:left="3297" w:hanging="360"/>
      </w:pPr>
    </w:lvl>
    <w:lvl w:ilvl="5" w:tplc="9438AEEC">
      <w:start w:val="1"/>
      <w:numFmt w:val="lowerRoman"/>
      <w:lvlText w:val="%6."/>
      <w:lvlJc w:val="right"/>
      <w:pPr>
        <w:ind w:left="4017" w:hanging="180"/>
      </w:pPr>
    </w:lvl>
    <w:lvl w:ilvl="6" w:tplc="3E4E93F2">
      <w:start w:val="1"/>
      <w:numFmt w:val="decimal"/>
      <w:lvlText w:val="%7."/>
      <w:lvlJc w:val="left"/>
      <w:pPr>
        <w:ind w:left="4737" w:hanging="360"/>
      </w:pPr>
    </w:lvl>
    <w:lvl w:ilvl="7" w:tplc="3DE86990">
      <w:start w:val="1"/>
      <w:numFmt w:val="lowerLetter"/>
      <w:lvlText w:val="%8."/>
      <w:lvlJc w:val="left"/>
      <w:pPr>
        <w:ind w:left="5457" w:hanging="360"/>
      </w:pPr>
    </w:lvl>
    <w:lvl w:ilvl="8" w:tplc="550AF39C">
      <w:start w:val="1"/>
      <w:numFmt w:val="lowerRoman"/>
      <w:lvlText w:val="%9."/>
      <w:lvlJc w:val="right"/>
      <w:pPr>
        <w:ind w:left="6177" w:hanging="180"/>
      </w:pPr>
    </w:lvl>
  </w:abstractNum>
  <w:abstractNum w:abstractNumId="2" w15:restartNumberingAfterBreak="0">
    <w:nsid w:val="040E3EDC"/>
    <w:multiLevelType w:val="multilevel"/>
    <w:tmpl w:val="5C2674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8A2D95"/>
    <w:multiLevelType w:val="hybridMultilevel"/>
    <w:tmpl w:val="24CAC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F11CAB"/>
    <w:multiLevelType w:val="hybridMultilevel"/>
    <w:tmpl w:val="FDB47F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A1E12"/>
    <w:multiLevelType w:val="hybridMultilevel"/>
    <w:tmpl w:val="79A8C5F6"/>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647796B"/>
    <w:multiLevelType w:val="hybridMultilevel"/>
    <w:tmpl w:val="9D52BF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3475E4"/>
    <w:multiLevelType w:val="multilevel"/>
    <w:tmpl w:val="0A98B9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9AF3D1B"/>
    <w:multiLevelType w:val="hybridMultilevel"/>
    <w:tmpl w:val="0AC80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AB7CD7"/>
    <w:multiLevelType w:val="multilevel"/>
    <w:tmpl w:val="0BE47A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59167F"/>
    <w:multiLevelType w:val="hybridMultilevel"/>
    <w:tmpl w:val="70CA6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D442319"/>
    <w:multiLevelType w:val="multilevel"/>
    <w:tmpl w:val="4FC25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786C47"/>
    <w:multiLevelType w:val="hybridMultilevel"/>
    <w:tmpl w:val="3C8EA780"/>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3" w15:restartNumberingAfterBreak="0">
    <w:nsid w:val="0F61318C"/>
    <w:multiLevelType w:val="hybridMultilevel"/>
    <w:tmpl w:val="1AD23830"/>
    <w:lvl w:ilvl="0" w:tplc="0C090001">
      <w:start w:val="1"/>
      <w:numFmt w:val="bullet"/>
      <w:lvlText w:val=""/>
      <w:lvlJc w:val="left"/>
      <w:pPr>
        <w:ind w:left="417" w:hanging="360"/>
      </w:pPr>
      <w:rPr>
        <w:rFonts w:ascii="Symbol" w:hAnsi="Symbo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4"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5D48ED"/>
    <w:multiLevelType w:val="hybridMultilevel"/>
    <w:tmpl w:val="ECF87C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166248D"/>
    <w:multiLevelType w:val="hybridMultilevel"/>
    <w:tmpl w:val="D9F65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2741B84"/>
    <w:multiLevelType w:val="hybridMultilevel"/>
    <w:tmpl w:val="961AF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980DFA"/>
    <w:multiLevelType w:val="hybridMultilevel"/>
    <w:tmpl w:val="E55447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2CE16F9"/>
    <w:multiLevelType w:val="hybridMultilevel"/>
    <w:tmpl w:val="F0B012A8"/>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B62E30"/>
    <w:multiLevelType w:val="hybridMultilevel"/>
    <w:tmpl w:val="2FFC3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15:restartNumberingAfterBreak="0">
    <w:nsid w:val="166F57C6"/>
    <w:multiLevelType w:val="hybridMultilevel"/>
    <w:tmpl w:val="09D23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85B1E9F"/>
    <w:multiLevelType w:val="hybridMultilevel"/>
    <w:tmpl w:val="B9403F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AA2765E"/>
    <w:multiLevelType w:val="hybridMultilevel"/>
    <w:tmpl w:val="71869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F3D5E"/>
    <w:multiLevelType w:val="hybridMultilevel"/>
    <w:tmpl w:val="F4644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C0E6978"/>
    <w:multiLevelType w:val="hybridMultilevel"/>
    <w:tmpl w:val="4DA8AAAC"/>
    <w:lvl w:ilvl="0" w:tplc="FF760994">
      <w:start w:val="1"/>
      <w:numFmt w:val="decimal"/>
      <w:pStyle w:val="Style1"/>
      <w:lvlText w:val="%1."/>
      <w:lvlJc w:val="left"/>
      <w:pPr>
        <w:ind w:left="360" w:hanging="360"/>
      </w:pPr>
      <w:rPr>
        <w:b w:val="0"/>
        <w:i w:val="0"/>
      </w:rPr>
    </w:lvl>
    <w:lvl w:ilvl="1" w:tplc="0C090017">
      <w:start w:val="1"/>
      <w:numFmt w:val="lowerLetter"/>
      <w:lvlText w:val="%2)"/>
      <w:lvlJc w:val="left"/>
      <w:pPr>
        <w:ind w:left="786" w:hanging="360"/>
      </w:pPr>
      <w:rPr>
        <w:rFonts w:hint="default"/>
        <w:b w:val="0"/>
      </w:rPr>
    </w:lvl>
    <w:lvl w:ilvl="2" w:tplc="0C090003">
      <w:start w:val="1"/>
      <w:numFmt w:val="bullet"/>
      <w:lvlText w:val="o"/>
      <w:lvlJc w:val="left"/>
      <w:pPr>
        <w:ind w:left="1031" w:hanging="180"/>
      </w:pPr>
      <w:rPr>
        <w:rFonts w:ascii="Courier New" w:hAnsi="Courier New" w:cs="Courier New" w:hint="default"/>
      </w:rPr>
    </w:lvl>
    <w:lvl w:ilvl="3" w:tplc="87A08882">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7B0E73"/>
    <w:multiLevelType w:val="hybridMultilevel"/>
    <w:tmpl w:val="0AE2CE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1F2C0B30"/>
    <w:multiLevelType w:val="hybridMultilevel"/>
    <w:tmpl w:val="B94C3E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3BB745B"/>
    <w:multiLevelType w:val="hybridMultilevel"/>
    <w:tmpl w:val="F524F866"/>
    <w:lvl w:ilvl="0" w:tplc="0C090001">
      <w:start w:val="1"/>
      <w:numFmt w:val="bullet"/>
      <w:lvlText w:val=""/>
      <w:lvlJc w:val="left"/>
      <w:pPr>
        <w:tabs>
          <w:tab w:val="num" w:pos="720"/>
        </w:tabs>
        <w:ind w:left="720" w:hanging="360"/>
      </w:pPr>
      <w:rPr>
        <w:rFonts w:ascii="Symbol" w:hAnsi="Symbol" w:hint="default"/>
      </w:rPr>
    </w:lvl>
    <w:lvl w:ilvl="1" w:tplc="062C35EA">
      <w:start w:val="1"/>
      <w:numFmt w:val="bullet"/>
      <w:lvlText w:val="-"/>
      <w:lvlJc w:val="left"/>
      <w:pPr>
        <w:tabs>
          <w:tab w:val="num" w:pos="1440"/>
        </w:tabs>
        <w:ind w:left="1440" w:hanging="360"/>
      </w:pPr>
      <w:rPr>
        <w:rFonts w:ascii="Times New Roman" w:hAnsi="Times New Roman" w:cs="Times New Roman" w:hint="default"/>
      </w:rPr>
    </w:lvl>
    <w:lvl w:ilvl="2" w:tplc="C9BEF2F4">
      <w:start w:val="1"/>
      <w:numFmt w:val="bullet"/>
      <w:lvlText w:val="-"/>
      <w:lvlJc w:val="left"/>
      <w:pPr>
        <w:tabs>
          <w:tab w:val="num" w:pos="2160"/>
        </w:tabs>
        <w:ind w:left="2160" w:hanging="360"/>
      </w:pPr>
      <w:rPr>
        <w:rFonts w:ascii="Times New Roman" w:hAnsi="Times New Roman" w:cs="Times New Roman" w:hint="default"/>
      </w:rPr>
    </w:lvl>
    <w:lvl w:ilvl="3" w:tplc="16983444">
      <w:start w:val="1"/>
      <w:numFmt w:val="bullet"/>
      <w:lvlText w:val="-"/>
      <w:lvlJc w:val="left"/>
      <w:pPr>
        <w:tabs>
          <w:tab w:val="num" w:pos="2880"/>
        </w:tabs>
        <w:ind w:left="2880" w:hanging="360"/>
      </w:pPr>
      <w:rPr>
        <w:rFonts w:ascii="Times New Roman" w:hAnsi="Times New Roman" w:cs="Times New Roman" w:hint="default"/>
      </w:rPr>
    </w:lvl>
    <w:lvl w:ilvl="4" w:tplc="738C649E">
      <w:start w:val="1"/>
      <w:numFmt w:val="bullet"/>
      <w:lvlText w:val="-"/>
      <w:lvlJc w:val="left"/>
      <w:pPr>
        <w:tabs>
          <w:tab w:val="num" w:pos="3600"/>
        </w:tabs>
        <w:ind w:left="3600" w:hanging="360"/>
      </w:pPr>
      <w:rPr>
        <w:rFonts w:ascii="Times New Roman" w:hAnsi="Times New Roman" w:cs="Times New Roman" w:hint="default"/>
      </w:rPr>
    </w:lvl>
    <w:lvl w:ilvl="5" w:tplc="95B47E94">
      <w:start w:val="1"/>
      <w:numFmt w:val="bullet"/>
      <w:lvlText w:val="-"/>
      <w:lvlJc w:val="left"/>
      <w:pPr>
        <w:tabs>
          <w:tab w:val="num" w:pos="4320"/>
        </w:tabs>
        <w:ind w:left="4320" w:hanging="360"/>
      </w:pPr>
      <w:rPr>
        <w:rFonts w:ascii="Times New Roman" w:hAnsi="Times New Roman" w:cs="Times New Roman" w:hint="default"/>
      </w:rPr>
    </w:lvl>
    <w:lvl w:ilvl="6" w:tplc="953A7F2E">
      <w:start w:val="1"/>
      <w:numFmt w:val="bullet"/>
      <w:lvlText w:val="-"/>
      <w:lvlJc w:val="left"/>
      <w:pPr>
        <w:tabs>
          <w:tab w:val="num" w:pos="5040"/>
        </w:tabs>
        <w:ind w:left="5040" w:hanging="360"/>
      </w:pPr>
      <w:rPr>
        <w:rFonts w:ascii="Times New Roman" w:hAnsi="Times New Roman" w:cs="Times New Roman" w:hint="default"/>
      </w:rPr>
    </w:lvl>
    <w:lvl w:ilvl="7" w:tplc="8564B684">
      <w:start w:val="1"/>
      <w:numFmt w:val="bullet"/>
      <w:lvlText w:val="-"/>
      <w:lvlJc w:val="left"/>
      <w:pPr>
        <w:tabs>
          <w:tab w:val="num" w:pos="5760"/>
        </w:tabs>
        <w:ind w:left="5760" w:hanging="360"/>
      </w:pPr>
      <w:rPr>
        <w:rFonts w:ascii="Times New Roman" w:hAnsi="Times New Roman" w:cs="Times New Roman" w:hint="default"/>
      </w:rPr>
    </w:lvl>
    <w:lvl w:ilvl="8" w:tplc="7D72E580">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24854A73"/>
    <w:multiLevelType w:val="hybridMultilevel"/>
    <w:tmpl w:val="E4D43D3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1" w15:restartNumberingAfterBreak="0">
    <w:nsid w:val="251B47EC"/>
    <w:multiLevelType w:val="hybridMultilevel"/>
    <w:tmpl w:val="C038BF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274C427F"/>
    <w:multiLevelType w:val="hybridMultilevel"/>
    <w:tmpl w:val="8C0AB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274C4A7B"/>
    <w:multiLevelType w:val="hybridMultilevel"/>
    <w:tmpl w:val="0EFE7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8267C0D"/>
    <w:multiLevelType w:val="hybridMultilevel"/>
    <w:tmpl w:val="8CC83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AF954AD"/>
    <w:multiLevelType w:val="hybridMultilevel"/>
    <w:tmpl w:val="5E08F6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2D8919AE"/>
    <w:multiLevelType w:val="hybridMultilevel"/>
    <w:tmpl w:val="7A7EB010"/>
    <w:lvl w:ilvl="0" w:tplc="E58E0B1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E664A74"/>
    <w:multiLevelType w:val="hybridMultilevel"/>
    <w:tmpl w:val="F2F2E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F1B4CCE"/>
    <w:multiLevelType w:val="hybridMultilevel"/>
    <w:tmpl w:val="818C5C1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42D6C56"/>
    <w:multiLevelType w:val="hybridMultilevel"/>
    <w:tmpl w:val="C70E1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4D76502"/>
    <w:multiLevelType w:val="hybridMultilevel"/>
    <w:tmpl w:val="73A292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4" w15:restartNumberingAfterBreak="0">
    <w:nsid w:val="381F3546"/>
    <w:multiLevelType w:val="hybridMultilevel"/>
    <w:tmpl w:val="D69A9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8CA5E16"/>
    <w:multiLevelType w:val="hybridMultilevel"/>
    <w:tmpl w:val="BE6485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91641CD"/>
    <w:multiLevelType w:val="hybridMultilevel"/>
    <w:tmpl w:val="C2A02F00"/>
    <w:lvl w:ilvl="0" w:tplc="0C09000F">
      <w:start w:val="9"/>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39466452"/>
    <w:multiLevelType w:val="hybridMultilevel"/>
    <w:tmpl w:val="F8323A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BB021FD"/>
    <w:multiLevelType w:val="hybridMultilevel"/>
    <w:tmpl w:val="E8FCA66A"/>
    <w:lvl w:ilvl="0" w:tplc="9DBCBC6A">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49" w15:restartNumberingAfterBreak="0">
    <w:nsid w:val="3BD50E35"/>
    <w:multiLevelType w:val="hybridMultilevel"/>
    <w:tmpl w:val="95E891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3D4845A9"/>
    <w:multiLevelType w:val="hybridMultilevel"/>
    <w:tmpl w:val="328A45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3ED4096B"/>
    <w:multiLevelType w:val="hybridMultilevel"/>
    <w:tmpl w:val="05F4AF5E"/>
    <w:lvl w:ilvl="0" w:tplc="2790180A">
      <w:start w:val="1"/>
      <w:numFmt w:val="bullet"/>
      <w:lvlText w:val=""/>
      <w:lvlJc w:val="left"/>
      <w:pPr>
        <w:ind w:left="1080" w:hanging="360"/>
      </w:pPr>
      <w:rPr>
        <w:rFonts w:ascii="Symbol" w:hAnsi="Symbol"/>
      </w:rPr>
    </w:lvl>
    <w:lvl w:ilvl="1" w:tplc="76424962">
      <w:start w:val="1"/>
      <w:numFmt w:val="bullet"/>
      <w:lvlText w:val=""/>
      <w:lvlJc w:val="left"/>
      <w:pPr>
        <w:ind w:left="1080" w:hanging="360"/>
      </w:pPr>
      <w:rPr>
        <w:rFonts w:ascii="Symbol" w:hAnsi="Symbol"/>
      </w:rPr>
    </w:lvl>
    <w:lvl w:ilvl="2" w:tplc="9892A730">
      <w:start w:val="1"/>
      <w:numFmt w:val="bullet"/>
      <w:lvlText w:val=""/>
      <w:lvlJc w:val="left"/>
      <w:pPr>
        <w:ind w:left="1080" w:hanging="360"/>
      </w:pPr>
      <w:rPr>
        <w:rFonts w:ascii="Symbol" w:hAnsi="Symbol"/>
      </w:rPr>
    </w:lvl>
    <w:lvl w:ilvl="3" w:tplc="5A8C1E7A">
      <w:start w:val="1"/>
      <w:numFmt w:val="bullet"/>
      <w:lvlText w:val=""/>
      <w:lvlJc w:val="left"/>
      <w:pPr>
        <w:ind w:left="1080" w:hanging="360"/>
      </w:pPr>
      <w:rPr>
        <w:rFonts w:ascii="Symbol" w:hAnsi="Symbol"/>
      </w:rPr>
    </w:lvl>
    <w:lvl w:ilvl="4" w:tplc="6FF0DDFC">
      <w:start w:val="1"/>
      <w:numFmt w:val="bullet"/>
      <w:lvlText w:val=""/>
      <w:lvlJc w:val="left"/>
      <w:pPr>
        <w:ind w:left="1080" w:hanging="360"/>
      </w:pPr>
      <w:rPr>
        <w:rFonts w:ascii="Symbol" w:hAnsi="Symbol"/>
      </w:rPr>
    </w:lvl>
    <w:lvl w:ilvl="5" w:tplc="B6B604DC">
      <w:start w:val="1"/>
      <w:numFmt w:val="bullet"/>
      <w:lvlText w:val=""/>
      <w:lvlJc w:val="left"/>
      <w:pPr>
        <w:ind w:left="1080" w:hanging="360"/>
      </w:pPr>
      <w:rPr>
        <w:rFonts w:ascii="Symbol" w:hAnsi="Symbol"/>
      </w:rPr>
    </w:lvl>
    <w:lvl w:ilvl="6" w:tplc="D7E88D68">
      <w:start w:val="1"/>
      <w:numFmt w:val="bullet"/>
      <w:lvlText w:val=""/>
      <w:lvlJc w:val="left"/>
      <w:pPr>
        <w:ind w:left="1080" w:hanging="360"/>
      </w:pPr>
      <w:rPr>
        <w:rFonts w:ascii="Symbol" w:hAnsi="Symbol"/>
      </w:rPr>
    </w:lvl>
    <w:lvl w:ilvl="7" w:tplc="6C4E5514">
      <w:start w:val="1"/>
      <w:numFmt w:val="bullet"/>
      <w:lvlText w:val=""/>
      <w:lvlJc w:val="left"/>
      <w:pPr>
        <w:ind w:left="1080" w:hanging="360"/>
      </w:pPr>
      <w:rPr>
        <w:rFonts w:ascii="Symbol" w:hAnsi="Symbol"/>
      </w:rPr>
    </w:lvl>
    <w:lvl w:ilvl="8" w:tplc="4FB8CC30">
      <w:start w:val="1"/>
      <w:numFmt w:val="bullet"/>
      <w:lvlText w:val=""/>
      <w:lvlJc w:val="left"/>
      <w:pPr>
        <w:ind w:left="1080" w:hanging="360"/>
      </w:pPr>
      <w:rPr>
        <w:rFonts w:ascii="Symbol" w:hAnsi="Symbol"/>
      </w:rPr>
    </w:lvl>
  </w:abstractNum>
  <w:abstractNum w:abstractNumId="52" w15:restartNumberingAfterBreak="0">
    <w:nsid w:val="40A3770E"/>
    <w:multiLevelType w:val="hybridMultilevel"/>
    <w:tmpl w:val="3948D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1867B87"/>
    <w:multiLevelType w:val="hybridMultilevel"/>
    <w:tmpl w:val="70E0BD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2642914"/>
    <w:multiLevelType w:val="hybridMultilevel"/>
    <w:tmpl w:val="4B5EE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3486878"/>
    <w:multiLevelType w:val="multilevel"/>
    <w:tmpl w:val="1C4850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4012B3B"/>
    <w:multiLevelType w:val="hybridMultilevel"/>
    <w:tmpl w:val="7C2E4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5620324"/>
    <w:multiLevelType w:val="hybridMultilevel"/>
    <w:tmpl w:val="3C005148"/>
    <w:lvl w:ilvl="0" w:tplc="3D0ECFF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5AC0B7E"/>
    <w:multiLevelType w:val="hybridMultilevel"/>
    <w:tmpl w:val="2ACE66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80C4693"/>
    <w:multiLevelType w:val="hybridMultilevel"/>
    <w:tmpl w:val="7D581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95A3408"/>
    <w:multiLevelType w:val="hybridMultilevel"/>
    <w:tmpl w:val="B5003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4BD479A1"/>
    <w:multiLevelType w:val="hybridMultilevel"/>
    <w:tmpl w:val="080E7B6E"/>
    <w:lvl w:ilvl="0" w:tplc="513A9192">
      <w:start w:val="1"/>
      <w:numFmt w:val="decimal"/>
      <w:lvlText w:val="%1."/>
      <w:lvlJc w:val="left"/>
      <w:pPr>
        <w:ind w:left="360" w:hanging="360"/>
      </w:pPr>
    </w:lvl>
    <w:lvl w:ilvl="1" w:tplc="059C9B02">
      <w:start w:val="1"/>
      <w:numFmt w:val="lowerLetter"/>
      <w:lvlText w:val="%2."/>
      <w:lvlJc w:val="left"/>
      <w:pPr>
        <w:ind w:left="1080" w:hanging="360"/>
      </w:pPr>
    </w:lvl>
    <w:lvl w:ilvl="2" w:tplc="14882152">
      <w:start w:val="1"/>
      <w:numFmt w:val="lowerRoman"/>
      <w:lvlText w:val="%3."/>
      <w:lvlJc w:val="right"/>
      <w:pPr>
        <w:ind w:left="1800" w:hanging="180"/>
      </w:pPr>
    </w:lvl>
    <w:lvl w:ilvl="3" w:tplc="A9B4FCDC">
      <w:start w:val="1"/>
      <w:numFmt w:val="decimal"/>
      <w:lvlText w:val="%4."/>
      <w:lvlJc w:val="left"/>
      <w:pPr>
        <w:ind w:left="2520" w:hanging="360"/>
      </w:pPr>
    </w:lvl>
    <w:lvl w:ilvl="4" w:tplc="467A3012">
      <w:start w:val="1"/>
      <w:numFmt w:val="lowerLetter"/>
      <w:lvlText w:val="%5."/>
      <w:lvlJc w:val="left"/>
      <w:pPr>
        <w:ind w:left="3240" w:hanging="360"/>
      </w:pPr>
    </w:lvl>
    <w:lvl w:ilvl="5" w:tplc="93EC6526">
      <w:start w:val="1"/>
      <w:numFmt w:val="lowerRoman"/>
      <w:lvlText w:val="%6."/>
      <w:lvlJc w:val="right"/>
      <w:pPr>
        <w:ind w:left="3960" w:hanging="180"/>
      </w:pPr>
    </w:lvl>
    <w:lvl w:ilvl="6" w:tplc="BEC8B49A">
      <w:start w:val="1"/>
      <w:numFmt w:val="decimal"/>
      <w:lvlText w:val="%7."/>
      <w:lvlJc w:val="left"/>
      <w:pPr>
        <w:ind w:left="4680" w:hanging="360"/>
      </w:pPr>
    </w:lvl>
    <w:lvl w:ilvl="7" w:tplc="F9BA0EDA">
      <w:start w:val="1"/>
      <w:numFmt w:val="lowerLetter"/>
      <w:lvlText w:val="%8."/>
      <w:lvlJc w:val="left"/>
      <w:pPr>
        <w:ind w:left="5400" w:hanging="360"/>
      </w:pPr>
    </w:lvl>
    <w:lvl w:ilvl="8" w:tplc="21529422">
      <w:start w:val="1"/>
      <w:numFmt w:val="lowerRoman"/>
      <w:lvlText w:val="%9."/>
      <w:lvlJc w:val="right"/>
      <w:pPr>
        <w:ind w:left="6120" w:hanging="180"/>
      </w:pPr>
    </w:lvl>
  </w:abstractNum>
  <w:abstractNum w:abstractNumId="62" w15:restartNumberingAfterBreak="0">
    <w:nsid w:val="4D806D57"/>
    <w:multiLevelType w:val="multilevel"/>
    <w:tmpl w:val="0632F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3D75DC"/>
    <w:multiLevelType w:val="hybridMultilevel"/>
    <w:tmpl w:val="88CA3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4C25987"/>
    <w:multiLevelType w:val="hybridMultilevel"/>
    <w:tmpl w:val="A74C8F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5A97745"/>
    <w:multiLevelType w:val="hybridMultilevel"/>
    <w:tmpl w:val="A998A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73B3A9C"/>
    <w:multiLevelType w:val="multilevel"/>
    <w:tmpl w:val="6D2C93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7AD5FBF"/>
    <w:multiLevelType w:val="hybridMultilevel"/>
    <w:tmpl w:val="F050E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8991D70"/>
    <w:multiLevelType w:val="hybridMultilevel"/>
    <w:tmpl w:val="34481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8F87236"/>
    <w:multiLevelType w:val="hybridMultilevel"/>
    <w:tmpl w:val="B75AA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9141A0B"/>
    <w:multiLevelType w:val="hybridMultilevel"/>
    <w:tmpl w:val="4FDAD15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1" w15:restartNumberingAfterBreak="0">
    <w:nsid w:val="59892226"/>
    <w:multiLevelType w:val="hybridMultilevel"/>
    <w:tmpl w:val="6C2414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BE107D8"/>
    <w:multiLevelType w:val="hybridMultilevel"/>
    <w:tmpl w:val="0EECC3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3" w15:restartNumberingAfterBreak="0">
    <w:nsid w:val="5C4F05B6"/>
    <w:multiLevelType w:val="hybridMultilevel"/>
    <w:tmpl w:val="98D0E664"/>
    <w:lvl w:ilvl="0" w:tplc="0C090001">
      <w:start w:val="1"/>
      <w:numFmt w:val="bullet"/>
      <w:lvlText w:val=""/>
      <w:lvlJc w:val="left"/>
      <w:pPr>
        <w:ind w:left="473" w:hanging="360"/>
      </w:pPr>
      <w:rPr>
        <w:rFonts w:ascii="Symbol" w:hAnsi="Symbol" w:hint="default"/>
      </w:rPr>
    </w:lvl>
    <w:lvl w:ilvl="1" w:tplc="0C090003">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74" w15:restartNumberingAfterBreak="0">
    <w:nsid w:val="5CD80944"/>
    <w:multiLevelType w:val="hybridMultilevel"/>
    <w:tmpl w:val="F3C69BC6"/>
    <w:lvl w:ilvl="0" w:tplc="B9B002D4">
      <w:start w:val="1"/>
      <w:numFmt w:val="lowerRoman"/>
      <w:lvlText w:val="%1)"/>
      <w:lvlJc w:val="left"/>
      <w:pPr>
        <w:ind w:left="1193" w:hanging="720"/>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75" w15:restartNumberingAfterBreak="0">
    <w:nsid w:val="5D833495"/>
    <w:multiLevelType w:val="hybridMultilevel"/>
    <w:tmpl w:val="53C03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E227A8A"/>
    <w:multiLevelType w:val="hybridMultilevel"/>
    <w:tmpl w:val="A90CA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E6E7F14"/>
    <w:multiLevelType w:val="hybridMultilevel"/>
    <w:tmpl w:val="17C06488"/>
    <w:lvl w:ilvl="0" w:tplc="F47CE2A2">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9"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80" w15:restartNumberingAfterBreak="0">
    <w:nsid w:val="631978B3"/>
    <w:multiLevelType w:val="hybridMultilevel"/>
    <w:tmpl w:val="7332E0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65096606"/>
    <w:multiLevelType w:val="hybridMultilevel"/>
    <w:tmpl w:val="6E58A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656B7355"/>
    <w:multiLevelType w:val="hybridMultilevel"/>
    <w:tmpl w:val="9E025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659008D2"/>
    <w:multiLevelType w:val="hybridMultilevel"/>
    <w:tmpl w:val="014050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6C975DD"/>
    <w:multiLevelType w:val="hybridMultilevel"/>
    <w:tmpl w:val="73B41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755737A"/>
    <w:multiLevelType w:val="hybridMultilevel"/>
    <w:tmpl w:val="C55E3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68FE2272"/>
    <w:multiLevelType w:val="hybridMultilevel"/>
    <w:tmpl w:val="BE7669AE"/>
    <w:lvl w:ilvl="0" w:tplc="55C84D7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9716B2E"/>
    <w:multiLevelType w:val="hybridMultilevel"/>
    <w:tmpl w:val="22E62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AC019D8"/>
    <w:multiLevelType w:val="hybridMultilevel"/>
    <w:tmpl w:val="3B22121E"/>
    <w:lvl w:ilvl="0" w:tplc="0C090001">
      <w:start w:val="1"/>
      <w:numFmt w:val="bullet"/>
      <w:lvlText w:val=""/>
      <w:lvlJc w:val="left"/>
      <w:pPr>
        <w:ind w:left="720" w:hanging="360"/>
      </w:pPr>
      <w:rPr>
        <w:rFonts w:ascii="Symbol" w:hAnsi="Symbol" w:hint="default"/>
      </w:rPr>
    </w:lvl>
    <w:lvl w:ilvl="1" w:tplc="6DB8AADE">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D773746"/>
    <w:multiLevelType w:val="hybridMultilevel"/>
    <w:tmpl w:val="4F90A9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70012194"/>
    <w:multiLevelType w:val="hybridMultilevel"/>
    <w:tmpl w:val="3864CE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706407B5"/>
    <w:multiLevelType w:val="hybridMultilevel"/>
    <w:tmpl w:val="97F869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2" w15:restartNumberingAfterBreak="0">
    <w:nsid w:val="70D03B76"/>
    <w:multiLevelType w:val="hybridMultilevel"/>
    <w:tmpl w:val="A10000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94"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95" w15:restartNumberingAfterBreak="0">
    <w:nsid w:val="739442D2"/>
    <w:multiLevelType w:val="hybridMultilevel"/>
    <w:tmpl w:val="4F223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7473313E"/>
    <w:multiLevelType w:val="multilevel"/>
    <w:tmpl w:val="A552AE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4B21BE8"/>
    <w:multiLevelType w:val="hybridMultilevel"/>
    <w:tmpl w:val="9F82DB40"/>
    <w:lvl w:ilvl="0" w:tplc="A6441B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4F101D5"/>
    <w:multiLevelType w:val="hybridMultilevel"/>
    <w:tmpl w:val="DA78D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777A4B3D"/>
    <w:multiLevelType w:val="hybridMultilevel"/>
    <w:tmpl w:val="2E6E9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A200033"/>
    <w:multiLevelType w:val="multilevel"/>
    <w:tmpl w:val="A48C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A613716"/>
    <w:multiLevelType w:val="hybridMultilevel"/>
    <w:tmpl w:val="0542F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D697165"/>
    <w:multiLevelType w:val="hybridMultilevel"/>
    <w:tmpl w:val="0C380C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3" w15:restartNumberingAfterBreak="0">
    <w:nsid w:val="7E1709CC"/>
    <w:multiLevelType w:val="hybridMultilevel"/>
    <w:tmpl w:val="6F9E7B58"/>
    <w:lvl w:ilvl="0" w:tplc="20D62A2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1"/>
  </w:num>
  <w:num w:numId="2">
    <w:abstractNumId w:val="14"/>
  </w:num>
  <w:num w:numId="3">
    <w:abstractNumId w:val="38"/>
  </w:num>
  <w:num w:numId="4">
    <w:abstractNumId w:val="4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8"/>
  </w:num>
  <w:num w:numId="7">
    <w:abstractNumId w:val="79"/>
  </w:num>
  <w:num w:numId="8">
    <w:abstractNumId w:val="43"/>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9">
    <w:abstractNumId w:val="94"/>
  </w:num>
  <w:num w:numId="10">
    <w:abstractNumId w:val="93"/>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87"/>
  </w:num>
  <w:num w:numId="14">
    <w:abstractNumId w:val="19"/>
  </w:num>
  <w:num w:numId="15">
    <w:abstractNumId w:val="67"/>
  </w:num>
  <w:num w:numId="16">
    <w:abstractNumId w:val="23"/>
  </w:num>
  <w:num w:numId="17">
    <w:abstractNumId w:val="53"/>
  </w:num>
  <w:num w:numId="18">
    <w:abstractNumId w:val="45"/>
  </w:num>
  <w:num w:numId="19">
    <w:abstractNumId w:val="24"/>
  </w:num>
  <w:num w:numId="20">
    <w:abstractNumId w:val="50"/>
  </w:num>
  <w:num w:numId="21">
    <w:abstractNumId w:val="89"/>
  </w:num>
  <w:num w:numId="22">
    <w:abstractNumId w:val="76"/>
  </w:num>
  <w:num w:numId="23">
    <w:abstractNumId w:val="37"/>
  </w:num>
  <w:num w:numId="24">
    <w:abstractNumId w:val="71"/>
  </w:num>
  <w:num w:numId="25">
    <w:abstractNumId w:val="72"/>
  </w:num>
  <w:num w:numId="26">
    <w:abstractNumId w:val="42"/>
  </w:num>
  <w:num w:numId="27">
    <w:abstractNumId w:val="68"/>
  </w:num>
  <w:num w:numId="28">
    <w:abstractNumId w:val="32"/>
  </w:num>
  <w:num w:numId="29">
    <w:abstractNumId w:val="4"/>
  </w:num>
  <w:num w:numId="30">
    <w:abstractNumId w:val="46"/>
  </w:num>
  <w:num w:numId="31">
    <w:abstractNumId w:val="12"/>
  </w:num>
  <w:num w:numId="32">
    <w:abstractNumId w:val="3"/>
  </w:num>
  <w:num w:numId="33">
    <w:abstractNumId w:val="80"/>
  </w:num>
  <w:num w:numId="34">
    <w:abstractNumId w:val="22"/>
  </w:num>
  <w:num w:numId="35">
    <w:abstractNumId w:val="6"/>
  </w:num>
  <w:num w:numId="36">
    <w:abstractNumId w:val="65"/>
  </w:num>
  <w:num w:numId="37">
    <w:abstractNumId w:val="34"/>
  </w:num>
  <w:num w:numId="38">
    <w:abstractNumId w:val="60"/>
  </w:num>
  <w:num w:numId="39">
    <w:abstractNumId w:val="75"/>
  </w:num>
  <w:num w:numId="40">
    <w:abstractNumId w:val="40"/>
  </w:num>
  <w:num w:numId="41">
    <w:abstractNumId w:val="101"/>
  </w:num>
  <w:num w:numId="42">
    <w:abstractNumId w:val="36"/>
  </w:num>
  <w:num w:numId="43">
    <w:abstractNumId w:val="58"/>
  </w:num>
  <w:num w:numId="44">
    <w:abstractNumId w:val="64"/>
  </w:num>
  <w:num w:numId="45">
    <w:abstractNumId w:val="62"/>
  </w:num>
  <w:num w:numId="46">
    <w:abstractNumId w:val="96"/>
  </w:num>
  <w:num w:numId="47">
    <w:abstractNumId w:val="11"/>
  </w:num>
  <w:num w:numId="48">
    <w:abstractNumId w:val="2"/>
  </w:num>
  <w:num w:numId="49">
    <w:abstractNumId w:val="100"/>
  </w:num>
  <w:num w:numId="50">
    <w:abstractNumId w:val="7"/>
  </w:num>
  <w:num w:numId="51">
    <w:abstractNumId w:val="102"/>
  </w:num>
  <w:num w:numId="52">
    <w:abstractNumId w:val="31"/>
  </w:num>
  <w:num w:numId="53">
    <w:abstractNumId w:val="59"/>
  </w:num>
  <w:num w:numId="54">
    <w:abstractNumId w:val="9"/>
  </w:num>
  <w:num w:numId="55">
    <w:abstractNumId w:val="55"/>
  </w:num>
  <w:num w:numId="56">
    <w:abstractNumId w:val="66"/>
  </w:num>
  <w:num w:numId="57">
    <w:abstractNumId w:val="30"/>
  </w:num>
  <w:num w:numId="58">
    <w:abstractNumId w:val="13"/>
  </w:num>
  <w:num w:numId="59">
    <w:abstractNumId w:val="48"/>
  </w:num>
  <w:num w:numId="60">
    <w:abstractNumId w:val="74"/>
  </w:num>
  <w:num w:numId="61">
    <w:abstractNumId w:val="77"/>
  </w:num>
  <w:num w:numId="62">
    <w:abstractNumId w:val="73"/>
  </w:num>
  <w:num w:numId="63">
    <w:abstractNumId w:val="54"/>
  </w:num>
  <w:num w:numId="64">
    <w:abstractNumId w:val="91"/>
  </w:num>
  <w:num w:numId="65">
    <w:abstractNumId w:val="95"/>
  </w:num>
  <w:num w:numId="66">
    <w:abstractNumId w:val="91"/>
  </w:num>
  <w:num w:numId="67">
    <w:abstractNumId w:val="86"/>
  </w:num>
  <w:num w:numId="68">
    <w:abstractNumId w:val="97"/>
  </w:num>
  <w:num w:numId="69">
    <w:abstractNumId w:val="28"/>
  </w:num>
  <w:num w:numId="70">
    <w:abstractNumId w:val="8"/>
  </w:num>
  <w:num w:numId="71">
    <w:abstractNumId w:val="88"/>
  </w:num>
  <w:num w:numId="72">
    <w:abstractNumId w:val="17"/>
  </w:num>
  <w:num w:numId="73">
    <w:abstractNumId w:val="83"/>
  </w:num>
  <w:num w:numId="74">
    <w:abstractNumId w:val="99"/>
  </w:num>
  <w:num w:numId="75">
    <w:abstractNumId w:val="33"/>
  </w:num>
  <w:num w:numId="76">
    <w:abstractNumId w:val="0"/>
  </w:num>
  <w:num w:numId="77">
    <w:abstractNumId w:val="49"/>
  </w:num>
  <w:num w:numId="78">
    <w:abstractNumId w:val="82"/>
  </w:num>
  <w:num w:numId="79">
    <w:abstractNumId w:val="15"/>
  </w:num>
  <w:num w:numId="80">
    <w:abstractNumId w:val="35"/>
  </w:num>
  <w:num w:numId="81">
    <w:abstractNumId w:val="90"/>
  </w:num>
  <w:num w:numId="82">
    <w:abstractNumId w:val="81"/>
  </w:num>
  <w:num w:numId="83">
    <w:abstractNumId w:val="10"/>
  </w:num>
  <w:num w:numId="84">
    <w:abstractNumId w:val="44"/>
  </w:num>
  <w:num w:numId="85">
    <w:abstractNumId w:val="84"/>
  </w:num>
  <w:num w:numId="86">
    <w:abstractNumId w:val="25"/>
  </w:num>
  <w:num w:numId="87">
    <w:abstractNumId w:val="92"/>
  </w:num>
  <w:num w:numId="88">
    <w:abstractNumId w:val="98"/>
  </w:num>
  <w:num w:numId="89">
    <w:abstractNumId w:val="20"/>
  </w:num>
  <w:num w:numId="90">
    <w:abstractNumId w:val="57"/>
  </w:num>
  <w:num w:numId="91">
    <w:abstractNumId w:val="51"/>
  </w:num>
  <w:num w:numId="92">
    <w:abstractNumId w:val="27"/>
  </w:num>
  <w:num w:numId="93">
    <w:abstractNumId w:val="29"/>
  </w:num>
  <w:num w:numId="94">
    <w:abstractNumId w:val="29"/>
  </w:num>
  <w:num w:numId="95">
    <w:abstractNumId w:val="70"/>
  </w:num>
  <w:num w:numId="96">
    <w:abstractNumId w:val="39"/>
  </w:num>
  <w:num w:numId="97">
    <w:abstractNumId w:val="41"/>
  </w:num>
  <w:num w:numId="98">
    <w:abstractNumId w:val="41"/>
  </w:num>
  <w:num w:numId="99">
    <w:abstractNumId w:val="41"/>
  </w:num>
  <w:num w:numId="100">
    <w:abstractNumId w:val="41"/>
  </w:num>
  <w:num w:numId="101">
    <w:abstractNumId w:val="41"/>
  </w:num>
  <w:num w:numId="102">
    <w:abstractNumId w:val="41"/>
  </w:num>
  <w:num w:numId="103">
    <w:abstractNumId w:val="41"/>
  </w:num>
  <w:num w:numId="104">
    <w:abstractNumId w:val="41"/>
  </w:num>
  <w:num w:numId="105">
    <w:abstractNumId w:val="41"/>
  </w:num>
  <w:num w:numId="106">
    <w:abstractNumId w:val="41"/>
  </w:num>
  <w:num w:numId="107">
    <w:abstractNumId w:val="41"/>
  </w:num>
  <w:num w:numId="108">
    <w:abstractNumId w:val="41"/>
  </w:num>
  <w:num w:numId="109">
    <w:abstractNumId w:val="41"/>
  </w:num>
  <w:num w:numId="110">
    <w:abstractNumId w:val="41"/>
  </w:num>
  <w:num w:numId="111">
    <w:abstractNumId w:val="41"/>
  </w:num>
  <w:num w:numId="112">
    <w:abstractNumId w:val="41"/>
  </w:num>
  <w:num w:numId="113">
    <w:abstractNumId w:val="41"/>
  </w:num>
  <w:num w:numId="114">
    <w:abstractNumId w:val="41"/>
  </w:num>
  <w:num w:numId="115">
    <w:abstractNumId w:val="18"/>
  </w:num>
  <w:num w:numId="116">
    <w:abstractNumId w:val="63"/>
  </w:num>
  <w:num w:numId="117">
    <w:abstractNumId w:val="85"/>
  </w:num>
  <w:num w:numId="118">
    <w:abstractNumId w:val="52"/>
  </w:num>
  <w:num w:numId="119">
    <w:abstractNumId w:val="56"/>
  </w:num>
  <w:num w:numId="120">
    <w:abstractNumId w:val="103"/>
  </w:num>
  <w:num w:numId="121">
    <w:abstractNumId w:val="5"/>
  </w:num>
  <w:num w:numId="122">
    <w:abstractNumId w:val="16"/>
  </w:num>
  <w:num w:numId="123">
    <w:abstractNumId w:val="47"/>
  </w:num>
  <w:num w:numId="124">
    <w:abstractNumId w:val="69"/>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37E"/>
    <w:rsid w:val="00000026"/>
    <w:rsid w:val="00000059"/>
    <w:rsid w:val="00000320"/>
    <w:rsid w:val="000004B1"/>
    <w:rsid w:val="00000665"/>
    <w:rsid w:val="00000722"/>
    <w:rsid w:val="000008DF"/>
    <w:rsid w:val="00000AA9"/>
    <w:rsid w:val="00000E98"/>
    <w:rsid w:val="0000105E"/>
    <w:rsid w:val="00001086"/>
    <w:rsid w:val="0000143A"/>
    <w:rsid w:val="00001834"/>
    <w:rsid w:val="00001A33"/>
    <w:rsid w:val="00001B67"/>
    <w:rsid w:val="00001BC0"/>
    <w:rsid w:val="00001BCD"/>
    <w:rsid w:val="00001BF9"/>
    <w:rsid w:val="00001D4A"/>
    <w:rsid w:val="00001DAE"/>
    <w:rsid w:val="00001E01"/>
    <w:rsid w:val="000020B6"/>
    <w:rsid w:val="0000213A"/>
    <w:rsid w:val="0000232C"/>
    <w:rsid w:val="000025C8"/>
    <w:rsid w:val="00002610"/>
    <w:rsid w:val="00002A4F"/>
    <w:rsid w:val="00002A5A"/>
    <w:rsid w:val="00002C41"/>
    <w:rsid w:val="00002D1F"/>
    <w:rsid w:val="00002DF2"/>
    <w:rsid w:val="00002FF7"/>
    <w:rsid w:val="00003091"/>
    <w:rsid w:val="000031C1"/>
    <w:rsid w:val="00003207"/>
    <w:rsid w:val="00003320"/>
    <w:rsid w:val="0000335B"/>
    <w:rsid w:val="000033CC"/>
    <w:rsid w:val="0000341A"/>
    <w:rsid w:val="00003433"/>
    <w:rsid w:val="00003506"/>
    <w:rsid w:val="00003691"/>
    <w:rsid w:val="000036A7"/>
    <w:rsid w:val="00003843"/>
    <w:rsid w:val="000039EA"/>
    <w:rsid w:val="00003B23"/>
    <w:rsid w:val="00003FC3"/>
    <w:rsid w:val="0000426E"/>
    <w:rsid w:val="00004387"/>
    <w:rsid w:val="000043F8"/>
    <w:rsid w:val="0000443A"/>
    <w:rsid w:val="000044EB"/>
    <w:rsid w:val="0000455C"/>
    <w:rsid w:val="00004948"/>
    <w:rsid w:val="00004A7B"/>
    <w:rsid w:val="00004AF5"/>
    <w:rsid w:val="00004C27"/>
    <w:rsid w:val="0000516D"/>
    <w:rsid w:val="00005366"/>
    <w:rsid w:val="000054C8"/>
    <w:rsid w:val="00005593"/>
    <w:rsid w:val="0000598F"/>
    <w:rsid w:val="000059D4"/>
    <w:rsid w:val="00005D10"/>
    <w:rsid w:val="00005DFA"/>
    <w:rsid w:val="00005EAB"/>
    <w:rsid w:val="00006114"/>
    <w:rsid w:val="00006133"/>
    <w:rsid w:val="000061CE"/>
    <w:rsid w:val="0000635F"/>
    <w:rsid w:val="000064A5"/>
    <w:rsid w:val="000065D1"/>
    <w:rsid w:val="000065FD"/>
    <w:rsid w:val="00006712"/>
    <w:rsid w:val="000067F0"/>
    <w:rsid w:val="00006815"/>
    <w:rsid w:val="000068B6"/>
    <w:rsid w:val="000068F6"/>
    <w:rsid w:val="00006CAE"/>
    <w:rsid w:val="00006CB1"/>
    <w:rsid w:val="00006E9F"/>
    <w:rsid w:val="00006EC8"/>
    <w:rsid w:val="000070B4"/>
    <w:rsid w:val="0000771B"/>
    <w:rsid w:val="000077CC"/>
    <w:rsid w:val="0000781A"/>
    <w:rsid w:val="000078E3"/>
    <w:rsid w:val="000079CC"/>
    <w:rsid w:val="00007B29"/>
    <w:rsid w:val="00007B30"/>
    <w:rsid w:val="00007B97"/>
    <w:rsid w:val="00007BF5"/>
    <w:rsid w:val="00007F1A"/>
    <w:rsid w:val="000100F0"/>
    <w:rsid w:val="00010338"/>
    <w:rsid w:val="000103D6"/>
    <w:rsid w:val="0001050A"/>
    <w:rsid w:val="0001052D"/>
    <w:rsid w:val="00010735"/>
    <w:rsid w:val="000108E3"/>
    <w:rsid w:val="00010909"/>
    <w:rsid w:val="000109CF"/>
    <w:rsid w:val="00010AAE"/>
    <w:rsid w:val="00010BAE"/>
    <w:rsid w:val="00010CCB"/>
    <w:rsid w:val="00010E05"/>
    <w:rsid w:val="00011521"/>
    <w:rsid w:val="00011522"/>
    <w:rsid w:val="00011566"/>
    <w:rsid w:val="0001160B"/>
    <w:rsid w:val="00011910"/>
    <w:rsid w:val="00011A7D"/>
    <w:rsid w:val="00011E4E"/>
    <w:rsid w:val="00011EAD"/>
    <w:rsid w:val="00011F1C"/>
    <w:rsid w:val="00011F70"/>
    <w:rsid w:val="00011F9D"/>
    <w:rsid w:val="0001200D"/>
    <w:rsid w:val="00012180"/>
    <w:rsid w:val="000122BF"/>
    <w:rsid w:val="00012652"/>
    <w:rsid w:val="000128D0"/>
    <w:rsid w:val="00012918"/>
    <w:rsid w:val="00012951"/>
    <w:rsid w:val="000129CA"/>
    <w:rsid w:val="00012C71"/>
    <w:rsid w:val="00012CAA"/>
    <w:rsid w:val="00012CDB"/>
    <w:rsid w:val="00013263"/>
    <w:rsid w:val="00013605"/>
    <w:rsid w:val="00013648"/>
    <w:rsid w:val="000136D1"/>
    <w:rsid w:val="00013725"/>
    <w:rsid w:val="000137C1"/>
    <w:rsid w:val="000138AD"/>
    <w:rsid w:val="000138BE"/>
    <w:rsid w:val="000138C5"/>
    <w:rsid w:val="00013AB4"/>
    <w:rsid w:val="00013C8C"/>
    <w:rsid w:val="00013EFF"/>
    <w:rsid w:val="00014049"/>
    <w:rsid w:val="000143F5"/>
    <w:rsid w:val="0001460B"/>
    <w:rsid w:val="000147D8"/>
    <w:rsid w:val="00014840"/>
    <w:rsid w:val="00014ADA"/>
    <w:rsid w:val="00014B9B"/>
    <w:rsid w:val="00014BC1"/>
    <w:rsid w:val="00014C40"/>
    <w:rsid w:val="00014D94"/>
    <w:rsid w:val="00014E5B"/>
    <w:rsid w:val="00015040"/>
    <w:rsid w:val="000150C0"/>
    <w:rsid w:val="00015107"/>
    <w:rsid w:val="00015452"/>
    <w:rsid w:val="00015599"/>
    <w:rsid w:val="0001573C"/>
    <w:rsid w:val="0001577E"/>
    <w:rsid w:val="0001581A"/>
    <w:rsid w:val="00015FBA"/>
    <w:rsid w:val="000160C1"/>
    <w:rsid w:val="000161D9"/>
    <w:rsid w:val="000161FC"/>
    <w:rsid w:val="000164B0"/>
    <w:rsid w:val="000166D7"/>
    <w:rsid w:val="00016B5F"/>
    <w:rsid w:val="00016C88"/>
    <w:rsid w:val="00016D01"/>
    <w:rsid w:val="000170B4"/>
    <w:rsid w:val="0001710C"/>
    <w:rsid w:val="00017174"/>
    <w:rsid w:val="000175A2"/>
    <w:rsid w:val="000175DC"/>
    <w:rsid w:val="000178A2"/>
    <w:rsid w:val="0001795A"/>
    <w:rsid w:val="00017A89"/>
    <w:rsid w:val="00017C7C"/>
    <w:rsid w:val="00017DFE"/>
    <w:rsid w:val="00017EEE"/>
    <w:rsid w:val="00020021"/>
    <w:rsid w:val="000201B7"/>
    <w:rsid w:val="0002020B"/>
    <w:rsid w:val="00020210"/>
    <w:rsid w:val="00020307"/>
    <w:rsid w:val="000204C5"/>
    <w:rsid w:val="0002063D"/>
    <w:rsid w:val="00020787"/>
    <w:rsid w:val="00020918"/>
    <w:rsid w:val="00020A69"/>
    <w:rsid w:val="00020B4F"/>
    <w:rsid w:val="00020B6A"/>
    <w:rsid w:val="00020BE0"/>
    <w:rsid w:val="00020DC9"/>
    <w:rsid w:val="00020E76"/>
    <w:rsid w:val="00020F33"/>
    <w:rsid w:val="00020FD8"/>
    <w:rsid w:val="00021026"/>
    <w:rsid w:val="00021397"/>
    <w:rsid w:val="000214D4"/>
    <w:rsid w:val="00021574"/>
    <w:rsid w:val="00021612"/>
    <w:rsid w:val="0002175E"/>
    <w:rsid w:val="0002198D"/>
    <w:rsid w:val="000219A3"/>
    <w:rsid w:val="000219A4"/>
    <w:rsid w:val="00021A0E"/>
    <w:rsid w:val="00021A8E"/>
    <w:rsid w:val="00021B08"/>
    <w:rsid w:val="00021C6B"/>
    <w:rsid w:val="00021D0D"/>
    <w:rsid w:val="00021F19"/>
    <w:rsid w:val="00021F56"/>
    <w:rsid w:val="00022210"/>
    <w:rsid w:val="000222C3"/>
    <w:rsid w:val="000222ED"/>
    <w:rsid w:val="000223FA"/>
    <w:rsid w:val="000223FD"/>
    <w:rsid w:val="00022445"/>
    <w:rsid w:val="000224A6"/>
    <w:rsid w:val="000224CD"/>
    <w:rsid w:val="0002280A"/>
    <w:rsid w:val="0002299E"/>
    <w:rsid w:val="00022C55"/>
    <w:rsid w:val="00022D91"/>
    <w:rsid w:val="0002303E"/>
    <w:rsid w:val="0002315D"/>
    <w:rsid w:val="0002322A"/>
    <w:rsid w:val="000232B4"/>
    <w:rsid w:val="00023361"/>
    <w:rsid w:val="00023406"/>
    <w:rsid w:val="00023451"/>
    <w:rsid w:val="00023482"/>
    <w:rsid w:val="000234B8"/>
    <w:rsid w:val="00023688"/>
    <w:rsid w:val="0002369F"/>
    <w:rsid w:val="000236B6"/>
    <w:rsid w:val="00023736"/>
    <w:rsid w:val="00023832"/>
    <w:rsid w:val="00023987"/>
    <w:rsid w:val="00023BC3"/>
    <w:rsid w:val="00023E47"/>
    <w:rsid w:val="00023E71"/>
    <w:rsid w:val="000240E4"/>
    <w:rsid w:val="00024181"/>
    <w:rsid w:val="000242F7"/>
    <w:rsid w:val="00024377"/>
    <w:rsid w:val="0002441D"/>
    <w:rsid w:val="000245B0"/>
    <w:rsid w:val="00024856"/>
    <w:rsid w:val="000248C7"/>
    <w:rsid w:val="00024953"/>
    <w:rsid w:val="00024CBE"/>
    <w:rsid w:val="00024E13"/>
    <w:rsid w:val="00024F6D"/>
    <w:rsid w:val="0002537E"/>
    <w:rsid w:val="00025387"/>
    <w:rsid w:val="00025391"/>
    <w:rsid w:val="0002545F"/>
    <w:rsid w:val="00025471"/>
    <w:rsid w:val="00025505"/>
    <w:rsid w:val="000257E8"/>
    <w:rsid w:val="00025837"/>
    <w:rsid w:val="00025984"/>
    <w:rsid w:val="00025A49"/>
    <w:rsid w:val="00025ADC"/>
    <w:rsid w:val="00025B66"/>
    <w:rsid w:val="00025D2F"/>
    <w:rsid w:val="00025E60"/>
    <w:rsid w:val="00025ED2"/>
    <w:rsid w:val="00025EDC"/>
    <w:rsid w:val="000261D3"/>
    <w:rsid w:val="00026281"/>
    <w:rsid w:val="000262EB"/>
    <w:rsid w:val="00026488"/>
    <w:rsid w:val="00026559"/>
    <w:rsid w:val="00026705"/>
    <w:rsid w:val="00026A40"/>
    <w:rsid w:val="00026A7B"/>
    <w:rsid w:val="00026EDB"/>
    <w:rsid w:val="00027136"/>
    <w:rsid w:val="0002726B"/>
    <w:rsid w:val="0002749F"/>
    <w:rsid w:val="000276C2"/>
    <w:rsid w:val="000278D0"/>
    <w:rsid w:val="00027CDA"/>
    <w:rsid w:val="00027EA6"/>
    <w:rsid w:val="00030056"/>
    <w:rsid w:val="0003036D"/>
    <w:rsid w:val="000304B8"/>
    <w:rsid w:val="0003098F"/>
    <w:rsid w:val="00030A2B"/>
    <w:rsid w:val="00030A60"/>
    <w:rsid w:val="00030F88"/>
    <w:rsid w:val="00030F9A"/>
    <w:rsid w:val="00031194"/>
    <w:rsid w:val="00031323"/>
    <w:rsid w:val="000313BA"/>
    <w:rsid w:val="000313CD"/>
    <w:rsid w:val="00031554"/>
    <w:rsid w:val="000316C3"/>
    <w:rsid w:val="00031803"/>
    <w:rsid w:val="00031910"/>
    <w:rsid w:val="00031B7E"/>
    <w:rsid w:val="00031C7E"/>
    <w:rsid w:val="00031DB3"/>
    <w:rsid w:val="00031DE0"/>
    <w:rsid w:val="00031F1B"/>
    <w:rsid w:val="00031FFE"/>
    <w:rsid w:val="00032058"/>
    <w:rsid w:val="0003266A"/>
    <w:rsid w:val="0003267C"/>
    <w:rsid w:val="00032916"/>
    <w:rsid w:val="00032A05"/>
    <w:rsid w:val="00032C5F"/>
    <w:rsid w:val="00032CBF"/>
    <w:rsid w:val="00032FD1"/>
    <w:rsid w:val="00033074"/>
    <w:rsid w:val="000331E0"/>
    <w:rsid w:val="000332A1"/>
    <w:rsid w:val="000332E0"/>
    <w:rsid w:val="00033539"/>
    <w:rsid w:val="00033650"/>
    <w:rsid w:val="00033672"/>
    <w:rsid w:val="00033AA9"/>
    <w:rsid w:val="00033F83"/>
    <w:rsid w:val="00033F99"/>
    <w:rsid w:val="00034168"/>
    <w:rsid w:val="0003418B"/>
    <w:rsid w:val="00034192"/>
    <w:rsid w:val="00034199"/>
    <w:rsid w:val="0003434D"/>
    <w:rsid w:val="000343D0"/>
    <w:rsid w:val="0003445B"/>
    <w:rsid w:val="00034624"/>
    <w:rsid w:val="00034731"/>
    <w:rsid w:val="00034933"/>
    <w:rsid w:val="00034A9C"/>
    <w:rsid w:val="00034AA2"/>
    <w:rsid w:val="00034B05"/>
    <w:rsid w:val="00034B2E"/>
    <w:rsid w:val="00034B43"/>
    <w:rsid w:val="00034CE5"/>
    <w:rsid w:val="00034E40"/>
    <w:rsid w:val="000350F7"/>
    <w:rsid w:val="00035245"/>
    <w:rsid w:val="00035482"/>
    <w:rsid w:val="000354B2"/>
    <w:rsid w:val="000355DF"/>
    <w:rsid w:val="000355F1"/>
    <w:rsid w:val="00035A9F"/>
    <w:rsid w:val="00035B01"/>
    <w:rsid w:val="00035BB1"/>
    <w:rsid w:val="00035CBC"/>
    <w:rsid w:val="00035CD8"/>
    <w:rsid w:val="00035D87"/>
    <w:rsid w:val="00035EE7"/>
    <w:rsid w:val="00035F13"/>
    <w:rsid w:val="000360AF"/>
    <w:rsid w:val="000360C0"/>
    <w:rsid w:val="000360DC"/>
    <w:rsid w:val="00036118"/>
    <w:rsid w:val="0003630B"/>
    <w:rsid w:val="00036316"/>
    <w:rsid w:val="00036347"/>
    <w:rsid w:val="000364F5"/>
    <w:rsid w:val="000368B7"/>
    <w:rsid w:val="00036969"/>
    <w:rsid w:val="000369C7"/>
    <w:rsid w:val="000369DF"/>
    <w:rsid w:val="00036B2E"/>
    <w:rsid w:val="00036D65"/>
    <w:rsid w:val="00037019"/>
    <w:rsid w:val="00037165"/>
    <w:rsid w:val="000371AE"/>
    <w:rsid w:val="00037282"/>
    <w:rsid w:val="000374D6"/>
    <w:rsid w:val="00037716"/>
    <w:rsid w:val="00037748"/>
    <w:rsid w:val="0003784F"/>
    <w:rsid w:val="00037943"/>
    <w:rsid w:val="0003796B"/>
    <w:rsid w:val="00037C7F"/>
    <w:rsid w:val="00037D6F"/>
    <w:rsid w:val="00037DBD"/>
    <w:rsid w:val="00037E73"/>
    <w:rsid w:val="00037FB8"/>
    <w:rsid w:val="000407FC"/>
    <w:rsid w:val="00040802"/>
    <w:rsid w:val="0004085F"/>
    <w:rsid w:val="000409E2"/>
    <w:rsid w:val="00040BA8"/>
    <w:rsid w:val="00040BB1"/>
    <w:rsid w:val="00040E0D"/>
    <w:rsid w:val="00040F72"/>
    <w:rsid w:val="00041072"/>
    <w:rsid w:val="000411BB"/>
    <w:rsid w:val="000413E0"/>
    <w:rsid w:val="00041673"/>
    <w:rsid w:val="000416BA"/>
    <w:rsid w:val="00041816"/>
    <w:rsid w:val="000418EF"/>
    <w:rsid w:val="000419BA"/>
    <w:rsid w:val="00041C08"/>
    <w:rsid w:val="00041D88"/>
    <w:rsid w:val="00041FE6"/>
    <w:rsid w:val="00041FE9"/>
    <w:rsid w:val="0004201F"/>
    <w:rsid w:val="00042256"/>
    <w:rsid w:val="00042421"/>
    <w:rsid w:val="0004254E"/>
    <w:rsid w:val="00042572"/>
    <w:rsid w:val="000429D3"/>
    <w:rsid w:val="00042C07"/>
    <w:rsid w:val="00042C0A"/>
    <w:rsid w:val="00042DF4"/>
    <w:rsid w:val="00042F78"/>
    <w:rsid w:val="00042FC6"/>
    <w:rsid w:val="00043038"/>
    <w:rsid w:val="00043181"/>
    <w:rsid w:val="000431BB"/>
    <w:rsid w:val="0004326B"/>
    <w:rsid w:val="000433BB"/>
    <w:rsid w:val="000433E5"/>
    <w:rsid w:val="000434E9"/>
    <w:rsid w:val="0004361A"/>
    <w:rsid w:val="00043681"/>
    <w:rsid w:val="00043A5E"/>
    <w:rsid w:val="00043A74"/>
    <w:rsid w:val="00043C25"/>
    <w:rsid w:val="00043C9B"/>
    <w:rsid w:val="00043E3B"/>
    <w:rsid w:val="00043E5F"/>
    <w:rsid w:val="00043ED4"/>
    <w:rsid w:val="00043F4C"/>
    <w:rsid w:val="000440DF"/>
    <w:rsid w:val="000442E0"/>
    <w:rsid w:val="000443A4"/>
    <w:rsid w:val="00044739"/>
    <w:rsid w:val="000449D0"/>
    <w:rsid w:val="00044A36"/>
    <w:rsid w:val="00044BE7"/>
    <w:rsid w:val="00044CD1"/>
    <w:rsid w:val="00044E14"/>
    <w:rsid w:val="00044FC8"/>
    <w:rsid w:val="00045156"/>
    <w:rsid w:val="0004535E"/>
    <w:rsid w:val="0004535F"/>
    <w:rsid w:val="000454E2"/>
    <w:rsid w:val="00045578"/>
    <w:rsid w:val="000456C3"/>
    <w:rsid w:val="00045A2A"/>
    <w:rsid w:val="00046012"/>
    <w:rsid w:val="000461AB"/>
    <w:rsid w:val="0004636C"/>
    <w:rsid w:val="000467CC"/>
    <w:rsid w:val="0004691F"/>
    <w:rsid w:val="000469CB"/>
    <w:rsid w:val="00046A4B"/>
    <w:rsid w:val="00046B75"/>
    <w:rsid w:val="00046C25"/>
    <w:rsid w:val="00046CF6"/>
    <w:rsid w:val="00046E33"/>
    <w:rsid w:val="00046E9F"/>
    <w:rsid w:val="0004710D"/>
    <w:rsid w:val="000471B1"/>
    <w:rsid w:val="000472F3"/>
    <w:rsid w:val="00047518"/>
    <w:rsid w:val="000475E2"/>
    <w:rsid w:val="000475F6"/>
    <w:rsid w:val="000476BC"/>
    <w:rsid w:val="00047734"/>
    <w:rsid w:val="000479B2"/>
    <w:rsid w:val="00047AC4"/>
    <w:rsid w:val="00047E84"/>
    <w:rsid w:val="00047FBE"/>
    <w:rsid w:val="00050053"/>
    <w:rsid w:val="00050092"/>
    <w:rsid w:val="00050129"/>
    <w:rsid w:val="00050463"/>
    <w:rsid w:val="000507DF"/>
    <w:rsid w:val="00050843"/>
    <w:rsid w:val="00050974"/>
    <w:rsid w:val="00050982"/>
    <w:rsid w:val="00050C74"/>
    <w:rsid w:val="00050EE8"/>
    <w:rsid w:val="00050F2A"/>
    <w:rsid w:val="000511D8"/>
    <w:rsid w:val="00051700"/>
    <w:rsid w:val="0005176F"/>
    <w:rsid w:val="000519DA"/>
    <w:rsid w:val="00051CAB"/>
    <w:rsid w:val="00051D15"/>
    <w:rsid w:val="00051FA4"/>
    <w:rsid w:val="00051FA6"/>
    <w:rsid w:val="0005209E"/>
    <w:rsid w:val="000521B8"/>
    <w:rsid w:val="000523B7"/>
    <w:rsid w:val="0005240B"/>
    <w:rsid w:val="000524BB"/>
    <w:rsid w:val="00052658"/>
    <w:rsid w:val="000526A5"/>
    <w:rsid w:val="00052815"/>
    <w:rsid w:val="000528DB"/>
    <w:rsid w:val="00052A34"/>
    <w:rsid w:val="00052BBC"/>
    <w:rsid w:val="00052FA1"/>
    <w:rsid w:val="00052FDC"/>
    <w:rsid w:val="0005307C"/>
    <w:rsid w:val="000530CA"/>
    <w:rsid w:val="0005323E"/>
    <w:rsid w:val="00053322"/>
    <w:rsid w:val="0005353C"/>
    <w:rsid w:val="00053554"/>
    <w:rsid w:val="0005386B"/>
    <w:rsid w:val="00053881"/>
    <w:rsid w:val="000538DA"/>
    <w:rsid w:val="00053A6C"/>
    <w:rsid w:val="00053A98"/>
    <w:rsid w:val="00053B2C"/>
    <w:rsid w:val="00053BD2"/>
    <w:rsid w:val="00053BEB"/>
    <w:rsid w:val="00053EC5"/>
    <w:rsid w:val="00053F41"/>
    <w:rsid w:val="0005404B"/>
    <w:rsid w:val="00054079"/>
    <w:rsid w:val="00054084"/>
    <w:rsid w:val="000540B2"/>
    <w:rsid w:val="000540BA"/>
    <w:rsid w:val="0005421E"/>
    <w:rsid w:val="000542DD"/>
    <w:rsid w:val="00054747"/>
    <w:rsid w:val="0005474C"/>
    <w:rsid w:val="00054B28"/>
    <w:rsid w:val="00054BD9"/>
    <w:rsid w:val="00054C10"/>
    <w:rsid w:val="00054C9C"/>
    <w:rsid w:val="0005506C"/>
    <w:rsid w:val="000551A1"/>
    <w:rsid w:val="000552A5"/>
    <w:rsid w:val="00055571"/>
    <w:rsid w:val="00055738"/>
    <w:rsid w:val="00055886"/>
    <w:rsid w:val="00055AEB"/>
    <w:rsid w:val="00055B35"/>
    <w:rsid w:val="00055D1C"/>
    <w:rsid w:val="00055DDC"/>
    <w:rsid w:val="00055E37"/>
    <w:rsid w:val="00055EF0"/>
    <w:rsid w:val="00055F38"/>
    <w:rsid w:val="00056160"/>
    <w:rsid w:val="000561AC"/>
    <w:rsid w:val="0005626F"/>
    <w:rsid w:val="00056341"/>
    <w:rsid w:val="000563B8"/>
    <w:rsid w:val="000566B2"/>
    <w:rsid w:val="00056984"/>
    <w:rsid w:val="00056D29"/>
    <w:rsid w:val="00056EF7"/>
    <w:rsid w:val="00057133"/>
    <w:rsid w:val="0005714D"/>
    <w:rsid w:val="000573E6"/>
    <w:rsid w:val="000579FD"/>
    <w:rsid w:val="00057A38"/>
    <w:rsid w:val="00060300"/>
    <w:rsid w:val="000605B7"/>
    <w:rsid w:val="00060651"/>
    <w:rsid w:val="000606B7"/>
    <w:rsid w:val="0006080A"/>
    <w:rsid w:val="00060B82"/>
    <w:rsid w:val="00060BC5"/>
    <w:rsid w:val="00060C3D"/>
    <w:rsid w:val="000610BB"/>
    <w:rsid w:val="00061159"/>
    <w:rsid w:val="000611D9"/>
    <w:rsid w:val="00061227"/>
    <w:rsid w:val="00061233"/>
    <w:rsid w:val="000612B7"/>
    <w:rsid w:val="00061420"/>
    <w:rsid w:val="00061491"/>
    <w:rsid w:val="0006152C"/>
    <w:rsid w:val="00061586"/>
    <w:rsid w:val="00061723"/>
    <w:rsid w:val="0006183E"/>
    <w:rsid w:val="000619C4"/>
    <w:rsid w:val="00061DF5"/>
    <w:rsid w:val="00061EE4"/>
    <w:rsid w:val="00061F11"/>
    <w:rsid w:val="00061F62"/>
    <w:rsid w:val="00062240"/>
    <w:rsid w:val="00062369"/>
    <w:rsid w:val="00062473"/>
    <w:rsid w:val="000624B4"/>
    <w:rsid w:val="0006255F"/>
    <w:rsid w:val="000626D5"/>
    <w:rsid w:val="00062943"/>
    <w:rsid w:val="00062A0E"/>
    <w:rsid w:val="00062A1D"/>
    <w:rsid w:val="00062A1F"/>
    <w:rsid w:val="00062BF5"/>
    <w:rsid w:val="00062DD6"/>
    <w:rsid w:val="00062DDE"/>
    <w:rsid w:val="000630CA"/>
    <w:rsid w:val="00063152"/>
    <w:rsid w:val="000633D6"/>
    <w:rsid w:val="000634DF"/>
    <w:rsid w:val="000638C1"/>
    <w:rsid w:val="000638D8"/>
    <w:rsid w:val="000638F1"/>
    <w:rsid w:val="0006400A"/>
    <w:rsid w:val="00064147"/>
    <w:rsid w:val="00064165"/>
    <w:rsid w:val="0006417C"/>
    <w:rsid w:val="0006425C"/>
    <w:rsid w:val="0006431C"/>
    <w:rsid w:val="00064403"/>
    <w:rsid w:val="000646D6"/>
    <w:rsid w:val="00064700"/>
    <w:rsid w:val="00064954"/>
    <w:rsid w:val="000649DB"/>
    <w:rsid w:val="000649FC"/>
    <w:rsid w:val="00064C56"/>
    <w:rsid w:val="00064C68"/>
    <w:rsid w:val="00064CD4"/>
    <w:rsid w:val="00064E7C"/>
    <w:rsid w:val="00064EE3"/>
    <w:rsid w:val="00065085"/>
    <w:rsid w:val="00065297"/>
    <w:rsid w:val="000652F5"/>
    <w:rsid w:val="00065348"/>
    <w:rsid w:val="000655C3"/>
    <w:rsid w:val="00065937"/>
    <w:rsid w:val="00065BDE"/>
    <w:rsid w:val="00065C10"/>
    <w:rsid w:val="00065C62"/>
    <w:rsid w:val="00066473"/>
    <w:rsid w:val="00066631"/>
    <w:rsid w:val="000666BC"/>
    <w:rsid w:val="00066796"/>
    <w:rsid w:val="00066C72"/>
    <w:rsid w:val="00066FC8"/>
    <w:rsid w:val="0006714C"/>
    <w:rsid w:val="000671F4"/>
    <w:rsid w:val="000674CB"/>
    <w:rsid w:val="0006755F"/>
    <w:rsid w:val="0006766A"/>
    <w:rsid w:val="0006794D"/>
    <w:rsid w:val="00067A01"/>
    <w:rsid w:val="00067B82"/>
    <w:rsid w:val="00067C0E"/>
    <w:rsid w:val="00067C5D"/>
    <w:rsid w:val="00067C8D"/>
    <w:rsid w:val="00067DFE"/>
    <w:rsid w:val="0007001C"/>
    <w:rsid w:val="00070276"/>
    <w:rsid w:val="00070305"/>
    <w:rsid w:val="000705F4"/>
    <w:rsid w:val="00070633"/>
    <w:rsid w:val="0007070C"/>
    <w:rsid w:val="0007078D"/>
    <w:rsid w:val="00070807"/>
    <w:rsid w:val="00070825"/>
    <w:rsid w:val="00070852"/>
    <w:rsid w:val="00070892"/>
    <w:rsid w:val="00070A97"/>
    <w:rsid w:val="00070BE0"/>
    <w:rsid w:val="00070C90"/>
    <w:rsid w:val="0007106C"/>
    <w:rsid w:val="0007108B"/>
    <w:rsid w:val="00071340"/>
    <w:rsid w:val="00071521"/>
    <w:rsid w:val="00071952"/>
    <w:rsid w:val="00071A62"/>
    <w:rsid w:val="00071C00"/>
    <w:rsid w:val="00071CBA"/>
    <w:rsid w:val="00071D83"/>
    <w:rsid w:val="00071F32"/>
    <w:rsid w:val="00072090"/>
    <w:rsid w:val="000721F2"/>
    <w:rsid w:val="0007238B"/>
    <w:rsid w:val="00072440"/>
    <w:rsid w:val="0007265C"/>
    <w:rsid w:val="00072735"/>
    <w:rsid w:val="000727DB"/>
    <w:rsid w:val="000729D2"/>
    <w:rsid w:val="00072A56"/>
    <w:rsid w:val="00072B45"/>
    <w:rsid w:val="00072B7D"/>
    <w:rsid w:val="00072EF8"/>
    <w:rsid w:val="00072F59"/>
    <w:rsid w:val="000731F7"/>
    <w:rsid w:val="00073437"/>
    <w:rsid w:val="0007347D"/>
    <w:rsid w:val="00073721"/>
    <w:rsid w:val="0007374C"/>
    <w:rsid w:val="000737D9"/>
    <w:rsid w:val="000738C7"/>
    <w:rsid w:val="000738EF"/>
    <w:rsid w:val="00073B2D"/>
    <w:rsid w:val="00073CFB"/>
    <w:rsid w:val="00073FB7"/>
    <w:rsid w:val="000741F9"/>
    <w:rsid w:val="0007437E"/>
    <w:rsid w:val="000743B6"/>
    <w:rsid w:val="00074636"/>
    <w:rsid w:val="00074813"/>
    <w:rsid w:val="000749D7"/>
    <w:rsid w:val="00074B8C"/>
    <w:rsid w:val="00074F52"/>
    <w:rsid w:val="00074FEA"/>
    <w:rsid w:val="00075289"/>
    <w:rsid w:val="00075305"/>
    <w:rsid w:val="0007537F"/>
    <w:rsid w:val="000753E7"/>
    <w:rsid w:val="0007574C"/>
    <w:rsid w:val="000758AC"/>
    <w:rsid w:val="00075A47"/>
    <w:rsid w:val="00075C91"/>
    <w:rsid w:val="00075DED"/>
    <w:rsid w:val="00075ECD"/>
    <w:rsid w:val="00075F34"/>
    <w:rsid w:val="00075F52"/>
    <w:rsid w:val="00076200"/>
    <w:rsid w:val="000762A9"/>
    <w:rsid w:val="000762BD"/>
    <w:rsid w:val="00076544"/>
    <w:rsid w:val="0007655C"/>
    <w:rsid w:val="00076560"/>
    <w:rsid w:val="000767FE"/>
    <w:rsid w:val="0007680F"/>
    <w:rsid w:val="00076853"/>
    <w:rsid w:val="000768D0"/>
    <w:rsid w:val="00076A14"/>
    <w:rsid w:val="00076C66"/>
    <w:rsid w:val="00076CAD"/>
    <w:rsid w:val="00076D57"/>
    <w:rsid w:val="00076D70"/>
    <w:rsid w:val="00076E49"/>
    <w:rsid w:val="00076EF6"/>
    <w:rsid w:val="000773C6"/>
    <w:rsid w:val="000776AA"/>
    <w:rsid w:val="00077C60"/>
    <w:rsid w:val="00077CFD"/>
    <w:rsid w:val="00077F7B"/>
    <w:rsid w:val="00077FCB"/>
    <w:rsid w:val="000801A5"/>
    <w:rsid w:val="000805BA"/>
    <w:rsid w:val="0008060A"/>
    <w:rsid w:val="000806C1"/>
    <w:rsid w:val="000807AF"/>
    <w:rsid w:val="000808E1"/>
    <w:rsid w:val="00080992"/>
    <w:rsid w:val="00080ABB"/>
    <w:rsid w:val="00081351"/>
    <w:rsid w:val="00081448"/>
    <w:rsid w:val="0008168C"/>
    <w:rsid w:val="00081691"/>
    <w:rsid w:val="000819CC"/>
    <w:rsid w:val="000819DF"/>
    <w:rsid w:val="00081AC7"/>
    <w:rsid w:val="00081BA0"/>
    <w:rsid w:val="00081CA1"/>
    <w:rsid w:val="00081DFD"/>
    <w:rsid w:val="00081E18"/>
    <w:rsid w:val="00081E89"/>
    <w:rsid w:val="00082058"/>
    <w:rsid w:val="00082315"/>
    <w:rsid w:val="00082365"/>
    <w:rsid w:val="00082563"/>
    <w:rsid w:val="00082687"/>
    <w:rsid w:val="00082C5F"/>
    <w:rsid w:val="00082F53"/>
    <w:rsid w:val="0008315B"/>
    <w:rsid w:val="00083492"/>
    <w:rsid w:val="00083592"/>
    <w:rsid w:val="000835D3"/>
    <w:rsid w:val="0008362B"/>
    <w:rsid w:val="00083743"/>
    <w:rsid w:val="00083849"/>
    <w:rsid w:val="00083B8A"/>
    <w:rsid w:val="00083C14"/>
    <w:rsid w:val="00083E05"/>
    <w:rsid w:val="000840FC"/>
    <w:rsid w:val="00084153"/>
    <w:rsid w:val="000842F1"/>
    <w:rsid w:val="000844D4"/>
    <w:rsid w:val="0008464C"/>
    <w:rsid w:val="000846A5"/>
    <w:rsid w:val="0008496B"/>
    <w:rsid w:val="000849CB"/>
    <w:rsid w:val="00084A01"/>
    <w:rsid w:val="00084B09"/>
    <w:rsid w:val="00084B53"/>
    <w:rsid w:val="00084BD7"/>
    <w:rsid w:val="00084C3E"/>
    <w:rsid w:val="00084D1C"/>
    <w:rsid w:val="00084E24"/>
    <w:rsid w:val="00084E44"/>
    <w:rsid w:val="000850D6"/>
    <w:rsid w:val="000851E0"/>
    <w:rsid w:val="0008558B"/>
    <w:rsid w:val="00085835"/>
    <w:rsid w:val="000858C9"/>
    <w:rsid w:val="00085944"/>
    <w:rsid w:val="00085B79"/>
    <w:rsid w:val="00085C24"/>
    <w:rsid w:val="00085C3F"/>
    <w:rsid w:val="00085D3E"/>
    <w:rsid w:val="00085FC9"/>
    <w:rsid w:val="00085FF6"/>
    <w:rsid w:val="00086123"/>
    <w:rsid w:val="00086429"/>
    <w:rsid w:val="0008644D"/>
    <w:rsid w:val="00086459"/>
    <w:rsid w:val="00086747"/>
    <w:rsid w:val="00086816"/>
    <w:rsid w:val="00086946"/>
    <w:rsid w:val="00086B6C"/>
    <w:rsid w:val="00086C74"/>
    <w:rsid w:val="0008715D"/>
    <w:rsid w:val="000872E8"/>
    <w:rsid w:val="00087503"/>
    <w:rsid w:val="000875FA"/>
    <w:rsid w:val="000877A3"/>
    <w:rsid w:val="00087901"/>
    <w:rsid w:val="0008790D"/>
    <w:rsid w:val="00087A2C"/>
    <w:rsid w:val="00087A8C"/>
    <w:rsid w:val="00087A95"/>
    <w:rsid w:val="00087AA9"/>
    <w:rsid w:val="00087BC6"/>
    <w:rsid w:val="00087C48"/>
    <w:rsid w:val="00087C71"/>
    <w:rsid w:val="00087DD9"/>
    <w:rsid w:val="00087E21"/>
    <w:rsid w:val="00087EC3"/>
    <w:rsid w:val="00087F88"/>
    <w:rsid w:val="00087F8D"/>
    <w:rsid w:val="00087FF6"/>
    <w:rsid w:val="00090196"/>
    <w:rsid w:val="0009030E"/>
    <w:rsid w:val="00090432"/>
    <w:rsid w:val="00090490"/>
    <w:rsid w:val="0009052B"/>
    <w:rsid w:val="00090575"/>
    <w:rsid w:val="000905D1"/>
    <w:rsid w:val="000906F8"/>
    <w:rsid w:val="0009089F"/>
    <w:rsid w:val="0009095E"/>
    <w:rsid w:val="00090971"/>
    <w:rsid w:val="00090A8E"/>
    <w:rsid w:val="00090ECF"/>
    <w:rsid w:val="00090F14"/>
    <w:rsid w:val="0009114E"/>
    <w:rsid w:val="00091247"/>
    <w:rsid w:val="0009125E"/>
    <w:rsid w:val="00091274"/>
    <w:rsid w:val="000912CF"/>
    <w:rsid w:val="0009140C"/>
    <w:rsid w:val="0009145E"/>
    <w:rsid w:val="00091494"/>
    <w:rsid w:val="0009149A"/>
    <w:rsid w:val="00091558"/>
    <w:rsid w:val="000917EA"/>
    <w:rsid w:val="00091B03"/>
    <w:rsid w:val="000920AD"/>
    <w:rsid w:val="000921C9"/>
    <w:rsid w:val="000924F6"/>
    <w:rsid w:val="00092895"/>
    <w:rsid w:val="00092962"/>
    <w:rsid w:val="00092A29"/>
    <w:rsid w:val="00092B05"/>
    <w:rsid w:val="00092E78"/>
    <w:rsid w:val="00092E94"/>
    <w:rsid w:val="00093096"/>
    <w:rsid w:val="000930A3"/>
    <w:rsid w:val="0009348B"/>
    <w:rsid w:val="00093595"/>
    <w:rsid w:val="000937B0"/>
    <w:rsid w:val="000938AC"/>
    <w:rsid w:val="00093978"/>
    <w:rsid w:val="00093998"/>
    <w:rsid w:val="00094026"/>
    <w:rsid w:val="0009409A"/>
    <w:rsid w:val="000940E5"/>
    <w:rsid w:val="0009446A"/>
    <w:rsid w:val="000945FF"/>
    <w:rsid w:val="00094911"/>
    <w:rsid w:val="00094A63"/>
    <w:rsid w:val="00094CFF"/>
    <w:rsid w:val="00094E47"/>
    <w:rsid w:val="00094E6E"/>
    <w:rsid w:val="00094F2F"/>
    <w:rsid w:val="00095108"/>
    <w:rsid w:val="00095146"/>
    <w:rsid w:val="00095274"/>
    <w:rsid w:val="000953D3"/>
    <w:rsid w:val="0009553F"/>
    <w:rsid w:val="000956FC"/>
    <w:rsid w:val="00095909"/>
    <w:rsid w:val="00095931"/>
    <w:rsid w:val="00095B83"/>
    <w:rsid w:val="00095BCB"/>
    <w:rsid w:val="00095DDC"/>
    <w:rsid w:val="00095EF0"/>
    <w:rsid w:val="00095F56"/>
    <w:rsid w:val="00096130"/>
    <w:rsid w:val="00096566"/>
    <w:rsid w:val="000965D0"/>
    <w:rsid w:val="000966EE"/>
    <w:rsid w:val="000967D5"/>
    <w:rsid w:val="00096831"/>
    <w:rsid w:val="000969DA"/>
    <w:rsid w:val="00096A29"/>
    <w:rsid w:val="00096A2E"/>
    <w:rsid w:val="00096BFF"/>
    <w:rsid w:val="00096C50"/>
    <w:rsid w:val="00096CCE"/>
    <w:rsid w:val="00096DF6"/>
    <w:rsid w:val="00096E8C"/>
    <w:rsid w:val="00096F05"/>
    <w:rsid w:val="00096F6C"/>
    <w:rsid w:val="00096FAB"/>
    <w:rsid w:val="00097002"/>
    <w:rsid w:val="0009700B"/>
    <w:rsid w:val="0009703F"/>
    <w:rsid w:val="00097059"/>
    <w:rsid w:val="0009705E"/>
    <w:rsid w:val="0009707D"/>
    <w:rsid w:val="00097153"/>
    <w:rsid w:val="00097157"/>
    <w:rsid w:val="0009763A"/>
    <w:rsid w:val="00097773"/>
    <w:rsid w:val="000979AF"/>
    <w:rsid w:val="00097D1F"/>
    <w:rsid w:val="00097E14"/>
    <w:rsid w:val="00097E4A"/>
    <w:rsid w:val="00097EDA"/>
    <w:rsid w:val="000A000F"/>
    <w:rsid w:val="000A00AC"/>
    <w:rsid w:val="000A013F"/>
    <w:rsid w:val="000A0691"/>
    <w:rsid w:val="000A0813"/>
    <w:rsid w:val="000A0875"/>
    <w:rsid w:val="000A0944"/>
    <w:rsid w:val="000A0ED4"/>
    <w:rsid w:val="000A0FE1"/>
    <w:rsid w:val="000A1291"/>
    <w:rsid w:val="000A1542"/>
    <w:rsid w:val="000A1645"/>
    <w:rsid w:val="000A182B"/>
    <w:rsid w:val="000A19AC"/>
    <w:rsid w:val="000A1A1A"/>
    <w:rsid w:val="000A1D5E"/>
    <w:rsid w:val="000A1DB1"/>
    <w:rsid w:val="000A20DE"/>
    <w:rsid w:val="000A21C2"/>
    <w:rsid w:val="000A21C5"/>
    <w:rsid w:val="000A2226"/>
    <w:rsid w:val="000A2352"/>
    <w:rsid w:val="000A23E1"/>
    <w:rsid w:val="000A2486"/>
    <w:rsid w:val="000A25A4"/>
    <w:rsid w:val="000A29CC"/>
    <w:rsid w:val="000A2C31"/>
    <w:rsid w:val="000A2C40"/>
    <w:rsid w:val="000A2F2E"/>
    <w:rsid w:val="000A2F37"/>
    <w:rsid w:val="000A2F59"/>
    <w:rsid w:val="000A31CE"/>
    <w:rsid w:val="000A32F7"/>
    <w:rsid w:val="000A33B7"/>
    <w:rsid w:val="000A366D"/>
    <w:rsid w:val="000A383E"/>
    <w:rsid w:val="000A3A7F"/>
    <w:rsid w:val="000A3AE5"/>
    <w:rsid w:val="000A3AF9"/>
    <w:rsid w:val="000A3B92"/>
    <w:rsid w:val="000A3BE2"/>
    <w:rsid w:val="000A3C2E"/>
    <w:rsid w:val="000A3CB3"/>
    <w:rsid w:val="000A40B5"/>
    <w:rsid w:val="000A4163"/>
    <w:rsid w:val="000A44C2"/>
    <w:rsid w:val="000A453D"/>
    <w:rsid w:val="000A45B2"/>
    <w:rsid w:val="000A46D0"/>
    <w:rsid w:val="000A47E1"/>
    <w:rsid w:val="000A49D3"/>
    <w:rsid w:val="000A4ADA"/>
    <w:rsid w:val="000A4E06"/>
    <w:rsid w:val="000A5140"/>
    <w:rsid w:val="000A537A"/>
    <w:rsid w:val="000A540C"/>
    <w:rsid w:val="000A5597"/>
    <w:rsid w:val="000A57C2"/>
    <w:rsid w:val="000A5829"/>
    <w:rsid w:val="000A587C"/>
    <w:rsid w:val="000A5B65"/>
    <w:rsid w:val="000A600C"/>
    <w:rsid w:val="000A6068"/>
    <w:rsid w:val="000A61EC"/>
    <w:rsid w:val="000A6305"/>
    <w:rsid w:val="000A6318"/>
    <w:rsid w:val="000A64FA"/>
    <w:rsid w:val="000A6503"/>
    <w:rsid w:val="000A654E"/>
    <w:rsid w:val="000A65B2"/>
    <w:rsid w:val="000A672A"/>
    <w:rsid w:val="000A68DB"/>
    <w:rsid w:val="000A68E3"/>
    <w:rsid w:val="000A6A3D"/>
    <w:rsid w:val="000A70CB"/>
    <w:rsid w:val="000A71E5"/>
    <w:rsid w:val="000A7288"/>
    <w:rsid w:val="000A754D"/>
    <w:rsid w:val="000A75B1"/>
    <w:rsid w:val="000A760E"/>
    <w:rsid w:val="000A7825"/>
    <w:rsid w:val="000A78F5"/>
    <w:rsid w:val="000A79C8"/>
    <w:rsid w:val="000A7A70"/>
    <w:rsid w:val="000A7C1D"/>
    <w:rsid w:val="000A7DC4"/>
    <w:rsid w:val="000B013B"/>
    <w:rsid w:val="000B0225"/>
    <w:rsid w:val="000B02BE"/>
    <w:rsid w:val="000B02F3"/>
    <w:rsid w:val="000B02FC"/>
    <w:rsid w:val="000B03C5"/>
    <w:rsid w:val="000B0769"/>
    <w:rsid w:val="000B07BC"/>
    <w:rsid w:val="000B0821"/>
    <w:rsid w:val="000B0BB1"/>
    <w:rsid w:val="000B0EC4"/>
    <w:rsid w:val="000B0EDC"/>
    <w:rsid w:val="000B0F2F"/>
    <w:rsid w:val="000B0FC7"/>
    <w:rsid w:val="000B1167"/>
    <w:rsid w:val="000B1604"/>
    <w:rsid w:val="000B160A"/>
    <w:rsid w:val="000B1795"/>
    <w:rsid w:val="000B1AC5"/>
    <w:rsid w:val="000B1B46"/>
    <w:rsid w:val="000B1BFA"/>
    <w:rsid w:val="000B1D70"/>
    <w:rsid w:val="000B1F34"/>
    <w:rsid w:val="000B2224"/>
    <w:rsid w:val="000B27FD"/>
    <w:rsid w:val="000B284D"/>
    <w:rsid w:val="000B28CD"/>
    <w:rsid w:val="000B2A53"/>
    <w:rsid w:val="000B2B72"/>
    <w:rsid w:val="000B2CBB"/>
    <w:rsid w:val="000B2F4E"/>
    <w:rsid w:val="000B2FD4"/>
    <w:rsid w:val="000B3009"/>
    <w:rsid w:val="000B3017"/>
    <w:rsid w:val="000B3073"/>
    <w:rsid w:val="000B3086"/>
    <w:rsid w:val="000B3168"/>
    <w:rsid w:val="000B31BD"/>
    <w:rsid w:val="000B3268"/>
    <w:rsid w:val="000B34CC"/>
    <w:rsid w:val="000B3543"/>
    <w:rsid w:val="000B3561"/>
    <w:rsid w:val="000B363F"/>
    <w:rsid w:val="000B3790"/>
    <w:rsid w:val="000B37A9"/>
    <w:rsid w:val="000B38D2"/>
    <w:rsid w:val="000B38E2"/>
    <w:rsid w:val="000B3B4A"/>
    <w:rsid w:val="000B3F52"/>
    <w:rsid w:val="000B401E"/>
    <w:rsid w:val="000B4026"/>
    <w:rsid w:val="000B42D6"/>
    <w:rsid w:val="000B4327"/>
    <w:rsid w:val="000B435D"/>
    <w:rsid w:val="000B4608"/>
    <w:rsid w:val="000B470F"/>
    <w:rsid w:val="000B47BF"/>
    <w:rsid w:val="000B47C1"/>
    <w:rsid w:val="000B48CE"/>
    <w:rsid w:val="000B48DF"/>
    <w:rsid w:val="000B48EE"/>
    <w:rsid w:val="000B4A3A"/>
    <w:rsid w:val="000B4BE3"/>
    <w:rsid w:val="000B4E5B"/>
    <w:rsid w:val="000B4E71"/>
    <w:rsid w:val="000B4FF8"/>
    <w:rsid w:val="000B535C"/>
    <w:rsid w:val="000B5445"/>
    <w:rsid w:val="000B54C3"/>
    <w:rsid w:val="000B55CC"/>
    <w:rsid w:val="000B55E5"/>
    <w:rsid w:val="000B57B5"/>
    <w:rsid w:val="000B59A0"/>
    <w:rsid w:val="000B5C38"/>
    <w:rsid w:val="000B5C9F"/>
    <w:rsid w:val="000B5D15"/>
    <w:rsid w:val="000B61C5"/>
    <w:rsid w:val="000B6314"/>
    <w:rsid w:val="000B6320"/>
    <w:rsid w:val="000B64BB"/>
    <w:rsid w:val="000B6770"/>
    <w:rsid w:val="000B688E"/>
    <w:rsid w:val="000B6F45"/>
    <w:rsid w:val="000B6FD3"/>
    <w:rsid w:val="000B6FE4"/>
    <w:rsid w:val="000B703F"/>
    <w:rsid w:val="000B71E0"/>
    <w:rsid w:val="000B7269"/>
    <w:rsid w:val="000B7459"/>
    <w:rsid w:val="000B7466"/>
    <w:rsid w:val="000B7715"/>
    <w:rsid w:val="000B79EE"/>
    <w:rsid w:val="000B7CA3"/>
    <w:rsid w:val="000B7E56"/>
    <w:rsid w:val="000B7FAE"/>
    <w:rsid w:val="000C005C"/>
    <w:rsid w:val="000C017B"/>
    <w:rsid w:val="000C05CF"/>
    <w:rsid w:val="000C0702"/>
    <w:rsid w:val="000C070E"/>
    <w:rsid w:val="000C07C6"/>
    <w:rsid w:val="000C097B"/>
    <w:rsid w:val="000C0A3D"/>
    <w:rsid w:val="000C0C5D"/>
    <w:rsid w:val="000C0F65"/>
    <w:rsid w:val="000C1372"/>
    <w:rsid w:val="000C139D"/>
    <w:rsid w:val="000C1628"/>
    <w:rsid w:val="000C169C"/>
    <w:rsid w:val="000C193B"/>
    <w:rsid w:val="000C1944"/>
    <w:rsid w:val="000C1A59"/>
    <w:rsid w:val="000C1C7D"/>
    <w:rsid w:val="000C1FE2"/>
    <w:rsid w:val="000C20C6"/>
    <w:rsid w:val="000C2210"/>
    <w:rsid w:val="000C226D"/>
    <w:rsid w:val="000C2357"/>
    <w:rsid w:val="000C2545"/>
    <w:rsid w:val="000C275D"/>
    <w:rsid w:val="000C277B"/>
    <w:rsid w:val="000C284E"/>
    <w:rsid w:val="000C2969"/>
    <w:rsid w:val="000C2A65"/>
    <w:rsid w:val="000C2E10"/>
    <w:rsid w:val="000C2E45"/>
    <w:rsid w:val="000C308D"/>
    <w:rsid w:val="000C31C4"/>
    <w:rsid w:val="000C3227"/>
    <w:rsid w:val="000C33D0"/>
    <w:rsid w:val="000C35DE"/>
    <w:rsid w:val="000C3781"/>
    <w:rsid w:val="000C3883"/>
    <w:rsid w:val="000C3B4E"/>
    <w:rsid w:val="000C3B97"/>
    <w:rsid w:val="000C3C4D"/>
    <w:rsid w:val="000C3D0B"/>
    <w:rsid w:val="000C3E06"/>
    <w:rsid w:val="000C3FA1"/>
    <w:rsid w:val="000C4255"/>
    <w:rsid w:val="000C4361"/>
    <w:rsid w:val="000C448C"/>
    <w:rsid w:val="000C4587"/>
    <w:rsid w:val="000C48AF"/>
    <w:rsid w:val="000C48EE"/>
    <w:rsid w:val="000C4995"/>
    <w:rsid w:val="000C49B4"/>
    <w:rsid w:val="000C4ADE"/>
    <w:rsid w:val="000C4B7A"/>
    <w:rsid w:val="000C4DC4"/>
    <w:rsid w:val="000C4F0C"/>
    <w:rsid w:val="000C500C"/>
    <w:rsid w:val="000C50B5"/>
    <w:rsid w:val="000C5A07"/>
    <w:rsid w:val="000C5C0C"/>
    <w:rsid w:val="000C5F13"/>
    <w:rsid w:val="000C60CF"/>
    <w:rsid w:val="000C63D5"/>
    <w:rsid w:val="000C63D6"/>
    <w:rsid w:val="000C6459"/>
    <w:rsid w:val="000C6672"/>
    <w:rsid w:val="000C6730"/>
    <w:rsid w:val="000C689F"/>
    <w:rsid w:val="000C69CA"/>
    <w:rsid w:val="000C6D99"/>
    <w:rsid w:val="000C6FC1"/>
    <w:rsid w:val="000C70B5"/>
    <w:rsid w:val="000C7127"/>
    <w:rsid w:val="000C7416"/>
    <w:rsid w:val="000C762D"/>
    <w:rsid w:val="000C7717"/>
    <w:rsid w:val="000C7A81"/>
    <w:rsid w:val="000C7C58"/>
    <w:rsid w:val="000C7C97"/>
    <w:rsid w:val="000C7CAD"/>
    <w:rsid w:val="000C7F6F"/>
    <w:rsid w:val="000D0284"/>
    <w:rsid w:val="000D02CE"/>
    <w:rsid w:val="000D02F2"/>
    <w:rsid w:val="000D0467"/>
    <w:rsid w:val="000D0503"/>
    <w:rsid w:val="000D054D"/>
    <w:rsid w:val="000D07EB"/>
    <w:rsid w:val="000D087F"/>
    <w:rsid w:val="000D0911"/>
    <w:rsid w:val="000D0A2D"/>
    <w:rsid w:val="000D0DB7"/>
    <w:rsid w:val="000D15DE"/>
    <w:rsid w:val="000D1630"/>
    <w:rsid w:val="000D16DC"/>
    <w:rsid w:val="000D18ED"/>
    <w:rsid w:val="000D1B4D"/>
    <w:rsid w:val="000D1BC7"/>
    <w:rsid w:val="000D1BE9"/>
    <w:rsid w:val="000D1C9D"/>
    <w:rsid w:val="000D1E65"/>
    <w:rsid w:val="000D2038"/>
    <w:rsid w:val="000D2101"/>
    <w:rsid w:val="000D21CE"/>
    <w:rsid w:val="000D248E"/>
    <w:rsid w:val="000D24FA"/>
    <w:rsid w:val="000D2568"/>
    <w:rsid w:val="000D25F3"/>
    <w:rsid w:val="000D2649"/>
    <w:rsid w:val="000D282F"/>
    <w:rsid w:val="000D2846"/>
    <w:rsid w:val="000D2BA3"/>
    <w:rsid w:val="000D2BFF"/>
    <w:rsid w:val="000D2CF8"/>
    <w:rsid w:val="000D2F84"/>
    <w:rsid w:val="000D3150"/>
    <w:rsid w:val="000D331C"/>
    <w:rsid w:val="000D33FE"/>
    <w:rsid w:val="000D340C"/>
    <w:rsid w:val="000D34C8"/>
    <w:rsid w:val="000D388C"/>
    <w:rsid w:val="000D38EF"/>
    <w:rsid w:val="000D3AE4"/>
    <w:rsid w:val="000D3EFA"/>
    <w:rsid w:val="000D4077"/>
    <w:rsid w:val="000D4283"/>
    <w:rsid w:val="000D4358"/>
    <w:rsid w:val="000D46B1"/>
    <w:rsid w:val="000D4749"/>
    <w:rsid w:val="000D49EF"/>
    <w:rsid w:val="000D4B86"/>
    <w:rsid w:val="000D4C42"/>
    <w:rsid w:val="000D4D74"/>
    <w:rsid w:val="000D5043"/>
    <w:rsid w:val="000D50BA"/>
    <w:rsid w:val="000D5432"/>
    <w:rsid w:val="000D548B"/>
    <w:rsid w:val="000D5961"/>
    <w:rsid w:val="000D5B67"/>
    <w:rsid w:val="000D5ECC"/>
    <w:rsid w:val="000D5F92"/>
    <w:rsid w:val="000D6012"/>
    <w:rsid w:val="000D6023"/>
    <w:rsid w:val="000D60E9"/>
    <w:rsid w:val="000D62AE"/>
    <w:rsid w:val="000D645A"/>
    <w:rsid w:val="000D653E"/>
    <w:rsid w:val="000D65DF"/>
    <w:rsid w:val="000D666E"/>
    <w:rsid w:val="000D66A5"/>
    <w:rsid w:val="000D67C1"/>
    <w:rsid w:val="000D682E"/>
    <w:rsid w:val="000D6B7D"/>
    <w:rsid w:val="000D6C3E"/>
    <w:rsid w:val="000D6E1B"/>
    <w:rsid w:val="000D6F3C"/>
    <w:rsid w:val="000D7062"/>
    <w:rsid w:val="000D7084"/>
    <w:rsid w:val="000D71E8"/>
    <w:rsid w:val="000D725A"/>
    <w:rsid w:val="000D761D"/>
    <w:rsid w:val="000D77FA"/>
    <w:rsid w:val="000D7BED"/>
    <w:rsid w:val="000D7C4E"/>
    <w:rsid w:val="000D7C99"/>
    <w:rsid w:val="000D7ED9"/>
    <w:rsid w:val="000E02AB"/>
    <w:rsid w:val="000E036F"/>
    <w:rsid w:val="000E04A9"/>
    <w:rsid w:val="000E05CE"/>
    <w:rsid w:val="000E05D2"/>
    <w:rsid w:val="000E0627"/>
    <w:rsid w:val="000E06FD"/>
    <w:rsid w:val="000E0A50"/>
    <w:rsid w:val="000E0A5E"/>
    <w:rsid w:val="000E0AD1"/>
    <w:rsid w:val="000E0E75"/>
    <w:rsid w:val="000E0ED9"/>
    <w:rsid w:val="000E0F46"/>
    <w:rsid w:val="000E0F5D"/>
    <w:rsid w:val="000E0FBB"/>
    <w:rsid w:val="000E1072"/>
    <w:rsid w:val="000E1253"/>
    <w:rsid w:val="000E13EC"/>
    <w:rsid w:val="000E17BD"/>
    <w:rsid w:val="000E1810"/>
    <w:rsid w:val="000E1818"/>
    <w:rsid w:val="000E1D2E"/>
    <w:rsid w:val="000E1DB8"/>
    <w:rsid w:val="000E1E22"/>
    <w:rsid w:val="000E2025"/>
    <w:rsid w:val="000E2301"/>
    <w:rsid w:val="000E2345"/>
    <w:rsid w:val="000E270E"/>
    <w:rsid w:val="000E27F1"/>
    <w:rsid w:val="000E29BB"/>
    <w:rsid w:val="000E2B5D"/>
    <w:rsid w:val="000E2D70"/>
    <w:rsid w:val="000E31C8"/>
    <w:rsid w:val="000E329D"/>
    <w:rsid w:val="000E32D2"/>
    <w:rsid w:val="000E34C3"/>
    <w:rsid w:val="000E34DD"/>
    <w:rsid w:val="000E369E"/>
    <w:rsid w:val="000E3718"/>
    <w:rsid w:val="000E3824"/>
    <w:rsid w:val="000E3835"/>
    <w:rsid w:val="000E3C33"/>
    <w:rsid w:val="000E3C4F"/>
    <w:rsid w:val="000E3D6E"/>
    <w:rsid w:val="000E3D80"/>
    <w:rsid w:val="000E3DF1"/>
    <w:rsid w:val="000E3F09"/>
    <w:rsid w:val="000E4167"/>
    <w:rsid w:val="000E41E7"/>
    <w:rsid w:val="000E4408"/>
    <w:rsid w:val="000E4471"/>
    <w:rsid w:val="000E448B"/>
    <w:rsid w:val="000E45F9"/>
    <w:rsid w:val="000E49ED"/>
    <w:rsid w:val="000E4A9D"/>
    <w:rsid w:val="000E4BC1"/>
    <w:rsid w:val="000E4D9C"/>
    <w:rsid w:val="000E4F85"/>
    <w:rsid w:val="000E5082"/>
    <w:rsid w:val="000E50AC"/>
    <w:rsid w:val="000E5161"/>
    <w:rsid w:val="000E517E"/>
    <w:rsid w:val="000E569F"/>
    <w:rsid w:val="000E580A"/>
    <w:rsid w:val="000E592E"/>
    <w:rsid w:val="000E5949"/>
    <w:rsid w:val="000E5B0C"/>
    <w:rsid w:val="000E5BD9"/>
    <w:rsid w:val="000E5E46"/>
    <w:rsid w:val="000E6437"/>
    <w:rsid w:val="000E64C6"/>
    <w:rsid w:val="000E65F5"/>
    <w:rsid w:val="000E6870"/>
    <w:rsid w:val="000E6964"/>
    <w:rsid w:val="000E6A50"/>
    <w:rsid w:val="000E6A99"/>
    <w:rsid w:val="000E6B69"/>
    <w:rsid w:val="000E6D3A"/>
    <w:rsid w:val="000E6EFC"/>
    <w:rsid w:val="000E6F30"/>
    <w:rsid w:val="000E7087"/>
    <w:rsid w:val="000E76CA"/>
    <w:rsid w:val="000E7849"/>
    <w:rsid w:val="000E784C"/>
    <w:rsid w:val="000E7956"/>
    <w:rsid w:val="000E7A16"/>
    <w:rsid w:val="000E7AFB"/>
    <w:rsid w:val="000E7C9A"/>
    <w:rsid w:val="000E7E33"/>
    <w:rsid w:val="000F0079"/>
    <w:rsid w:val="000F016F"/>
    <w:rsid w:val="000F0246"/>
    <w:rsid w:val="000F0297"/>
    <w:rsid w:val="000F0366"/>
    <w:rsid w:val="000F03AA"/>
    <w:rsid w:val="000F050B"/>
    <w:rsid w:val="000F07D3"/>
    <w:rsid w:val="000F0B4B"/>
    <w:rsid w:val="000F0D33"/>
    <w:rsid w:val="000F0D97"/>
    <w:rsid w:val="000F0DC7"/>
    <w:rsid w:val="000F0F60"/>
    <w:rsid w:val="000F0FA3"/>
    <w:rsid w:val="000F100C"/>
    <w:rsid w:val="000F1229"/>
    <w:rsid w:val="000F13FF"/>
    <w:rsid w:val="000F140E"/>
    <w:rsid w:val="000F150D"/>
    <w:rsid w:val="000F19A8"/>
    <w:rsid w:val="000F1B90"/>
    <w:rsid w:val="000F1C9F"/>
    <w:rsid w:val="000F1D66"/>
    <w:rsid w:val="000F1DD5"/>
    <w:rsid w:val="000F1E28"/>
    <w:rsid w:val="000F1EAC"/>
    <w:rsid w:val="000F1F64"/>
    <w:rsid w:val="000F2197"/>
    <w:rsid w:val="000F21BB"/>
    <w:rsid w:val="000F2868"/>
    <w:rsid w:val="000F28BD"/>
    <w:rsid w:val="000F28E1"/>
    <w:rsid w:val="000F2FFC"/>
    <w:rsid w:val="000F309A"/>
    <w:rsid w:val="000F32AA"/>
    <w:rsid w:val="000F3395"/>
    <w:rsid w:val="000F3405"/>
    <w:rsid w:val="000F341B"/>
    <w:rsid w:val="000F34BC"/>
    <w:rsid w:val="000F3617"/>
    <w:rsid w:val="000F3632"/>
    <w:rsid w:val="000F38C3"/>
    <w:rsid w:val="000F3B11"/>
    <w:rsid w:val="000F3B18"/>
    <w:rsid w:val="000F3BCD"/>
    <w:rsid w:val="000F3C85"/>
    <w:rsid w:val="000F3DA0"/>
    <w:rsid w:val="000F3DF7"/>
    <w:rsid w:val="000F3E0C"/>
    <w:rsid w:val="000F4095"/>
    <w:rsid w:val="000F410E"/>
    <w:rsid w:val="000F4366"/>
    <w:rsid w:val="000F4451"/>
    <w:rsid w:val="000F4542"/>
    <w:rsid w:val="000F4A13"/>
    <w:rsid w:val="000F4BAC"/>
    <w:rsid w:val="000F4CEA"/>
    <w:rsid w:val="000F4D61"/>
    <w:rsid w:val="000F50A6"/>
    <w:rsid w:val="000F52DA"/>
    <w:rsid w:val="000F52F6"/>
    <w:rsid w:val="000F5515"/>
    <w:rsid w:val="000F565F"/>
    <w:rsid w:val="000F5822"/>
    <w:rsid w:val="000F5A49"/>
    <w:rsid w:val="000F5B47"/>
    <w:rsid w:val="000F5D9F"/>
    <w:rsid w:val="000F5F31"/>
    <w:rsid w:val="000F5FD9"/>
    <w:rsid w:val="000F60DC"/>
    <w:rsid w:val="000F6143"/>
    <w:rsid w:val="000F640F"/>
    <w:rsid w:val="000F6425"/>
    <w:rsid w:val="000F6432"/>
    <w:rsid w:val="000F64C9"/>
    <w:rsid w:val="000F64CF"/>
    <w:rsid w:val="000F65DE"/>
    <w:rsid w:val="000F6770"/>
    <w:rsid w:val="000F6864"/>
    <w:rsid w:val="000F6873"/>
    <w:rsid w:val="000F68BC"/>
    <w:rsid w:val="000F6A46"/>
    <w:rsid w:val="000F6C31"/>
    <w:rsid w:val="000F6E8D"/>
    <w:rsid w:val="000F7044"/>
    <w:rsid w:val="000F7406"/>
    <w:rsid w:val="000F7577"/>
    <w:rsid w:val="000F75A2"/>
    <w:rsid w:val="000F75E5"/>
    <w:rsid w:val="000F762A"/>
    <w:rsid w:val="000F78AC"/>
    <w:rsid w:val="000F78C8"/>
    <w:rsid w:val="000F7BD7"/>
    <w:rsid w:val="000F7D49"/>
    <w:rsid w:val="000F7F0A"/>
    <w:rsid w:val="000F7FC5"/>
    <w:rsid w:val="001000E5"/>
    <w:rsid w:val="0010021C"/>
    <w:rsid w:val="001002F3"/>
    <w:rsid w:val="001004F8"/>
    <w:rsid w:val="00100548"/>
    <w:rsid w:val="001007D8"/>
    <w:rsid w:val="00100BE4"/>
    <w:rsid w:val="00100BF6"/>
    <w:rsid w:val="00100D78"/>
    <w:rsid w:val="0010106C"/>
    <w:rsid w:val="00101199"/>
    <w:rsid w:val="00101277"/>
    <w:rsid w:val="00101755"/>
    <w:rsid w:val="0010195A"/>
    <w:rsid w:val="0010198A"/>
    <w:rsid w:val="00101A17"/>
    <w:rsid w:val="00101A5D"/>
    <w:rsid w:val="00101BCA"/>
    <w:rsid w:val="00101E45"/>
    <w:rsid w:val="001022C8"/>
    <w:rsid w:val="001022D5"/>
    <w:rsid w:val="00102537"/>
    <w:rsid w:val="001025B1"/>
    <w:rsid w:val="001027CA"/>
    <w:rsid w:val="0010282A"/>
    <w:rsid w:val="0010294B"/>
    <w:rsid w:val="001029BF"/>
    <w:rsid w:val="00102B32"/>
    <w:rsid w:val="00102C84"/>
    <w:rsid w:val="00102E38"/>
    <w:rsid w:val="00102E97"/>
    <w:rsid w:val="00102EE6"/>
    <w:rsid w:val="00103095"/>
    <w:rsid w:val="0010309E"/>
    <w:rsid w:val="001031F3"/>
    <w:rsid w:val="0010320B"/>
    <w:rsid w:val="00103354"/>
    <w:rsid w:val="0010344F"/>
    <w:rsid w:val="001037FA"/>
    <w:rsid w:val="001038F4"/>
    <w:rsid w:val="00103B3C"/>
    <w:rsid w:val="00103DD0"/>
    <w:rsid w:val="00103E3F"/>
    <w:rsid w:val="00103F92"/>
    <w:rsid w:val="0010449A"/>
    <w:rsid w:val="00104676"/>
    <w:rsid w:val="0010470E"/>
    <w:rsid w:val="0010495A"/>
    <w:rsid w:val="00104A97"/>
    <w:rsid w:val="00104D2A"/>
    <w:rsid w:val="00105261"/>
    <w:rsid w:val="001052CC"/>
    <w:rsid w:val="001054A3"/>
    <w:rsid w:val="001054F1"/>
    <w:rsid w:val="0010584F"/>
    <w:rsid w:val="00105AC3"/>
    <w:rsid w:val="00105DE2"/>
    <w:rsid w:val="00105DF8"/>
    <w:rsid w:val="00105E9E"/>
    <w:rsid w:val="00105F56"/>
    <w:rsid w:val="00105FF0"/>
    <w:rsid w:val="001061FD"/>
    <w:rsid w:val="001062F0"/>
    <w:rsid w:val="001063A3"/>
    <w:rsid w:val="0010667A"/>
    <w:rsid w:val="00106D65"/>
    <w:rsid w:val="00106F8D"/>
    <w:rsid w:val="001070C5"/>
    <w:rsid w:val="00107585"/>
    <w:rsid w:val="001075A4"/>
    <w:rsid w:val="001075E8"/>
    <w:rsid w:val="0010791E"/>
    <w:rsid w:val="00107C92"/>
    <w:rsid w:val="00107D72"/>
    <w:rsid w:val="00107EB0"/>
    <w:rsid w:val="00107F50"/>
    <w:rsid w:val="00107FCB"/>
    <w:rsid w:val="00107FCE"/>
    <w:rsid w:val="00110266"/>
    <w:rsid w:val="00110315"/>
    <w:rsid w:val="001103E7"/>
    <w:rsid w:val="001108BF"/>
    <w:rsid w:val="001109C0"/>
    <w:rsid w:val="00110A32"/>
    <w:rsid w:val="00110AE6"/>
    <w:rsid w:val="00110B55"/>
    <w:rsid w:val="00110BAA"/>
    <w:rsid w:val="00110D31"/>
    <w:rsid w:val="001110E0"/>
    <w:rsid w:val="00111168"/>
    <w:rsid w:val="001111F2"/>
    <w:rsid w:val="00111267"/>
    <w:rsid w:val="001112B1"/>
    <w:rsid w:val="001114DF"/>
    <w:rsid w:val="001114F4"/>
    <w:rsid w:val="0011151C"/>
    <w:rsid w:val="0011164F"/>
    <w:rsid w:val="00111655"/>
    <w:rsid w:val="001117E4"/>
    <w:rsid w:val="00111A98"/>
    <w:rsid w:val="00111CF9"/>
    <w:rsid w:val="00111D09"/>
    <w:rsid w:val="00111DC0"/>
    <w:rsid w:val="00111E5B"/>
    <w:rsid w:val="00112409"/>
    <w:rsid w:val="0011244B"/>
    <w:rsid w:val="00112463"/>
    <w:rsid w:val="001125E9"/>
    <w:rsid w:val="00112634"/>
    <w:rsid w:val="00112667"/>
    <w:rsid w:val="00112673"/>
    <w:rsid w:val="00112736"/>
    <w:rsid w:val="00112A84"/>
    <w:rsid w:val="00112C9C"/>
    <w:rsid w:val="00112E2C"/>
    <w:rsid w:val="00113008"/>
    <w:rsid w:val="00113024"/>
    <w:rsid w:val="00113098"/>
    <w:rsid w:val="001131EE"/>
    <w:rsid w:val="001133C8"/>
    <w:rsid w:val="001133FD"/>
    <w:rsid w:val="00113788"/>
    <w:rsid w:val="001138AA"/>
    <w:rsid w:val="00113A58"/>
    <w:rsid w:val="00113B13"/>
    <w:rsid w:val="00113BFA"/>
    <w:rsid w:val="00113E0A"/>
    <w:rsid w:val="00113E23"/>
    <w:rsid w:val="0011403A"/>
    <w:rsid w:val="0011409F"/>
    <w:rsid w:val="001142D9"/>
    <w:rsid w:val="00114424"/>
    <w:rsid w:val="00114477"/>
    <w:rsid w:val="00114519"/>
    <w:rsid w:val="0011456D"/>
    <w:rsid w:val="0011473C"/>
    <w:rsid w:val="001149A4"/>
    <w:rsid w:val="00114CEC"/>
    <w:rsid w:val="00114D72"/>
    <w:rsid w:val="00114E56"/>
    <w:rsid w:val="00114EBE"/>
    <w:rsid w:val="00114F1E"/>
    <w:rsid w:val="00114F81"/>
    <w:rsid w:val="00114FAB"/>
    <w:rsid w:val="00114FBE"/>
    <w:rsid w:val="00114FFA"/>
    <w:rsid w:val="00115080"/>
    <w:rsid w:val="00115696"/>
    <w:rsid w:val="0011571C"/>
    <w:rsid w:val="0011571F"/>
    <w:rsid w:val="00115915"/>
    <w:rsid w:val="00115B5E"/>
    <w:rsid w:val="00115F6E"/>
    <w:rsid w:val="00115FC7"/>
    <w:rsid w:val="00116416"/>
    <w:rsid w:val="001164A2"/>
    <w:rsid w:val="00116523"/>
    <w:rsid w:val="0011659A"/>
    <w:rsid w:val="00116752"/>
    <w:rsid w:val="00116791"/>
    <w:rsid w:val="0011696E"/>
    <w:rsid w:val="00116A0C"/>
    <w:rsid w:val="00116B48"/>
    <w:rsid w:val="00116BC7"/>
    <w:rsid w:val="00116DDF"/>
    <w:rsid w:val="00116E38"/>
    <w:rsid w:val="00116F6F"/>
    <w:rsid w:val="00117090"/>
    <w:rsid w:val="001170E2"/>
    <w:rsid w:val="00117256"/>
    <w:rsid w:val="0011734D"/>
    <w:rsid w:val="001174E3"/>
    <w:rsid w:val="001176A8"/>
    <w:rsid w:val="00117701"/>
    <w:rsid w:val="001178B8"/>
    <w:rsid w:val="001179F3"/>
    <w:rsid w:val="00117B02"/>
    <w:rsid w:val="00117CC5"/>
    <w:rsid w:val="00117CD3"/>
    <w:rsid w:val="00117D92"/>
    <w:rsid w:val="00117D9E"/>
    <w:rsid w:val="00117DA3"/>
    <w:rsid w:val="00117EF2"/>
    <w:rsid w:val="0012055C"/>
    <w:rsid w:val="001205D3"/>
    <w:rsid w:val="0012089D"/>
    <w:rsid w:val="00120B30"/>
    <w:rsid w:val="00120C05"/>
    <w:rsid w:val="00120C58"/>
    <w:rsid w:val="00120CB5"/>
    <w:rsid w:val="00121021"/>
    <w:rsid w:val="001210AE"/>
    <w:rsid w:val="0012118F"/>
    <w:rsid w:val="0012123D"/>
    <w:rsid w:val="00121330"/>
    <w:rsid w:val="0012146B"/>
    <w:rsid w:val="00121757"/>
    <w:rsid w:val="0012195C"/>
    <w:rsid w:val="00121CFB"/>
    <w:rsid w:val="00121D3C"/>
    <w:rsid w:val="00121DE4"/>
    <w:rsid w:val="00121E20"/>
    <w:rsid w:val="00121ED4"/>
    <w:rsid w:val="001220DE"/>
    <w:rsid w:val="00122142"/>
    <w:rsid w:val="001222EB"/>
    <w:rsid w:val="00122340"/>
    <w:rsid w:val="00122361"/>
    <w:rsid w:val="00122402"/>
    <w:rsid w:val="0012246A"/>
    <w:rsid w:val="00122654"/>
    <w:rsid w:val="00122663"/>
    <w:rsid w:val="001229E3"/>
    <w:rsid w:val="00122DD6"/>
    <w:rsid w:val="00122DFF"/>
    <w:rsid w:val="00123040"/>
    <w:rsid w:val="001230BC"/>
    <w:rsid w:val="001232E3"/>
    <w:rsid w:val="001232F8"/>
    <w:rsid w:val="00123301"/>
    <w:rsid w:val="00123324"/>
    <w:rsid w:val="001233FD"/>
    <w:rsid w:val="00123677"/>
    <w:rsid w:val="00123679"/>
    <w:rsid w:val="001236D1"/>
    <w:rsid w:val="00123B2C"/>
    <w:rsid w:val="00123C0B"/>
    <w:rsid w:val="00123E4A"/>
    <w:rsid w:val="001241A6"/>
    <w:rsid w:val="001243EE"/>
    <w:rsid w:val="001244DB"/>
    <w:rsid w:val="00124707"/>
    <w:rsid w:val="00124764"/>
    <w:rsid w:val="00124991"/>
    <w:rsid w:val="00124A4F"/>
    <w:rsid w:val="00124C99"/>
    <w:rsid w:val="00124DDE"/>
    <w:rsid w:val="00124EA7"/>
    <w:rsid w:val="00124F06"/>
    <w:rsid w:val="00124FF5"/>
    <w:rsid w:val="001250F4"/>
    <w:rsid w:val="00125526"/>
    <w:rsid w:val="00125688"/>
    <w:rsid w:val="001257CE"/>
    <w:rsid w:val="00125BAD"/>
    <w:rsid w:val="00125BB6"/>
    <w:rsid w:val="00126030"/>
    <w:rsid w:val="00126207"/>
    <w:rsid w:val="00126321"/>
    <w:rsid w:val="001263D4"/>
    <w:rsid w:val="00126677"/>
    <w:rsid w:val="001267BD"/>
    <w:rsid w:val="00126868"/>
    <w:rsid w:val="001268C2"/>
    <w:rsid w:val="00126913"/>
    <w:rsid w:val="0012694F"/>
    <w:rsid w:val="00126AB0"/>
    <w:rsid w:val="00126B2C"/>
    <w:rsid w:val="00126BA8"/>
    <w:rsid w:val="00126BD7"/>
    <w:rsid w:val="00126C5A"/>
    <w:rsid w:val="00126CC8"/>
    <w:rsid w:val="00126F01"/>
    <w:rsid w:val="0012718F"/>
    <w:rsid w:val="00127195"/>
    <w:rsid w:val="00127487"/>
    <w:rsid w:val="001274AF"/>
    <w:rsid w:val="00127526"/>
    <w:rsid w:val="0012753B"/>
    <w:rsid w:val="001275E2"/>
    <w:rsid w:val="00127626"/>
    <w:rsid w:val="00127696"/>
    <w:rsid w:val="00127727"/>
    <w:rsid w:val="001279D5"/>
    <w:rsid w:val="00127B5B"/>
    <w:rsid w:val="00127BB8"/>
    <w:rsid w:val="00127C1B"/>
    <w:rsid w:val="00127CBD"/>
    <w:rsid w:val="00127D7B"/>
    <w:rsid w:val="00127D91"/>
    <w:rsid w:val="00127DEE"/>
    <w:rsid w:val="00127ED6"/>
    <w:rsid w:val="00127F46"/>
    <w:rsid w:val="00130190"/>
    <w:rsid w:val="00130244"/>
    <w:rsid w:val="001302EB"/>
    <w:rsid w:val="0013054B"/>
    <w:rsid w:val="0013068C"/>
    <w:rsid w:val="00130AAB"/>
    <w:rsid w:val="00130D85"/>
    <w:rsid w:val="00130E6A"/>
    <w:rsid w:val="00130FD7"/>
    <w:rsid w:val="00131082"/>
    <w:rsid w:val="001310BE"/>
    <w:rsid w:val="00131645"/>
    <w:rsid w:val="001316E3"/>
    <w:rsid w:val="00131861"/>
    <w:rsid w:val="0013194B"/>
    <w:rsid w:val="00131981"/>
    <w:rsid w:val="00131A39"/>
    <w:rsid w:val="00131B80"/>
    <w:rsid w:val="00131DAE"/>
    <w:rsid w:val="001320BA"/>
    <w:rsid w:val="0013254A"/>
    <w:rsid w:val="0013262F"/>
    <w:rsid w:val="00132639"/>
    <w:rsid w:val="00132698"/>
    <w:rsid w:val="001328F6"/>
    <w:rsid w:val="00132E21"/>
    <w:rsid w:val="00132FB0"/>
    <w:rsid w:val="0013325F"/>
    <w:rsid w:val="00133277"/>
    <w:rsid w:val="0013353E"/>
    <w:rsid w:val="001339D5"/>
    <w:rsid w:val="00133AA1"/>
    <w:rsid w:val="00133ADF"/>
    <w:rsid w:val="00133C48"/>
    <w:rsid w:val="00133D17"/>
    <w:rsid w:val="00133E69"/>
    <w:rsid w:val="00133F83"/>
    <w:rsid w:val="00133FF7"/>
    <w:rsid w:val="001341F4"/>
    <w:rsid w:val="0013423C"/>
    <w:rsid w:val="001342A6"/>
    <w:rsid w:val="00134377"/>
    <w:rsid w:val="001343C0"/>
    <w:rsid w:val="00134479"/>
    <w:rsid w:val="0013462F"/>
    <w:rsid w:val="001349B0"/>
    <w:rsid w:val="00134E0E"/>
    <w:rsid w:val="00134EA4"/>
    <w:rsid w:val="00134F2F"/>
    <w:rsid w:val="00134FE3"/>
    <w:rsid w:val="00134FFC"/>
    <w:rsid w:val="00135052"/>
    <w:rsid w:val="001350C7"/>
    <w:rsid w:val="0013511A"/>
    <w:rsid w:val="001351C2"/>
    <w:rsid w:val="00135571"/>
    <w:rsid w:val="00135773"/>
    <w:rsid w:val="00135A9D"/>
    <w:rsid w:val="00135B49"/>
    <w:rsid w:val="00135E27"/>
    <w:rsid w:val="00136083"/>
    <w:rsid w:val="00136086"/>
    <w:rsid w:val="001366D1"/>
    <w:rsid w:val="00136833"/>
    <w:rsid w:val="0013683E"/>
    <w:rsid w:val="001368C3"/>
    <w:rsid w:val="0013696B"/>
    <w:rsid w:val="001369D8"/>
    <w:rsid w:val="00136A7A"/>
    <w:rsid w:val="00136AC7"/>
    <w:rsid w:val="00136D95"/>
    <w:rsid w:val="00136F34"/>
    <w:rsid w:val="00136F8A"/>
    <w:rsid w:val="00137101"/>
    <w:rsid w:val="0013712C"/>
    <w:rsid w:val="00137306"/>
    <w:rsid w:val="0013742F"/>
    <w:rsid w:val="001374AD"/>
    <w:rsid w:val="00137587"/>
    <w:rsid w:val="00137636"/>
    <w:rsid w:val="001376FB"/>
    <w:rsid w:val="00137714"/>
    <w:rsid w:val="00137CA6"/>
    <w:rsid w:val="00137CC3"/>
    <w:rsid w:val="00137CF5"/>
    <w:rsid w:val="00140058"/>
    <w:rsid w:val="001401F7"/>
    <w:rsid w:val="001403FB"/>
    <w:rsid w:val="00140641"/>
    <w:rsid w:val="001406C0"/>
    <w:rsid w:val="001408B1"/>
    <w:rsid w:val="001409BC"/>
    <w:rsid w:val="001409DF"/>
    <w:rsid w:val="00140AF0"/>
    <w:rsid w:val="00140B23"/>
    <w:rsid w:val="00140BB4"/>
    <w:rsid w:val="00140C23"/>
    <w:rsid w:val="00140CDA"/>
    <w:rsid w:val="00140EC3"/>
    <w:rsid w:val="00140F1A"/>
    <w:rsid w:val="00140FF2"/>
    <w:rsid w:val="00141279"/>
    <w:rsid w:val="001412FB"/>
    <w:rsid w:val="00141374"/>
    <w:rsid w:val="001413BC"/>
    <w:rsid w:val="001413CE"/>
    <w:rsid w:val="00141486"/>
    <w:rsid w:val="00141523"/>
    <w:rsid w:val="00141903"/>
    <w:rsid w:val="001419A8"/>
    <w:rsid w:val="001419F9"/>
    <w:rsid w:val="00141AA8"/>
    <w:rsid w:val="00141AAB"/>
    <w:rsid w:val="00141B82"/>
    <w:rsid w:val="00141BE9"/>
    <w:rsid w:val="00141C7D"/>
    <w:rsid w:val="00141E27"/>
    <w:rsid w:val="00141F6F"/>
    <w:rsid w:val="00141FA8"/>
    <w:rsid w:val="0014205F"/>
    <w:rsid w:val="001421AC"/>
    <w:rsid w:val="0014222D"/>
    <w:rsid w:val="001423CD"/>
    <w:rsid w:val="00142449"/>
    <w:rsid w:val="001426F3"/>
    <w:rsid w:val="00142B47"/>
    <w:rsid w:val="00142C2A"/>
    <w:rsid w:val="00142C34"/>
    <w:rsid w:val="00142CC6"/>
    <w:rsid w:val="00142CED"/>
    <w:rsid w:val="00142EDE"/>
    <w:rsid w:val="001430B7"/>
    <w:rsid w:val="00143125"/>
    <w:rsid w:val="00143604"/>
    <w:rsid w:val="001436E9"/>
    <w:rsid w:val="0014389B"/>
    <w:rsid w:val="001438E2"/>
    <w:rsid w:val="00143BCC"/>
    <w:rsid w:val="00143E6D"/>
    <w:rsid w:val="00143EB5"/>
    <w:rsid w:val="00143F4F"/>
    <w:rsid w:val="00143F64"/>
    <w:rsid w:val="00143FF2"/>
    <w:rsid w:val="00144138"/>
    <w:rsid w:val="00144197"/>
    <w:rsid w:val="001443B3"/>
    <w:rsid w:val="001444E6"/>
    <w:rsid w:val="00144614"/>
    <w:rsid w:val="001446F7"/>
    <w:rsid w:val="00144834"/>
    <w:rsid w:val="0014488F"/>
    <w:rsid w:val="001448E5"/>
    <w:rsid w:val="00144A09"/>
    <w:rsid w:val="00144BA4"/>
    <w:rsid w:val="00144BF1"/>
    <w:rsid w:val="00144DA5"/>
    <w:rsid w:val="00145401"/>
    <w:rsid w:val="00145481"/>
    <w:rsid w:val="001454D4"/>
    <w:rsid w:val="0014586B"/>
    <w:rsid w:val="0014599B"/>
    <w:rsid w:val="00145C56"/>
    <w:rsid w:val="00145CE5"/>
    <w:rsid w:val="0014625D"/>
    <w:rsid w:val="00146333"/>
    <w:rsid w:val="0014641E"/>
    <w:rsid w:val="00146487"/>
    <w:rsid w:val="00146563"/>
    <w:rsid w:val="00146564"/>
    <w:rsid w:val="001465C3"/>
    <w:rsid w:val="001465FE"/>
    <w:rsid w:val="00146606"/>
    <w:rsid w:val="0014668D"/>
    <w:rsid w:val="0014672B"/>
    <w:rsid w:val="00146765"/>
    <w:rsid w:val="00146883"/>
    <w:rsid w:val="00146B78"/>
    <w:rsid w:val="00146B83"/>
    <w:rsid w:val="00146D51"/>
    <w:rsid w:val="00146D99"/>
    <w:rsid w:val="00146EE5"/>
    <w:rsid w:val="00146F4F"/>
    <w:rsid w:val="001470C0"/>
    <w:rsid w:val="0014724A"/>
    <w:rsid w:val="00147337"/>
    <w:rsid w:val="00147367"/>
    <w:rsid w:val="0014736C"/>
    <w:rsid w:val="00147424"/>
    <w:rsid w:val="00147675"/>
    <w:rsid w:val="00147802"/>
    <w:rsid w:val="00147803"/>
    <w:rsid w:val="001479A1"/>
    <w:rsid w:val="00147A15"/>
    <w:rsid w:val="00147AC0"/>
    <w:rsid w:val="00147AE1"/>
    <w:rsid w:val="00147AFD"/>
    <w:rsid w:val="00147F96"/>
    <w:rsid w:val="00150750"/>
    <w:rsid w:val="001509AB"/>
    <w:rsid w:val="001509E7"/>
    <w:rsid w:val="00150B13"/>
    <w:rsid w:val="00150BC0"/>
    <w:rsid w:val="00150C77"/>
    <w:rsid w:val="00150FD5"/>
    <w:rsid w:val="001511A8"/>
    <w:rsid w:val="00151609"/>
    <w:rsid w:val="00151883"/>
    <w:rsid w:val="0015195E"/>
    <w:rsid w:val="00151AA6"/>
    <w:rsid w:val="00151B5A"/>
    <w:rsid w:val="00151F82"/>
    <w:rsid w:val="00152061"/>
    <w:rsid w:val="001520E2"/>
    <w:rsid w:val="0015221B"/>
    <w:rsid w:val="001523E0"/>
    <w:rsid w:val="001524EA"/>
    <w:rsid w:val="00152661"/>
    <w:rsid w:val="0015281B"/>
    <w:rsid w:val="00152847"/>
    <w:rsid w:val="001528F3"/>
    <w:rsid w:val="001529B1"/>
    <w:rsid w:val="00152A22"/>
    <w:rsid w:val="00152A7C"/>
    <w:rsid w:val="00152BD6"/>
    <w:rsid w:val="00152C59"/>
    <w:rsid w:val="00152C78"/>
    <w:rsid w:val="00152CA2"/>
    <w:rsid w:val="00152FC4"/>
    <w:rsid w:val="0015302C"/>
    <w:rsid w:val="001532BD"/>
    <w:rsid w:val="001533A2"/>
    <w:rsid w:val="001534B9"/>
    <w:rsid w:val="00153535"/>
    <w:rsid w:val="00153588"/>
    <w:rsid w:val="001535E0"/>
    <w:rsid w:val="00153846"/>
    <w:rsid w:val="00153924"/>
    <w:rsid w:val="00153A93"/>
    <w:rsid w:val="00153D2A"/>
    <w:rsid w:val="00153D71"/>
    <w:rsid w:val="00153E63"/>
    <w:rsid w:val="00154047"/>
    <w:rsid w:val="0015405B"/>
    <w:rsid w:val="001541B3"/>
    <w:rsid w:val="00154363"/>
    <w:rsid w:val="0015448B"/>
    <w:rsid w:val="00154771"/>
    <w:rsid w:val="00154805"/>
    <w:rsid w:val="0015482C"/>
    <w:rsid w:val="00154959"/>
    <w:rsid w:val="001549E3"/>
    <w:rsid w:val="001549FE"/>
    <w:rsid w:val="00154A13"/>
    <w:rsid w:val="00154A3F"/>
    <w:rsid w:val="00154A9E"/>
    <w:rsid w:val="00154CD5"/>
    <w:rsid w:val="00154CE9"/>
    <w:rsid w:val="00155034"/>
    <w:rsid w:val="00155087"/>
    <w:rsid w:val="00155140"/>
    <w:rsid w:val="00155144"/>
    <w:rsid w:val="001551FE"/>
    <w:rsid w:val="00155578"/>
    <w:rsid w:val="00155668"/>
    <w:rsid w:val="00155852"/>
    <w:rsid w:val="001558E0"/>
    <w:rsid w:val="001558ED"/>
    <w:rsid w:val="00155951"/>
    <w:rsid w:val="001559BC"/>
    <w:rsid w:val="00155A15"/>
    <w:rsid w:val="00156181"/>
    <w:rsid w:val="001561FF"/>
    <w:rsid w:val="001563AD"/>
    <w:rsid w:val="001563FF"/>
    <w:rsid w:val="001565AF"/>
    <w:rsid w:val="00156653"/>
    <w:rsid w:val="001566FD"/>
    <w:rsid w:val="0015672D"/>
    <w:rsid w:val="00156732"/>
    <w:rsid w:val="00156795"/>
    <w:rsid w:val="001569D8"/>
    <w:rsid w:val="00156B1E"/>
    <w:rsid w:val="00156C56"/>
    <w:rsid w:val="00156CA5"/>
    <w:rsid w:val="00156CEF"/>
    <w:rsid w:val="00156E24"/>
    <w:rsid w:val="00156E7B"/>
    <w:rsid w:val="00157099"/>
    <w:rsid w:val="00157299"/>
    <w:rsid w:val="001572E8"/>
    <w:rsid w:val="00157359"/>
    <w:rsid w:val="0015757D"/>
    <w:rsid w:val="001577A3"/>
    <w:rsid w:val="0015784D"/>
    <w:rsid w:val="0015799C"/>
    <w:rsid w:val="001579C9"/>
    <w:rsid w:val="00157DA1"/>
    <w:rsid w:val="00157EC3"/>
    <w:rsid w:val="00157F35"/>
    <w:rsid w:val="00157FC0"/>
    <w:rsid w:val="00160047"/>
    <w:rsid w:val="00160065"/>
    <w:rsid w:val="0016019D"/>
    <w:rsid w:val="0016025F"/>
    <w:rsid w:val="001603D9"/>
    <w:rsid w:val="0016063C"/>
    <w:rsid w:val="00160ACB"/>
    <w:rsid w:val="00160B3D"/>
    <w:rsid w:val="00160E4D"/>
    <w:rsid w:val="00160E50"/>
    <w:rsid w:val="00160EA8"/>
    <w:rsid w:val="00161126"/>
    <w:rsid w:val="001611E3"/>
    <w:rsid w:val="00161481"/>
    <w:rsid w:val="00161574"/>
    <w:rsid w:val="001617B0"/>
    <w:rsid w:val="00161878"/>
    <w:rsid w:val="0016193C"/>
    <w:rsid w:val="00161B2B"/>
    <w:rsid w:val="00161D6D"/>
    <w:rsid w:val="00161F5C"/>
    <w:rsid w:val="001620C7"/>
    <w:rsid w:val="00162102"/>
    <w:rsid w:val="001622CC"/>
    <w:rsid w:val="001624AE"/>
    <w:rsid w:val="00162541"/>
    <w:rsid w:val="00162554"/>
    <w:rsid w:val="00162653"/>
    <w:rsid w:val="001626AE"/>
    <w:rsid w:val="001628FD"/>
    <w:rsid w:val="001629E8"/>
    <w:rsid w:val="00162AC9"/>
    <w:rsid w:val="00162B9E"/>
    <w:rsid w:val="00162BD4"/>
    <w:rsid w:val="00162DEB"/>
    <w:rsid w:val="00162E2F"/>
    <w:rsid w:val="00162FE3"/>
    <w:rsid w:val="0016303D"/>
    <w:rsid w:val="00163053"/>
    <w:rsid w:val="00163112"/>
    <w:rsid w:val="00163179"/>
    <w:rsid w:val="001633EF"/>
    <w:rsid w:val="001635B2"/>
    <w:rsid w:val="0016369C"/>
    <w:rsid w:val="0016372F"/>
    <w:rsid w:val="001638AA"/>
    <w:rsid w:val="001638BD"/>
    <w:rsid w:val="00163993"/>
    <w:rsid w:val="001639A1"/>
    <w:rsid w:val="00163AF8"/>
    <w:rsid w:val="00163BFE"/>
    <w:rsid w:val="00163E3A"/>
    <w:rsid w:val="0016421A"/>
    <w:rsid w:val="001642F1"/>
    <w:rsid w:val="00164322"/>
    <w:rsid w:val="001646E5"/>
    <w:rsid w:val="0016499F"/>
    <w:rsid w:val="00164C43"/>
    <w:rsid w:val="00164D4D"/>
    <w:rsid w:val="00164D8A"/>
    <w:rsid w:val="00164E1C"/>
    <w:rsid w:val="00164E2D"/>
    <w:rsid w:val="001651D7"/>
    <w:rsid w:val="001651E9"/>
    <w:rsid w:val="0016526B"/>
    <w:rsid w:val="00165279"/>
    <w:rsid w:val="001652D3"/>
    <w:rsid w:val="001653E4"/>
    <w:rsid w:val="001657D2"/>
    <w:rsid w:val="0016588F"/>
    <w:rsid w:val="001659AA"/>
    <w:rsid w:val="00165A1C"/>
    <w:rsid w:val="00165B47"/>
    <w:rsid w:val="00165C40"/>
    <w:rsid w:val="00165CB6"/>
    <w:rsid w:val="00165DBB"/>
    <w:rsid w:val="00165E6B"/>
    <w:rsid w:val="00165E78"/>
    <w:rsid w:val="00166109"/>
    <w:rsid w:val="00166119"/>
    <w:rsid w:val="00166168"/>
    <w:rsid w:val="001662F1"/>
    <w:rsid w:val="001664BE"/>
    <w:rsid w:val="001667B9"/>
    <w:rsid w:val="001669EB"/>
    <w:rsid w:val="00166A05"/>
    <w:rsid w:val="00166BB4"/>
    <w:rsid w:val="00167242"/>
    <w:rsid w:val="0016740B"/>
    <w:rsid w:val="0016771F"/>
    <w:rsid w:val="001678A4"/>
    <w:rsid w:val="00167B69"/>
    <w:rsid w:val="00167CAE"/>
    <w:rsid w:val="00167E4A"/>
    <w:rsid w:val="00167E56"/>
    <w:rsid w:val="00167ECB"/>
    <w:rsid w:val="00167F63"/>
    <w:rsid w:val="00167FAF"/>
    <w:rsid w:val="00167FBC"/>
    <w:rsid w:val="00167FCF"/>
    <w:rsid w:val="0017002A"/>
    <w:rsid w:val="00170060"/>
    <w:rsid w:val="001701ED"/>
    <w:rsid w:val="0017040A"/>
    <w:rsid w:val="00170481"/>
    <w:rsid w:val="001704F5"/>
    <w:rsid w:val="001705A6"/>
    <w:rsid w:val="00170772"/>
    <w:rsid w:val="001708D6"/>
    <w:rsid w:val="00170A7C"/>
    <w:rsid w:val="00170B4B"/>
    <w:rsid w:val="00170C49"/>
    <w:rsid w:val="00170C82"/>
    <w:rsid w:val="00170CBD"/>
    <w:rsid w:val="00170CDB"/>
    <w:rsid w:val="00170DA3"/>
    <w:rsid w:val="001710D3"/>
    <w:rsid w:val="001712DC"/>
    <w:rsid w:val="001714C5"/>
    <w:rsid w:val="00171642"/>
    <w:rsid w:val="001719DF"/>
    <w:rsid w:val="00171A37"/>
    <w:rsid w:val="00171AED"/>
    <w:rsid w:val="00171C8C"/>
    <w:rsid w:val="00171DDE"/>
    <w:rsid w:val="00171E07"/>
    <w:rsid w:val="00171ED8"/>
    <w:rsid w:val="00171EE8"/>
    <w:rsid w:val="00171F6E"/>
    <w:rsid w:val="0017201A"/>
    <w:rsid w:val="0017212A"/>
    <w:rsid w:val="00172351"/>
    <w:rsid w:val="00172585"/>
    <w:rsid w:val="001725C0"/>
    <w:rsid w:val="00172728"/>
    <w:rsid w:val="00172B33"/>
    <w:rsid w:val="00172D0F"/>
    <w:rsid w:val="00172DD6"/>
    <w:rsid w:val="00172E03"/>
    <w:rsid w:val="00172E79"/>
    <w:rsid w:val="00172F73"/>
    <w:rsid w:val="0017303E"/>
    <w:rsid w:val="00173054"/>
    <w:rsid w:val="00173077"/>
    <w:rsid w:val="001730AE"/>
    <w:rsid w:val="001732BD"/>
    <w:rsid w:val="0017330E"/>
    <w:rsid w:val="00173654"/>
    <w:rsid w:val="0017397E"/>
    <w:rsid w:val="00173C51"/>
    <w:rsid w:val="00173CC3"/>
    <w:rsid w:val="00173DAD"/>
    <w:rsid w:val="00173EF0"/>
    <w:rsid w:val="001740F7"/>
    <w:rsid w:val="001741A9"/>
    <w:rsid w:val="001742B8"/>
    <w:rsid w:val="001743C0"/>
    <w:rsid w:val="00174586"/>
    <w:rsid w:val="0017478A"/>
    <w:rsid w:val="001747B6"/>
    <w:rsid w:val="0017487E"/>
    <w:rsid w:val="00174B47"/>
    <w:rsid w:val="00174D5C"/>
    <w:rsid w:val="00174DBC"/>
    <w:rsid w:val="00174E5F"/>
    <w:rsid w:val="00174EC0"/>
    <w:rsid w:val="00175043"/>
    <w:rsid w:val="001752B4"/>
    <w:rsid w:val="00175326"/>
    <w:rsid w:val="001753A8"/>
    <w:rsid w:val="0017543E"/>
    <w:rsid w:val="001755C2"/>
    <w:rsid w:val="00175724"/>
    <w:rsid w:val="00175A24"/>
    <w:rsid w:val="00175D95"/>
    <w:rsid w:val="0017605E"/>
    <w:rsid w:val="0017634C"/>
    <w:rsid w:val="0017671D"/>
    <w:rsid w:val="00176BC4"/>
    <w:rsid w:val="00176DFE"/>
    <w:rsid w:val="00176F8A"/>
    <w:rsid w:val="00176FEB"/>
    <w:rsid w:val="001770A8"/>
    <w:rsid w:val="00177167"/>
    <w:rsid w:val="00177594"/>
    <w:rsid w:val="00177626"/>
    <w:rsid w:val="001777AD"/>
    <w:rsid w:val="001777C1"/>
    <w:rsid w:val="001777C3"/>
    <w:rsid w:val="0017791B"/>
    <w:rsid w:val="001779ED"/>
    <w:rsid w:val="00177AE4"/>
    <w:rsid w:val="00177D1D"/>
    <w:rsid w:val="00177D6A"/>
    <w:rsid w:val="00177EB9"/>
    <w:rsid w:val="00177EC0"/>
    <w:rsid w:val="00177F55"/>
    <w:rsid w:val="00180283"/>
    <w:rsid w:val="00180423"/>
    <w:rsid w:val="00180425"/>
    <w:rsid w:val="001804D2"/>
    <w:rsid w:val="00180676"/>
    <w:rsid w:val="00180694"/>
    <w:rsid w:val="00180726"/>
    <w:rsid w:val="0018085D"/>
    <w:rsid w:val="001809C9"/>
    <w:rsid w:val="00180AE8"/>
    <w:rsid w:val="00180C56"/>
    <w:rsid w:val="00180CFF"/>
    <w:rsid w:val="00180E9A"/>
    <w:rsid w:val="00180F2C"/>
    <w:rsid w:val="00181077"/>
    <w:rsid w:val="0018118C"/>
    <w:rsid w:val="001811E9"/>
    <w:rsid w:val="00181323"/>
    <w:rsid w:val="001818B3"/>
    <w:rsid w:val="00181AE4"/>
    <w:rsid w:val="00181B20"/>
    <w:rsid w:val="00181CDD"/>
    <w:rsid w:val="001820FC"/>
    <w:rsid w:val="00182276"/>
    <w:rsid w:val="00182379"/>
    <w:rsid w:val="001825A8"/>
    <w:rsid w:val="00182766"/>
    <w:rsid w:val="00182A0C"/>
    <w:rsid w:val="00182AF2"/>
    <w:rsid w:val="00182C82"/>
    <w:rsid w:val="00182DA3"/>
    <w:rsid w:val="00182E99"/>
    <w:rsid w:val="00182FED"/>
    <w:rsid w:val="00183046"/>
    <w:rsid w:val="00183105"/>
    <w:rsid w:val="00183169"/>
    <w:rsid w:val="0018324D"/>
    <w:rsid w:val="001833ED"/>
    <w:rsid w:val="001835F8"/>
    <w:rsid w:val="0018361E"/>
    <w:rsid w:val="00183720"/>
    <w:rsid w:val="00183788"/>
    <w:rsid w:val="0018398C"/>
    <w:rsid w:val="00183A6E"/>
    <w:rsid w:val="00183ABE"/>
    <w:rsid w:val="00183C42"/>
    <w:rsid w:val="00183E4C"/>
    <w:rsid w:val="00183EF8"/>
    <w:rsid w:val="00183F58"/>
    <w:rsid w:val="00183FBD"/>
    <w:rsid w:val="00183FE8"/>
    <w:rsid w:val="001840CD"/>
    <w:rsid w:val="00184190"/>
    <w:rsid w:val="001841D2"/>
    <w:rsid w:val="00184289"/>
    <w:rsid w:val="001843D0"/>
    <w:rsid w:val="00184547"/>
    <w:rsid w:val="00184557"/>
    <w:rsid w:val="00184609"/>
    <w:rsid w:val="00184723"/>
    <w:rsid w:val="0018480E"/>
    <w:rsid w:val="001848A7"/>
    <w:rsid w:val="00184928"/>
    <w:rsid w:val="0018496E"/>
    <w:rsid w:val="001849CE"/>
    <w:rsid w:val="00184AAE"/>
    <w:rsid w:val="00184BBD"/>
    <w:rsid w:val="00184CBB"/>
    <w:rsid w:val="00184DF8"/>
    <w:rsid w:val="00185137"/>
    <w:rsid w:val="00185405"/>
    <w:rsid w:val="00185479"/>
    <w:rsid w:val="0018556F"/>
    <w:rsid w:val="001855F1"/>
    <w:rsid w:val="001856B9"/>
    <w:rsid w:val="001856C7"/>
    <w:rsid w:val="00185AEC"/>
    <w:rsid w:val="00185C41"/>
    <w:rsid w:val="00185DA6"/>
    <w:rsid w:val="00185F1D"/>
    <w:rsid w:val="0018615D"/>
    <w:rsid w:val="001862DD"/>
    <w:rsid w:val="00186621"/>
    <w:rsid w:val="001868E1"/>
    <w:rsid w:val="00186A1C"/>
    <w:rsid w:val="00186B22"/>
    <w:rsid w:val="00186B33"/>
    <w:rsid w:val="00186C0D"/>
    <w:rsid w:val="00186CDB"/>
    <w:rsid w:val="00186D7B"/>
    <w:rsid w:val="00186DFF"/>
    <w:rsid w:val="00186E9A"/>
    <w:rsid w:val="001870BB"/>
    <w:rsid w:val="001872E8"/>
    <w:rsid w:val="001873CE"/>
    <w:rsid w:val="00187456"/>
    <w:rsid w:val="001877FF"/>
    <w:rsid w:val="00187CDC"/>
    <w:rsid w:val="00187DF2"/>
    <w:rsid w:val="00187E9B"/>
    <w:rsid w:val="00187EE7"/>
    <w:rsid w:val="001900FB"/>
    <w:rsid w:val="0019016C"/>
    <w:rsid w:val="001901EE"/>
    <w:rsid w:val="00190267"/>
    <w:rsid w:val="00190585"/>
    <w:rsid w:val="00190711"/>
    <w:rsid w:val="0019078A"/>
    <w:rsid w:val="001907CF"/>
    <w:rsid w:val="00190820"/>
    <w:rsid w:val="00190C3D"/>
    <w:rsid w:val="00190D50"/>
    <w:rsid w:val="00190F54"/>
    <w:rsid w:val="001911DB"/>
    <w:rsid w:val="00191572"/>
    <w:rsid w:val="00191798"/>
    <w:rsid w:val="001917B3"/>
    <w:rsid w:val="00191862"/>
    <w:rsid w:val="00191D30"/>
    <w:rsid w:val="00191E67"/>
    <w:rsid w:val="00191EA8"/>
    <w:rsid w:val="0019201C"/>
    <w:rsid w:val="00192667"/>
    <w:rsid w:val="001926A4"/>
    <w:rsid w:val="00192A56"/>
    <w:rsid w:val="00192B13"/>
    <w:rsid w:val="00192B98"/>
    <w:rsid w:val="00192E64"/>
    <w:rsid w:val="001930E0"/>
    <w:rsid w:val="001936CE"/>
    <w:rsid w:val="001937E5"/>
    <w:rsid w:val="00193916"/>
    <w:rsid w:val="0019391E"/>
    <w:rsid w:val="00193967"/>
    <w:rsid w:val="00193C45"/>
    <w:rsid w:val="00193E46"/>
    <w:rsid w:val="00193E92"/>
    <w:rsid w:val="00193EE2"/>
    <w:rsid w:val="00193FA0"/>
    <w:rsid w:val="001940C1"/>
    <w:rsid w:val="001940C7"/>
    <w:rsid w:val="001941AB"/>
    <w:rsid w:val="0019437B"/>
    <w:rsid w:val="00194582"/>
    <w:rsid w:val="00194586"/>
    <w:rsid w:val="0019458F"/>
    <w:rsid w:val="00194798"/>
    <w:rsid w:val="00194909"/>
    <w:rsid w:val="00194A36"/>
    <w:rsid w:val="00194ADF"/>
    <w:rsid w:val="00194B39"/>
    <w:rsid w:val="00194CBD"/>
    <w:rsid w:val="00194D4D"/>
    <w:rsid w:val="00194DF1"/>
    <w:rsid w:val="00194E2D"/>
    <w:rsid w:val="00194F5A"/>
    <w:rsid w:val="00195633"/>
    <w:rsid w:val="0019572C"/>
    <w:rsid w:val="00195892"/>
    <w:rsid w:val="00195A30"/>
    <w:rsid w:val="00195B4D"/>
    <w:rsid w:val="00195CA5"/>
    <w:rsid w:val="00195E17"/>
    <w:rsid w:val="00195F5C"/>
    <w:rsid w:val="001962D1"/>
    <w:rsid w:val="0019644E"/>
    <w:rsid w:val="00196462"/>
    <w:rsid w:val="001965CB"/>
    <w:rsid w:val="001966E7"/>
    <w:rsid w:val="00196896"/>
    <w:rsid w:val="00196999"/>
    <w:rsid w:val="00196A50"/>
    <w:rsid w:val="00196BB0"/>
    <w:rsid w:val="0019709C"/>
    <w:rsid w:val="00197131"/>
    <w:rsid w:val="00197585"/>
    <w:rsid w:val="0019758B"/>
    <w:rsid w:val="00197A2F"/>
    <w:rsid w:val="00197B8C"/>
    <w:rsid w:val="00197BEA"/>
    <w:rsid w:val="00197CA7"/>
    <w:rsid w:val="00197D1A"/>
    <w:rsid w:val="00197E26"/>
    <w:rsid w:val="00197EC1"/>
    <w:rsid w:val="001A011B"/>
    <w:rsid w:val="001A04B9"/>
    <w:rsid w:val="001A0645"/>
    <w:rsid w:val="001A065B"/>
    <w:rsid w:val="001A0681"/>
    <w:rsid w:val="001A0788"/>
    <w:rsid w:val="001A0959"/>
    <w:rsid w:val="001A0962"/>
    <w:rsid w:val="001A0997"/>
    <w:rsid w:val="001A09F4"/>
    <w:rsid w:val="001A0B53"/>
    <w:rsid w:val="001A0BA5"/>
    <w:rsid w:val="001A0BA6"/>
    <w:rsid w:val="001A0BF4"/>
    <w:rsid w:val="001A0C26"/>
    <w:rsid w:val="001A0C3A"/>
    <w:rsid w:val="001A0D8B"/>
    <w:rsid w:val="001A0E17"/>
    <w:rsid w:val="001A0FD3"/>
    <w:rsid w:val="001A10C6"/>
    <w:rsid w:val="001A10E8"/>
    <w:rsid w:val="001A12BA"/>
    <w:rsid w:val="001A15BA"/>
    <w:rsid w:val="001A171D"/>
    <w:rsid w:val="001A17D2"/>
    <w:rsid w:val="001A1B24"/>
    <w:rsid w:val="001A1B6F"/>
    <w:rsid w:val="001A1D9E"/>
    <w:rsid w:val="001A1DCB"/>
    <w:rsid w:val="001A1E12"/>
    <w:rsid w:val="001A203F"/>
    <w:rsid w:val="001A207C"/>
    <w:rsid w:val="001A22F4"/>
    <w:rsid w:val="001A2345"/>
    <w:rsid w:val="001A242A"/>
    <w:rsid w:val="001A242C"/>
    <w:rsid w:val="001A2760"/>
    <w:rsid w:val="001A27BF"/>
    <w:rsid w:val="001A27C8"/>
    <w:rsid w:val="001A2A25"/>
    <w:rsid w:val="001A2A67"/>
    <w:rsid w:val="001A2B2E"/>
    <w:rsid w:val="001A2BE4"/>
    <w:rsid w:val="001A2E23"/>
    <w:rsid w:val="001A3086"/>
    <w:rsid w:val="001A30AA"/>
    <w:rsid w:val="001A30B1"/>
    <w:rsid w:val="001A30DF"/>
    <w:rsid w:val="001A32C0"/>
    <w:rsid w:val="001A332B"/>
    <w:rsid w:val="001A337D"/>
    <w:rsid w:val="001A3900"/>
    <w:rsid w:val="001A3989"/>
    <w:rsid w:val="001A3BBF"/>
    <w:rsid w:val="001A3D2A"/>
    <w:rsid w:val="001A3F61"/>
    <w:rsid w:val="001A3F90"/>
    <w:rsid w:val="001A4318"/>
    <w:rsid w:val="001A43F3"/>
    <w:rsid w:val="001A46BE"/>
    <w:rsid w:val="001A476B"/>
    <w:rsid w:val="001A49B1"/>
    <w:rsid w:val="001A4A48"/>
    <w:rsid w:val="001A4FE6"/>
    <w:rsid w:val="001A5188"/>
    <w:rsid w:val="001A52C4"/>
    <w:rsid w:val="001A5895"/>
    <w:rsid w:val="001A5DA0"/>
    <w:rsid w:val="001A5F8F"/>
    <w:rsid w:val="001A5FA0"/>
    <w:rsid w:val="001A603F"/>
    <w:rsid w:val="001A60AE"/>
    <w:rsid w:val="001A643C"/>
    <w:rsid w:val="001A68CB"/>
    <w:rsid w:val="001A6A0A"/>
    <w:rsid w:val="001A6A36"/>
    <w:rsid w:val="001A6AAB"/>
    <w:rsid w:val="001A6D8D"/>
    <w:rsid w:val="001A6E61"/>
    <w:rsid w:val="001A6F0E"/>
    <w:rsid w:val="001A6F57"/>
    <w:rsid w:val="001A709A"/>
    <w:rsid w:val="001A7464"/>
    <w:rsid w:val="001A7578"/>
    <w:rsid w:val="001A76DC"/>
    <w:rsid w:val="001A793F"/>
    <w:rsid w:val="001A7A7E"/>
    <w:rsid w:val="001A7B5E"/>
    <w:rsid w:val="001A7EA6"/>
    <w:rsid w:val="001B004C"/>
    <w:rsid w:val="001B0082"/>
    <w:rsid w:val="001B00E5"/>
    <w:rsid w:val="001B0139"/>
    <w:rsid w:val="001B024C"/>
    <w:rsid w:val="001B027F"/>
    <w:rsid w:val="001B02D5"/>
    <w:rsid w:val="001B0302"/>
    <w:rsid w:val="001B04A5"/>
    <w:rsid w:val="001B04BF"/>
    <w:rsid w:val="001B05F4"/>
    <w:rsid w:val="001B060B"/>
    <w:rsid w:val="001B06F3"/>
    <w:rsid w:val="001B07B6"/>
    <w:rsid w:val="001B0B6B"/>
    <w:rsid w:val="001B0C47"/>
    <w:rsid w:val="001B0E03"/>
    <w:rsid w:val="001B0EAA"/>
    <w:rsid w:val="001B0EFF"/>
    <w:rsid w:val="001B0F29"/>
    <w:rsid w:val="001B0F4A"/>
    <w:rsid w:val="001B106A"/>
    <w:rsid w:val="001B10CE"/>
    <w:rsid w:val="001B11FD"/>
    <w:rsid w:val="001B153D"/>
    <w:rsid w:val="001B18BC"/>
    <w:rsid w:val="001B1C52"/>
    <w:rsid w:val="001B1C86"/>
    <w:rsid w:val="001B1E86"/>
    <w:rsid w:val="001B1F48"/>
    <w:rsid w:val="001B20DC"/>
    <w:rsid w:val="001B21E2"/>
    <w:rsid w:val="001B24D0"/>
    <w:rsid w:val="001B2535"/>
    <w:rsid w:val="001B2566"/>
    <w:rsid w:val="001B25AB"/>
    <w:rsid w:val="001B26D7"/>
    <w:rsid w:val="001B28FD"/>
    <w:rsid w:val="001B2910"/>
    <w:rsid w:val="001B297A"/>
    <w:rsid w:val="001B2A90"/>
    <w:rsid w:val="001B2CC1"/>
    <w:rsid w:val="001B3298"/>
    <w:rsid w:val="001B3556"/>
    <w:rsid w:val="001B35B1"/>
    <w:rsid w:val="001B35FC"/>
    <w:rsid w:val="001B3651"/>
    <w:rsid w:val="001B3AE4"/>
    <w:rsid w:val="001B3B09"/>
    <w:rsid w:val="001B3BBD"/>
    <w:rsid w:val="001B3DFA"/>
    <w:rsid w:val="001B3E4D"/>
    <w:rsid w:val="001B3E67"/>
    <w:rsid w:val="001B4078"/>
    <w:rsid w:val="001B4641"/>
    <w:rsid w:val="001B4674"/>
    <w:rsid w:val="001B47B6"/>
    <w:rsid w:val="001B497E"/>
    <w:rsid w:val="001B4D0F"/>
    <w:rsid w:val="001B4E2B"/>
    <w:rsid w:val="001B4EC1"/>
    <w:rsid w:val="001B4EF1"/>
    <w:rsid w:val="001B4EF7"/>
    <w:rsid w:val="001B5070"/>
    <w:rsid w:val="001B50F0"/>
    <w:rsid w:val="001B524A"/>
    <w:rsid w:val="001B5273"/>
    <w:rsid w:val="001B536B"/>
    <w:rsid w:val="001B5529"/>
    <w:rsid w:val="001B5631"/>
    <w:rsid w:val="001B5A33"/>
    <w:rsid w:val="001B5B35"/>
    <w:rsid w:val="001B5DE9"/>
    <w:rsid w:val="001B5F80"/>
    <w:rsid w:val="001B5FD3"/>
    <w:rsid w:val="001B6085"/>
    <w:rsid w:val="001B6118"/>
    <w:rsid w:val="001B61E5"/>
    <w:rsid w:val="001B61EB"/>
    <w:rsid w:val="001B6201"/>
    <w:rsid w:val="001B6480"/>
    <w:rsid w:val="001B6507"/>
    <w:rsid w:val="001B66C9"/>
    <w:rsid w:val="001B673C"/>
    <w:rsid w:val="001B6878"/>
    <w:rsid w:val="001B68EE"/>
    <w:rsid w:val="001B6A6C"/>
    <w:rsid w:val="001B6BDF"/>
    <w:rsid w:val="001B6F4A"/>
    <w:rsid w:val="001B6F68"/>
    <w:rsid w:val="001B6FCE"/>
    <w:rsid w:val="001B7068"/>
    <w:rsid w:val="001B75D6"/>
    <w:rsid w:val="001B77FB"/>
    <w:rsid w:val="001B7A36"/>
    <w:rsid w:val="001B7C04"/>
    <w:rsid w:val="001B7E42"/>
    <w:rsid w:val="001C03D4"/>
    <w:rsid w:val="001C04CA"/>
    <w:rsid w:val="001C0574"/>
    <w:rsid w:val="001C0695"/>
    <w:rsid w:val="001C06CB"/>
    <w:rsid w:val="001C07D2"/>
    <w:rsid w:val="001C0979"/>
    <w:rsid w:val="001C0A3F"/>
    <w:rsid w:val="001C0C0C"/>
    <w:rsid w:val="001C0D7B"/>
    <w:rsid w:val="001C0DDA"/>
    <w:rsid w:val="001C0EB2"/>
    <w:rsid w:val="001C0F16"/>
    <w:rsid w:val="001C0FE5"/>
    <w:rsid w:val="001C120A"/>
    <w:rsid w:val="001C1248"/>
    <w:rsid w:val="001C1309"/>
    <w:rsid w:val="001C1799"/>
    <w:rsid w:val="001C18A6"/>
    <w:rsid w:val="001C193B"/>
    <w:rsid w:val="001C1B36"/>
    <w:rsid w:val="001C1B4C"/>
    <w:rsid w:val="001C1B58"/>
    <w:rsid w:val="001C1CC4"/>
    <w:rsid w:val="001C1D66"/>
    <w:rsid w:val="001C1DA0"/>
    <w:rsid w:val="001C1DB2"/>
    <w:rsid w:val="001C1EFF"/>
    <w:rsid w:val="001C206B"/>
    <w:rsid w:val="001C2123"/>
    <w:rsid w:val="001C217C"/>
    <w:rsid w:val="001C2273"/>
    <w:rsid w:val="001C241D"/>
    <w:rsid w:val="001C2446"/>
    <w:rsid w:val="001C24A1"/>
    <w:rsid w:val="001C29E9"/>
    <w:rsid w:val="001C2CAC"/>
    <w:rsid w:val="001C2D8E"/>
    <w:rsid w:val="001C2DF2"/>
    <w:rsid w:val="001C2EEE"/>
    <w:rsid w:val="001C3204"/>
    <w:rsid w:val="001C3265"/>
    <w:rsid w:val="001C32C6"/>
    <w:rsid w:val="001C337C"/>
    <w:rsid w:val="001C3498"/>
    <w:rsid w:val="001C3567"/>
    <w:rsid w:val="001C35F0"/>
    <w:rsid w:val="001C3722"/>
    <w:rsid w:val="001C37A0"/>
    <w:rsid w:val="001C3931"/>
    <w:rsid w:val="001C39CE"/>
    <w:rsid w:val="001C3A28"/>
    <w:rsid w:val="001C3A9A"/>
    <w:rsid w:val="001C3B98"/>
    <w:rsid w:val="001C3C37"/>
    <w:rsid w:val="001C3C4C"/>
    <w:rsid w:val="001C3F83"/>
    <w:rsid w:val="001C4016"/>
    <w:rsid w:val="001C4402"/>
    <w:rsid w:val="001C4406"/>
    <w:rsid w:val="001C441F"/>
    <w:rsid w:val="001C4572"/>
    <w:rsid w:val="001C47CA"/>
    <w:rsid w:val="001C485A"/>
    <w:rsid w:val="001C4ABB"/>
    <w:rsid w:val="001C4AC8"/>
    <w:rsid w:val="001C4B8C"/>
    <w:rsid w:val="001C4C8C"/>
    <w:rsid w:val="001C4CF4"/>
    <w:rsid w:val="001C4DD8"/>
    <w:rsid w:val="001C4EF7"/>
    <w:rsid w:val="001C50E9"/>
    <w:rsid w:val="001C5208"/>
    <w:rsid w:val="001C58FF"/>
    <w:rsid w:val="001C5909"/>
    <w:rsid w:val="001C5A1E"/>
    <w:rsid w:val="001C5BAB"/>
    <w:rsid w:val="001C6102"/>
    <w:rsid w:val="001C6195"/>
    <w:rsid w:val="001C62C0"/>
    <w:rsid w:val="001C62FC"/>
    <w:rsid w:val="001C63BE"/>
    <w:rsid w:val="001C646F"/>
    <w:rsid w:val="001C6564"/>
    <w:rsid w:val="001C666C"/>
    <w:rsid w:val="001C669D"/>
    <w:rsid w:val="001C6761"/>
    <w:rsid w:val="001C67FA"/>
    <w:rsid w:val="001C6A21"/>
    <w:rsid w:val="001C6A42"/>
    <w:rsid w:val="001C6A6E"/>
    <w:rsid w:val="001C6AC3"/>
    <w:rsid w:val="001C6B46"/>
    <w:rsid w:val="001C6D35"/>
    <w:rsid w:val="001C6D43"/>
    <w:rsid w:val="001C6D80"/>
    <w:rsid w:val="001C70FA"/>
    <w:rsid w:val="001C71FE"/>
    <w:rsid w:val="001C7249"/>
    <w:rsid w:val="001C79F2"/>
    <w:rsid w:val="001C7BBC"/>
    <w:rsid w:val="001C7D31"/>
    <w:rsid w:val="001C7E47"/>
    <w:rsid w:val="001C7F0B"/>
    <w:rsid w:val="001C7F0F"/>
    <w:rsid w:val="001D0045"/>
    <w:rsid w:val="001D0349"/>
    <w:rsid w:val="001D0429"/>
    <w:rsid w:val="001D0580"/>
    <w:rsid w:val="001D076C"/>
    <w:rsid w:val="001D0925"/>
    <w:rsid w:val="001D09AF"/>
    <w:rsid w:val="001D0AEF"/>
    <w:rsid w:val="001D0BC7"/>
    <w:rsid w:val="001D0D07"/>
    <w:rsid w:val="001D0DBE"/>
    <w:rsid w:val="001D0E82"/>
    <w:rsid w:val="001D0F36"/>
    <w:rsid w:val="001D0F4F"/>
    <w:rsid w:val="001D0F79"/>
    <w:rsid w:val="001D1084"/>
    <w:rsid w:val="001D1471"/>
    <w:rsid w:val="001D1473"/>
    <w:rsid w:val="001D14AF"/>
    <w:rsid w:val="001D14EF"/>
    <w:rsid w:val="001D1528"/>
    <w:rsid w:val="001D15B8"/>
    <w:rsid w:val="001D17A5"/>
    <w:rsid w:val="001D1A96"/>
    <w:rsid w:val="001D1AAE"/>
    <w:rsid w:val="001D1C7B"/>
    <w:rsid w:val="001D1FCD"/>
    <w:rsid w:val="001D2097"/>
    <w:rsid w:val="001D2111"/>
    <w:rsid w:val="001D219B"/>
    <w:rsid w:val="001D2471"/>
    <w:rsid w:val="001D273D"/>
    <w:rsid w:val="001D27A1"/>
    <w:rsid w:val="001D2994"/>
    <w:rsid w:val="001D29F9"/>
    <w:rsid w:val="001D2A65"/>
    <w:rsid w:val="001D2B3E"/>
    <w:rsid w:val="001D2B41"/>
    <w:rsid w:val="001D2D55"/>
    <w:rsid w:val="001D2ED7"/>
    <w:rsid w:val="001D317C"/>
    <w:rsid w:val="001D31B1"/>
    <w:rsid w:val="001D3406"/>
    <w:rsid w:val="001D3580"/>
    <w:rsid w:val="001D3693"/>
    <w:rsid w:val="001D3802"/>
    <w:rsid w:val="001D38F9"/>
    <w:rsid w:val="001D3986"/>
    <w:rsid w:val="001D3B33"/>
    <w:rsid w:val="001D3C0E"/>
    <w:rsid w:val="001D3CA5"/>
    <w:rsid w:val="001D3F0F"/>
    <w:rsid w:val="001D427A"/>
    <w:rsid w:val="001D430A"/>
    <w:rsid w:val="001D4480"/>
    <w:rsid w:val="001D4489"/>
    <w:rsid w:val="001D46B0"/>
    <w:rsid w:val="001D46C7"/>
    <w:rsid w:val="001D46D8"/>
    <w:rsid w:val="001D4975"/>
    <w:rsid w:val="001D4C8A"/>
    <w:rsid w:val="001D4ED1"/>
    <w:rsid w:val="001D4F12"/>
    <w:rsid w:val="001D50FE"/>
    <w:rsid w:val="001D5105"/>
    <w:rsid w:val="001D5383"/>
    <w:rsid w:val="001D58EB"/>
    <w:rsid w:val="001D59A6"/>
    <w:rsid w:val="001D5A24"/>
    <w:rsid w:val="001D5C0D"/>
    <w:rsid w:val="001D5D5E"/>
    <w:rsid w:val="001D5DD4"/>
    <w:rsid w:val="001D5E0C"/>
    <w:rsid w:val="001D6033"/>
    <w:rsid w:val="001D60D1"/>
    <w:rsid w:val="001D6436"/>
    <w:rsid w:val="001D650C"/>
    <w:rsid w:val="001D652C"/>
    <w:rsid w:val="001D67FD"/>
    <w:rsid w:val="001D68B4"/>
    <w:rsid w:val="001D68D1"/>
    <w:rsid w:val="001D6E28"/>
    <w:rsid w:val="001D6E71"/>
    <w:rsid w:val="001D6F8C"/>
    <w:rsid w:val="001D6FC0"/>
    <w:rsid w:val="001D7012"/>
    <w:rsid w:val="001D7193"/>
    <w:rsid w:val="001D72A9"/>
    <w:rsid w:val="001D73BE"/>
    <w:rsid w:val="001D7482"/>
    <w:rsid w:val="001D7607"/>
    <w:rsid w:val="001D76B5"/>
    <w:rsid w:val="001D777C"/>
    <w:rsid w:val="001D7879"/>
    <w:rsid w:val="001D78CA"/>
    <w:rsid w:val="001D78DE"/>
    <w:rsid w:val="001D794F"/>
    <w:rsid w:val="001D7C60"/>
    <w:rsid w:val="001D7DB9"/>
    <w:rsid w:val="001E009F"/>
    <w:rsid w:val="001E00C4"/>
    <w:rsid w:val="001E012E"/>
    <w:rsid w:val="001E019F"/>
    <w:rsid w:val="001E01BE"/>
    <w:rsid w:val="001E0282"/>
    <w:rsid w:val="001E030E"/>
    <w:rsid w:val="001E03D8"/>
    <w:rsid w:val="001E058E"/>
    <w:rsid w:val="001E0643"/>
    <w:rsid w:val="001E07C9"/>
    <w:rsid w:val="001E084F"/>
    <w:rsid w:val="001E092B"/>
    <w:rsid w:val="001E0ABA"/>
    <w:rsid w:val="001E0C5B"/>
    <w:rsid w:val="001E0DED"/>
    <w:rsid w:val="001E0F51"/>
    <w:rsid w:val="001E1128"/>
    <w:rsid w:val="001E1186"/>
    <w:rsid w:val="001E1307"/>
    <w:rsid w:val="001E16A5"/>
    <w:rsid w:val="001E18A0"/>
    <w:rsid w:val="001E18DD"/>
    <w:rsid w:val="001E1A6A"/>
    <w:rsid w:val="001E1ACC"/>
    <w:rsid w:val="001E1B0F"/>
    <w:rsid w:val="001E1D99"/>
    <w:rsid w:val="001E1E67"/>
    <w:rsid w:val="001E1EA1"/>
    <w:rsid w:val="001E20AC"/>
    <w:rsid w:val="001E21E7"/>
    <w:rsid w:val="001E2232"/>
    <w:rsid w:val="001E22D3"/>
    <w:rsid w:val="001E2405"/>
    <w:rsid w:val="001E2524"/>
    <w:rsid w:val="001E28DB"/>
    <w:rsid w:val="001E2AC8"/>
    <w:rsid w:val="001E2DAC"/>
    <w:rsid w:val="001E2F1D"/>
    <w:rsid w:val="001E31BD"/>
    <w:rsid w:val="001E3252"/>
    <w:rsid w:val="001E32C4"/>
    <w:rsid w:val="001E3891"/>
    <w:rsid w:val="001E3B28"/>
    <w:rsid w:val="001E3E23"/>
    <w:rsid w:val="001E3E35"/>
    <w:rsid w:val="001E3EA5"/>
    <w:rsid w:val="001E4022"/>
    <w:rsid w:val="001E4076"/>
    <w:rsid w:val="001E40C5"/>
    <w:rsid w:val="001E4284"/>
    <w:rsid w:val="001E47CC"/>
    <w:rsid w:val="001E498A"/>
    <w:rsid w:val="001E4B35"/>
    <w:rsid w:val="001E4BA9"/>
    <w:rsid w:val="001E4CE3"/>
    <w:rsid w:val="001E4DAE"/>
    <w:rsid w:val="001E514C"/>
    <w:rsid w:val="001E518F"/>
    <w:rsid w:val="001E530E"/>
    <w:rsid w:val="001E53DC"/>
    <w:rsid w:val="001E54F8"/>
    <w:rsid w:val="001E5630"/>
    <w:rsid w:val="001E5765"/>
    <w:rsid w:val="001E5860"/>
    <w:rsid w:val="001E5917"/>
    <w:rsid w:val="001E59FF"/>
    <w:rsid w:val="001E5B86"/>
    <w:rsid w:val="001E5BF2"/>
    <w:rsid w:val="001E5E34"/>
    <w:rsid w:val="001E5E47"/>
    <w:rsid w:val="001E5EF8"/>
    <w:rsid w:val="001E6082"/>
    <w:rsid w:val="001E61AC"/>
    <w:rsid w:val="001E62BA"/>
    <w:rsid w:val="001E659F"/>
    <w:rsid w:val="001E6771"/>
    <w:rsid w:val="001E67BA"/>
    <w:rsid w:val="001E6961"/>
    <w:rsid w:val="001E6CFD"/>
    <w:rsid w:val="001E6D4E"/>
    <w:rsid w:val="001E6D64"/>
    <w:rsid w:val="001E6D7E"/>
    <w:rsid w:val="001E6E6F"/>
    <w:rsid w:val="001E6F21"/>
    <w:rsid w:val="001E7086"/>
    <w:rsid w:val="001E7102"/>
    <w:rsid w:val="001E717C"/>
    <w:rsid w:val="001E7303"/>
    <w:rsid w:val="001E7366"/>
    <w:rsid w:val="001E73D1"/>
    <w:rsid w:val="001E7421"/>
    <w:rsid w:val="001E7479"/>
    <w:rsid w:val="001E7488"/>
    <w:rsid w:val="001E74E7"/>
    <w:rsid w:val="001E7511"/>
    <w:rsid w:val="001E75ED"/>
    <w:rsid w:val="001E76E6"/>
    <w:rsid w:val="001E7751"/>
    <w:rsid w:val="001E7893"/>
    <w:rsid w:val="001E78D0"/>
    <w:rsid w:val="001E7A0E"/>
    <w:rsid w:val="001E7C82"/>
    <w:rsid w:val="001E7DB9"/>
    <w:rsid w:val="001F004D"/>
    <w:rsid w:val="001F02EC"/>
    <w:rsid w:val="001F0599"/>
    <w:rsid w:val="001F0781"/>
    <w:rsid w:val="001F07F3"/>
    <w:rsid w:val="001F08F6"/>
    <w:rsid w:val="001F0A79"/>
    <w:rsid w:val="001F0A83"/>
    <w:rsid w:val="001F0AE4"/>
    <w:rsid w:val="001F0C97"/>
    <w:rsid w:val="001F0EE2"/>
    <w:rsid w:val="001F1164"/>
    <w:rsid w:val="001F1342"/>
    <w:rsid w:val="001F16FC"/>
    <w:rsid w:val="001F180B"/>
    <w:rsid w:val="001F1879"/>
    <w:rsid w:val="001F1D00"/>
    <w:rsid w:val="001F1D2D"/>
    <w:rsid w:val="001F1E3D"/>
    <w:rsid w:val="001F2083"/>
    <w:rsid w:val="001F20AB"/>
    <w:rsid w:val="001F222A"/>
    <w:rsid w:val="001F22B2"/>
    <w:rsid w:val="001F22F1"/>
    <w:rsid w:val="001F2415"/>
    <w:rsid w:val="001F2549"/>
    <w:rsid w:val="001F274B"/>
    <w:rsid w:val="001F2903"/>
    <w:rsid w:val="001F2C2C"/>
    <w:rsid w:val="001F3096"/>
    <w:rsid w:val="001F31F7"/>
    <w:rsid w:val="001F3278"/>
    <w:rsid w:val="001F33FD"/>
    <w:rsid w:val="001F3595"/>
    <w:rsid w:val="001F3608"/>
    <w:rsid w:val="001F3982"/>
    <w:rsid w:val="001F3BDC"/>
    <w:rsid w:val="001F3CCB"/>
    <w:rsid w:val="001F3E62"/>
    <w:rsid w:val="001F3E71"/>
    <w:rsid w:val="001F422B"/>
    <w:rsid w:val="001F4235"/>
    <w:rsid w:val="001F42E3"/>
    <w:rsid w:val="001F44BF"/>
    <w:rsid w:val="001F4517"/>
    <w:rsid w:val="001F4520"/>
    <w:rsid w:val="001F46CE"/>
    <w:rsid w:val="001F47F9"/>
    <w:rsid w:val="001F4818"/>
    <w:rsid w:val="001F4959"/>
    <w:rsid w:val="001F4A41"/>
    <w:rsid w:val="001F4A9C"/>
    <w:rsid w:val="001F4B55"/>
    <w:rsid w:val="001F4B9B"/>
    <w:rsid w:val="001F4DC0"/>
    <w:rsid w:val="001F4F26"/>
    <w:rsid w:val="001F4F73"/>
    <w:rsid w:val="001F507A"/>
    <w:rsid w:val="001F5243"/>
    <w:rsid w:val="001F5571"/>
    <w:rsid w:val="001F58EC"/>
    <w:rsid w:val="001F59CA"/>
    <w:rsid w:val="001F59EB"/>
    <w:rsid w:val="001F5A40"/>
    <w:rsid w:val="001F5A51"/>
    <w:rsid w:val="001F5AD3"/>
    <w:rsid w:val="001F5B12"/>
    <w:rsid w:val="001F5CEF"/>
    <w:rsid w:val="001F5EB7"/>
    <w:rsid w:val="001F5FE3"/>
    <w:rsid w:val="001F60C8"/>
    <w:rsid w:val="001F61B7"/>
    <w:rsid w:val="001F6394"/>
    <w:rsid w:val="001F6487"/>
    <w:rsid w:val="001F65D9"/>
    <w:rsid w:val="001F692A"/>
    <w:rsid w:val="001F6A08"/>
    <w:rsid w:val="001F6D87"/>
    <w:rsid w:val="001F6E0D"/>
    <w:rsid w:val="001F70D2"/>
    <w:rsid w:val="001F7159"/>
    <w:rsid w:val="001F72FF"/>
    <w:rsid w:val="001F730D"/>
    <w:rsid w:val="001F73EA"/>
    <w:rsid w:val="001F7840"/>
    <w:rsid w:val="001F7957"/>
    <w:rsid w:val="001F796E"/>
    <w:rsid w:val="001F7A33"/>
    <w:rsid w:val="001F7C9E"/>
    <w:rsid w:val="001F7F0A"/>
    <w:rsid w:val="00200033"/>
    <w:rsid w:val="002000D2"/>
    <w:rsid w:val="00200267"/>
    <w:rsid w:val="0020026D"/>
    <w:rsid w:val="00200277"/>
    <w:rsid w:val="002002BA"/>
    <w:rsid w:val="00200599"/>
    <w:rsid w:val="0020062C"/>
    <w:rsid w:val="0020063B"/>
    <w:rsid w:val="00200839"/>
    <w:rsid w:val="0020085D"/>
    <w:rsid w:val="002009F6"/>
    <w:rsid w:val="00200AA3"/>
    <w:rsid w:val="00200E32"/>
    <w:rsid w:val="00201002"/>
    <w:rsid w:val="00201180"/>
    <w:rsid w:val="002011FB"/>
    <w:rsid w:val="0020134A"/>
    <w:rsid w:val="0020160F"/>
    <w:rsid w:val="002018BF"/>
    <w:rsid w:val="002019B2"/>
    <w:rsid w:val="00201A3C"/>
    <w:rsid w:val="00201A41"/>
    <w:rsid w:val="00201AC6"/>
    <w:rsid w:val="00201F57"/>
    <w:rsid w:val="002021F9"/>
    <w:rsid w:val="00202274"/>
    <w:rsid w:val="0020238B"/>
    <w:rsid w:val="00202394"/>
    <w:rsid w:val="00202460"/>
    <w:rsid w:val="002026EA"/>
    <w:rsid w:val="00202828"/>
    <w:rsid w:val="002028A0"/>
    <w:rsid w:val="002028C5"/>
    <w:rsid w:val="00202B8D"/>
    <w:rsid w:val="00202C13"/>
    <w:rsid w:val="00202CEF"/>
    <w:rsid w:val="00202D3E"/>
    <w:rsid w:val="00202F2F"/>
    <w:rsid w:val="0020302A"/>
    <w:rsid w:val="0020309F"/>
    <w:rsid w:val="00203129"/>
    <w:rsid w:val="00203226"/>
    <w:rsid w:val="00203331"/>
    <w:rsid w:val="002033AC"/>
    <w:rsid w:val="00203428"/>
    <w:rsid w:val="002034AC"/>
    <w:rsid w:val="002034B9"/>
    <w:rsid w:val="0020371F"/>
    <w:rsid w:val="00203822"/>
    <w:rsid w:val="00203A01"/>
    <w:rsid w:val="00203C1E"/>
    <w:rsid w:val="00203F08"/>
    <w:rsid w:val="00203F32"/>
    <w:rsid w:val="00204162"/>
    <w:rsid w:val="002044E6"/>
    <w:rsid w:val="0020469E"/>
    <w:rsid w:val="002046BB"/>
    <w:rsid w:val="0020479F"/>
    <w:rsid w:val="00204862"/>
    <w:rsid w:val="00204CEE"/>
    <w:rsid w:val="00204D78"/>
    <w:rsid w:val="00204F1A"/>
    <w:rsid w:val="00205176"/>
    <w:rsid w:val="00205209"/>
    <w:rsid w:val="002052F3"/>
    <w:rsid w:val="00205528"/>
    <w:rsid w:val="002057BA"/>
    <w:rsid w:val="00205858"/>
    <w:rsid w:val="002059B4"/>
    <w:rsid w:val="00205A6B"/>
    <w:rsid w:val="00205AC3"/>
    <w:rsid w:val="00205BF8"/>
    <w:rsid w:val="00205D02"/>
    <w:rsid w:val="00205DB4"/>
    <w:rsid w:val="00205EA5"/>
    <w:rsid w:val="0020609E"/>
    <w:rsid w:val="00206238"/>
    <w:rsid w:val="002063EF"/>
    <w:rsid w:val="0020677E"/>
    <w:rsid w:val="0020685A"/>
    <w:rsid w:val="002068D3"/>
    <w:rsid w:val="00206A5E"/>
    <w:rsid w:val="00206BBC"/>
    <w:rsid w:val="00206C05"/>
    <w:rsid w:val="00206C68"/>
    <w:rsid w:val="00206E55"/>
    <w:rsid w:val="00206F09"/>
    <w:rsid w:val="00207010"/>
    <w:rsid w:val="002070D2"/>
    <w:rsid w:val="0020720E"/>
    <w:rsid w:val="00207733"/>
    <w:rsid w:val="00207744"/>
    <w:rsid w:val="002078EC"/>
    <w:rsid w:val="00207926"/>
    <w:rsid w:val="002079AA"/>
    <w:rsid w:val="00207BEC"/>
    <w:rsid w:val="00207C78"/>
    <w:rsid w:val="00207C8E"/>
    <w:rsid w:val="00207D4F"/>
    <w:rsid w:val="00207EBC"/>
    <w:rsid w:val="00207F04"/>
    <w:rsid w:val="002100A5"/>
    <w:rsid w:val="0021024D"/>
    <w:rsid w:val="00210424"/>
    <w:rsid w:val="0021066A"/>
    <w:rsid w:val="00210693"/>
    <w:rsid w:val="00210780"/>
    <w:rsid w:val="00210B32"/>
    <w:rsid w:val="00210B69"/>
    <w:rsid w:val="00210DD7"/>
    <w:rsid w:val="00210EE3"/>
    <w:rsid w:val="002110EA"/>
    <w:rsid w:val="00211157"/>
    <w:rsid w:val="00211255"/>
    <w:rsid w:val="002114E4"/>
    <w:rsid w:val="002114E8"/>
    <w:rsid w:val="002116ED"/>
    <w:rsid w:val="00211AE7"/>
    <w:rsid w:val="00211BDE"/>
    <w:rsid w:val="00211D03"/>
    <w:rsid w:val="00211EC4"/>
    <w:rsid w:val="00211FC1"/>
    <w:rsid w:val="0021232D"/>
    <w:rsid w:val="0021255A"/>
    <w:rsid w:val="0021269D"/>
    <w:rsid w:val="00212D2B"/>
    <w:rsid w:val="00212E53"/>
    <w:rsid w:val="00212F6A"/>
    <w:rsid w:val="0021319C"/>
    <w:rsid w:val="00213307"/>
    <w:rsid w:val="00213469"/>
    <w:rsid w:val="00213545"/>
    <w:rsid w:val="00213568"/>
    <w:rsid w:val="002135DB"/>
    <w:rsid w:val="0021360A"/>
    <w:rsid w:val="00213661"/>
    <w:rsid w:val="002136A2"/>
    <w:rsid w:val="002136B2"/>
    <w:rsid w:val="002136C0"/>
    <w:rsid w:val="002136C9"/>
    <w:rsid w:val="00213723"/>
    <w:rsid w:val="002137DA"/>
    <w:rsid w:val="002137F4"/>
    <w:rsid w:val="0021394B"/>
    <w:rsid w:val="00213B36"/>
    <w:rsid w:val="00213BD8"/>
    <w:rsid w:val="00213CC9"/>
    <w:rsid w:val="00213D0F"/>
    <w:rsid w:val="00213E9F"/>
    <w:rsid w:val="00213F19"/>
    <w:rsid w:val="00214029"/>
    <w:rsid w:val="00214050"/>
    <w:rsid w:val="00214056"/>
    <w:rsid w:val="00214195"/>
    <w:rsid w:val="002143E2"/>
    <w:rsid w:val="00214629"/>
    <w:rsid w:val="002147F9"/>
    <w:rsid w:val="00214EB4"/>
    <w:rsid w:val="00215194"/>
    <w:rsid w:val="00215316"/>
    <w:rsid w:val="00215438"/>
    <w:rsid w:val="00215549"/>
    <w:rsid w:val="00215802"/>
    <w:rsid w:val="00215858"/>
    <w:rsid w:val="0021585D"/>
    <w:rsid w:val="002158FD"/>
    <w:rsid w:val="0021596C"/>
    <w:rsid w:val="0021597B"/>
    <w:rsid w:val="00215C00"/>
    <w:rsid w:val="00215CC4"/>
    <w:rsid w:val="00215EC9"/>
    <w:rsid w:val="00215F99"/>
    <w:rsid w:val="002162A7"/>
    <w:rsid w:val="0021636F"/>
    <w:rsid w:val="00216482"/>
    <w:rsid w:val="002164B2"/>
    <w:rsid w:val="00216594"/>
    <w:rsid w:val="002168F9"/>
    <w:rsid w:val="00216914"/>
    <w:rsid w:val="0021693A"/>
    <w:rsid w:val="00216AF7"/>
    <w:rsid w:val="00216CB9"/>
    <w:rsid w:val="00216D4D"/>
    <w:rsid w:val="00216D52"/>
    <w:rsid w:val="00216F38"/>
    <w:rsid w:val="00216F3D"/>
    <w:rsid w:val="002172BA"/>
    <w:rsid w:val="0021732D"/>
    <w:rsid w:val="002173E3"/>
    <w:rsid w:val="00217617"/>
    <w:rsid w:val="00217760"/>
    <w:rsid w:val="002177A7"/>
    <w:rsid w:val="00217820"/>
    <w:rsid w:val="002178B0"/>
    <w:rsid w:val="00217C3B"/>
    <w:rsid w:val="00217EAB"/>
    <w:rsid w:val="00217EC9"/>
    <w:rsid w:val="00220179"/>
    <w:rsid w:val="0022039F"/>
    <w:rsid w:val="002203B0"/>
    <w:rsid w:val="0022059B"/>
    <w:rsid w:val="00220664"/>
    <w:rsid w:val="00220802"/>
    <w:rsid w:val="0022083A"/>
    <w:rsid w:val="00220C9B"/>
    <w:rsid w:val="00220D0B"/>
    <w:rsid w:val="00220FB5"/>
    <w:rsid w:val="00221233"/>
    <w:rsid w:val="002212AC"/>
    <w:rsid w:val="00221341"/>
    <w:rsid w:val="00221541"/>
    <w:rsid w:val="0022154C"/>
    <w:rsid w:val="002215DE"/>
    <w:rsid w:val="00221750"/>
    <w:rsid w:val="002217C2"/>
    <w:rsid w:val="002219B4"/>
    <w:rsid w:val="00221DE2"/>
    <w:rsid w:val="00221FE9"/>
    <w:rsid w:val="00222321"/>
    <w:rsid w:val="00222358"/>
    <w:rsid w:val="00222449"/>
    <w:rsid w:val="00222558"/>
    <w:rsid w:val="002225E6"/>
    <w:rsid w:val="00222818"/>
    <w:rsid w:val="002228F9"/>
    <w:rsid w:val="00222C82"/>
    <w:rsid w:val="00222D1B"/>
    <w:rsid w:val="00222EFB"/>
    <w:rsid w:val="00223221"/>
    <w:rsid w:val="002232CB"/>
    <w:rsid w:val="002232CE"/>
    <w:rsid w:val="002234C3"/>
    <w:rsid w:val="002235E8"/>
    <w:rsid w:val="00223690"/>
    <w:rsid w:val="00223749"/>
    <w:rsid w:val="00223B1D"/>
    <w:rsid w:val="00223CCD"/>
    <w:rsid w:val="00223E64"/>
    <w:rsid w:val="00223FAD"/>
    <w:rsid w:val="002240C7"/>
    <w:rsid w:val="0022412F"/>
    <w:rsid w:val="002241A4"/>
    <w:rsid w:val="002242E7"/>
    <w:rsid w:val="002242FD"/>
    <w:rsid w:val="00224303"/>
    <w:rsid w:val="00224367"/>
    <w:rsid w:val="0022439D"/>
    <w:rsid w:val="0022471B"/>
    <w:rsid w:val="00224887"/>
    <w:rsid w:val="0022488A"/>
    <w:rsid w:val="002248DE"/>
    <w:rsid w:val="0022498C"/>
    <w:rsid w:val="0022499E"/>
    <w:rsid w:val="00224AEC"/>
    <w:rsid w:val="00224BEA"/>
    <w:rsid w:val="00224C95"/>
    <w:rsid w:val="00224D0C"/>
    <w:rsid w:val="00224D42"/>
    <w:rsid w:val="00224F11"/>
    <w:rsid w:val="00224F9D"/>
    <w:rsid w:val="002252CC"/>
    <w:rsid w:val="0022540F"/>
    <w:rsid w:val="0022542B"/>
    <w:rsid w:val="0022551A"/>
    <w:rsid w:val="00225534"/>
    <w:rsid w:val="00225650"/>
    <w:rsid w:val="0022583E"/>
    <w:rsid w:val="0022584F"/>
    <w:rsid w:val="002258F4"/>
    <w:rsid w:val="00225948"/>
    <w:rsid w:val="00225CC3"/>
    <w:rsid w:val="00225EE9"/>
    <w:rsid w:val="002260CC"/>
    <w:rsid w:val="00226219"/>
    <w:rsid w:val="00226247"/>
    <w:rsid w:val="0022631E"/>
    <w:rsid w:val="002264D8"/>
    <w:rsid w:val="00226503"/>
    <w:rsid w:val="0022650C"/>
    <w:rsid w:val="002265F0"/>
    <w:rsid w:val="00226604"/>
    <w:rsid w:val="00226D62"/>
    <w:rsid w:val="00226E73"/>
    <w:rsid w:val="00226F20"/>
    <w:rsid w:val="002271EE"/>
    <w:rsid w:val="00227238"/>
    <w:rsid w:val="00227249"/>
    <w:rsid w:val="0022758E"/>
    <w:rsid w:val="00227A44"/>
    <w:rsid w:val="00227ADD"/>
    <w:rsid w:val="00227CB9"/>
    <w:rsid w:val="00230046"/>
    <w:rsid w:val="00230075"/>
    <w:rsid w:val="00230216"/>
    <w:rsid w:val="0023022F"/>
    <w:rsid w:val="002302AB"/>
    <w:rsid w:val="002302D3"/>
    <w:rsid w:val="002302E4"/>
    <w:rsid w:val="00230339"/>
    <w:rsid w:val="00230405"/>
    <w:rsid w:val="002304B8"/>
    <w:rsid w:val="002304E9"/>
    <w:rsid w:val="002304F2"/>
    <w:rsid w:val="0023053B"/>
    <w:rsid w:val="002305D0"/>
    <w:rsid w:val="0023061D"/>
    <w:rsid w:val="0023064C"/>
    <w:rsid w:val="00230C31"/>
    <w:rsid w:val="00230E45"/>
    <w:rsid w:val="00230E5C"/>
    <w:rsid w:val="00230EE6"/>
    <w:rsid w:val="00231227"/>
    <w:rsid w:val="00231596"/>
    <w:rsid w:val="002315E1"/>
    <w:rsid w:val="00231793"/>
    <w:rsid w:val="002318D6"/>
    <w:rsid w:val="00231C04"/>
    <w:rsid w:val="00231F35"/>
    <w:rsid w:val="00232282"/>
    <w:rsid w:val="0023237F"/>
    <w:rsid w:val="002323E0"/>
    <w:rsid w:val="0023244D"/>
    <w:rsid w:val="0023267E"/>
    <w:rsid w:val="00232701"/>
    <w:rsid w:val="0023293B"/>
    <w:rsid w:val="00232A4B"/>
    <w:rsid w:val="00232D82"/>
    <w:rsid w:val="00232E22"/>
    <w:rsid w:val="00232EA5"/>
    <w:rsid w:val="002332EB"/>
    <w:rsid w:val="0023343B"/>
    <w:rsid w:val="002336C1"/>
    <w:rsid w:val="0023380B"/>
    <w:rsid w:val="00233C53"/>
    <w:rsid w:val="00233F54"/>
    <w:rsid w:val="002341FC"/>
    <w:rsid w:val="002343D9"/>
    <w:rsid w:val="00234448"/>
    <w:rsid w:val="00234467"/>
    <w:rsid w:val="00234619"/>
    <w:rsid w:val="0023491F"/>
    <w:rsid w:val="00234BAC"/>
    <w:rsid w:val="00234BBA"/>
    <w:rsid w:val="00234BC6"/>
    <w:rsid w:val="00234BCB"/>
    <w:rsid w:val="00234D29"/>
    <w:rsid w:val="00234DE7"/>
    <w:rsid w:val="00234FC9"/>
    <w:rsid w:val="002350C3"/>
    <w:rsid w:val="00235163"/>
    <w:rsid w:val="0023528D"/>
    <w:rsid w:val="002353ED"/>
    <w:rsid w:val="002356DB"/>
    <w:rsid w:val="0023588B"/>
    <w:rsid w:val="00235894"/>
    <w:rsid w:val="002359C6"/>
    <w:rsid w:val="00235A51"/>
    <w:rsid w:val="00235A7A"/>
    <w:rsid w:val="00235C3C"/>
    <w:rsid w:val="00235C4A"/>
    <w:rsid w:val="00235D77"/>
    <w:rsid w:val="00235EC8"/>
    <w:rsid w:val="00235EC9"/>
    <w:rsid w:val="00235ED1"/>
    <w:rsid w:val="00236141"/>
    <w:rsid w:val="00236182"/>
    <w:rsid w:val="002361B0"/>
    <w:rsid w:val="00236244"/>
    <w:rsid w:val="002362D2"/>
    <w:rsid w:val="00236477"/>
    <w:rsid w:val="00236630"/>
    <w:rsid w:val="00236694"/>
    <w:rsid w:val="00236956"/>
    <w:rsid w:val="00236ACB"/>
    <w:rsid w:val="0023704D"/>
    <w:rsid w:val="0023721B"/>
    <w:rsid w:val="0023723E"/>
    <w:rsid w:val="002372A8"/>
    <w:rsid w:val="002374D5"/>
    <w:rsid w:val="0023759A"/>
    <w:rsid w:val="00237636"/>
    <w:rsid w:val="002376AA"/>
    <w:rsid w:val="0023770E"/>
    <w:rsid w:val="00237717"/>
    <w:rsid w:val="0023794F"/>
    <w:rsid w:val="00237958"/>
    <w:rsid w:val="00237987"/>
    <w:rsid w:val="00237A50"/>
    <w:rsid w:val="00237D6B"/>
    <w:rsid w:val="00237E9E"/>
    <w:rsid w:val="00237F41"/>
    <w:rsid w:val="00240102"/>
    <w:rsid w:val="0024019F"/>
    <w:rsid w:val="002401A2"/>
    <w:rsid w:val="00240249"/>
    <w:rsid w:val="002402C5"/>
    <w:rsid w:val="00240391"/>
    <w:rsid w:val="002406E5"/>
    <w:rsid w:val="00240812"/>
    <w:rsid w:val="00240C73"/>
    <w:rsid w:val="00240D28"/>
    <w:rsid w:val="00240E7E"/>
    <w:rsid w:val="00240EA0"/>
    <w:rsid w:val="0024101E"/>
    <w:rsid w:val="002410EE"/>
    <w:rsid w:val="0024143F"/>
    <w:rsid w:val="0024144D"/>
    <w:rsid w:val="00241548"/>
    <w:rsid w:val="00241835"/>
    <w:rsid w:val="00241A6F"/>
    <w:rsid w:val="00241A7C"/>
    <w:rsid w:val="00241B6A"/>
    <w:rsid w:val="00241C20"/>
    <w:rsid w:val="00241F9F"/>
    <w:rsid w:val="00242149"/>
    <w:rsid w:val="0024217B"/>
    <w:rsid w:val="002421AB"/>
    <w:rsid w:val="002421BE"/>
    <w:rsid w:val="00242372"/>
    <w:rsid w:val="00242480"/>
    <w:rsid w:val="00242491"/>
    <w:rsid w:val="002424AB"/>
    <w:rsid w:val="002425ED"/>
    <w:rsid w:val="00242608"/>
    <w:rsid w:val="00242694"/>
    <w:rsid w:val="00242985"/>
    <w:rsid w:val="00242A7D"/>
    <w:rsid w:val="00242B8C"/>
    <w:rsid w:val="00242D86"/>
    <w:rsid w:val="00242EBB"/>
    <w:rsid w:val="00243155"/>
    <w:rsid w:val="00243160"/>
    <w:rsid w:val="002435F0"/>
    <w:rsid w:val="0024367A"/>
    <w:rsid w:val="00243926"/>
    <w:rsid w:val="002439FC"/>
    <w:rsid w:val="00243AE0"/>
    <w:rsid w:val="00243C29"/>
    <w:rsid w:val="00243CC8"/>
    <w:rsid w:val="00243CF8"/>
    <w:rsid w:val="00243EB9"/>
    <w:rsid w:val="00244189"/>
    <w:rsid w:val="002441AE"/>
    <w:rsid w:val="0024434B"/>
    <w:rsid w:val="0024467F"/>
    <w:rsid w:val="0024495F"/>
    <w:rsid w:val="00244DE0"/>
    <w:rsid w:val="00244FBE"/>
    <w:rsid w:val="00244FF8"/>
    <w:rsid w:val="002451E2"/>
    <w:rsid w:val="0024529D"/>
    <w:rsid w:val="00245396"/>
    <w:rsid w:val="002455AF"/>
    <w:rsid w:val="00245AA6"/>
    <w:rsid w:val="00245CFA"/>
    <w:rsid w:val="00245D40"/>
    <w:rsid w:val="00245D46"/>
    <w:rsid w:val="00245E09"/>
    <w:rsid w:val="00245F38"/>
    <w:rsid w:val="00245FAA"/>
    <w:rsid w:val="00245FB4"/>
    <w:rsid w:val="00246013"/>
    <w:rsid w:val="0024608D"/>
    <w:rsid w:val="00246179"/>
    <w:rsid w:val="00246248"/>
    <w:rsid w:val="002462A3"/>
    <w:rsid w:val="002464A0"/>
    <w:rsid w:val="00246582"/>
    <w:rsid w:val="0024665B"/>
    <w:rsid w:val="00246670"/>
    <w:rsid w:val="002466E1"/>
    <w:rsid w:val="0024696D"/>
    <w:rsid w:val="00246B1E"/>
    <w:rsid w:val="00246BED"/>
    <w:rsid w:val="00246C02"/>
    <w:rsid w:val="00246DBF"/>
    <w:rsid w:val="00246F1B"/>
    <w:rsid w:val="00247436"/>
    <w:rsid w:val="00247697"/>
    <w:rsid w:val="0024770F"/>
    <w:rsid w:val="0024771B"/>
    <w:rsid w:val="00247724"/>
    <w:rsid w:val="0024788A"/>
    <w:rsid w:val="0024796F"/>
    <w:rsid w:val="002479CF"/>
    <w:rsid w:val="002479DE"/>
    <w:rsid w:val="00247B1E"/>
    <w:rsid w:val="00247B89"/>
    <w:rsid w:val="00247C25"/>
    <w:rsid w:val="00247C7F"/>
    <w:rsid w:val="00247D6D"/>
    <w:rsid w:val="00247F14"/>
    <w:rsid w:val="002501A9"/>
    <w:rsid w:val="0025041B"/>
    <w:rsid w:val="00250517"/>
    <w:rsid w:val="00250623"/>
    <w:rsid w:val="00250649"/>
    <w:rsid w:val="00250704"/>
    <w:rsid w:val="002508AE"/>
    <w:rsid w:val="00250957"/>
    <w:rsid w:val="00250C03"/>
    <w:rsid w:val="00250C7A"/>
    <w:rsid w:val="00250CD2"/>
    <w:rsid w:val="00250CEF"/>
    <w:rsid w:val="0025104D"/>
    <w:rsid w:val="00251117"/>
    <w:rsid w:val="0025117E"/>
    <w:rsid w:val="002511A0"/>
    <w:rsid w:val="00251403"/>
    <w:rsid w:val="002514F4"/>
    <w:rsid w:val="00251808"/>
    <w:rsid w:val="00251D29"/>
    <w:rsid w:val="00251EAD"/>
    <w:rsid w:val="00251F31"/>
    <w:rsid w:val="002521AC"/>
    <w:rsid w:val="00252250"/>
    <w:rsid w:val="002524D7"/>
    <w:rsid w:val="0025250F"/>
    <w:rsid w:val="002525D6"/>
    <w:rsid w:val="00252BCA"/>
    <w:rsid w:val="00252BF9"/>
    <w:rsid w:val="00252DCB"/>
    <w:rsid w:val="00253701"/>
    <w:rsid w:val="0025388C"/>
    <w:rsid w:val="00253A8A"/>
    <w:rsid w:val="00253D72"/>
    <w:rsid w:val="00253F04"/>
    <w:rsid w:val="00254153"/>
    <w:rsid w:val="002541D5"/>
    <w:rsid w:val="0025428F"/>
    <w:rsid w:val="00254399"/>
    <w:rsid w:val="0025440D"/>
    <w:rsid w:val="00254541"/>
    <w:rsid w:val="002545EB"/>
    <w:rsid w:val="002546B3"/>
    <w:rsid w:val="00254F50"/>
    <w:rsid w:val="002550F9"/>
    <w:rsid w:val="0025516E"/>
    <w:rsid w:val="0025521C"/>
    <w:rsid w:val="002553E9"/>
    <w:rsid w:val="00255469"/>
    <w:rsid w:val="002554C2"/>
    <w:rsid w:val="002555DB"/>
    <w:rsid w:val="002555E9"/>
    <w:rsid w:val="002556BD"/>
    <w:rsid w:val="0025570B"/>
    <w:rsid w:val="002557B1"/>
    <w:rsid w:val="00255D23"/>
    <w:rsid w:val="00255EB5"/>
    <w:rsid w:val="00255EBD"/>
    <w:rsid w:val="002560E3"/>
    <w:rsid w:val="002561B3"/>
    <w:rsid w:val="00256205"/>
    <w:rsid w:val="002563A0"/>
    <w:rsid w:val="00256AD8"/>
    <w:rsid w:val="00256C51"/>
    <w:rsid w:val="00256CC4"/>
    <w:rsid w:val="00256D66"/>
    <w:rsid w:val="00256D85"/>
    <w:rsid w:val="00256EC8"/>
    <w:rsid w:val="00257000"/>
    <w:rsid w:val="002570C8"/>
    <w:rsid w:val="00257215"/>
    <w:rsid w:val="00257364"/>
    <w:rsid w:val="002577AD"/>
    <w:rsid w:val="002577DB"/>
    <w:rsid w:val="00257987"/>
    <w:rsid w:val="00257A3F"/>
    <w:rsid w:val="00257AEA"/>
    <w:rsid w:val="00257CBD"/>
    <w:rsid w:val="00257FE1"/>
    <w:rsid w:val="002600DB"/>
    <w:rsid w:val="002600DE"/>
    <w:rsid w:val="00260116"/>
    <w:rsid w:val="0026031D"/>
    <w:rsid w:val="0026036B"/>
    <w:rsid w:val="00260A66"/>
    <w:rsid w:val="00260CEA"/>
    <w:rsid w:val="00260E7B"/>
    <w:rsid w:val="0026123C"/>
    <w:rsid w:val="002612A2"/>
    <w:rsid w:val="00261547"/>
    <w:rsid w:val="002615C3"/>
    <w:rsid w:val="0026163B"/>
    <w:rsid w:val="00261BEC"/>
    <w:rsid w:val="00261D0D"/>
    <w:rsid w:val="00261D41"/>
    <w:rsid w:val="00261D83"/>
    <w:rsid w:val="00261E25"/>
    <w:rsid w:val="00262156"/>
    <w:rsid w:val="0026249A"/>
    <w:rsid w:val="0026253B"/>
    <w:rsid w:val="002626F1"/>
    <w:rsid w:val="00262999"/>
    <w:rsid w:val="002629C4"/>
    <w:rsid w:val="00262A04"/>
    <w:rsid w:val="00262A2B"/>
    <w:rsid w:val="002630BB"/>
    <w:rsid w:val="002633DA"/>
    <w:rsid w:val="00263A91"/>
    <w:rsid w:val="00263ACD"/>
    <w:rsid w:val="00263B53"/>
    <w:rsid w:val="00263BB8"/>
    <w:rsid w:val="00263F63"/>
    <w:rsid w:val="00264177"/>
    <w:rsid w:val="0026430E"/>
    <w:rsid w:val="002643BF"/>
    <w:rsid w:val="002644CB"/>
    <w:rsid w:val="002646CA"/>
    <w:rsid w:val="00264723"/>
    <w:rsid w:val="0026477B"/>
    <w:rsid w:val="002648F1"/>
    <w:rsid w:val="00264A2F"/>
    <w:rsid w:val="00264B93"/>
    <w:rsid w:val="00264D6B"/>
    <w:rsid w:val="00264DFB"/>
    <w:rsid w:val="00264DFC"/>
    <w:rsid w:val="0026505D"/>
    <w:rsid w:val="00265226"/>
    <w:rsid w:val="00265525"/>
    <w:rsid w:val="00265584"/>
    <w:rsid w:val="0026573E"/>
    <w:rsid w:val="00265747"/>
    <w:rsid w:val="00265771"/>
    <w:rsid w:val="00265825"/>
    <w:rsid w:val="002658E1"/>
    <w:rsid w:val="00265957"/>
    <w:rsid w:val="00265C2E"/>
    <w:rsid w:val="0026610D"/>
    <w:rsid w:val="0026612E"/>
    <w:rsid w:val="00266394"/>
    <w:rsid w:val="002664F2"/>
    <w:rsid w:val="002665F1"/>
    <w:rsid w:val="00266712"/>
    <w:rsid w:val="0026687D"/>
    <w:rsid w:val="00266C55"/>
    <w:rsid w:val="00266FE5"/>
    <w:rsid w:val="002670DA"/>
    <w:rsid w:val="002671FF"/>
    <w:rsid w:val="002672C5"/>
    <w:rsid w:val="00267550"/>
    <w:rsid w:val="00267588"/>
    <w:rsid w:val="0026765C"/>
    <w:rsid w:val="0026775C"/>
    <w:rsid w:val="0026777F"/>
    <w:rsid w:val="002678CF"/>
    <w:rsid w:val="00267F85"/>
    <w:rsid w:val="002701B4"/>
    <w:rsid w:val="0027025F"/>
    <w:rsid w:val="002702F5"/>
    <w:rsid w:val="00270329"/>
    <w:rsid w:val="0027037D"/>
    <w:rsid w:val="002704FC"/>
    <w:rsid w:val="0027058A"/>
    <w:rsid w:val="0027065C"/>
    <w:rsid w:val="002708F0"/>
    <w:rsid w:val="00270A29"/>
    <w:rsid w:val="00270E61"/>
    <w:rsid w:val="00270E93"/>
    <w:rsid w:val="00270EB8"/>
    <w:rsid w:val="00270F2D"/>
    <w:rsid w:val="0027108C"/>
    <w:rsid w:val="00271098"/>
    <w:rsid w:val="002714E9"/>
    <w:rsid w:val="00271529"/>
    <w:rsid w:val="002715A4"/>
    <w:rsid w:val="0027189A"/>
    <w:rsid w:val="00271A52"/>
    <w:rsid w:val="00271AE7"/>
    <w:rsid w:val="00271EF1"/>
    <w:rsid w:val="00271F26"/>
    <w:rsid w:val="00272122"/>
    <w:rsid w:val="002722E2"/>
    <w:rsid w:val="002724AE"/>
    <w:rsid w:val="002724D0"/>
    <w:rsid w:val="002726B9"/>
    <w:rsid w:val="002726E5"/>
    <w:rsid w:val="0027271E"/>
    <w:rsid w:val="002727E3"/>
    <w:rsid w:val="00272BFB"/>
    <w:rsid w:val="00272CA2"/>
    <w:rsid w:val="00273604"/>
    <w:rsid w:val="0027368D"/>
    <w:rsid w:val="002737D5"/>
    <w:rsid w:val="002738CE"/>
    <w:rsid w:val="002739F8"/>
    <w:rsid w:val="00273C8B"/>
    <w:rsid w:val="00273F9D"/>
    <w:rsid w:val="00273FD0"/>
    <w:rsid w:val="0027411E"/>
    <w:rsid w:val="002743CE"/>
    <w:rsid w:val="00274617"/>
    <w:rsid w:val="00274683"/>
    <w:rsid w:val="00274864"/>
    <w:rsid w:val="00274971"/>
    <w:rsid w:val="00274B06"/>
    <w:rsid w:val="00274B5A"/>
    <w:rsid w:val="00274F5E"/>
    <w:rsid w:val="00274FC1"/>
    <w:rsid w:val="0027500C"/>
    <w:rsid w:val="00275078"/>
    <w:rsid w:val="002750BC"/>
    <w:rsid w:val="0027521B"/>
    <w:rsid w:val="002752A8"/>
    <w:rsid w:val="00275423"/>
    <w:rsid w:val="0027565B"/>
    <w:rsid w:val="002757D7"/>
    <w:rsid w:val="0027590B"/>
    <w:rsid w:val="00275A1D"/>
    <w:rsid w:val="00275AA6"/>
    <w:rsid w:val="00275C13"/>
    <w:rsid w:val="00275DA1"/>
    <w:rsid w:val="00275E88"/>
    <w:rsid w:val="002760E0"/>
    <w:rsid w:val="0027639E"/>
    <w:rsid w:val="002763A7"/>
    <w:rsid w:val="00276500"/>
    <w:rsid w:val="0027650A"/>
    <w:rsid w:val="0027667D"/>
    <w:rsid w:val="002767B4"/>
    <w:rsid w:val="002769B2"/>
    <w:rsid w:val="00276A0A"/>
    <w:rsid w:val="00276A87"/>
    <w:rsid w:val="00276B25"/>
    <w:rsid w:val="00276B87"/>
    <w:rsid w:val="00276C55"/>
    <w:rsid w:val="00276D89"/>
    <w:rsid w:val="00276DE0"/>
    <w:rsid w:val="0027703C"/>
    <w:rsid w:val="00277589"/>
    <w:rsid w:val="00277591"/>
    <w:rsid w:val="00277615"/>
    <w:rsid w:val="00277693"/>
    <w:rsid w:val="002776F6"/>
    <w:rsid w:val="00277723"/>
    <w:rsid w:val="002777EE"/>
    <w:rsid w:val="00277B7A"/>
    <w:rsid w:val="00277C91"/>
    <w:rsid w:val="00277D57"/>
    <w:rsid w:val="00280016"/>
    <w:rsid w:val="002800F5"/>
    <w:rsid w:val="00280183"/>
    <w:rsid w:val="00280312"/>
    <w:rsid w:val="002803CD"/>
    <w:rsid w:val="0028041D"/>
    <w:rsid w:val="002804E0"/>
    <w:rsid w:val="00280542"/>
    <w:rsid w:val="00280751"/>
    <w:rsid w:val="00280952"/>
    <w:rsid w:val="00280A17"/>
    <w:rsid w:val="00281066"/>
    <w:rsid w:val="002811C9"/>
    <w:rsid w:val="002811CA"/>
    <w:rsid w:val="002811EB"/>
    <w:rsid w:val="00281252"/>
    <w:rsid w:val="0028129B"/>
    <w:rsid w:val="002814B5"/>
    <w:rsid w:val="002815DE"/>
    <w:rsid w:val="0028168F"/>
    <w:rsid w:val="0028176C"/>
    <w:rsid w:val="00281A90"/>
    <w:rsid w:val="00281B37"/>
    <w:rsid w:val="00281B76"/>
    <w:rsid w:val="00281C9F"/>
    <w:rsid w:val="00281EC0"/>
    <w:rsid w:val="00282021"/>
    <w:rsid w:val="00282036"/>
    <w:rsid w:val="002824E5"/>
    <w:rsid w:val="00282508"/>
    <w:rsid w:val="00282511"/>
    <w:rsid w:val="00282710"/>
    <w:rsid w:val="0028282E"/>
    <w:rsid w:val="00282937"/>
    <w:rsid w:val="00282967"/>
    <w:rsid w:val="00282A61"/>
    <w:rsid w:val="00282B09"/>
    <w:rsid w:val="00282B67"/>
    <w:rsid w:val="00282DB4"/>
    <w:rsid w:val="00282FBC"/>
    <w:rsid w:val="0028316B"/>
    <w:rsid w:val="0028326F"/>
    <w:rsid w:val="0028338F"/>
    <w:rsid w:val="002836AE"/>
    <w:rsid w:val="00283862"/>
    <w:rsid w:val="00283879"/>
    <w:rsid w:val="0028390A"/>
    <w:rsid w:val="00283B12"/>
    <w:rsid w:val="00283B72"/>
    <w:rsid w:val="00283BA5"/>
    <w:rsid w:val="00283BC1"/>
    <w:rsid w:val="00283C36"/>
    <w:rsid w:val="00283F82"/>
    <w:rsid w:val="00284107"/>
    <w:rsid w:val="00284467"/>
    <w:rsid w:val="0028477E"/>
    <w:rsid w:val="002847A6"/>
    <w:rsid w:val="002848CF"/>
    <w:rsid w:val="00284BB0"/>
    <w:rsid w:val="00284C9D"/>
    <w:rsid w:val="00284D94"/>
    <w:rsid w:val="00284DAB"/>
    <w:rsid w:val="002850D7"/>
    <w:rsid w:val="00285324"/>
    <w:rsid w:val="0028534C"/>
    <w:rsid w:val="00285560"/>
    <w:rsid w:val="002855C2"/>
    <w:rsid w:val="00285600"/>
    <w:rsid w:val="00285633"/>
    <w:rsid w:val="00285661"/>
    <w:rsid w:val="002858E3"/>
    <w:rsid w:val="0028599B"/>
    <w:rsid w:val="00285A89"/>
    <w:rsid w:val="00285A9C"/>
    <w:rsid w:val="00285D24"/>
    <w:rsid w:val="00285D9E"/>
    <w:rsid w:val="00285DDD"/>
    <w:rsid w:val="00286079"/>
    <w:rsid w:val="002860C9"/>
    <w:rsid w:val="00286334"/>
    <w:rsid w:val="00286361"/>
    <w:rsid w:val="002864F9"/>
    <w:rsid w:val="00286688"/>
    <w:rsid w:val="00286788"/>
    <w:rsid w:val="00286925"/>
    <w:rsid w:val="00286AD1"/>
    <w:rsid w:val="00286C50"/>
    <w:rsid w:val="00286C9C"/>
    <w:rsid w:val="00286D81"/>
    <w:rsid w:val="00286E29"/>
    <w:rsid w:val="00286E45"/>
    <w:rsid w:val="00286EBE"/>
    <w:rsid w:val="00286F47"/>
    <w:rsid w:val="00286FED"/>
    <w:rsid w:val="00287140"/>
    <w:rsid w:val="00287160"/>
    <w:rsid w:val="002871D9"/>
    <w:rsid w:val="00287481"/>
    <w:rsid w:val="002877B9"/>
    <w:rsid w:val="002878AB"/>
    <w:rsid w:val="002878ED"/>
    <w:rsid w:val="00287B9C"/>
    <w:rsid w:val="00287CC4"/>
    <w:rsid w:val="00287D71"/>
    <w:rsid w:val="00287E96"/>
    <w:rsid w:val="00287FAC"/>
    <w:rsid w:val="0028F603"/>
    <w:rsid w:val="002903CF"/>
    <w:rsid w:val="00290891"/>
    <w:rsid w:val="002909B3"/>
    <w:rsid w:val="00290AE8"/>
    <w:rsid w:val="00290E32"/>
    <w:rsid w:val="00290FD7"/>
    <w:rsid w:val="00291172"/>
    <w:rsid w:val="002911F5"/>
    <w:rsid w:val="0029143E"/>
    <w:rsid w:val="00291607"/>
    <w:rsid w:val="00291789"/>
    <w:rsid w:val="002918E5"/>
    <w:rsid w:val="00291A25"/>
    <w:rsid w:val="00291BD8"/>
    <w:rsid w:val="00291E24"/>
    <w:rsid w:val="00292011"/>
    <w:rsid w:val="002920DB"/>
    <w:rsid w:val="00292180"/>
    <w:rsid w:val="00292278"/>
    <w:rsid w:val="002923F6"/>
    <w:rsid w:val="00292443"/>
    <w:rsid w:val="0029247A"/>
    <w:rsid w:val="00292498"/>
    <w:rsid w:val="002924A0"/>
    <w:rsid w:val="0029277E"/>
    <w:rsid w:val="0029294F"/>
    <w:rsid w:val="0029298C"/>
    <w:rsid w:val="00292B6B"/>
    <w:rsid w:val="00292BD4"/>
    <w:rsid w:val="00292DE1"/>
    <w:rsid w:val="00292E35"/>
    <w:rsid w:val="00292F21"/>
    <w:rsid w:val="00292FF1"/>
    <w:rsid w:val="00293044"/>
    <w:rsid w:val="002931CA"/>
    <w:rsid w:val="0029325B"/>
    <w:rsid w:val="00293282"/>
    <w:rsid w:val="00293481"/>
    <w:rsid w:val="00293597"/>
    <w:rsid w:val="002937AF"/>
    <w:rsid w:val="002939B8"/>
    <w:rsid w:val="00293A6B"/>
    <w:rsid w:val="00293E12"/>
    <w:rsid w:val="00294115"/>
    <w:rsid w:val="00294245"/>
    <w:rsid w:val="00294690"/>
    <w:rsid w:val="00294723"/>
    <w:rsid w:val="00294757"/>
    <w:rsid w:val="00294A64"/>
    <w:rsid w:val="00294C67"/>
    <w:rsid w:val="00294FD1"/>
    <w:rsid w:val="0029513B"/>
    <w:rsid w:val="002951FA"/>
    <w:rsid w:val="002952BA"/>
    <w:rsid w:val="0029535D"/>
    <w:rsid w:val="002953B9"/>
    <w:rsid w:val="00295479"/>
    <w:rsid w:val="00295531"/>
    <w:rsid w:val="00295739"/>
    <w:rsid w:val="002957F4"/>
    <w:rsid w:val="00295BA5"/>
    <w:rsid w:val="00295EB7"/>
    <w:rsid w:val="00296241"/>
    <w:rsid w:val="00296243"/>
    <w:rsid w:val="00296445"/>
    <w:rsid w:val="00296553"/>
    <w:rsid w:val="002965FD"/>
    <w:rsid w:val="00296713"/>
    <w:rsid w:val="00296823"/>
    <w:rsid w:val="002969BF"/>
    <w:rsid w:val="00296BE5"/>
    <w:rsid w:val="00296E29"/>
    <w:rsid w:val="0029722D"/>
    <w:rsid w:val="002972F9"/>
    <w:rsid w:val="0029745D"/>
    <w:rsid w:val="00297550"/>
    <w:rsid w:val="002976B4"/>
    <w:rsid w:val="00297C18"/>
    <w:rsid w:val="00297D6D"/>
    <w:rsid w:val="00297EC6"/>
    <w:rsid w:val="00297EE3"/>
    <w:rsid w:val="00297F00"/>
    <w:rsid w:val="002A028A"/>
    <w:rsid w:val="002A06C5"/>
    <w:rsid w:val="002A071A"/>
    <w:rsid w:val="002A0838"/>
    <w:rsid w:val="002A09B7"/>
    <w:rsid w:val="002A0FC8"/>
    <w:rsid w:val="002A0FCA"/>
    <w:rsid w:val="002A1105"/>
    <w:rsid w:val="002A1370"/>
    <w:rsid w:val="002A143C"/>
    <w:rsid w:val="002A144C"/>
    <w:rsid w:val="002A18B2"/>
    <w:rsid w:val="002A19E7"/>
    <w:rsid w:val="002A1AB5"/>
    <w:rsid w:val="002A1BDB"/>
    <w:rsid w:val="002A1C85"/>
    <w:rsid w:val="002A1EAB"/>
    <w:rsid w:val="002A207D"/>
    <w:rsid w:val="002A219F"/>
    <w:rsid w:val="002A21C4"/>
    <w:rsid w:val="002A2214"/>
    <w:rsid w:val="002A2389"/>
    <w:rsid w:val="002A250B"/>
    <w:rsid w:val="002A2567"/>
    <w:rsid w:val="002A28BA"/>
    <w:rsid w:val="002A28E4"/>
    <w:rsid w:val="002A2996"/>
    <w:rsid w:val="002A2A50"/>
    <w:rsid w:val="002A2AD9"/>
    <w:rsid w:val="002A2C5D"/>
    <w:rsid w:val="002A2D93"/>
    <w:rsid w:val="002A32AE"/>
    <w:rsid w:val="002A342D"/>
    <w:rsid w:val="002A383F"/>
    <w:rsid w:val="002A3A28"/>
    <w:rsid w:val="002A3C7F"/>
    <w:rsid w:val="002A3E3E"/>
    <w:rsid w:val="002A4243"/>
    <w:rsid w:val="002A45C4"/>
    <w:rsid w:val="002A4781"/>
    <w:rsid w:val="002A47F1"/>
    <w:rsid w:val="002A48B6"/>
    <w:rsid w:val="002A495A"/>
    <w:rsid w:val="002A4CED"/>
    <w:rsid w:val="002A4FD5"/>
    <w:rsid w:val="002A5011"/>
    <w:rsid w:val="002A5064"/>
    <w:rsid w:val="002A52C1"/>
    <w:rsid w:val="002A5447"/>
    <w:rsid w:val="002A56C0"/>
    <w:rsid w:val="002A56F2"/>
    <w:rsid w:val="002A5873"/>
    <w:rsid w:val="002A5A0E"/>
    <w:rsid w:val="002A5BC6"/>
    <w:rsid w:val="002A5C1F"/>
    <w:rsid w:val="002A5C76"/>
    <w:rsid w:val="002A5CCA"/>
    <w:rsid w:val="002A5D1D"/>
    <w:rsid w:val="002A6025"/>
    <w:rsid w:val="002A626C"/>
    <w:rsid w:val="002A6779"/>
    <w:rsid w:val="002A6A58"/>
    <w:rsid w:val="002A6A5F"/>
    <w:rsid w:val="002A6A70"/>
    <w:rsid w:val="002A6AF9"/>
    <w:rsid w:val="002A6EDA"/>
    <w:rsid w:val="002A700A"/>
    <w:rsid w:val="002A7012"/>
    <w:rsid w:val="002A72F4"/>
    <w:rsid w:val="002A7385"/>
    <w:rsid w:val="002A7451"/>
    <w:rsid w:val="002A7988"/>
    <w:rsid w:val="002A7A29"/>
    <w:rsid w:val="002A7D57"/>
    <w:rsid w:val="002A7DEC"/>
    <w:rsid w:val="002A7F8C"/>
    <w:rsid w:val="002B0066"/>
    <w:rsid w:val="002B0194"/>
    <w:rsid w:val="002B0232"/>
    <w:rsid w:val="002B02C8"/>
    <w:rsid w:val="002B0515"/>
    <w:rsid w:val="002B06BF"/>
    <w:rsid w:val="002B07F5"/>
    <w:rsid w:val="002B08D5"/>
    <w:rsid w:val="002B092B"/>
    <w:rsid w:val="002B0A14"/>
    <w:rsid w:val="002B0C0D"/>
    <w:rsid w:val="002B0E86"/>
    <w:rsid w:val="002B10EA"/>
    <w:rsid w:val="002B14C3"/>
    <w:rsid w:val="002B15E9"/>
    <w:rsid w:val="002B164B"/>
    <w:rsid w:val="002B1962"/>
    <w:rsid w:val="002B1999"/>
    <w:rsid w:val="002B1ADD"/>
    <w:rsid w:val="002B1CE5"/>
    <w:rsid w:val="002B1D6F"/>
    <w:rsid w:val="002B1E12"/>
    <w:rsid w:val="002B1E9D"/>
    <w:rsid w:val="002B205C"/>
    <w:rsid w:val="002B2084"/>
    <w:rsid w:val="002B20F2"/>
    <w:rsid w:val="002B2213"/>
    <w:rsid w:val="002B2349"/>
    <w:rsid w:val="002B2563"/>
    <w:rsid w:val="002B2627"/>
    <w:rsid w:val="002B269D"/>
    <w:rsid w:val="002B26F9"/>
    <w:rsid w:val="002B278A"/>
    <w:rsid w:val="002B28E3"/>
    <w:rsid w:val="002B2AEB"/>
    <w:rsid w:val="002B2C1C"/>
    <w:rsid w:val="002B2DEA"/>
    <w:rsid w:val="002B2EFB"/>
    <w:rsid w:val="002B2F23"/>
    <w:rsid w:val="002B2F4C"/>
    <w:rsid w:val="002B2F92"/>
    <w:rsid w:val="002B3133"/>
    <w:rsid w:val="002B31BB"/>
    <w:rsid w:val="002B32A0"/>
    <w:rsid w:val="002B3448"/>
    <w:rsid w:val="002B355A"/>
    <w:rsid w:val="002B377C"/>
    <w:rsid w:val="002B380D"/>
    <w:rsid w:val="002B3B63"/>
    <w:rsid w:val="002B3CED"/>
    <w:rsid w:val="002B3CFE"/>
    <w:rsid w:val="002B3DBB"/>
    <w:rsid w:val="002B3F9E"/>
    <w:rsid w:val="002B3FB0"/>
    <w:rsid w:val="002B406C"/>
    <w:rsid w:val="002B4104"/>
    <w:rsid w:val="002B4151"/>
    <w:rsid w:val="002B41FD"/>
    <w:rsid w:val="002B42AE"/>
    <w:rsid w:val="002B436B"/>
    <w:rsid w:val="002B43AA"/>
    <w:rsid w:val="002B4512"/>
    <w:rsid w:val="002B46CD"/>
    <w:rsid w:val="002B489A"/>
    <w:rsid w:val="002B4C36"/>
    <w:rsid w:val="002B5007"/>
    <w:rsid w:val="002B5091"/>
    <w:rsid w:val="002B5170"/>
    <w:rsid w:val="002B5575"/>
    <w:rsid w:val="002B5791"/>
    <w:rsid w:val="002B5983"/>
    <w:rsid w:val="002B5991"/>
    <w:rsid w:val="002B5B31"/>
    <w:rsid w:val="002B5C9B"/>
    <w:rsid w:val="002B5D80"/>
    <w:rsid w:val="002B6104"/>
    <w:rsid w:val="002B61F0"/>
    <w:rsid w:val="002B6234"/>
    <w:rsid w:val="002B62FF"/>
    <w:rsid w:val="002B680E"/>
    <w:rsid w:val="002B68E7"/>
    <w:rsid w:val="002B68FA"/>
    <w:rsid w:val="002B6B54"/>
    <w:rsid w:val="002B6BCF"/>
    <w:rsid w:val="002B6EA4"/>
    <w:rsid w:val="002B6F7D"/>
    <w:rsid w:val="002B707E"/>
    <w:rsid w:val="002B7204"/>
    <w:rsid w:val="002B726C"/>
    <w:rsid w:val="002B7354"/>
    <w:rsid w:val="002B73C9"/>
    <w:rsid w:val="002B7522"/>
    <w:rsid w:val="002B7C17"/>
    <w:rsid w:val="002C011F"/>
    <w:rsid w:val="002C01BD"/>
    <w:rsid w:val="002C0216"/>
    <w:rsid w:val="002C036F"/>
    <w:rsid w:val="002C03A9"/>
    <w:rsid w:val="002C04DB"/>
    <w:rsid w:val="002C063E"/>
    <w:rsid w:val="002C06C3"/>
    <w:rsid w:val="002C07E4"/>
    <w:rsid w:val="002C0B6E"/>
    <w:rsid w:val="002C0BC8"/>
    <w:rsid w:val="002C0C2C"/>
    <w:rsid w:val="002C0D59"/>
    <w:rsid w:val="002C0E36"/>
    <w:rsid w:val="002C0F9A"/>
    <w:rsid w:val="002C1056"/>
    <w:rsid w:val="002C119C"/>
    <w:rsid w:val="002C11D6"/>
    <w:rsid w:val="002C15B9"/>
    <w:rsid w:val="002C173C"/>
    <w:rsid w:val="002C179D"/>
    <w:rsid w:val="002C1897"/>
    <w:rsid w:val="002C1B71"/>
    <w:rsid w:val="002C1C15"/>
    <w:rsid w:val="002C1D28"/>
    <w:rsid w:val="002C1E85"/>
    <w:rsid w:val="002C1EC5"/>
    <w:rsid w:val="002C1F6E"/>
    <w:rsid w:val="002C1F99"/>
    <w:rsid w:val="002C1FC0"/>
    <w:rsid w:val="002C1FF7"/>
    <w:rsid w:val="002C2000"/>
    <w:rsid w:val="002C22FA"/>
    <w:rsid w:val="002C2421"/>
    <w:rsid w:val="002C242D"/>
    <w:rsid w:val="002C24F4"/>
    <w:rsid w:val="002C2519"/>
    <w:rsid w:val="002C2558"/>
    <w:rsid w:val="002C278B"/>
    <w:rsid w:val="002C2A31"/>
    <w:rsid w:val="002C2C18"/>
    <w:rsid w:val="002C2C90"/>
    <w:rsid w:val="002C2DA8"/>
    <w:rsid w:val="002C3008"/>
    <w:rsid w:val="002C326F"/>
    <w:rsid w:val="002C3514"/>
    <w:rsid w:val="002C38B1"/>
    <w:rsid w:val="002C3904"/>
    <w:rsid w:val="002C3949"/>
    <w:rsid w:val="002C3B97"/>
    <w:rsid w:val="002C3C44"/>
    <w:rsid w:val="002C3C58"/>
    <w:rsid w:val="002C3F23"/>
    <w:rsid w:val="002C4014"/>
    <w:rsid w:val="002C407A"/>
    <w:rsid w:val="002C41B9"/>
    <w:rsid w:val="002C4220"/>
    <w:rsid w:val="002C429F"/>
    <w:rsid w:val="002C42A3"/>
    <w:rsid w:val="002C42EE"/>
    <w:rsid w:val="002C4526"/>
    <w:rsid w:val="002C4736"/>
    <w:rsid w:val="002C4BDC"/>
    <w:rsid w:val="002C4D9E"/>
    <w:rsid w:val="002C4EA4"/>
    <w:rsid w:val="002C500F"/>
    <w:rsid w:val="002C5064"/>
    <w:rsid w:val="002C5066"/>
    <w:rsid w:val="002C54C1"/>
    <w:rsid w:val="002C56DA"/>
    <w:rsid w:val="002C5755"/>
    <w:rsid w:val="002C5C7F"/>
    <w:rsid w:val="002C5D56"/>
    <w:rsid w:val="002C5E09"/>
    <w:rsid w:val="002C5EB2"/>
    <w:rsid w:val="002C609A"/>
    <w:rsid w:val="002C6188"/>
    <w:rsid w:val="002C6538"/>
    <w:rsid w:val="002C660B"/>
    <w:rsid w:val="002C6675"/>
    <w:rsid w:val="002C6756"/>
    <w:rsid w:val="002C68C1"/>
    <w:rsid w:val="002C6BBC"/>
    <w:rsid w:val="002C6E03"/>
    <w:rsid w:val="002C6F01"/>
    <w:rsid w:val="002C7100"/>
    <w:rsid w:val="002C713D"/>
    <w:rsid w:val="002C7173"/>
    <w:rsid w:val="002C73DD"/>
    <w:rsid w:val="002C73F4"/>
    <w:rsid w:val="002C7900"/>
    <w:rsid w:val="002C79A0"/>
    <w:rsid w:val="002C7A5F"/>
    <w:rsid w:val="002C7CF5"/>
    <w:rsid w:val="002C7E35"/>
    <w:rsid w:val="002D012B"/>
    <w:rsid w:val="002D0370"/>
    <w:rsid w:val="002D03D5"/>
    <w:rsid w:val="002D041E"/>
    <w:rsid w:val="002D054F"/>
    <w:rsid w:val="002D085D"/>
    <w:rsid w:val="002D090E"/>
    <w:rsid w:val="002D0A10"/>
    <w:rsid w:val="002D0B27"/>
    <w:rsid w:val="002D0BD5"/>
    <w:rsid w:val="002D0C4D"/>
    <w:rsid w:val="002D0EE2"/>
    <w:rsid w:val="002D0F27"/>
    <w:rsid w:val="002D109C"/>
    <w:rsid w:val="002D1197"/>
    <w:rsid w:val="002D122A"/>
    <w:rsid w:val="002D130A"/>
    <w:rsid w:val="002D14B0"/>
    <w:rsid w:val="002D15F0"/>
    <w:rsid w:val="002D18BF"/>
    <w:rsid w:val="002D1B25"/>
    <w:rsid w:val="002D1B7A"/>
    <w:rsid w:val="002D1C51"/>
    <w:rsid w:val="002D1D87"/>
    <w:rsid w:val="002D1DBF"/>
    <w:rsid w:val="002D218B"/>
    <w:rsid w:val="002D21E6"/>
    <w:rsid w:val="002D22C9"/>
    <w:rsid w:val="002D230C"/>
    <w:rsid w:val="002D252F"/>
    <w:rsid w:val="002D2645"/>
    <w:rsid w:val="002D2716"/>
    <w:rsid w:val="002D2915"/>
    <w:rsid w:val="002D2B02"/>
    <w:rsid w:val="002D2DA4"/>
    <w:rsid w:val="002D2F42"/>
    <w:rsid w:val="002D333B"/>
    <w:rsid w:val="002D3364"/>
    <w:rsid w:val="002D3683"/>
    <w:rsid w:val="002D37DA"/>
    <w:rsid w:val="002D38B5"/>
    <w:rsid w:val="002D397E"/>
    <w:rsid w:val="002D3BB1"/>
    <w:rsid w:val="002D41BC"/>
    <w:rsid w:val="002D4479"/>
    <w:rsid w:val="002D44F2"/>
    <w:rsid w:val="002D451F"/>
    <w:rsid w:val="002D4619"/>
    <w:rsid w:val="002D4627"/>
    <w:rsid w:val="002D473E"/>
    <w:rsid w:val="002D4BCF"/>
    <w:rsid w:val="002D4D69"/>
    <w:rsid w:val="002D4D6B"/>
    <w:rsid w:val="002D5176"/>
    <w:rsid w:val="002D5230"/>
    <w:rsid w:val="002D5248"/>
    <w:rsid w:val="002D5270"/>
    <w:rsid w:val="002D53FD"/>
    <w:rsid w:val="002D56EB"/>
    <w:rsid w:val="002D56F1"/>
    <w:rsid w:val="002D592C"/>
    <w:rsid w:val="002D593E"/>
    <w:rsid w:val="002D5B4F"/>
    <w:rsid w:val="002D5D0F"/>
    <w:rsid w:val="002D5FD0"/>
    <w:rsid w:val="002D60BD"/>
    <w:rsid w:val="002D60EE"/>
    <w:rsid w:val="002D62DC"/>
    <w:rsid w:val="002D6314"/>
    <w:rsid w:val="002D6361"/>
    <w:rsid w:val="002D6506"/>
    <w:rsid w:val="002D65E5"/>
    <w:rsid w:val="002D674B"/>
    <w:rsid w:val="002D6A0B"/>
    <w:rsid w:val="002D6A78"/>
    <w:rsid w:val="002D6A90"/>
    <w:rsid w:val="002D6C35"/>
    <w:rsid w:val="002D6C5D"/>
    <w:rsid w:val="002D6DEB"/>
    <w:rsid w:val="002D6E38"/>
    <w:rsid w:val="002D6F34"/>
    <w:rsid w:val="002D7095"/>
    <w:rsid w:val="002D733E"/>
    <w:rsid w:val="002D7590"/>
    <w:rsid w:val="002D7629"/>
    <w:rsid w:val="002D765E"/>
    <w:rsid w:val="002D769B"/>
    <w:rsid w:val="002D77A8"/>
    <w:rsid w:val="002D7999"/>
    <w:rsid w:val="002D79F4"/>
    <w:rsid w:val="002D7A16"/>
    <w:rsid w:val="002D7B1C"/>
    <w:rsid w:val="002D7B9B"/>
    <w:rsid w:val="002D7C7F"/>
    <w:rsid w:val="002D7D68"/>
    <w:rsid w:val="002E0011"/>
    <w:rsid w:val="002E002D"/>
    <w:rsid w:val="002E0247"/>
    <w:rsid w:val="002E047D"/>
    <w:rsid w:val="002E0A86"/>
    <w:rsid w:val="002E0C98"/>
    <w:rsid w:val="002E1261"/>
    <w:rsid w:val="002E1653"/>
    <w:rsid w:val="002E1660"/>
    <w:rsid w:val="002E1730"/>
    <w:rsid w:val="002E1916"/>
    <w:rsid w:val="002E19E3"/>
    <w:rsid w:val="002E1C26"/>
    <w:rsid w:val="002E1DA0"/>
    <w:rsid w:val="002E1EE8"/>
    <w:rsid w:val="002E2009"/>
    <w:rsid w:val="002E21B2"/>
    <w:rsid w:val="002E2379"/>
    <w:rsid w:val="002E2405"/>
    <w:rsid w:val="002E2601"/>
    <w:rsid w:val="002E26EA"/>
    <w:rsid w:val="002E2955"/>
    <w:rsid w:val="002E2959"/>
    <w:rsid w:val="002E2FA3"/>
    <w:rsid w:val="002E3226"/>
    <w:rsid w:val="002E3261"/>
    <w:rsid w:val="002E336C"/>
    <w:rsid w:val="002E340E"/>
    <w:rsid w:val="002E379B"/>
    <w:rsid w:val="002E386E"/>
    <w:rsid w:val="002E3A0E"/>
    <w:rsid w:val="002E3AF5"/>
    <w:rsid w:val="002E3C57"/>
    <w:rsid w:val="002E3F3A"/>
    <w:rsid w:val="002E3F7B"/>
    <w:rsid w:val="002E4069"/>
    <w:rsid w:val="002E4277"/>
    <w:rsid w:val="002E469A"/>
    <w:rsid w:val="002E47E8"/>
    <w:rsid w:val="002E48DD"/>
    <w:rsid w:val="002E4CFB"/>
    <w:rsid w:val="002E4D77"/>
    <w:rsid w:val="002E4D81"/>
    <w:rsid w:val="002E4DA0"/>
    <w:rsid w:val="002E4F5A"/>
    <w:rsid w:val="002E51D0"/>
    <w:rsid w:val="002E528E"/>
    <w:rsid w:val="002E52E6"/>
    <w:rsid w:val="002E5584"/>
    <w:rsid w:val="002E55F0"/>
    <w:rsid w:val="002E5641"/>
    <w:rsid w:val="002E5803"/>
    <w:rsid w:val="002E5D5C"/>
    <w:rsid w:val="002E5DBB"/>
    <w:rsid w:val="002E5F4C"/>
    <w:rsid w:val="002E6067"/>
    <w:rsid w:val="002E6171"/>
    <w:rsid w:val="002E62C3"/>
    <w:rsid w:val="002E630E"/>
    <w:rsid w:val="002E65E4"/>
    <w:rsid w:val="002E66DA"/>
    <w:rsid w:val="002E679F"/>
    <w:rsid w:val="002E67A2"/>
    <w:rsid w:val="002E6983"/>
    <w:rsid w:val="002E6A85"/>
    <w:rsid w:val="002E6BDD"/>
    <w:rsid w:val="002E6C96"/>
    <w:rsid w:val="002E6DB1"/>
    <w:rsid w:val="002E7059"/>
    <w:rsid w:val="002E7088"/>
    <w:rsid w:val="002E7277"/>
    <w:rsid w:val="002E742E"/>
    <w:rsid w:val="002E74A1"/>
    <w:rsid w:val="002E74BB"/>
    <w:rsid w:val="002E7538"/>
    <w:rsid w:val="002E79A1"/>
    <w:rsid w:val="002E79D3"/>
    <w:rsid w:val="002E7DFB"/>
    <w:rsid w:val="002E7ED2"/>
    <w:rsid w:val="002F0087"/>
    <w:rsid w:val="002F017E"/>
    <w:rsid w:val="002F021F"/>
    <w:rsid w:val="002F0240"/>
    <w:rsid w:val="002F026B"/>
    <w:rsid w:val="002F0315"/>
    <w:rsid w:val="002F0567"/>
    <w:rsid w:val="002F05D5"/>
    <w:rsid w:val="002F06FB"/>
    <w:rsid w:val="002F083E"/>
    <w:rsid w:val="002F0860"/>
    <w:rsid w:val="002F08BB"/>
    <w:rsid w:val="002F08C6"/>
    <w:rsid w:val="002F0AFA"/>
    <w:rsid w:val="002F0BDB"/>
    <w:rsid w:val="002F0CE9"/>
    <w:rsid w:val="002F0E99"/>
    <w:rsid w:val="002F0ED4"/>
    <w:rsid w:val="002F1208"/>
    <w:rsid w:val="002F1213"/>
    <w:rsid w:val="002F1399"/>
    <w:rsid w:val="002F13B5"/>
    <w:rsid w:val="002F141E"/>
    <w:rsid w:val="002F156C"/>
    <w:rsid w:val="002F1647"/>
    <w:rsid w:val="002F166D"/>
    <w:rsid w:val="002F16E6"/>
    <w:rsid w:val="002F183A"/>
    <w:rsid w:val="002F1844"/>
    <w:rsid w:val="002F1ADE"/>
    <w:rsid w:val="002F1B48"/>
    <w:rsid w:val="002F1CD5"/>
    <w:rsid w:val="002F1D04"/>
    <w:rsid w:val="002F1E96"/>
    <w:rsid w:val="002F1FD6"/>
    <w:rsid w:val="002F21EA"/>
    <w:rsid w:val="002F2385"/>
    <w:rsid w:val="002F25D1"/>
    <w:rsid w:val="002F2629"/>
    <w:rsid w:val="002F27D9"/>
    <w:rsid w:val="002F29DB"/>
    <w:rsid w:val="002F29FA"/>
    <w:rsid w:val="002F2A2D"/>
    <w:rsid w:val="002F2D34"/>
    <w:rsid w:val="002F2ED6"/>
    <w:rsid w:val="002F2ED7"/>
    <w:rsid w:val="002F3032"/>
    <w:rsid w:val="002F311D"/>
    <w:rsid w:val="002F346A"/>
    <w:rsid w:val="002F3473"/>
    <w:rsid w:val="002F3543"/>
    <w:rsid w:val="002F37EE"/>
    <w:rsid w:val="002F37FB"/>
    <w:rsid w:val="002F387B"/>
    <w:rsid w:val="002F38C8"/>
    <w:rsid w:val="002F3E34"/>
    <w:rsid w:val="002F3F89"/>
    <w:rsid w:val="002F4176"/>
    <w:rsid w:val="002F4578"/>
    <w:rsid w:val="002F4593"/>
    <w:rsid w:val="002F46E4"/>
    <w:rsid w:val="002F4904"/>
    <w:rsid w:val="002F4937"/>
    <w:rsid w:val="002F4A03"/>
    <w:rsid w:val="002F4BB8"/>
    <w:rsid w:val="002F4DB3"/>
    <w:rsid w:val="002F4E91"/>
    <w:rsid w:val="002F4F09"/>
    <w:rsid w:val="002F4FEB"/>
    <w:rsid w:val="002F51DF"/>
    <w:rsid w:val="002F51FD"/>
    <w:rsid w:val="002F5434"/>
    <w:rsid w:val="002F55C4"/>
    <w:rsid w:val="002F5615"/>
    <w:rsid w:val="002F5627"/>
    <w:rsid w:val="002F565C"/>
    <w:rsid w:val="002F577F"/>
    <w:rsid w:val="002F57B0"/>
    <w:rsid w:val="002F5B77"/>
    <w:rsid w:val="002F61B5"/>
    <w:rsid w:val="002F64D1"/>
    <w:rsid w:val="002F6527"/>
    <w:rsid w:val="002F6538"/>
    <w:rsid w:val="002F66E6"/>
    <w:rsid w:val="002F685F"/>
    <w:rsid w:val="002F697D"/>
    <w:rsid w:val="002F6C81"/>
    <w:rsid w:val="002F6CA4"/>
    <w:rsid w:val="002F6D36"/>
    <w:rsid w:val="002F6D61"/>
    <w:rsid w:val="002F6EDE"/>
    <w:rsid w:val="002F6F84"/>
    <w:rsid w:val="002F6FE4"/>
    <w:rsid w:val="002F754E"/>
    <w:rsid w:val="002F7638"/>
    <w:rsid w:val="002F767D"/>
    <w:rsid w:val="002F7859"/>
    <w:rsid w:val="002F7919"/>
    <w:rsid w:val="002F79B3"/>
    <w:rsid w:val="002F7A0D"/>
    <w:rsid w:val="002F7B90"/>
    <w:rsid w:val="002F7CBA"/>
    <w:rsid w:val="002F7DDB"/>
    <w:rsid w:val="002F7E54"/>
    <w:rsid w:val="002F7F3A"/>
    <w:rsid w:val="002F7FBA"/>
    <w:rsid w:val="0030038B"/>
    <w:rsid w:val="0030042E"/>
    <w:rsid w:val="00300457"/>
    <w:rsid w:val="0030045F"/>
    <w:rsid w:val="003005D7"/>
    <w:rsid w:val="00300A51"/>
    <w:rsid w:val="00300B2E"/>
    <w:rsid w:val="00300C22"/>
    <w:rsid w:val="00300CB0"/>
    <w:rsid w:val="00300EB1"/>
    <w:rsid w:val="00300EE4"/>
    <w:rsid w:val="003010EB"/>
    <w:rsid w:val="0030118F"/>
    <w:rsid w:val="00301245"/>
    <w:rsid w:val="00301452"/>
    <w:rsid w:val="003014B5"/>
    <w:rsid w:val="0030150E"/>
    <w:rsid w:val="00301550"/>
    <w:rsid w:val="00301565"/>
    <w:rsid w:val="003015BF"/>
    <w:rsid w:val="003015FC"/>
    <w:rsid w:val="003017F7"/>
    <w:rsid w:val="003018B8"/>
    <w:rsid w:val="00301C23"/>
    <w:rsid w:val="00301D41"/>
    <w:rsid w:val="00301D4B"/>
    <w:rsid w:val="00301FB0"/>
    <w:rsid w:val="003020E9"/>
    <w:rsid w:val="003024DE"/>
    <w:rsid w:val="0030256C"/>
    <w:rsid w:val="0030263F"/>
    <w:rsid w:val="003026AF"/>
    <w:rsid w:val="003027B4"/>
    <w:rsid w:val="00302B95"/>
    <w:rsid w:val="00302C86"/>
    <w:rsid w:val="00302CF4"/>
    <w:rsid w:val="00302DE4"/>
    <w:rsid w:val="00302E3D"/>
    <w:rsid w:val="00302FC6"/>
    <w:rsid w:val="00302FD6"/>
    <w:rsid w:val="00303012"/>
    <w:rsid w:val="003030D8"/>
    <w:rsid w:val="003031D2"/>
    <w:rsid w:val="003034F6"/>
    <w:rsid w:val="003035B8"/>
    <w:rsid w:val="0030362D"/>
    <w:rsid w:val="00303680"/>
    <w:rsid w:val="003036AC"/>
    <w:rsid w:val="0030381A"/>
    <w:rsid w:val="00303ADB"/>
    <w:rsid w:val="00303B6F"/>
    <w:rsid w:val="00303BD8"/>
    <w:rsid w:val="00304429"/>
    <w:rsid w:val="003044CE"/>
    <w:rsid w:val="003046F6"/>
    <w:rsid w:val="00304854"/>
    <w:rsid w:val="003048B1"/>
    <w:rsid w:val="003049C5"/>
    <w:rsid w:val="00304C99"/>
    <w:rsid w:val="00304FFF"/>
    <w:rsid w:val="0030509E"/>
    <w:rsid w:val="003055A6"/>
    <w:rsid w:val="0030575B"/>
    <w:rsid w:val="0030575D"/>
    <w:rsid w:val="003059BB"/>
    <w:rsid w:val="00305BA4"/>
    <w:rsid w:val="00305EF2"/>
    <w:rsid w:val="00305F11"/>
    <w:rsid w:val="00305F8A"/>
    <w:rsid w:val="003061D2"/>
    <w:rsid w:val="003063BC"/>
    <w:rsid w:val="00306481"/>
    <w:rsid w:val="00306571"/>
    <w:rsid w:val="003065F9"/>
    <w:rsid w:val="003066B5"/>
    <w:rsid w:val="003069D4"/>
    <w:rsid w:val="003069E7"/>
    <w:rsid w:val="00306B8D"/>
    <w:rsid w:val="00306BEF"/>
    <w:rsid w:val="00306D6B"/>
    <w:rsid w:val="00306EFF"/>
    <w:rsid w:val="00306F62"/>
    <w:rsid w:val="00306F67"/>
    <w:rsid w:val="00306F99"/>
    <w:rsid w:val="003071D2"/>
    <w:rsid w:val="003071D9"/>
    <w:rsid w:val="0030721F"/>
    <w:rsid w:val="0030736E"/>
    <w:rsid w:val="003074CF"/>
    <w:rsid w:val="003078B8"/>
    <w:rsid w:val="00307A33"/>
    <w:rsid w:val="00307A79"/>
    <w:rsid w:val="00307AAB"/>
    <w:rsid w:val="00307AAF"/>
    <w:rsid w:val="00307B0F"/>
    <w:rsid w:val="00307C14"/>
    <w:rsid w:val="00307D54"/>
    <w:rsid w:val="00307E06"/>
    <w:rsid w:val="00307F08"/>
    <w:rsid w:val="00307F26"/>
    <w:rsid w:val="00307FC8"/>
    <w:rsid w:val="003100E4"/>
    <w:rsid w:val="00310118"/>
    <w:rsid w:val="0031021E"/>
    <w:rsid w:val="0031043A"/>
    <w:rsid w:val="003105AB"/>
    <w:rsid w:val="00310843"/>
    <w:rsid w:val="00310860"/>
    <w:rsid w:val="003109C0"/>
    <w:rsid w:val="00310AF9"/>
    <w:rsid w:val="00310C0D"/>
    <w:rsid w:val="00310C8E"/>
    <w:rsid w:val="00310F11"/>
    <w:rsid w:val="00311056"/>
    <w:rsid w:val="00311176"/>
    <w:rsid w:val="0031128B"/>
    <w:rsid w:val="00311388"/>
    <w:rsid w:val="003115F0"/>
    <w:rsid w:val="003119B3"/>
    <w:rsid w:val="00311A5D"/>
    <w:rsid w:val="00311EC2"/>
    <w:rsid w:val="00311FAE"/>
    <w:rsid w:val="00311FDC"/>
    <w:rsid w:val="003123AE"/>
    <w:rsid w:val="003123DF"/>
    <w:rsid w:val="003124CE"/>
    <w:rsid w:val="00312544"/>
    <w:rsid w:val="00312554"/>
    <w:rsid w:val="0031276D"/>
    <w:rsid w:val="00312BBC"/>
    <w:rsid w:val="00312C12"/>
    <w:rsid w:val="00312CB4"/>
    <w:rsid w:val="00312D45"/>
    <w:rsid w:val="00312E65"/>
    <w:rsid w:val="00312EF2"/>
    <w:rsid w:val="0031310C"/>
    <w:rsid w:val="0031311D"/>
    <w:rsid w:val="00313259"/>
    <w:rsid w:val="003132B4"/>
    <w:rsid w:val="003134B6"/>
    <w:rsid w:val="0031378A"/>
    <w:rsid w:val="0031391A"/>
    <w:rsid w:val="0031397C"/>
    <w:rsid w:val="00313C5B"/>
    <w:rsid w:val="00313EDC"/>
    <w:rsid w:val="00313FF4"/>
    <w:rsid w:val="00314140"/>
    <w:rsid w:val="00314151"/>
    <w:rsid w:val="0031419F"/>
    <w:rsid w:val="003141C2"/>
    <w:rsid w:val="003141CA"/>
    <w:rsid w:val="00314342"/>
    <w:rsid w:val="00314419"/>
    <w:rsid w:val="003144D7"/>
    <w:rsid w:val="00314501"/>
    <w:rsid w:val="003145FF"/>
    <w:rsid w:val="00314664"/>
    <w:rsid w:val="003147E3"/>
    <w:rsid w:val="00314A0C"/>
    <w:rsid w:val="00314B56"/>
    <w:rsid w:val="00314C0E"/>
    <w:rsid w:val="00314EB2"/>
    <w:rsid w:val="00314F42"/>
    <w:rsid w:val="0031544B"/>
    <w:rsid w:val="003158D2"/>
    <w:rsid w:val="00315AF6"/>
    <w:rsid w:val="00315B1D"/>
    <w:rsid w:val="00315B54"/>
    <w:rsid w:val="00315C62"/>
    <w:rsid w:val="00315EED"/>
    <w:rsid w:val="00315F53"/>
    <w:rsid w:val="003161BF"/>
    <w:rsid w:val="003162A4"/>
    <w:rsid w:val="00316331"/>
    <w:rsid w:val="00316372"/>
    <w:rsid w:val="003163BC"/>
    <w:rsid w:val="00316472"/>
    <w:rsid w:val="003165AC"/>
    <w:rsid w:val="003165F1"/>
    <w:rsid w:val="003166DA"/>
    <w:rsid w:val="00316767"/>
    <w:rsid w:val="003167DF"/>
    <w:rsid w:val="00316923"/>
    <w:rsid w:val="00316964"/>
    <w:rsid w:val="003169A6"/>
    <w:rsid w:val="00316ADA"/>
    <w:rsid w:val="00316C19"/>
    <w:rsid w:val="00316F14"/>
    <w:rsid w:val="003171DC"/>
    <w:rsid w:val="003171E6"/>
    <w:rsid w:val="003172AA"/>
    <w:rsid w:val="003172DA"/>
    <w:rsid w:val="00317304"/>
    <w:rsid w:val="00317362"/>
    <w:rsid w:val="003173F9"/>
    <w:rsid w:val="003173FB"/>
    <w:rsid w:val="0031743F"/>
    <w:rsid w:val="00317628"/>
    <w:rsid w:val="00317643"/>
    <w:rsid w:val="003177EB"/>
    <w:rsid w:val="003178AD"/>
    <w:rsid w:val="003178CE"/>
    <w:rsid w:val="00317B1A"/>
    <w:rsid w:val="00317DB4"/>
    <w:rsid w:val="00317F68"/>
    <w:rsid w:val="00320174"/>
    <w:rsid w:val="00320246"/>
    <w:rsid w:val="003202B6"/>
    <w:rsid w:val="0032033F"/>
    <w:rsid w:val="00320382"/>
    <w:rsid w:val="003203DC"/>
    <w:rsid w:val="0032054A"/>
    <w:rsid w:val="0032059F"/>
    <w:rsid w:val="00320839"/>
    <w:rsid w:val="003208F0"/>
    <w:rsid w:val="00320902"/>
    <w:rsid w:val="00320936"/>
    <w:rsid w:val="00320A6B"/>
    <w:rsid w:val="00320BA4"/>
    <w:rsid w:val="00320D4B"/>
    <w:rsid w:val="00320E5F"/>
    <w:rsid w:val="00320F2E"/>
    <w:rsid w:val="00320F42"/>
    <w:rsid w:val="003211C2"/>
    <w:rsid w:val="003214AD"/>
    <w:rsid w:val="00321623"/>
    <w:rsid w:val="00321702"/>
    <w:rsid w:val="003219E5"/>
    <w:rsid w:val="003219E8"/>
    <w:rsid w:val="00321A6E"/>
    <w:rsid w:val="00321ADD"/>
    <w:rsid w:val="00321DFF"/>
    <w:rsid w:val="00322029"/>
    <w:rsid w:val="0032209D"/>
    <w:rsid w:val="003220F0"/>
    <w:rsid w:val="00322346"/>
    <w:rsid w:val="003225CD"/>
    <w:rsid w:val="00322980"/>
    <w:rsid w:val="00322AD7"/>
    <w:rsid w:val="00322B2A"/>
    <w:rsid w:val="00322D71"/>
    <w:rsid w:val="00322DAB"/>
    <w:rsid w:val="00322FE8"/>
    <w:rsid w:val="003230D3"/>
    <w:rsid w:val="003232BA"/>
    <w:rsid w:val="0032333C"/>
    <w:rsid w:val="00323344"/>
    <w:rsid w:val="003234C6"/>
    <w:rsid w:val="003236C4"/>
    <w:rsid w:val="00323726"/>
    <w:rsid w:val="0032397C"/>
    <w:rsid w:val="00323A2E"/>
    <w:rsid w:val="00323BBF"/>
    <w:rsid w:val="00323D05"/>
    <w:rsid w:val="00323D44"/>
    <w:rsid w:val="00323F1F"/>
    <w:rsid w:val="003240B1"/>
    <w:rsid w:val="003240FE"/>
    <w:rsid w:val="00324135"/>
    <w:rsid w:val="003243D1"/>
    <w:rsid w:val="00324502"/>
    <w:rsid w:val="00324546"/>
    <w:rsid w:val="003245AC"/>
    <w:rsid w:val="00324856"/>
    <w:rsid w:val="00324B88"/>
    <w:rsid w:val="00324D7F"/>
    <w:rsid w:val="00324E51"/>
    <w:rsid w:val="00325222"/>
    <w:rsid w:val="00325425"/>
    <w:rsid w:val="00325617"/>
    <w:rsid w:val="0032590D"/>
    <w:rsid w:val="00325A24"/>
    <w:rsid w:val="00325B0A"/>
    <w:rsid w:val="00325F5C"/>
    <w:rsid w:val="00326206"/>
    <w:rsid w:val="0032629A"/>
    <w:rsid w:val="003262BE"/>
    <w:rsid w:val="003263CE"/>
    <w:rsid w:val="00326400"/>
    <w:rsid w:val="00326452"/>
    <w:rsid w:val="003265F5"/>
    <w:rsid w:val="0032676D"/>
    <w:rsid w:val="00326B1D"/>
    <w:rsid w:val="00326B37"/>
    <w:rsid w:val="00326DBC"/>
    <w:rsid w:val="00326F9F"/>
    <w:rsid w:val="00327354"/>
    <w:rsid w:val="003275E0"/>
    <w:rsid w:val="003275EC"/>
    <w:rsid w:val="00327604"/>
    <w:rsid w:val="00327807"/>
    <w:rsid w:val="003278BE"/>
    <w:rsid w:val="00327959"/>
    <w:rsid w:val="00327A35"/>
    <w:rsid w:val="00327B65"/>
    <w:rsid w:val="00327CE7"/>
    <w:rsid w:val="00327DB8"/>
    <w:rsid w:val="003301AF"/>
    <w:rsid w:val="00330393"/>
    <w:rsid w:val="003303CA"/>
    <w:rsid w:val="0033052B"/>
    <w:rsid w:val="0033054F"/>
    <w:rsid w:val="003306AB"/>
    <w:rsid w:val="0033073B"/>
    <w:rsid w:val="003309B6"/>
    <w:rsid w:val="003309F6"/>
    <w:rsid w:val="00330A3C"/>
    <w:rsid w:val="00330C97"/>
    <w:rsid w:val="00330F9A"/>
    <w:rsid w:val="0033103E"/>
    <w:rsid w:val="0033109A"/>
    <w:rsid w:val="003312F1"/>
    <w:rsid w:val="00331365"/>
    <w:rsid w:val="00331447"/>
    <w:rsid w:val="00331669"/>
    <w:rsid w:val="003316DF"/>
    <w:rsid w:val="00331842"/>
    <w:rsid w:val="0033194E"/>
    <w:rsid w:val="00331C1A"/>
    <w:rsid w:val="00331DCB"/>
    <w:rsid w:val="00331DD3"/>
    <w:rsid w:val="00331E9A"/>
    <w:rsid w:val="00331EC2"/>
    <w:rsid w:val="00331ED0"/>
    <w:rsid w:val="00331F05"/>
    <w:rsid w:val="00331F57"/>
    <w:rsid w:val="0033253F"/>
    <w:rsid w:val="0033276D"/>
    <w:rsid w:val="00332813"/>
    <w:rsid w:val="00332934"/>
    <w:rsid w:val="003329D3"/>
    <w:rsid w:val="00332A32"/>
    <w:rsid w:val="00332B8B"/>
    <w:rsid w:val="00332D1E"/>
    <w:rsid w:val="00332D2C"/>
    <w:rsid w:val="00332F9F"/>
    <w:rsid w:val="00333019"/>
    <w:rsid w:val="00333065"/>
    <w:rsid w:val="0033325F"/>
    <w:rsid w:val="003332A4"/>
    <w:rsid w:val="003332D8"/>
    <w:rsid w:val="00333588"/>
    <w:rsid w:val="00333723"/>
    <w:rsid w:val="00333754"/>
    <w:rsid w:val="00333908"/>
    <w:rsid w:val="00333A5E"/>
    <w:rsid w:val="00333AAA"/>
    <w:rsid w:val="00333B41"/>
    <w:rsid w:val="00333D32"/>
    <w:rsid w:val="00333DF3"/>
    <w:rsid w:val="00333E03"/>
    <w:rsid w:val="00334102"/>
    <w:rsid w:val="00334251"/>
    <w:rsid w:val="003344A4"/>
    <w:rsid w:val="0033487A"/>
    <w:rsid w:val="003349AC"/>
    <w:rsid w:val="00334A24"/>
    <w:rsid w:val="00334AA3"/>
    <w:rsid w:val="00334B24"/>
    <w:rsid w:val="00334DEB"/>
    <w:rsid w:val="00334E20"/>
    <w:rsid w:val="00334ED5"/>
    <w:rsid w:val="00334F73"/>
    <w:rsid w:val="0033507E"/>
    <w:rsid w:val="0033519D"/>
    <w:rsid w:val="003351A1"/>
    <w:rsid w:val="00335239"/>
    <w:rsid w:val="00335248"/>
    <w:rsid w:val="00335505"/>
    <w:rsid w:val="00335535"/>
    <w:rsid w:val="00335A0A"/>
    <w:rsid w:val="00335A92"/>
    <w:rsid w:val="00335B0C"/>
    <w:rsid w:val="00335CA7"/>
    <w:rsid w:val="00335D02"/>
    <w:rsid w:val="00335D54"/>
    <w:rsid w:val="003361D9"/>
    <w:rsid w:val="0033631E"/>
    <w:rsid w:val="003363ED"/>
    <w:rsid w:val="003366DB"/>
    <w:rsid w:val="00336788"/>
    <w:rsid w:val="00336A09"/>
    <w:rsid w:val="00336BAF"/>
    <w:rsid w:val="00336CB9"/>
    <w:rsid w:val="00336D51"/>
    <w:rsid w:val="003370D2"/>
    <w:rsid w:val="0033715C"/>
    <w:rsid w:val="00337309"/>
    <w:rsid w:val="00337348"/>
    <w:rsid w:val="0033774D"/>
    <w:rsid w:val="00337883"/>
    <w:rsid w:val="00337ABB"/>
    <w:rsid w:val="00337C19"/>
    <w:rsid w:val="00337D19"/>
    <w:rsid w:val="00337D5E"/>
    <w:rsid w:val="00337D94"/>
    <w:rsid w:val="00337F87"/>
    <w:rsid w:val="0034011E"/>
    <w:rsid w:val="003401C3"/>
    <w:rsid w:val="003401CE"/>
    <w:rsid w:val="003401DD"/>
    <w:rsid w:val="0034023E"/>
    <w:rsid w:val="003402B9"/>
    <w:rsid w:val="00340409"/>
    <w:rsid w:val="00340420"/>
    <w:rsid w:val="003408E4"/>
    <w:rsid w:val="003409C6"/>
    <w:rsid w:val="00340BE6"/>
    <w:rsid w:val="00340D02"/>
    <w:rsid w:val="00340FE8"/>
    <w:rsid w:val="003410D7"/>
    <w:rsid w:val="0034123A"/>
    <w:rsid w:val="003415D7"/>
    <w:rsid w:val="00341620"/>
    <w:rsid w:val="0034180F"/>
    <w:rsid w:val="00341BBB"/>
    <w:rsid w:val="00341DAC"/>
    <w:rsid w:val="00341E4D"/>
    <w:rsid w:val="0034209B"/>
    <w:rsid w:val="0034242B"/>
    <w:rsid w:val="003426C1"/>
    <w:rsid w:val="003428B9"/>
    <w:rsid w:val="00342B1C"/>
    <w:rsid w:val="00342B58"/>
    <w:rsid w:val="00342C3B"/>
    <w:rsid w:val="00342D07"/>
    <w:rsid w:val="00342EBC"/>
    <w:rsid w:val="00342EE0"/>
    <w:rsid w:val="00342FD6"/>
    <w:rsid w:val="0034312C"/>
    <w:rsid w:val="0034316F"/>
    <w:rsid w:val="003433F2"/>
    <w:rsid w:val="0034366A"/>
    <w:rsid w:val="00343831"/>
    <w:rsid w:val="003438BD"/>
    <w:rsid w:val="003438E8"/>
    <w:rsid w:val="00343A91"/>
    <w:rsid w:val="00343BB3"/>
    <w:rsid w:val="003440D1"/>
    <w:rsid w:val="003442B4"/>
    <w:rsid w:val="00344549"/>
    <w:rsid w:val="00344844"/>
    <w:rsid w:val="00344EFD"/>
    <w:rsid w:val="0034511B"/>
    <w:rsid w:val="00345143"/>
    <w:rsid w:val="003451C5"/>
    <w:rsid w:val="00345367"/>
    <w:rsid w:val="00345400"/>
    <w:rsid w:val="00345409"/>
    <w:rsid w:val="00345584"/>
    <w:rsid w:val="003455EF"/>
    <w:rsid w:val="003456BA"/>
    <w:rsid w:val="00345793"/>
    <w:rsid w:val="00345812"/>
    <w:rsid w:val="00345990"/>
    <w:rsid w:val="00345B9C"/>
    <w:rsid w:val="00345C38"/>
    <w:rsid w:val="00345F4A"/>
    <w:rsid w:val="00345FB8"/>
    <w:rsid w:val="00345FC8"/>
    <w:rsid w:val="00346087"/>
    <w:rsid w:val="00346149"/>
    <w:rsid w:val="003461F2"/>
    <w:rsid w:val="003468A6"/>
    <w:rsid w:val="0034697E"/>
    <w:rsid w:val="003469E0"/>
    <w:rsid w:val="00346A4F"/>
    <w:rsid w:val="00346A57"/>
    <w:rsid w:val="00346A61"/>
    <w:rsid w:val="00346E9A"/>
    <w:rsid w:val="00347020"/>
    <w:rsid w:val="00347022"/>
    <w:rsid w:val="0034756F"/>
    <w:rsid w:val="0034761B"/>
    <w:rsid w:val="00347748"/>
    <w:rsid w:val="00347A03"/>
    <w:rsid w:val="0035003E"/>
    <w:rsid w:val="00350205"/>
    <w:rsid w:val="00350300"/>
    <w:rsid w:val="003505EE"/>
    <w:rsid w:val="003507DB"/>
    <w:rsid w:val="0035080B"/>
    <w:rsid w:val="003509C3"/>
    <w:rsid w:val="00350BC7"/>
    <w:rsid w:val="00350FFA"/>
    <w:rsid w:val="003510D6"/>
    <w:rsid w:val="003511BA"/>
    <w:rsid w:val="00351225"/>
    <w:rsid w:val="0035122D"/>
    <w:rsid w:val="0035144D"/>
    <w:rsid w:val="003516AD"/>
    <w:rsid w:val="003516D2"/>
    <w:rsid w:val="003516DB"/>
    <w:rsid w:val="0035190C"/>
    <w:rsid w:val="0035197B"/>
    <w:rsid w:val="00351BD7"/>
    <w:rsid w:val="00351CDA"/>
    <w:rsid w:val="00351D69"/>
    <w:rsid w:val="00351D87"/>
    <w:rsid w:val="003520A1"/>
    <w:rsid w:val="003522E8"/>
    <w:rsid w:val="00352498"/>
    <w:rsid w:val="00352604"/>
    <w:rsid w:val="0035271F"/>
    <w:rsid w:val="00352822"/>
    <w:rsid w:val="003528F8"/>
    <w:rsid w:val="003529A7"/>
    <w:rsid w:val="00352A3D"/>
    <w:rsid w:val="00352D8D"/>
    <w:rsid w:val="00353231"/>
    <w:rsid w:val="00353408"/>
    <w:rsid w:val="0035358F"/>
    <w:rsid w:val="003535C4"/>
    <w:rsid w:val="00353646"/>
    <w:rsid w:val="003536C9"/>
    <w:rsid w:val="00353749"/>
    <w:rsid w:val="003537A8"/>
    <w:rsid w:val="0035383A"/>
    <w:rsid w:val="003538FA"/>
    <w:rsid w:val="00353C42"/>
    <w:rsid w:val="003540D0"/>
    <w:rsid w:val="003540FA"/>
    <w:rsid w:val="00354107"/>
    <w:rsid w:val="0035417B"/>
    <w:rsid w:val="00354217"/>
    <w:rsid w:val="003544AA"/>
    <w:rsid w:val="003545FE"/>
    <w:rsid w:val="003548C0"/>
    <w:rsid w:val="00354AF7"/>
    <w:rsid w:val="00354DEA"/>
    <w:rsid w:val="00354EB2"/>
    <w:rsid w:val="00354F3C"/>
    <w:rsid w:val="00355004"/>
    <w:rsid w:val="003551DA"/>
    <w:rsid w:val="00355459"/>
    <w:rsid w:val="003554A3"/>
    <w:rsid w:val="003554C1"/>
    <w:rsid w:val="003557EA"/>
    <w:rsid w:val="0035599B"/>
    <w:rsid w:val="00355AA4"/>
    <w:rsid w:val="00355AE2"/>
    <w:rsid w:val="00355B92"/>
    <w:rsid w:val="00355BB7"/>
    <w:rsid w:val="00355BC7"/>
    <w:rsid w:val="003560DD"/>
    <w:rsid w:val="00356200"/>
    <w:rsid w:val="00356353"/>
    <w:rsid w:val="003563A2"/>
    <w:rsid w:val="003565C0"/>
    <w:rsid w:val="003567BE"/>
    <w:rsid w:val="00356963"/>
    <w:rsid w:val="00356A4B"/>
    <w:rsid w:val="00356A83"/>
    <w:rsid w:val="00356B4F"/>
    <w:rsid w:val="00356BAD"/>
    <w:rsid w:val="00356C1C"/>
    <w:rsid w:val="00356DC2"/>
    <w:rsid w:val="00356E88"/>
    <w:rsid w:val="00356E8D"/>
    <w:rsid w:val="00357211"/>
    <w:rsid w:val="003575D1"/>
    <w:rsid w:val="00357654"/>
    <w:rsid w:val="00357A30"/>
    <w:rsid w:val="00357A56"/>
    <w:rsid w:val="00357CC4"/>
    <w:rsid w:val="00357FCC"/>
    <w:rsid w:val="00360060"/>
    <w:rsid w:val="00360130"/>
    <w:rsid w:val="003601FE"/>
    <w:rsid w:val="0036023C"/>
    <w:rsid w:val="0036035E"/>
    <w:rsid w:val="00360495"/>
    <w:rsid w:val="003607C7"/>
    <w:rsid w:val="00360D4D"/>
    <w:rsid w:val="00360EA6"/>
    <w:rsid w:val="00361193"/>
    <w:rsid w:val="003611BD"/>
    <w:rsid w:val="003615BC"/>
    <w:rsid w:val="003617C2"/>
    <w:rsid w:val="003617F9"/>
    <w:rsid w:val="003618B9"/>
    <w:rsid w:val="00361A28"/>
    <w:rsid w:val="00361CF1"/>
    <w:rsid w:val="0036224F"/>
    <w:rsid w:val="003622FA"/>
    <w:rsid w:val="00362330"/>
    <w:rsid w:val="0036237E"/>
    <w:rsid w:val="00362381"/>
    <w:rsid w:val="003624DE"/>
    <w:rsid w:val="003624FE"/>
    <w:rsid w:val="00362540"/>
    <w:rsid w:val="00362627"/>
    <w:rsid w:val="00362686"/>
    <w:rsid w:val="0036268E"/>
    <w:rsid w:val="003626AB"/>
    <w:rsid w:val="003627C9"/>
    <w:rsid w:val="003629AC"/>
    <w:rsid w:val="00362A49"/>
    <w:rsid w:val="00362B1B"/>
    <w:rsid w:val="00362B42"/>
    <w:rsid w:val="00362D84"/>
    <w:rsid w:val="003630C1"/>
    <w:rsid w:val="0036326F"/>
    <w:rsid w:val="0036338C"/>
    <w:rsid w:val="0036345D"/>
    <w:rsid w:val="0036345F"/>
    <w:rsid w:val="00363842"/>
    <w:rsid w:val="0036388B"/>
    <w:rsid w:val="00363A7C"/>
    <w:rsid w:val="00363C42"/>
    <w:rsid w:val="00363D33"/>
    <w:rsid w:val="00363DDF"/>
    <w:rsid w:val="00363F5E"/>
    <w:rsid w:val="00364242"/>
    <w:rsid w:val="00364264"/>
    <w:rsid w:val="003642F6"/>
    <w:rsid w:val="00364330"/>
    <w:rsid w:val="0036433A"/>
    <w:rsid w:val="00364396"/>
    <w:rsid w:val="003643B7"/>
    <w:rsid w:val="003646BB"/>
    <w:rsid w:val="00364B82"/>
    <w:rsid w:val="00364DD9"/>
    <w:rsid w:val="00364F89"/>
    <w:rsid w:val="00364F9B"/>
    <w:rsid w:val="00365081"/>
    <w:rsid w:val="0036509F"/>
    <w:rsid w:val="003651F8"/>
    <w:rsid w:val="00365325"/>
    <w:rsid w:val="003655C5"/>
    <w:rsid w:val="003656AF"/>
    <w:rsid w:val="0036575A"/>
    <w:rsid w:val="0036579D"/>
    <w:rsid w:val="00365820"/>
    <w:rsid w:val="003659B6"/>
    <w:rsid w:val="00365A0B"/>
    <w:rsid w:val="00365A34"/>
    <w:rsid w:val="00365B4E"/>
    <w:rsid w:val="00365BBE"/>
    <w:rsid w:val="00365BEC"/>
    <w:rsid w:val="00365C59"/>
    <w:rsid w:val="00365C7C"/>
    <w:rsid w:val="00365C97"/>
    <w:rsid w:val="0036600E"/>
    <w:rsid w:val="00366037"/>
    <w:rsid w:val="003662CE"/>
    <w:rsid w:val="00366321"/>
    <w:rsid w:val="00366353"/>
    <w:rsid w:val="003663A4"/>
    <w:rsid w:val="00366456"/>
    <w:rsid w:val="003664D7"/>
    <w:rsid w:val="00366A6F"/>
    <w:rsid w:val="00366AEE"/>
    <w:rsid w:val="00366DC0"/>
    <w:rsid w:val="00366E91"/>
    <w:rsid w:val="00366FDA"/>
    <w:rsid w:val="0036707D"/>
    <w:rsid w:val="00367387"/>
    <w:rsid w:val="003675B4"/>
    <w:rsid w:val="00367681"/>
    <w:rsid w:val="003676B1"/>
    <w:rsid w:val="00367752"/>
    <w:rsid w:val="003677AD"/>
    <w:rsid w:val="0036785C"/>
    <w:rsid w:val="003679B6"/>
    <w:rsid w:val="00367AA0"/>
    <w:rsid w:val="00367C7C"/>
    <w:rsid w:val="00367CB1"/>
    <w:rsid w:val="00370220"/>
    <w:rsid w:val="00370492"/>
    <w:rsid w:val="00370600"/>
    <w:rsid w:val="003707A2"/>
    <w:rsid w:val="00370801"/>
    <w:rsid w:val="0037094E"/>
    <w:rsid w:val="00370987"/>
    <w:rsid w:val="00370A5D"/>
    <w:rsid w:val="00370B8B"/>
    <w:rsid w:val="00370E70"/>
    <w:rsid w:val="00370E88"/>
    <w:rsid w:val="00370F83"/>
    <w:rsid w:val="00371297"/>
    <w:rsid w:val="003715ED"/>
    <w:rsid w:val="0037167B"/>
    <w:rsid w:val="0037175F"/>
    <w:rsid w:val="0037178C"/>
    <w:rsid w:val="00371845"/>
    <w:rsid w:val="00371863"/>
    <w:rsid w:val="00371A7F"/>
    <w:rsid w:val="00371B89"/>
    <w:rsid w:val="00371B91"/>
    <w:rsid w:val="00371C10"/>
    <w:rsid w:val="00371FD6"/>
    <w:rsid w:val="003720D1"/>
    <w:rsid w:val="0037232A"/>
    <w:rsid w:val="0037232F"/>
    <w:rsid w:val="003723FC"/>
    <w:rsid w:val="0037247E"/>
    <w:rsid w:val="00372487"/>
    <w:rsid w:val="003724AC"/>
    <w:rsid w:val="00372636"/>
    <w:rsid w:val="003727CB"/>
    <w:rsid w:val="003727D9"/>
    <w:rsid w:val="0037292F"/>
    <w:rsid w:val="00372C45"/>
    <w:rsid w:val="00372C64"/>
    <w:rsid w:val="00372C66"/>
    <w:rsid w:val="00372DF1"/>
    <w:rsid w:val="003733B0"/>
    <w:rsid w:val="00373556"/>
    <w:rsid w:val="0037359B"/>
    <w:rsid w:val="003735B4"/>
    <w:rsid w:val="00373733"/>
    <w:rsid w:val="0037378B"/>
    <w:rsid w:val="00373813"/>
    <w:rsid w:val="0037384E"/>
    <w:rsid w:val="00373AFA"/>
    <w:rsid w:val="00373B44"/>
    <w:rsid w:val="00373D22"/>
    <w:rsid w:val="00373D82"/>
    <w:rsid w:val="00373DCA"/>
    <w:rsid w:val="00373F55"/>
    <w:rsid w:val="00374013"/>
    <w:rsid w:val="00374374"/>
    <w:rsid w:val="003747B3"/>
    <w:rsid w:val="00374999"/>
    <w:rsid w:val="0037499A"/>
    <w:rsid w:val="00374B1A"/>
    <w:rsid w:val="00374CE2"/>
    <w:rsid w:val="00374D87"/>
    <w:rsid w:val="00375321"/>
    <w:rsid w:val="00375365"/>
    <w:rsid w:val="003753D4"/>
    <w:rsid w:val="003756FA"/>
    <w:rsid w:val="0037575F"/>
    <w:rsid w:val="0037595C"/>
    <w:rsid w:val="0037596A"/>
    <w:rsid w:val="00375A09"/>
    <w:rsid w:val="00375A19"/>
    <w:rsid w:val="00375C35"/>
    <w:rsid w:val="00375F14"/>
    <w:rsid w:val="00375F34"/>
    <w:rsid w:val="003761CA"/>
    <w:rsid w:val="003761CE"/>
    <w:rsid w:val="003762B9"/>
    <w:rsid w:val="00376453"/>
    <w:rsid w:val="003764B5"/>
    <w:rsid w:val="003766EF"/>
    <w:rsid w:val="003767E1"/>
    <w:rsid w:val="00376CD5"/>
    <w:rsid w:val="00376DA6"/>
    <w:rsid w:val="00376FDB"/>
    <w:rsid w:val="003770B0"/>
    <w:rsid w:val="003771F2"/>
    <w:rsid w:val="003771FA"/>
    <w:rsid w:val="00377200"/>
    <w:rsid w:val="0037733A"/>
    <w:rsid w:val="00377345"/>
    <w:rsid w:val="0037739C"/>
    <w:rsid w:val="0037775C"/>
    <w:rsid w:val="00377832"/>
    <w:rsid w:val="00377997"/>
    <w:rsid w:val="00377AA1"/>
    <w:rsid w:val="00377DD6"/>
    <w:rsid w:val="00377E01"/>
    <w:rsid w:val="00377EB3"/>
    <w:rsid w:val="00377FD9"/>
    <w:rsid w:val="003800A2"/>
    <w:rsid w:val="003801C4"/>
    <w:rsid w:val="003801D0"/>
    <w:rsid w:val="0038027B"/>
    <w:rsid w:val="0038038A"/>
    <w:rsid w:val="0038042D"/>
    <w:rsid w:val="003805BA"/>
    <w:rsid w:val="003805F7"/>
    <w:rsid w:val="00380620"/>
    <w:rsid w:val="003807D2"/>
    <w:rsid w:val="003808E7"/>
    <w:rsid w:val="0038093E"/>
    <w:rsid w:val="0038095F"/>
    <w:rsid w:val="00380B79"/>
    <w:rsid w:val="00380CFA"/>
    <w:rsid w:val="00380EBF"/>
    <w:rsid w:val="003812F0"/>
    <w:rsid w:val="0038140B"/>
    <w:rsid w:val="003814C2"/>
    <w:rsid w:val="00381AE6"/>
    <w:rsid w:val="00381AF0"/>
    <w:rsid w:val="00381D33"/>
    <w:rsid w:val="00381EBB"/>
    <w:rsid w:val="00381FA4"/>
    <w:rsid w:val="003825EA"/>
    <w:rsid w:val="0038282D"/>
    <w:rsid w:val="003828C6"/>
    <w:rsid w:val="00382A25"/>
    <w:rsid w:val="00382A32"/>
    <w:rsid w:val="00382AA8"/>
    <w:rsid w:val="00382AF1"/>
    <w:rsid w:val="00382B5C"/>
    <w:rsid w:val="00382C7C"/>
    <w:rsid w:val="00382DF8"/>
    <w:rsid w:val="00382F07"/>
    <w:rsid w:val="00382F53"/>
    <w:rsid w:val="003830D9"/>
    <w:rsid w:val="00383176"/>
    <w:rsid w:val="00383280"/>
    <w:rsid w:val="003832D8"/>
    <w:rsid w:val="00383320"/>
    <w:rsid w:val="0038332B"/>
    <w:rsid w:val="00383357"/>
    <w:rsid w:val="003833FE"/>
    <w:rsid w:val="00383575"/>
    <w:rsid w:val="003838A6"/>
    <w:rsid w:val="00383950"/>
    <w:rsid w:val="00383A3B"/>
    <w:rsid w:val="00383BB0"/>
    <w:rsid w:val="00383D7C"/>
    <w:rsid w:val="00383D88"/>
    <w:rsid w:val="00383F32"/>
    <w:rsid w:val="00383F66"/>
    <w:rsid w:val="003841BE"/>
    <w:rsid w:val="00384311"/>
    <w:rsid w:val="00384318"/>
    <w:rsid w:val="003846D5"/>
    <w:rsid w:val="00384AD3"/>
    <w:rsid w:val="00384C02"/>
    <w:rsid w:val="00384C14"/>
    <w:rsid w:val="00384EE6"/>
    <w:rsid w:val="00384EF9"/>
    <w:rsid w:val="00384F99"/>
    <w:rsid w:val="0038505A"/>
    <w:rsid w:val="003851CA"/>
    <w:rsid w:val="0038524F"/>
    <w:rsid w:val="003853E6"/>
    <w:rsid w:val="00385560"/>
    <w:rsid w:val="003857FD"/>
    <w:rsid w:val="00385B59"/>
    <w:rsid w:val="00385C2C"/>
    <w:rsid w:val="00385E6F"/>
    <w:rsid w:val="00385E71"/>
    <w:rsid w:val="00385F8C"/>
    <w:rsid w:val="00386115"/>
    <w:rsid w:val="00386472"/>
    <w:rsid w:val="00386517"/>
    <w:rsid w:val="00386AB6"/>
    <w:rsid w:val="00386CC9"/>
    <w:rsid w:val="00386D09"/>
    <w:rsid w:val="00386D0D"/>
    <w:rsid w:val="0038719F"/>
    <w:rsid w:val="003871B2"/>
    <w:rsid w:val="00387281"/>
    <w:rsid w:val="0038747F"/>
    <w:rsid w:val="003874A6"/>
    <w:rsid w:val="0038765E"/>
    <w:rsid w:val="0038792E"/>
    <w:rsid w:val="00387B6E"/>
    <w:rsid w:val="00387CD6"/>
    <w:rsid w:val="00387E66"/>
    <w:rsid w:val="0039009D"/>
    <w:rsid w:val="003900F6"/>
    <w:rsid w:val="0039029F"/>
    <w:rsid w:val="00390300"/>
    <w:rsid w:val="00390310"/>
    <w:rsid w:val="00390349"/>
    <w:rsid w:val="00390435"/>
    <w:rsid w:val="0039079B"/>
    <w:rsid w:val="00390D94"/>
    <w:rsid w:val="00390EEF"/>
    <w:rsid w:val="00390F95"/>
    <w:rsid w:val="00390FDD"/>
    <w:rsid w:val="00391011"/>
    <w:rsid w:val="0039110B"/>
    <w:rsid w:val="003915D4"/>
    <w:rsid w:val="003915EB"/>
    <w:rsid w:val="00391718"/>
    <w:rsid w:val="0039199C"/>
    <w:rsid w:val="00391A83"/>
    <w:rsid w:val="00391E19"/>
    <w:rsid w:val="00391E6A"/>
    <w:rsid w:val="00391F7B"/>
    <w:rsid w:val="00392030"/>
    <w:rsid w:val="00392222"/>
    <w:rsid w:val="00392388"/>
    <w:rsid w:val="0039264A"/>
    <w:rsid w:val="0039266D"/>
    <w:rsid w:val="00392830"/>
    <w:rsid w:val="00392A72"/>
    <w:rsid w:val="00392E06"/>
    <w:rsid w:val="00392E2B"/>
    <w:rsid w:val="003930E6"/>
    <w:rsid w:val="00393198"/>
    <w:rsid w:val="003932EF"/>
    <w:rsid w:val="003936E8"/>
    <w:rsid w:val="00393845"/>
    <w:rsid w:val="003938BE"/>
    <w:rsid w:val="003939AF"/>
    <w:rsid w:val="00393A06"/>
    <w:rsid w:val="00393A71"/>
    <w:rsid w:val="00393AC1"/>
    <w:rsid w:val="00393B02"/>
    <w:rsid w:val="00393B58"/>
    <w:rsid w:val="00393E7F"/>
    <w:rsid w:val="00393EF0"/>
    <w:rsid w:val="00393FC0"/>
    <w:rsid w:val="003941C5"/>
    <w:rsid w:val="003943C5"/>
    <w:rsid w:val="00394552"/>
    <w:rsid w:val="00394738"/>
    <w:rsid w:val="00394871"/>
    <w:rsid w:val="0039489C"/>
    <w:rsid w:val="00394A02"/>
    <w:rsid w:val="00394AE9"/>
    <w:rsid w:val="00394D52"/>
    <w:rsid w:val="00394DE4"/>
    <w:rsid w:val="00394ED3"/>
    <w:rsid w:val="00395046"/>
    <w:rsid w:val="003950DC"/>
    <w:rsid w:val="003951FF"/>
    <w:rsid w:val="0039556E"/>
    <w:rsid w:val="0039583B"/>
    <w:rsid w:val="003959B6"/>
    <w:rsid w:val="00395B60"/>
    <w:rsid w:val="003966AA"/>
    <w:rsid w:val="003966DA"/>
    <w:rsid w:val="00396821"/>
    <w:rsid w:val="00396849"/>
    <w:rsid w:val="003968CB"/>
    <w:rsid w:val="00396A8E"/>
    <w:rsid w:val="00396B00"/>
    <w:rsid w:val="00396B51"/>
    <w:rsid w:val="00396CBC"/>
    <w:rsid w:val="00396DA9"/>
    <w:rsid w:val="003971B5"/>
    <w:rsid w:val="003971F3"/>
    <w:rsid w:val="00397219"/>
    <w:rsid w:val="00397360"/>
    <w:rsid w:val="003974F4"/>
    <w:rsid w:val="003977A8"/>
    <w:rsid w:val="00397882"/>
    <w:rsid w:val="00397AA7"/>
    <w:rsid w:val="00397CC1"/>
    <w:rsid w:val="00397EFA"/>
    <w:rsid w:val="003A05EB"/>
    <w:rsid w:val="003A0689"/>
    <w:rsid w:val="003A074B"/>
    <w:rsid w:val="003A084F"/>
    <w:rsid w:val="003A09ED"/>
    <w:rsid w:val="003A0A6C"/>
    <w:rsid w:val="003A0DE6"/>
    <w:rsid w:val="003A0E9D"/>
    <w:rsid w:val="003A18C1"/>
    <w:rsid w:val="003A1A1A"/>
    <w:rsid w:val="003A1ABB"/>
    <w:rsid w:val="003A1B13"/>
    <w:rsid w:val="003A1B9F"/>
    <w:rsid w:val="003A1D84"/>
    <w:rsid w:val="003A1E5D"/>
    <w:rsid w:val="003A1E87"/>
    <w:rsid w:val="003A1EF8"/>
    <w:rsid w:val="003A2098"/>
    <w:rsid w:val="003A2126"/>
    <w:rsid w:val="003A246C"/>
    <w:rsid w:val="003A2500"/>
    <w:rsid w:val="003A2787"/>
    <w:rsid w:val="003A2973"/>
    <w:rsid w:val="003A2987"/>
    <w:rsid w:val="003A2DA8"/>
    <w:rsid w:val="003A2EE9"/>
    <w:rsid w:val="003A2FDD"/>
    <w:rsid w:val="003A2FF2"/>
    <w:rsid w:val="003A300C"/>
    <w:rsid w:val="003A3119"/>
    <w:rsid w:val="003A3423"/>
    <w:rsid w:val="003A36F7"/>
    <w:rsid w:val="003A37D6"/>
    <w:rsid w:val="003A39BC"/>
    <w:rsid w:val="003A3A54"/>
    <w:rsid w:val="003A3A75"/>
    <w:rsid w:val="003A40C4"/>
    <w:rsid w:val="003A40FB"/>
    <w:rsid w:val="003A4158"/>
    <w:rsid w:val="003A417D"/>
    <w:rsid w:val="003A4254"/>
    <w:rsid w:val="003A42F2"/>
    <w:rsid w:val="003A4735"/>
    <w:rsid w:val="003A478A"/>
    <w:rsid w:val="003A491D"/>
    <w:rsid w:val="003A4A05"/>
    <w:rsid w:val="003A4AD1"/>
    <w:rsid w:val="003A4AE5"/>
    <w:rsid w:val="003A4BE6"/>
    <w:rsid w:val="003A4C2D"/>
    <w:rsid w:val="003A4C62"/>
    <w:rsid w:val="003A4EC2"/>
    <w:rsid w:val="003A4FCB"/>
    <w:rsid w:val="003A4FD8"/>
    <w:rsid w:val="003A511E"/>
    <w:rsid w:val="003A521C"/>
    <w:rsid w:val="003A5272"/>
    <w:rsid w:val="003A551B"/>
    <w:rsid w:val="003A55C1"/>
    <w:rsid w:val="003A57BA"/>
    <w:rsid w:val="003A5847"/>
    <w:rsid w:val="003A59D1"/>
    <w:rsid w:val="003A5B9E"/>
    <w:rsid w:val="003A5D95"/>
    <w:rsid w:val="003A5EC8"/>
    <w:rsid w:val="003A5F0D"/>
    <w:rsid w:val="003A5F15"/>
    <w:rsid w:val="003A61E0"/>
    <w:rsid w:val="003A63AE"/>
    <w:rsid w:val="003A64A1"/>
    <w:rsid w:val="003A65EC"/>
    <w:rsid w:val="003A6699"/>
    <w:rsid w:val="003A686D"/>
    <w:rsid w:val="003A6957"/>
    <w:rsid w:val="003A69DB"/>
    <w:rsid w:val="003A6B03"/>
    <w:rsid w:val="003A6B8E"/>
    <w:rsid w:val="003A6EB4"/>
    <w:rsid w:val="003A6EE5"/>
    <w:rsid w:val="003A700D"/>
    <w:rsid w:val="003A7024"/>
    <w:rsid w:val="003A72AF"/>
    <w:rsid w:val="003A72E0"/>
    <w:rsid w:val="003A74DF"/>
    <w:rsid w:val="003A766F"/>
    <w:rsid w:val="003A7704"/>
    <w:rsid w:val="003A790F"/>
    <w:rsid w:val="003A7AEF"/>
    <w:rsid w:val="003A7D94"/>
    <w:rsid w:val="003A7DFF"/>
    <w:rsid w:val="003A7EEB"/>
    <w:rsid w:val="003A7F59"/>
    <w:rsid w:val="003B003D"/>
    <w:rsid w:val="003B00FA"/>
    <w:rsid w:val="003B045D"/>
    <w:rsid w:val="003B0581"/>
    <w:rsid w:val="003B0A35"/>
    <w:rsid w:val="003B0CF5"/>
    <w:rsid w:val="003B0DC5"/>
    <w:rsid w:val="003B1195"/>
    <w:rsid w:val="003B11F6"/>
    <w:rsid w:val="003B126C"/>
    <w:rsid w:val="003B12A7"/>
    <w:rsid w:val="003B148E"/>
    <w:rsid w:val="003B15C4"/>
    <w:rsid w:val="003B16F4"/>
    <w:rsid w:val="003B17C7"/>
    <w:rsid w:val="003B1915"/>
    <w:rsid w:val="003B1A6D"/>
    <w:rsid w:val="003B1A8F"/>
    <w:rsid w:val="003B1B2E"/>
    <w:rsid w:val="003B1CF0"/>
    <w:rsid w:val="003B1F4E"/>
    <w:rsid w:val="003B20D1"/>
    <w:rsid w:val="003B215C"/>
    <w:rsid w:val="003B21A4"/>
    <w:rsid w:val="003B22EA"/>
    <w:rsid w:val="003B25B1"/>
    <w:rsid w:val="003B2C34"/>
    <w:rsid w:val="003B2D95"/>
    <w:rsid w:val="003B2DA3"/>
    <w:rsid w:val="003B2EE0"/>
    <w:rsid w:val="003B2FC0"/>
    <w:rsid w:val="003B3245"/>
    <w:rsid w:val="003B3414"/>
    <w:rsid w:val="003B35B3"/>
    <w:rsid w:val="003B372F"/>
    <w:rsid w:val="003B394A"/>
    <w:rsid w:val="003B3F25"/>
    <w:rsid w:val="003B41BF"/>
    <w:rsid w:val="003B4367"/>
    <w:rsid w:val="003B4577"/>
    <w:rsid w:val="003B46B2"/>
    <w:rsid w:val="003B48DD"/>
    <w:rsid w:val="003B4B70"/>
    <w:rsid w:val="003B4D63"/>
    <w:rsid w:val="003B4EDF"/>
    <w:rsid w:val="003B513A"/>
    <w:rsid w:val="003B5277"/>
    <w:rsid w:val="003B5473"/>
    <w:rsid w:val="003B550F"/>
    <w:rsid w:val="003B56AB"/>
    <w:rsid w:val="003B56C0"/>
    <w:rsid w:val="003B574F"/>
    <w:rsid w:val="003B5845"/>
    <w:rsid w:val="003B5855"/>
    <w:rsid w:val="003B5884"/>
    <w:rsid w:val="003B5948"/>
    <w:rsid w:val="003B59A3"/>
    <w:rsid w:val="003B6233"/>
    <w:rsid w:val="003B62D2"/>
    <w:rsid w:val="003B62FA"/>
    <w:rsid w:val="003B63D7"/>
    <w:rsid w:val="003B64A5"/>
    <w:rsid w:val="003B66C9"/>
    <w:rsid w:val="003B6C42"/>
    <w:rsid w:val="003B6CE2"/>
    <w:rsid w:val="003B6D16"/>
    <w:rsid w:val="003B6D7C"/>
    <w:rsid w:val="003B6FEC"/>
    <w:rsid w:val="003B730E"/>
    <w:rsid w:val="003B7360"/>
    <w:rsid w:val="003B74C4"/>
    <w:rsid w:val="003B7854"/>
    <w:rsid w:val="003B7B5E"/>
    <w:rsid w:val="003B7BCC"/>
    <w:rsid w:val="003C008C"/>
    <w:rsid w:val="003C00D2"/>
    <w:rsid w:val="003C0703"/>
    <w:rsid w:val="003C09D6"/>
    <w:rsid w:val="003C0A2B"/>
    <w:rsid w:val="003C0AB8"/>
    <w:rsid w:val="003C0C03"/>
    <w:rsid w:val="003C0CAB"/>
    <w:rsid w:val="003C0D58"/>
    <w:rsid w:val="003C0D8F"/>
    <w:rsid w:val="003C0E19"/>
    <w:rsid w:val="003C101A"/>
    <w:rsid w:val="003C1262"/>
    <w:rsid w:val="003C1443"/>
    <w:rsid w:val="003C14D7"/>
    <w:rsid w:val="003C1672"/>
    <w:rsid w:val="003C173E"/>
    <w:rsid w:val="003C174D"/>
    <w:rsid w:val="003C17A6"/>
    <w:rsid w:val="003C193D"/>
    <w:rsid w:val="003C1A1C"/>
    <w:rsid w:val="003C1A7E"/>
    <w:rsid w:val="003C1AF4"/>
    <w:rsid w:val="003C1BB6"/>
    <w:rsid w:val="003C1C6A"/>
    <w:rsid w:val="003C1CDB"/>
    <w:rsid w:val="003C1E3F"/>
    <w:rsid w:val="003C1F04"/>
    <w:rsid w:val="003C1FD3"/>
    <w:rsid w:val="003C1FF6"/>
    <w:rsid w:val="003C2009"/>
    <w:rsid w:val="003C20A8"/>
    <w:rsid w:val="003C23E4"/>
    <w:rsid w:val="003C23FC"/>
    <w:rsid w:val="003C24B8"/>
    <w:rsid w:val="003C25ED"/>
    <w:rsid w:val="003C25FD"/>
    <w:rsid w:val="003C2633"/>
    <w:rsid w:val="003C2959"/>
    <w:rsid w:val="003C2A93"/>
    <w:rsid w:val="003C2E0E"/>
    <w:rsid w:val="003C2E75"/>
    <w:rsid w:val="003C3030"/>
    <w:rsid w:val="003C3215"/>
    <w:rsid w:val="003C33C1"/>
    <w:rsid w:val="003C3498"/>
    <w:rsid w:val="003C34AD"/>
    <w:rsid w:val="003C34D9"/>
    <w:rsid w:val="003C350B"/>
    <w:rsid w:val="003C3560"/>
    <w:rsid w:val="003C375F"/>
    <w:rsid w:val="003C3920"/>
    <w:rsid w:val="003C3A4D"/>
    <w:rsid w:val="003C3CF3"/>
    <w:rsid w:val="003C3D33"/>
    <w:rsid w:val="003C3D53"/>
    <w:rsid w:val="003C40BC"/>
    <w:rsid w:val="003C415C"/>
    <w:rsid w:val="003C4191"/>
    <w:rsid w:val="003C41E5"/>
    <w:rsid w:val="003C422B"/>
    <w:rsid w:val="003C4240"/>
    <w:rsid w:val="003C436E"/>
    <w:rsid w:val="003C4545"/>
    <w:rsid w:val="003C462B"/>
    <w:rsid w:val="003C47A2"/>
    <w:rsid w:val="003C47A4"/>
    <w:rsid w:val="003C4802"/>
    <w:rsid w:val="003C4929"/>
    <w:rsid w:val="003C4B5D"/>
    <w:rsid w:val="003C52A7"/>
    <w:rsid w:val="003C53E0"/>
    <w:rsid w:val="003C55DE"/>
    <w:rsid w:val="003C5611"/>
    <w:rsid w:val="003C563B"/>
    <w:rsid w:val="003C564A"/>
    <w:rsid w:val="003C5804"/>
    <w:rsid w:val="003C586F"/>
    <w:rsid w:val="003C5BB7"/>
    <w:rsid w:val="003C5BBC"/>
    <w:rsid w:val="003C5C1E"/>
    <w:rsid w:val="003C5CE3"/>
    <w:rsid w:val="003C5DFA"/>
    <w:rsid w:val="003C5E93"/>
    <w:rsid w:val="003C5E9F"/>
    <w:rsid w:val="003C5EB1"/>
    <w:rsid w:val="003C5EC0"/>
    <w:rsid w:val="003C5F5D"/>
    <w:rsid w:val="003C62CF"/>
    <w:rsid w:val="003C6307"/>
    <w:rsid w:val="003C6324"/>
    <w:rsid w:val="003C64E9"/>
    <w:rsid w:val="003C6832"/>
    <w:rsid w:val="003C686A"/>
    <w:rsid w:val="003C6875"/>
    <w:rsid w:val="003C6A73"/>
    <w:rsid w:val="003C6AEF"/>
    <w:rsid w:val="003C6D27"/>
    <w:rsid w:val="003C6DFC"/>
    <w:rsid w:val="003C6E26"/>
    <w:rsid w:val="003C715B"/>
    <w:rsid w:val="003C7257"/>
    <w:rsid w:val="003C752F"/>
    <w:rsid w:val="003C767B"/>
    <w:rsid w:val="003C78E8"/>
    <w:rsid w:val="003C7979"/>
    <w:rsid w:val="003C7D29"/>
    <w:rsid w:val="003C7F68"/>
    <w:rsid w:val="003D008F"/>
    <w:rsid w:val="003D0208"/>
    <w:rsid w:val="003D042E"/>
    <w:rsid w:val="003D052A"/>
    <w:rsid w:val="003D05F7"/>
    <w:rsid w:val="003D0637"/>
    <w:rsid w:val="003D067F"/>
    <w:rsid w:val="003D0696"/>
    <w:rsid w:val="003D0788"/>
    <w:rsid w:val="003D09E4"/>
    <w:rsid w:val="003D0AE2"/>
    <w:rsid w:val="003D0AE8"/>
    <w:rsid w:val="003D0B7D"/>
    <w:rsid w:val="003D0F70"/>
    <w:rsid w:val="003D1014"/>
    <w:rsid w:val="003D10B0"/>
    <w:rsid w:val="003D1235"/>
    <w:rsid w:val="003D14E0"/>
    <w:rsid w:val="003D1785"/>
    <w:rsid w:val="003D182F"/>
    <w:rsid w:val="003D185B"/>
    <w:rsid w:val="003D1B7F"/>
    <w:rsid w:val="003D1BD6"/>
    <w:rsid w:val="003D1C03"/>
    <w:rsid w:val="003D1C80"/>
    <w:rsid w:val="003D1CC1"/>
    <w:rsid w:val="003D2088"/>
    <w:rsid w:val="003D2124"/>
    <w:rsid w:val="003D2144"/>
    <w:rsid w:val="003D2436"/>
    <w:rsid w:val="003D24AB"/>
    <w:rsid w:val="003D26DD"/>
    <w:rsid w:val="003D274B"/>
    <w:rsid w:val="003D285C"/>
    <w:rsid w:val="003D28F2"/>
    <w:rsid w:val="003D2A10"/>
    <w:rsid w:val="003D2B7C"/>
    <w:rsid w:val="003D2B8B"/>
    <w:rsid w:val="003D2B99"/>
    <w:rsid w:val="003D2BFD"/>
    <w:rsid w:val="003D2C8F"/>
    <w:rsid w:val="003D2CD8"/>
    <w:rsid w:val="003D2DE3"/>
    <w:rsid w:val="003D2E56"/>
    <w:rsid w:val="003D3584"/>
    <w:rsid w:val="003D3669"/>
    <w:rsid w:val="003D36B6"/>
    <w:rsid w:val="003D3761"/>
    <w:rsid w:val="003D37EF"/>
    <w:rsid w:val="003D3A2B"/>
    <w:rsid w:val="003D3A32"/>
    <w:rsid w:val="003D3AEA"/>
    <w:rsid w:val="003D3B73"/>
    <w:rsid w:val="003D3B7E"/>
    <w:rsid w:val="003D3D26"/>
    <w:rsid w:val="003D3EDE"/>
    <w:rsid w:val="003D3F62"/>
    <w:rsid w:val="003D3FEE"/>
    <w:rsid w:val="003D4266"/>
    <w:rsid w:val="003D44F9"/>
    <w:rsid w:val="003D458E"/>
    <w:rsid w:val="003D45FA"/>
    <w:rsid w:val="003D462B"/>
    <w:rsid w:val="003D470D"/>
    <w:rsid w:val="003D4747"/>
    <w:rsid w:val="003D4972"/>
    <w:rsid w:val="003D4AB4"/>
    <w:rsid w:val="003D4EFA"/>
    <w:rsid w:val="003D5087"/>
    <w:rsid w:val="003D50D7"/>
    <w:rsid w:val="003D5187"/>
    <w:rsid w:val="003D51A4"/>
    <w:rsid w:val="003D5206"/>
    <w:rsid w:val="003D52AD"/>
    <w:rsid w:val="003D55C4"/>
    <w:rsid w:val="003D5771"/>
    <w:rsid w:val="003D577E"/>
    <w:rsid w:val="003D578B"/>
    <w:rsid w:val="003D57B6"/>
    <w:rsid w:val="003D57EA"/>
    <w:rsid w:val="003D5918"/>
    <w:rsid w:val="003D598C"/>
    <w:rsid w:val="003D59CD"/>
    <w:rsid w:val="003D59E4"/>
    <w:rsid w:val="003D5A59"/>
    <w:rsid w:val="003D5BAF"/>
    <w:rsid w:val="003D5CCE"/>
    <w:rsid w:val="003D5E25"/>
    <w:rsid w:val="003D5FB6"/>
    <w:rsid w:val="003D5FCE"/>
    <w:rsid w:val="003D627F"/>
    <w:rsid w:val="003D649C"/>
    <w:rsid w:val="003D658E"/>
    <w:rsid w:val="003D6712"/>
    <w:rsid w:val="003D6765"/>
    <w:rsid w:val="003D6C51"/>
    <w:rsid w:val="003D6D23"/>
    <w:rsid w:val="003D6FC4"/>
    <w:rsid w:val="003D70AA"/>
    <w:rsid w:val="003D71E7"/>
    <w:rsid w:val="003D7327"/>
    <w:rsid w:val="003D73A1"/>
    <w:rsid w:val="003D73D0"/>
    <w:rsid w:val="003D770C"/>
    <w:rsid w:val="003D77A8"/>
    <w:rsid w:val="003D795D"/>
    <w:rsid w:val="003D7C48"/>
    <w:rsid w:val="003D7E06"/>
    <w:rsid w:val="003D7EA0"/>
    <w:rsid w:val="003D7F11"/>
    <w:rsid w:val="003D7F54"/>
    <w:rsid w:val="003E0269"/>
    <w:rsid w:val="003E02BB"/>
    <w:rsid w:val="003E0328"/>
    <w:rsid w:val="003E0387"/>
    <w:rsid w:val="003E047C"/>
    <w:rsid w:val="003E065F"/>
    <w:rsid w:val="003E0702"/>
    <w:rsid w:val="003E0704"/>
    <w:rsid w:val="003E0743"/>
    <w:rsid w:val="003E09C2"/>
    <w:rsid w:val="003E0AE5"/>
    <w:rsid w:val="003E0BA8"/>
    <w:rsid w:val="003E0C32"/>
    <w:rsid w:val="003E0E35"/>
    <w:rsid w:val="003E0EAF"/>
    <w:rsid w:val="003E0FE7"/>
    <w:rsid w:val="003E10F4"/>
    <w:rsid w:val="003E12AE"/>
    <w:rsid w:val="003E15CF"/>
    <w:rsid w:val="003E15D4"/>
    <w:rsid w:val="003E166C"/>
    <w:rsid w:val="003E1794"/>
    <w:rsid w:val="003E1A68"/>
    <w:rsid w:val="003E1A95"/>
    <w:rsid w:val="003E1B5D"/>
    <w:rsid w:val="003E1BB7"/>
    <w:rsid w:val="003E1E4F"/>
    <w:rsid w:val="003E2102"/>
    <w:rsid w:val="003E2158"/>
    <w:rsid w:val="003E2180"/>
    <w:rsid w:val="003E22BD"/>
    <w:rsid w:val="003E2336"/>
    <w:rsid w:val="003E2370"/>
    <w:rsid w:val="003E23C7"/>
    <w:rsid w:val="003E27C0"/>
    <w:rsid w:val="003E29D7"/>
    <w:rsid w:val="003E2CAB"/>
    <w:rsid w:val="003E2F6D"/>
    <w:rsid w:val="003E2F82"/>
    <w:rsid w:val="003E3380"/>
    <w:rsid w:val="003E33FB"/>
    <w:rsid w:val="003E351D"/>
    <w:rsid w:val="003E35B3"/>
    <w:rsid w:val="003E3745"/>
    <w:rsid w:val="003E37C3"/>
    <w:rsid w:val="003E3C75"/>
    <w:rsid w:val="003E3D14"/>
    <w:rsid w:val="003E3D85"/>
    <w:rsid w:val="003E3DCA"/>
    <w:rsid w:val="003E3E57"/>
    <w:rsid w:val="003E4278"/>
    <w:rsid w:val="003E42D0"/>
    <w:rsid w:val="003E445F"/>
    <w:rsid w:val="003E4476"/>
    <w:rsid w:val="003E4519"/>
    <w:rsid w:val="003E4572"/>
    <w:rsid w:val="003E4943"/>
    <w:rsid w:val="003E4A0F"/>
    <w:rsid w:val="003E4B53"/>
    <w:rsid w:val="003E4D8E"/>
    <w:rsid w:val="003E4DC0"/>
    <w:rsid w:val="003E4DC3"/>
    <w:rsid w:val="003E4E80"/>
    <w:rsid w:val="003E4F52"/>
    <w:rsid w:val="003E50C9"/>
    <w:rsid w:val="003E5226"/>
    <w:rsid w:val="003E5513"/>
    <w:rsid w:val="003E55CD"/>
    <w:rsid w:val="003E55D3"/>
    <w:rsid w:val="003E571D"/>
    <w:rsid w:val="003E5978"/>
    <w:rsid w:val="003E5E7B"/>
    <w:rsid w:val="003E5E95"/>
    <w:rsid w:val="003E5ED1"/>
    <w:rsid w:val="003E60A4"/>
    <w:rsid w:val="003E60E7"/>
    <w:rsid w:val="003E611E"/>
    <w:rsid w:val="003E615B"/>
    <w:rsid w:val="003E62E7"/>
    <w:rsid w:val="003E6563"/>
    <w:rsid w:val="003E6714"/>
    <w:rsid w:val="003E676C"/>
    <w:rsid w:val="003E6780"/>
    <w:rsid w:val="003E685C"/>
    <w:rsid w:val="003E68A1"/>
    <w:rsid w:val="003E6BFF"/>
    <w:rsid w:val="003E6C06"/>
    <w:rsid w:val="003E6C4E"/>
    <w:rsid w:val="003E6E81"/>
    <w:rsid w:val="003E718B"/>
    <w:rsid w:val="003E765A"/>
    <w:rsid w:val="003E78D3"/>
    <w:rsid w:val="003E79B2"/>
    <w:rsid w:val="003E7AE8"/>
    <w:rsid w:val="003E7B53"/>
    <w:rsid w:val="003E7F58"/>
    <w:rsid w:val="003E7F9A"/>
    <w:rsid w:val="003E7FAF"/>
    <w:rsid w:val="003E7FC0"/>
    <w:rsid w:val="003F00B2"/>
    <w:rsid w:val="003F0739"/>
    <w:rsid w:val="003F0767"/>
    <w:rsid w:val="003F0837"/>
    <w:rsid w:val="003F09C8"/>
    <w:rsid w:val="003F0AD1"/>
    <w:rsid w:val="003F0C03"/>
    <w:rsid w:val="003F0C93"/>
    <w:rsid w:val="003F0D29"/>
    <w:rsid w:val="003F0DDC"/>
    <w:rsid w:val="003F0DDD"/>
    <w:rsid w:val="003F0E05"/>
    <w:rsid w:val="003F0E32"/>
    <w:rsid w:val="003F0E9F"/>
    <w:rsid w:val="003F103C"/>
    <w:rsid w:val="003F11AF"/>
    <w:rsid w:val="003F1278"/>
    <w:rsid w:val="003F13BD"/>
    <w:rsid w:val="003F147E"/>
    <w:rsid w:val="003F1491"/>
    <w:rsid w:val="003F1568"/>
    <w:rsid w:val="003F1698"/>
    <w:rsid w:val="003F16BB"/>
    <w:rsid w:val="003F1899"/>
    <w:rsid w:val="003F18AB"/>
    <w:rsid w:val="003F1902"/>
    <w:rsid w:val="003F1CBB"/>
    <w:rsid w:val="003F1CDE"/>
    <w:rsid w:val="003F1D30"/>
    <w:rsid w:val="003F1D34"/>
    <w:rsid w:val="003F1D37"/>
    <w:rsid w:val="003F1E01"/>
    <w:rsid w:val="003F1E5C"/>
    <w:rsid w:val="003F1F65"/>
    <w:rsid w:val="003F2264"/>
    <w:rsid w:val="003F26B2"/>
    <w:rsid w:val="003F2785"/>
    <w:rsid w:val="003F297C"/>
    <w:rsid w:val="003F2A22"/>
    <w:rsid w:val="003F2A28"/>
    <w:rsid w:val="003F2ACC"/>
    <w:rsid w:val="003F2B10"/>
    <w:rsid w:val="003F2BDF"/>
    <w:rsid w:val="003F2E1E"/>
    <w:rsid w:val="003F2F4A"/>
    <w:rsid w:val="003F2F88"/>
    <w:rsid w:val="003F3259"/>
    <w:rsid w:val="003F380E"/>
    <w:rsid w:val="003F3810"/>
    <w:rsid w:val="003F38F8"/>
    <w:rsid w:val="003F3944"/>
    <w:rsid w:val="003F3AE2"/>
    <w:rsid w:val="003F3B51"/>
    <w:rsid w:val="003F3CB1"/>
    <w:rsid w:val="003F3D7B"/>
    <w:rsid w:val="003F3DA5"/>
    <w:rsid w:val="003F405C"/>
    <w:rsid w:val="003F40E3"/>
    <w:rsid w:val="003F41A6"/>
    <w:rsid w:val="003F41AA"/>
    <w:rsid w:val="003F43BA"/>
    <w:rsid w:val="003F44D6"/>
    <w:rsid w:val="003F4781"/>
    <w:rsid w:val="003F4831"/>
    <w:rsid w:val="003F488D"/>
    <w:rsid w:val="003F48C0"/>
    <w:rsid w:val="003F4D30"/>
    <w:rsid w:val="003F4F81"/>
    <w:rsid w:val="003F511B"/>
    <w:rsid w:val="003F51BA"/>
    <w:rsid w:val="003F5374"/>
    <w:rsid w:val="003F55AE"/>
    <w:rsid w:val="003F58D7"/>
    <w:rsid w:val="003F5B28"/>
    <w:rsid w:val="003F5E94"/>
    <w:rsid w:val="003F5EDC"/>
    <w:rsid w:val="003F64E6"/>
    <w:rsid w:val="003F65FA"/>
    <w:rsid w:val="003F67BA"/>
    <w:rsid w:val="003F69DB"/>
    <w:rsid w:val="003F6A12"/>
    <w:rsid w:val="003F6AD1"/>
    <w:rsid w:val="003F6BDB"/>
    <w:rsid w:val="003F6D25"/>
    <w:rsid w:val="003F6EE5"/>
    <w:rsid w:val="003F7032"/>
    <w:rsid w:val="003F74E6"/>
    <w:rsid w:val="003F76CF"/>
    <w:rsid w:val="003F7C21"/>
    <w:rsid w:val="003F7E2D"/>
    <w:rsid w:val="0040010A"/>
    <w:rsid w:val="00400194"/>
    <w:rsid w:val="004002D0"/>
    <w:rsid w:val="004003D7"/>
    <w:rsid w:val="00400400"/>
    <w:rsid w:val="00400561"/>
    <w:rsid w:val="004005AD"/>
    <w:rsid w:val="004005F4"/>
    <w:rsid w:val="004006E2"/>
    <w:rsid w:val="004007E0"/>
    <w:rsid w:val="0040085D"/>
    <w:rsid w:val="00400935"/>
    <w:rsid w:val="004009A4"/>
    <w:rsid w:val="00400AC7"/>
    <w:rsid w:val="00400F58"/>
    <w:rsid w:val="00401353"/>
    <w:rsid w:val="00401390"/>
    <w:rsid w:val="00401456"/>
    <w:rsid w:val="00401480"/>
    <w:rsid w:val="00401534"/>
    <w:rsid w:val="00401596"/>
    <w:rsid w:val="004015BD"/>
    <w:rsid w:val="0040160E"/>
    <w:rsid w:val="0040164E"/>
    <w:rsid w:val="00401959"/>
    <w:rsid w:val="00401BCB"/>
    <w:rsid w:val="00401E7B"/>
    <w:rsid w:val="00401F0D"/>
    <w:rsid w:val="00401F10"/>
    <w:rsid w:val="00402053"/>
    <w:rsid w:val="00402549"/>
    <w:rsid w:val="00402599"/>
    <w:rsid w:val="004028F7"/>
    <w:rsid w:val="00402933"/>
    <w:rsid w:val="00402A7A"/>
    <w:rsid w:val="00402A9B"/>
    <w:rsid w:val="00402C21"/>
    <w:rsid w:val="00402C69"/>
    <w:rsid w:val="00402DF8"/>
    <w:rsid w:val="00402F9C"/>
    <w:rsid w:val="004032EE"/>
    <w:rsid w:val="004035CD"/>
    <w:rsid w:val="00403774"/>
    <w:rsid w:val="004038B7"/>
    <w:rsid w:val="00403BC0"/>
    <w:rsid w:val="00403BDC"/>
    <w:rsid w:val="00403D71"/>
    <w:rsid w:val="00403DA1"/>
    <w:rsid w:val="00403F65"/>
    <w:rsid w:val="0040402A"/>
    <w:rsid w:val="0040434A"/>
    <w:rsid w:val="00404576"/>
    <w:rsid w:val="0040466F"/>
    <w:rsid w:val="004046E4"/>
    <w:rsid w:val="004047D0"/>
    <w:rsid w:val="00404900"/>
    <w:rsid w:val="00404933"/>
    <w:rsid w:val="00404A1F"/>
    <w:rsid w:val="00404AC5"/>
    <w:rsid w:val="00404E4F"/>
    <w:rsid w:val="00404E73"/>
    <w:rsid w:val="00404F0F"/>
    <w:rsid w:val="00404F50"/>
    <w:rsid w:val="00405158"/>
    <w:rsid w:val="004054CD"/>
    <w:rsid w:val="00405B12"/>
    <w:rsid w:val="00405BD9"/>
    <w:rsid w:val="00405D9B"/>
    <w:rsid w:val="00405DD8"/>
    <w:rsid w:val="00405ED9"/>
    <w:rsid w:val="00406035"/>
    <w:rsid w:val="00406088"/>
    <w:rsid w:val="0040618F"/>
    <w:rsid w:val="004061B0"/>
    <w:rsid w:val="0040640D"/>
    <w:rsid w:val="00406475"/>
    <w:rsid w:val="00406721"/>
    <w:rsid w:val="0040673A"/>
    <w:rsid w:val="00406AC0"/>
    <w:rsid w:val="00406C9F"/>
    <w:rsid w:val="00406D00"/>
    <w:rsid w:val="004074E7"/>
    <w:rsid w:val="0040766D"/>
    <w:rsid w:val="004077B8"/>
    <w:rsid w:val="004077D4"/>
    <w:rsid w:val="004077E5"/>
    <w:rsid w:val="0040782E"/>
    <w:rsid w:val="00407955"/>
    <w:rsid w:val="00407A14"/>
    <w:rsid w:val="00407A68"/>
    <w:rsid w:val="00407BB0"/>
    <w:rsid w:val="00407D9F"/>
    <w:rsid w:val="00407DEC"/>
    <w:rsid w:val="00407E47"/>
    <w:rsid w:val="00410048"/>
    <w:rsid w:val="00410375"/>
    <w:rsid w:val="0041038D"/>
    <w:rsid w:val="0041040B"/>
    <w:rsid w:val="004104C1"/>
    <w:rsid w:val="0041061F"/>
    <w:rsid w:val="00410644"/>
    <w:rsid w:val="00410686"/>
    <w:rsid w:val="004106C1"/>
    <w:rsid w:val="00410721"/>
    <w:rsid w:val="0041083F"/>
    <w:rsid w:val="004108DC"/>
    <w:rsid w:val="00410976"/>
    <w:rsid w:val="00410988"/>
    <w:rsid w:val="00410F3B"/>
    <w:rsid w:val="00411065"/>
    <w:rsid w:val="004113D3"/>
    <w:rsid w:val="0041147B"/>
    <w:rsid w:val="00411630"/>
    <w:rsid w:val="00411636"/>
    <w:rsid w:val="004116A8"/>
    <w:rsid w:val="00411B2C"/>
    <w:rsid w:val="00411BD1"/>
    <w:rsid w:val="00411D56"/>
    <w:rsid w:val="00411E27"/>
    <w:rsid w:val="00411E3E"/>
    <w:rsid w:val="00412128"/>
    <w:rsid w:val="004121F6"/>
    <w:rsid w:val="00412402"/>
    <w:rsid w:val="00412447"/>
    <w:rsid w:val="00412602"/>
    <w:rsid w:val="004126CD"/>
    <w:rsid w:val="004127C3"/>
    <w:rsid w:val="004128B6"/>
    <w:rsid w:val="00412909"/>
    <w:rsid w:val="004129C6"/>
    <w:rsid w:val="00412A3F"/>
    <w:rsid w:val="00412A8F"/>
    <w:rsid w:val="00412D36"/>
    <w:rsid w:val="00412D71"/>
    <w:rsid w:val="00413064"/>
    <w:rsid w:val="00413157"/>
    <w:rsid w:val="004131CA"/>
    <w:rsid w:val="004131F5"/>
    <w:rsid w:val="0041321F"/>
    <w:rsid w:val="00413230"/>
    <w:rsid w:val="004133AE"/>
    <w:rsid w:val="004134DF"/>
    <w:rsid w:val="004134F9"/>
    <w:rsid w:val="00413764"/>
    <w:rsid w:val="00413C1B"/>
    <w:rsid w:val="00413EE7"/>
    <w:rsid w:val="00413F64"/>
    <w:rsid w:val="00414081"/>
    <w:rsid w:val="00414165"/>
    <w:rsid w:val="00414350"/>
    <w:rsid w:val="004143AA"/>
    <w:rsid w:val="0041444E"/>
    <w:rsid w:val="004147AA"/>
    <w:rsid w:val="00414AEF"/>
    <w:rsid w:val="00414C58"/>
    <w:rsid w:val="00414C7C"/>
    <w:rsid w:val="00414CC0"/>
    <w:rsid w:val="00414CE7"/>
    <w:rsid w:val="00414D0B"/>
    <w:rsid w:val="00414D85"/>
    <w:rsid w:val="00414DAA"/>
    <w:rsid w:val="0041503D"/>
    <w:rsid w:val="004150F2"/>
    <w:rsid w:val="00415133"/>
    <w:rsid w:val="00415317"/>
    <w:rsid w:val="00415444"/>
    <w:rsid w:val="00415585"/>
    <w:rsid w:val="00415600"/>
    <w:rsid w:val="0041565A"/>
    <w:rsid w:val="004156B4"/>
    <w:rsid w:val="004158A7"/>
    <w:rsid w:val="00415C1A"/>
    <w:rsid w:val="00415CFF"/>
    <w:rsid w:val="004160F4"/>
    <w:rsid w:val="004161EF"/>
    <w:rsid w:val="00416252"/>
    <w:rsid w:val="00416364"/>
    <w:rsid w:val="0041643E"/>
    <w:rsid w:val="004168E5"/>
    <w:rsid w:val="00416A49"/>
    <w:rsid w:val="00416AA2"/>
    <w:rsid w:val="00416B47"/>
    <w:rsid w:val="00416CDD"/>
    <w:rsid w:val="00416E41"/>
    <w:rsid w:val="00416EB0"/>
    <w:rsid w:val="00416F67"/>
    <w:rsid w:val="0041702C"/>
    <w:rsid w:val="0041703F"/>
    <w:rsid w:val="0041704A"/>
    <w:rsid w:val="004170B3"/>
    <w:rsid w:val="004171B2"/>
    <w:rsid w:val="0041757E"/>
    <w:rsid w:val="0041764C"/>
    <w:rsid w:val="00417926"/>
    <w:rsid w:val="00417A0B"/>
    <w:rsid w:val="00417A5F"/>
    <w:rsid w:val="00417AF2"/>
    <w:rsid w:val="00417BDB"/>
    <w:rsid w:val="0042012B"/>
    <w:rsid w:val="0042026D"/>
    <w:rsid w:val="0042033A"/>
    <w:rsid w:val="004203F5"/>
    <w:rsid w:val="004209D5"/>
    <w:rsid w:val="00420A0B"/>
    <w:rsid w:val="00420A24"/>
    <w:rsid w:val="00420AA7"/>
    <w:rsid w:val="00420BF0"/>
    <w:rsid w:val="00420C30"/>
    <w:rsid w:val="00420C95"/>
    <w:rsid w:val="00420CCA"/>
    <w:rsid w:val="00420D6A"/>
    <w:rsid w:val="00420D7D"/>
    <w:rsid w:val="00420D86"/>
    <w:rsid w:val="00420F0C"/>
    <w:rsid w:val="004210C5"/>
    <w:rsid w:val="00421346"/>
    <w:rsid w:val="00421374"/>
    <w:rsid w:val="004216D1"/>
    <w:rsid w:val="004218DF"/>
    <w:rsid w:val="00421C16"/>
    <w:rsid w:val="00421C57"/>
    <w:rsid w:val="00421D42"/>
    <w:rsid w:val="00421D53"/>
    <w:rsid w:val="00421ED9"/>
    <w:rsid w:val="00421F73"/>
    <w:rsid w:val="00421F7A"/>
    <w:rsid w:val="004220BA"/>
    <w:rsid w:val="00422400"/>
    <w:rsid w:val="004225CD"/>
    <w:rsid w:val="00422666"/>
    <w:rsid w:val="00422755"/>
    <w:rsid w:val="004228B9"/>
    <w:rsid w:val="004228D6"/>
    <w:rsid w:val="004229A5"/>
    <w:rsid w:val="004229BE"/>
    <w:rsid w:val="00422B74"/>
    <w:rsid w:val="00422CA8"/>
    <w:rsid w:val="00422CCD"/>
    <w:rsid w:val="00422D1D"/>
    <w:rsid w:val="00422DE1"/>
    <w:rsid w:val="0042304A"/>
    <w:rsid w:val="00423196"/>
    <w:rsid w:val="004231A7"/>
    <w:rsid w:val="004232B6"/>
    <w:rsid w:val="004233FB"/>
    <w:rsid w:val="00423481"/>
    <w:rsid w:val="0042354F"/>
    <w:rsid w:val="004236E5"/>
    <w:rsid w:val="004237F9"/>
    <w:rsid w:val="004238F0"/>
    <w:rsid w:val="004238FA"/>
    <w:rsid w:val="00423943"/>
    <w:rsid w:val="004239D4"/>
    <w:rsid w:val="00423A71"/>
    <w:rsid w:val="00423B07"/>
    <w:rsid w:val="00423B2E"/>
    <w:rsid w:val="00424002"/>
    <w:rsid w:val="004241C9"/>
    <w:rsid w:val="00424470"/>
    <w:rsid w:val="0042448F"/>
    <w:rsid w:val="004245BA"/>
    <w:rsid w:val="0042469E"/>
    <w:rsid w:val="00424718"/>
    <w:rsid w:val="004247B4"/>
    <w:rsid w:val="00424A43"/>
    <w:rsid w:val="00424BF6"/>
    <w:rsid w:val="00424C97"/>
    <w:rsid w:val="00424E5F"/>
    <w:rsid w:val="00424F73"/>
    <w:rsid w:val="004251FF"/>
    <w:rsid w:val="004253B6"/>
    <w:rsid w:val="00425435"/>
    <w:rsid w:val="0042544F"/>
    <w:rsid w:val="004256FA"/>
    <w:rsid w:val="00425803"/>
    <w:rsid w:val="00425A94"/>
    <w:rsid w:val="00425AC4"/>
    <w:rsid w:val="00425E2A"/>
    <w:rsid w:val="00425E33"/>
    <w:rsid w:val="00425F2B"/>
    <w:rsid w:val="004263FB"/>
    <w:rsid w:val="00426415"/>
    <w:rsid w:val="0042647F"/>
    <w:rsid w:val="004264C0"/>
    <w:rsid w:val="00426634"/>
    <w:rsid w:val="004266AC"/>
    <w:rsid w:val="00426ABF"/>
    <w:rsid w:val="00426B17"/>
    <w:rsid w:val="00426C18"/>
    <w:rsid w:val="00426C42"/>
    <w:rsid w:val="00426F35"/>
    <w:rsid w:val="0042711A"/>
    <w:rsid w:val="00427183"/>
    <w:rsid w:val="00427271"/>
    <w:rsid w:val="00427729"/>
    <w:rsid w:val="00427BF0"/>
    <w:rsid w:val="00427C3C"/>
    <w:rsid w:val="00427D02"/>
    <w:rsid w:val="00427E07"/>
    <w:rsid w:val="00427E55"/>
    <w:rsid w:val="00430120"/>
    <w:rsid w:val="004301A7"/>
    <w:rsid w:val="00430380"/>
    <w:rsid w:val="0043051B"/>
    <w:rsid w:val="00430643"/>
    <w:rsid w:val="004306C1"/>
    <w:rsid w:val="00430801"/>
    <w:rsid w:val="0043098A"/>
    <w:rsid w:val="00430A4F"/>
    <w:rsid w:val="00430BC9"/>
    <w:rsid w:val="00430E16"/>
    <w:rsid w:val="00430EA6"/>
    <w:rsid w:val="0043100B"/>
    <w:rsid w:val="0043112E"/>
    <w:rsid w:val="00431139"/>
    <w:rsid w:val="0043144E"/>
    <w:rsid w:val="0043151A"/>
    <w:rsid w:val="0043152D"/>
    <w:rsid w:val="0043185D"/>
    <w:rsid w:val="004318F9"/>
    <w:rsid w:val="00431969"/>
    <w:rsid w:val="00431983"/>
    <w:rsid w:val="00431A9B"/>
    <w:rsid w:val="00431DFC"/>
    <w:rsid w:val="00431F32"/>
    <w:rsid w:val="004322EA"/>
    <w:rsid w:val="004326A8"/>
    <w:rsid w:val="004328FC"/>
    <w:rsid w:val="00432A91"/>
    <w:rsid w:val="00432C47"/>
    <w:rsid w:val="00432EEF"/>
    <w:rsid w:val="00432F50"/>
    <w:rsid w:val="00433056"/>
    <w:rsid w:val="0043308B"/>
    <w:rsid w:val="0043315B"/>
    <w:rsid w:val="0043320B"/>
    <w:rsid w:val="0043339F"/>
    <w:rsid w:val="00433433"/>
    <w:rsid w:val="00433486"/>
    <w:rsid w:val="004334F4"/>
    <w:rsid w:val="00433724"/>
    <w:rsid w:val="004339EF"/>
    <w:rsid w:val="00433DAE"/>
    <w:rsid w:val="004342C5"/>
    <w:rsid w:val="004342EF"/>
    <w:rsid w:val="0043432B"/>
    <w:rsid w:val="004343A2"/>
    <w:rsid w:val="00434476"/>
    <w:rsid w:val="00434691"/>
    <w:rsid w:val="00434A00"/>
    <w:rsid w:val="00434B0D"/>
    <w:rsid w:val="00434C05"/>
    <w:rsid w:val="00434C0B"/>
    <w:rsid w:val="00434C41"/>
    <w:rsid w:val="00434E54"/>
    <w:rsid w:val="00435486"/>
    <w:rsid w:val="0043554D"/>
    <w:rsid w:val="0043555E"/>
    <w:rsid w:val="0043590D"/>
    <w:rsid w:val="0043596D"/>
    <w:rsid w:val="00435A1C"/>
    <w:rsid w:val="00435A7C"/>
    <w:rsid w:val="00435CC9"/>
    <w:rsid w:val="00435D57"/>
    <w:rsid w:val="00435D68"/>
    <w:rsid w:val="00435F6E"/>
    <w:rsid w:val="00435F70"/>
    <w:rsid w:val="00436337"/>
    <w:rsid w:val="004363F9"/>
    <w:rsid w:val="00436586"/>
    <w:rsid w:val="00436730"/>
    <w:rsid w:val="0043687C"/>
    <w:rsid w:val="004368C6"/>
    <w:rsid w:val="004369B2"/>
    <w:rsid w:val="00436AE0"/>
    <w:rsid w:val="00436C26"/>
    <w:rsid w:val="00436CBA"/>
    <w:rsid w:val="00436E33"/>
    <w:rsid w:val="00436F4A"/>
    <w:rsid w:val="00436F52"/>
    <w:rsid w:val="00436F7F"/>
    <w:rsid w:val="0043706D"/>
    <w:rsid w:val="004370D5"/>
    <w:rsid w:val="0043739B"/>
    <w:rsid w:val="004375F1"/>
    <w:rsid w:val="004377C2"/>
    <w:rsid w:val="00437992"/>
    <w:rsid w:val="00437B44"/>
    <w:rsid w:val="00437C6D"/>
    <w:rsid w:val="00437E56"/>
    <w:rsid w:val="00437ED5"/>
    <w:rsid w:val="004404B5"/>
    <w:rsid w:val="004405B8"/>
    <w:rsid w:val="004407D0"/>
    <w:rsid w:val="004407EF"/>
    <w:rsid w:val="0044084D"/>
    <w:rsid w:val="00440A37"/>
    <w:rsid w:val="00440AF1"/>
    <w:rsid w:val="00440EC5"/>
    <w:rsid w:val="00441032"/>
    <w:rsid w:val="004410DA"/>
    <w:rsid w:val="00441186"/>
    <w:rsid w:val="00441273"/>
    <w:rsid w:val="00441296"/>
    <w:rsid w:val="00441441"/>
    <w:rsid w:val="0044167F"/>
    <w:rsid w:val="00441930"/>
    <w:rsid w:val="004419C0"/>
    <w:rsid w:val="00441A49"/>
    <w:rsid w:val="00441A73"/>
    <w:rsid w:val="00441B13"/>
    <w:rsid w:val="00441F08"/>
    <w:rsid w:val="00441F58"/>
    <w:rsid w:val="0044265C"/>
    <w:rsid w:val="004426FD"/>
    <w:rsid w:val="00442765"/>
    <w:rsid w:val="004427B4"/>
    <w:rsid w:val="004428BE"/>
    <w:rsid w:val="00442981"/>
    <w:rsid w:val="004429F1"/>
    <w:rsid w:val="00442A54"/>
    <w:rsid w:val="00442D4F"/>
    <w:rsid w:val="00442EC5"/>
    <w:rsid w:val="00442F25"/>
    <w:rsid w:val="00443074"/>
    <w:rsid w:val="004431A2"/>
    <w:rsid w:val="004432C0"/>
    <w:rsid w:val="00443305"/>
    <w:rsid w:val="00443402"/>
    <w:rsid w:val="004437C3"/>
    <w:rsid w:val="004439D9"/>
    <w:rsid w:val="00443A29"/>
    <w:rsid w:val="00443BBA"/>
    <w:rsid w:val="00444251"/>
    <w:rsid w:val="00444298"/>
    <w:rsid w:val="004442AC"/>
    <w:rsid w:val="004442DF"/>
    <w:rsid w:val="0044430C"/>
    <w:rsid w:val="004445C6"/>
    <w:rsid w:val="004445DF"/>
    <w:rsid w:val="0044469C"/>
    <w:rsid w:val="004447FD"/>
    <w:rsid w:val="0044498C"/>
    <w:rsid w:val="00444CD9"/>
    <w:rsid w:val="00444D98"/>
    <w:rsid w:val="00444F48"/>
    <w:rsid w:val="00445043"/>
    <w:rsid w:val="004450EA"/>
    <w:rsid w:val="004451F8"/>
    <w:rsid w:val="00445220"/>
    <w:rsid w:val="0044530A"/>
    <w:rsid w:val="004453EF"/>
    <w:rsid w:val="00445472"/>
    <w:rsid w:val="004454E2"/>
    <w:rsid w:val="00445773"/>
    <w:rsid w:val="00445A4B"/>
    <w:rsid w:val="00445A9D"/>
    <w:rsid w:val="00445B0A"/>
    <w:rsid w:val="00445CBA"/>
    <w:rsid w:val="00445DA2"/>
    <w:rsid w:val="00445F23"/>
    <w:rsid w:val="00445F3B"/>
    <w:rsid w:val="00445FBB"/>
    <w:rsid w:val="00446017"/>
    <w:rsid w:val="004460BA"/>
    <w:rsid w:val="00446325"/>
    <w:rsid w:val="004464DE"/>
    <w:rsid w:val="00446612"/>
    <w:rsid w:val="00446825"/>
    <w:rsid w:val="00446931"/>
    <w:rsid w:val="00446BA3"/>
    <w:rsid w:val="00446CB8"/>
    <w:rsid w:val="00446E52"/>
    <w:rsid w:val="0044702F"/>
    <w:rsid w:val="0044734E"/>
    <w:rsid w:val="004475BC"/>
    <w:rsid w:val="004475BF"/>
    <w:rsid w:val="004475EF"/>
    <w:rsid w:val="00447890"/>
    <w:rsid w:val="00447A48"/>
    <w:rsid w:val="00447D6F"/>
    <w:rsid w:val="00447DD7"/>
    <w:rsid w:val="00447E1C"/>
    <w:rsid w:val="00447FDA"/>
    <w:rsid w:val="00450129"/>
    <w:rsid w:val="00450374"/>
    <w:rsid w:val="004506A7"/>
    <w:rsid w:val="0045071F"/>
    <w:rsid w:val="00450751"/>
    <w:rsid w:val="004507BA"/>
    <w:rsid w:val="004508FA"/>
    <w:rsid w:val="00450A0E"/>
    <w:rsid w:val="00450D53"/>
    <w:rsid w:val="00450F61"/>
    <w:rsid w:val="00450F7B"/>
    <w:rsid w:val="00450FB1"/>
    <w:rsid w:val="00450FED"/>
    <w:rsid w:val="0045104E"/>
    <w:rsid w:val="004510B6"/>
    <w:rsid w:val="00451309"/>
    <w:rsid w:val="0045146E"/>
    <w:rsid w:val="00451735"/>
    <w:rsid w:val="0045178F"/>
    <w:rsid w:val="004517F5"/>
    <w:rsid w:val="0045196D"/>
    <w:rsid w:val="00451A42"/>
    <w:rsid w:val="00451B2B"/>
    <w:rsid w:val="00451BD9"/>
    <w:rsid w:val="00451C03"/>
    <w:rsid w:val="00451CD3"/>
    <w:rsid w:val="00451D42"/>
    <w:rsid w:val="00451DAA"/>
    <w:rsid w:val="00451F8B"/>
    <w:rsid w:val="00451FD5"/>
    <w:rsid w:val="00452184"/>
    <w:rsid w:val="004523BE"/>
    <w:rsid w:val="004526FE"/>
    <w:rsid w:val="004528D0"/>
    <w:rsid w:val="00452B0C"/>
    <w:rsid w:val="00452BE1"/>
    <w:rsid w:val="00452C07"/>
    <w:rsid w:val="00452C91"/>
    <w:rsid w:val="00452D86"/>
    <w:rsid w:val="00452E29"/>
    <w:rsid w:val="00452F92"/>
    <w:rsid w:val="0045362F"/>
    <w:rsid w:val="004536BF"/>
    <w:rsid w:val="0045371D"/>
    <w:rsid w:val="00453771"/>
    <w:rsid w:val="004537C7"/>
    <w:rsid w:val="0045383F"/>
    <w:rsid w:val="004538BE"/>
    <w:rsid w:val="0045392F"/>
    <w:rsid w:val="00453A86"/>
    <w:rsid w:val="00453B97"/>
    <w:rsid w:val="00453BBA"/>
    <w:rsid w:val="00453BF0"/>
    <w:rsid w:val="00453C04"/>
    <w:rsid w:val="00453F55"/>
    <w:rsid w:val="00453FD2"/>
    <w:rsid w:val="004540B2"/>
    <w:rsid w:val="00454376"/>
    <w:rsid w:val="00454485"/>
    <w:rsid w:val="0045449D"/>
    <w:rsid w:val="0045450D"/>
    <w:rsid w:val="0045494C"/>
    <w:rsid w:val="00454A0F"/>
    <w:rsid w:val="00454E1E"/>
    <w:rsid w:val="00455136"/>
    <w:rsid w:val="004552C5"/>
    <w:rsid w:val="004555B0"/>
    <w:rsid w:val="00455619"/>
    <w:rsid w:val="0045581F"/>
    <w:rsid w:val="00455A9B"/>
    <w:rsid w:val="00455B96"/>
    <w:rsid w:val="00455F63"/>
    <w:rsid w:val="00455FC5"/>
    <w:rsid w:val="004560E1"/>
    <w:rsid w:val="00456185"/>
    <w:rsid w:val="004561AC"/>
    <w:rsid w:val="00456265"/>
    <w:rsid w:val="00456376"/>
    <w:rsid w:val="00456458"/>
    <w:rsid w:val="0045648C"/>
    <w:rsid w:val="004565F6"/>
    <w:rsid w:val="004569B4"/>
    <w:rsid w:val="004569B9"/>
    <w:rsid w:val="00456B8D"/>
    <w:rsid w:val="00456ECA"/>
    <w:rsid w:val="00456FEE"/>
    <w:rsid w:val="00457062"/>
    <w:rsid w:val="00457083"/>
    <w:rsid w:val="0045725C"/>
    <w:rsid w:val="004572BB"/>
    <w:rsid w:val="0045738A"/>
    <w:rsid w:val="004577C7"/>
    <w:rsid w:val="00457813"/>
    <w:rsid w:val="00457874"/>
    <w:rsid w:val="00457C17"/>
    <w:rsid w:val="00457DEA"/>
    <w:rsid w:val="00460156"/>
    <w:rsid w:val="00460494"/>
    <w:rsid w:val="004605FE"/>
    <w:rsid w:val="004609D5"/>
    <w:rsid w:val="00460DC1"/>
    <w:rsid w:val="00460E96"/>
    <w:rsid w:val="00461069"/>
    <w:rsid w:val="0046150F"/>
    <w:rsid w:val="00461526"/>
    <w:rsid w:val="004616A2"/>
    <w:rsid w:val="0046191F"/>
    <w:rsid w:val="004619D8"/>
    <w:rsid w:val="00461A8C"/>
    <w:rsid w:val="00461AFB"/>
    <w:rsid w:val="00461E07"/>
    <w:rsid w:val="00462218"/>
    <w:rsid w:val="00462221"/>
    <w:rsid w:val="004623EF"/>
    <w:rsid w:val="004624DB"/>
    <w:rsid w:val="0046251A"/>
    <w:rsid w:val="004629B6"/>
    <w:rsid w:val="00462A55"/>
    <w:rsid w:val="00462DA1"/>
    <w:rsid w:val="00462DAC"/>
    <w:rsid w:val="00462F1F"/>
    <w:rsid w:val="004634A1"/>
    <w:rsid w:val="004634FC"/>
    <w:rsid w:val="00463565"/>
    <w:rsid w:val="004635C5"/>
    <w:rsid w:val="00463658"/>
    <w:rsid w:val="00463793"/>
    <w:rsid w:val="00463ADC"/>
    <w:rsid w:val="00463BB6"/>
    <w:rsid w:val="00464075"/>
    <w:rsid w:val="00464177"/>
    <w:rsid w:val="004641B4"/>
    <w:rsid w:val="004641C0"/>
    <w:rsid w:val="004641ED"/>
    <w:rsid w:val="004642AE"/>
    <w:rsid w:val="004642C5"/>
    <w:rsid w:val="0046439D"/>
    <w:rsid w:val="0046450E"/>
    <w:rsid w:val="0046461D"/>
    <w:rsid w:val="00464741"/>
    <w:rsid w:val="004647C2"/>
    <w:rsid w:val="004647CA"/>
    <w:rsid w:val="004648B4"/>
    <w:rsid w:val="00464A29"/>
    <w:rsid w:val="00464A4A"/>
    <w:rsid w:val="00464B42"/>
    <w:rsid w:val="00464B85"/>
    <w:rsid w:val="00464C04"/>
    <w:rsid w:val="00464C2C"/>
    <w:rsid w:val="00464C42"/>
    <w:rsid w:val="00464EA9"/>
    <w:rsid w:val="00464EE4"/>
    <w:rsid w:val="00464FB4"/>
    <w:rsid w:val="0046532C"/>
    <w:rsid w:val="0046543A"/>
    <w:rsid w:val="004654AC"/>
    <w:rsid w:val="0046564E"/>
    <w:rsid w:val="004656DE"/>
    <w:rsid w:val="00465711"/>
    <w:rsid w:val="00465741"/>
    <w:rsid w:val="00465789"/>
    <w:rsid w:val="00465889"/>
    <w:rsid w:val="00465945"/>
    <w:rsid w:val="00465A30"/>
    <w:rsid w:val="00465A68"/>
    <w:rsid w:val="00465BD9"/>
    <w:rsid w:val="00465BF2"/>
    <w:rsid w:val="004660ED"/>
    <w:rsid w:val="004662CC"/>
    <w:rsid w:val="004663D1"/>
    <w:rsid w:val="00466557"/>
    <w:rsid w:val="00466AC5"/>
    <w:rsid w:val="00466B38"/>
    <w:rsid w:val="00466B97"/>
    <w:rsid w:val="00466BC5"/>
    <w:rsid w:val="00466C34"/>
    <w:rsid w:val="00466E21"/>
    <w:rsid w:val="00467057"/>
    <w:rsid w:val="004670DE"/>
    <w:rsid w:val="00467143"/>
    <w:rsid w:val="004672AF"/>
    <w:rsid w:val="00467530"/>
    <w:rsid w:val="0046774D"/>
    <w:rsid w:val="00467758"/>
    <w:rsid w:val="004677C3"/>
    <w:rsid w:val="004678B4"/>
    <w:rsid w:val="004679E8"/>
    <w:rsid w:val="00467A05"/>
    <w:rsid w:val="00467B7E"/>
    <w:rsid w:val="00467CFD"/>
    <w:rsid w:val="00467D05"/>
    <w:rsid w:val="0047043A"/>
    <w:rsid w:val="004706AE"/>
    <w:rsid w:val="004708E3"/>
    <w:rsid w:val="00470B17"/>
    <w:rsid w:val="00470BF7"/>
    <w:rsid w:val="00470C13"/>
    <w:rsid w:val="00470C6C"/>
    <w:rsid w:val="00470D22"/>
    <w:rsid w:val="00470DD0"/>
    <w:rsid w:val="00470DF3"/>
    <w:rsid w:val="004711A2"/>
    <w:rsid w:val="004713D9"/>
    <w:rsid w:val="00471567"/>
    <w:rsid w:val="004715FC"/>
    <w:rsid w:val="004716E6"/>
    <w:rsid w:val="004718F9"/>
    <w:rsid w:val="00471EBC"/>
    <w:rsid w:val="00472074"/>
    <w:rsid w:val="004721AA"/>
    <w:rsid w:val="00472266"/>
    <w:rsid w:val="004723D0"/>
    <w:rsid w:val="004724E4"/>
    <w:rsid w:val="004724F9"/>
    <w:rsid w:val="004726D9"/>
    <w:rsid w:val="00472712"/>
    <w:rsid w:val="004727A7"/>
    <w:rsid w:val="00472926"/>
    <w:rsid w:val="00472B4D"/>
    <w:rsid w:val="00472CC3"/>
    <w:rsid w:val="00473032"/>
    <w:rsid w:val="0047304A"/>
    <w:rsid w:val="00473094"/>
    <w:rsid w:val="004731E3"/>
    <w:rsid w:val="0047323C"/>
    <w:rsid w:val="004733A7"/>
    <w:rsid w:val="0047347E"/>
    <w:rsid w:val="00473674"/>
    <w:rsid w:val="00473695"/>
    <w:rsid w:val="004737A5"/>
    <w:rsid w:val="0047388F"/>
    <w:rsid w:val="004739B2"/>
    <w:rsid w:val="004739E0"/>
    <w:rsid w:val="00473CA3"/>
    <w:rsid w:val="00473CFB"/>
    <w:rsid w:val="004740A9"/>
    <w:rsid w:val="00474190"/>
    <w:rsid w:val="004742AA"/>
    <w:rsid w:val="00474341"/>
    <w:rsid w:val="00474A4C"/>
    <w:rsid w:val="00474BA9"/>
    <w:rsid w:val="00475082"/>
    <w:rsid w:val="004751EC"/>
    <w:rsid w:val="0047527C"/>
    <w:rsid w:val="00475308"/>
    <w:rsid w:val="004755AC"/>
    <w:rsid w:val="00475685"/>
    <w:rsid w:val="004757D2"/>
    <w:rsid w:val="0047586F"/>
    <w:rsid w:val="00475974"/>
    <w:rsid w:val="00475A1E"/>
    <w:rsid w:val="00475F20"/>
    <w:rsid w:val="00475FEE"/>
    <w:rsid w:val="0047659E"/>
    <w:rsid w:val="00476866"/>
    <w:rsid w:val="00476966"/>
    <w:rsid w:val="00476C4E"/>
    <w:rsid w:val="00476D4E"/>
    <w:rsid w:val="00476E36"/>
    <w:rsid w:val="00476F34"/>
    <w:rsid w:val="0047735C"/>
    <w:rsid w:val="004773E5"/>
    <w:rsid w:val="00477728"/>
    <w:rsid w:val="00477911"/>
    <w:rsid w:val="00477943"/>
    <w:rsid w:val="00477C6F"/>
    <w:rsid w:val="00477DB5"/>
    <w:rsid w:val="00477EED"/>
    <w:rsid w:val="00477FFB"/>
    <w:rsid w:val="004800EE"/>
    <w:rsid w:val="00480478"/>
    <w:rsid w:val="00480557"/>
    <w:rsid w:val="0048063A"/>
    <w:rsid w:val="004806A2"/>
    <w:rsid w:val="004807E5"/>
    <w:rsid w:val="00480861"/>
    <w:rsid w:val="00480864"/>
    <w:rsid w:val="00480B1E"/>
    <w:rsid w:val="00480FF5"/>
    <w:rsid w:val="004811A1"/>
    <w:rsid w:val="00481222"/>
    <w:rsid w:val="00481486"/>
    <w:rsid w:val="00481604"/>
    <w:rsid w:val="00481703"/>
    <w:rsid w:val="0048190D"/>
    <w:rsid w:val="004819D4"/>
    <w:rsid w:val="00481BDB"/>
    <w:rsid w:val="00481E54"/>
    <w:rsid w:val="00481FC2"/>
    <w:rsid w:val="004821AB"/>
    <w:rsid w:val="004824D6"/>
    <w:rsid w:val="004824DE"/>
    <w:rsid w:val="004825F0"/>
    <w:rsid w:val="0048263A"/>
    <w:rsid w:val="00482703"/>
    <w:rsid w:val="004827CA"/>
    <w:rsid w:val="004827E8"/>
    <w:rsid w:val="0048284B"/>
    <w:rsid w:val="004828C3"/>
    <w:rsid w:val="004829C0"/>
    <w:rsid w:val="00482E58"/>
    <w:rsid w:val="00482EFF"/>
    <w:rsid w:val="004830B8"/>
    <w:rsid w:val="004830CC"/>
    <w:rsid w:val="004830EE"/>
    <w:rsid w:val="004831B7"/>
    <w:rsid w:val="0048365E"/>
    <w:rsid w:val="00483702"/>
    <w:rsid w:val="00483948"/>
    <w:rsid w:val="00483B02"/>
    <w:rsid w:val="00483BCD"/>
    <w:rsid w:val="00483FA3"/>
    <w:rsid w:val="00484017"/>
    <w:rsid w:val="0048403A"/>
    <w:rsid w:val="00484042"/>
    <w:rsid w:val="004840D9"/>
    <w:rsid w:val="00484139"/>
    <w:rsid w:val="00484314"/>
    <w:rsid w:val="0048449E"/>
    <w:rsid w:val="00484984"/>
    <w:rsid w:val="00484A07"/>
    <w:rsid w:val="00484A1F"/>
    <w:rsid w:val="00484C08"/>
    <w:rsid w:val="00484DA0"/>
    <w:rsid w:val="00484EB9"/>
    <w:rsid w:val="00484F18"/>
    <w:rsid w:val="004851FB"/>
    <w:rsid w:val="004853BA"/>
    <w:rsid w:val="00485439"/>
    <w:rsid w:val="004855F7"/>
    <w:rsid w:val="00485763"/>
    <w:rsid w:val="00485919"/>
    <w:rsid w:val="00485AC7"/>
    <w:rsid w:val="00485B63"/>
    <w:rsid w:val="00485D2E"/>
    <w:rsid w:val="00485DA9"/>
    <w:rsid w:val="00485EF0"/>
    <w:rsid w:val="0048624E"/>
    <w:rsid w:val="004862FA"/>
    <w:rsid w:val="004864C2"/>
    <w:rsid w:val="00486598"/>
    <w:rsid w:val="00486759"/>
    <w:rsid w:val="004867FC"/>
    <w:rsid w:val="00486F25"/>
    <w:rsid w:val="0048721C"/>
    <w:rsid w:val="0048728B"/>
    <w:rsid w:val="004873FF"/>
    <w:rsid w:val="004874C1"/>
    <w:rsid w:val="004876C5"/>
    <w:rsid w:val="0048775C"/>
    <w:rsid w:val="0049003C"/>
    <w:rsid w:val="0049006A"/>
    <w:rsid w:val="00490310"/>
    <w:rsid w:val="0049037B"/>
    <w:rsid w:val="004903AE"/>
    <w:rsid w:val="004904CE"/>
    <w:rsid w:val="0049052E"/>
    <w:rsid w:val="0049066C"/>
    <w:rsid w:val="00490685"/>
    <w:rsid w:val="00490840"/>
    <w:rsid w:val="0049086F"/>
    <w:rsid w:val="004909F0"/>
    <w:rsid w:val="00490A7C"/>
    <w:rsid w:val="00490D0B"/>
    <w:rsid w:val="00490D96"/>
    <w:rsid w:val="00490E5D"/>
    <w:rsid w:val="00491090"/>
    <w:rsid w:val="00491309"/>
    <w:rsid w:val="004914D8"/>
    <w:rsid w:val="00491841"/>
    <w:rsid w:val="00491889"/>
    <w:rsid w:val="00491B64"/>
    <w:rsid w:val="00491C1A"/>
    <w:rsid w:val="00491C44"/>
    <w:rsid w:val="00491C6D"/>
    <w:rsid w:val="00491D0C"/>
    <w:rsid w:val="00491D75"/>
    <w:rsid w:val="00491F0B"/>
    <w:rsid w:val="00492121"/>
    <w:rsid w:val="004923D7"/>
    <w:rsid w:val="004923F8"/>
    <w:rsid w:val="0049241D"/>
    <w:rsid w:val="00492557"/>
    <w:rsid w:val="004927A4"/>
    <w:rsid w:val="00492CF0"/>
    <w:rsid w:val="00492D94"/>
    <w:rsid w:val="00493086"/>
    <w:rsid w:val="00493182"/>
    <w:rsid w:val="004932E2"/>
    <w:rsid w:val="00493771"/>
    <w:rsid w:val="0049395F"/>
    <w:rsid w:val="004939B2"/>
    <w:rsid w:val="00493AFC"/>
    <w:rsid w:val="00493B43"/>
    <w:rsid w:val="00493CC3"/>
    <w:rsid w:val="00494338"/>
    <w:rsid w:val="00494677"/>
    <w:rsid w:val="00494724"/>
    <w:rsid w:val="004948E8"/>
    <w:rsid w:val="00494A78"/>
    <w:rsid w:val="00494C28"/>
    <w:rsid w:val="00494E29"/>
    <w:rsid w:val="00495225"/>
    <w:rsid w:val="0049531B"/>
    <w:rsid w:val="00495419"/>
    <w:rsid w:val="004954B2"/>
    <w:rsid w:val="00495522"/>
    <w:rsid w:val="00495623"/>
    <w:rsid w:val="004956FE"/>
    <w:rsid w:val="00495A95"/>
    <w:rsid w:val="00495D1F"/>
    <w:rsid w:val="00495E35"/>
    <w:rsid w:val="00495E46"/>
    <w:rsid w:val="00495ED4"/>
    <w:rsid w:val="0049603E"/>
    <w:rsid w:val="0049622D"/>
    <w:rsid w:val="004962F8"/>
    <w:rsid w:val="00496302"/>
    <w:rsid w:val="00496588"/>
    <w:rsid w:val="004967D5"/>
    <w:rsid w:val="004968FD"/>
    <w:rsid w:val="004969FA"/>
    <w:rsid w:val="00496DDC"/>
    <w:rsid w:val="00496E1B"/>
    <w:rsid w:val="00496F33"/>
    <w:rsid w:val="00496F36"/>
    <w:rsid w:val="00496FBD"/>
    <w:rsid w:val="00497241"/>
    <w:rsid w:val="00497326"/>
    <w:rsid w:val="00497360"/>
    <w:rsid w:val="0049738E"/>
    <w:rsid w:val="00497764"/>
    <w:rsid w:val="00497874"/>
    <w:rsid w:val="00497888"/>
    <w:rsid w:val="004979C8"/>
    <w:rsid w:val="00497A7F"/>
    <w:rsid w:val="00497CE5"/>
    <w:rsid w:val="004A0164"/>
    <w:rsid w:val="004A0A47"/>
    <w:rsid w:val="004A0D8D"/>
    <w:rsid w:val="004A0DD5"/>
    <w:rsid w:val="004A10B8"/>
    <w:rsid w:val="004A14EA"/>
    <w:rsid w:val="004A19EF"/>
    <w:rsid w:val="004A1AC2"/>
    <w:rsid w:val="004A1AD3"/>
    <w:rsid w:val="004A1B84"/>
    <w:rsid w:val="004A1C39"/>
    <w:rsid w:val="004A1EFC"/>
    <w:rsid w:val="004A2020"/>
    <w:rsid w:val="004A2177"/>
    <w:rsid w:val="004A21B5"/>
    <w:rsid w:val="004A21C7"/>
    <w:rsid w:val="004A21E2"/>
    <w:rsid w:val="004A228A"/>
    <w:rsid w:val="004A22DD"/>
    <w:rsid w:val="004A2367"/>
    <w:rsid w:val="004A24B0"/>
    <w:rsid w:val="004A25C0"/>
    <w:rsid w:val="004A25DD"/>
    <w:rsid w:val="004A25E4"/>
    <w:rsid w:val="004A2774"/>
    <w:rsid w:val="004A27B4"/>
    <w:rsid w:val="004A2A24"/>
    <w:rsid w:val="004A2AAE"/>
    <w:rsid w:val="004A2D16"/>
    <w:rsid w:val="004A2E67"/>
    <w:rsid w:val="004A2F5D"/>
    <w:rsid w:val="004A30B0"/>
    <w:rsid w:val="004A34C0"/>
    <w:rsid w:val="004A35E8"/>
    <w:rsid w:val="004A36F7"/>
    <w:rsid w:val="004A3706"/>
    <w:rsid w:val="004A3B14"/>
    <w:rsid w:val="004A3F32"/>
    <w:rsid w:val="004A3F3A"/>
    <w:rsid w:val="004A3F88"/>
    <w:rsid w:val="004A4019"/>
    <w:rsid w:val="004A4312"/>
    <w:rsid w:val="004A432F"/>
    <w:rsid w:val="004A46CA"/>
    <w:rsid w:val="004A471A"/>
    <w:rsid w:val="004A4823"/>
    <w:rsid w:val="004A4850"/>
    <w:rsid w:val="004A48E2"/>
    <w:rsid w:val="004A4AD9"/>
    <w:rsid w:val="004A4FA0"/>
    <w:rsid w:val="004A510B"/>
    <w:rsid w:val="004A51F5"/>
    <w:rsid w:val="004A544C"/>
    <w:rsid w:val="004A575D"/>
    <w:rsid w:val="004A58A4"/>
    <w:rsid w:val="004A58FC"/>
    <w:rsid w:val="004A596E"/>
    <w:rsid w:val="004A5990"/>
    <w:rsid w:val="004A5A4C"/>
    <w:rsid w:val="004A5A67"/>
    <w:rsid w:val="004A5A7C"/>
    <w:rsid w:val="004A5B10"/>
    <w:rsid w:val="004A5C98"/>
    <w:rsid w:val="004A5E30"/>
    <w:rsid w:val="004A5E45"/>
    <w:rsid w:val="004A5E53"/>
    <w:rsid w:val="004A5FC0"/>
    <w:rsid w:val="004A5FDC"/>
    <w:rsid w:val="004A6048"/>
    <w:rsid w:val="004A6194"/>
    <w:rsid w:val="004A6263"/>
    <w:rsid w:val="004A642E"/>
    <w:rsid w:val="004A657B"/>
    <w:rsid w:val="004A65E0"/>
    <w:rsid w:val="004A677A"/>
    <w:rsid w:val="004A67DE"/>
    <w:rsid w:val="004A67FE"/>
    <w:rsid w:val="004A6955"/>
    <w:rsid w:val="004A6B01"/>
    <w:rsid w:val="004A6B69"/>
    <w:rsid w:val="004A6E2D"/>
    <w:rsid w:val="004A6F04"/>
    <w:rsid w:val="004A7010"/>
    <w:rsid w:val="004A73F5"/>
    <w:rsid w:val="004A77F6"/>
    <w:rsid w:val="004A799E"/>
    <w:rsid w:val="004A79A1"/>
    <w:rsid w:val="004A7A8B"/>
    <w:rsid w:val="004A7BC4"/>
    <w:rsid w:val="004A7C89"/>
    <w:rsid w:val="004A7D2B"/>
    <w:rsid w:val="004A7D7E"/>
    <w:rsid w:val="004A7E5B"/>
    <w:rsid w:val="004A7F92"/>
    <w:rsid w:val="004A7F9B"/>
    <w:rsid w:val="004A7FA2"/>
    <w:rsid w:val="004A7FE7"/>
    <w:rsid w:val="004B0048"/>
    <w:rsid w:val="004B004E"/>
    <w:rsid w:val="004B0130"/>
    <w:rsid w:val="004B0183"/>
    <w:rsid w:val="004B0557"/>
    <w:rsid w:val="004B06D5"/>
    <w:rsid w:val="004B076E"/>
    <w:rsid w:val="004B08A0"/>
    <w:rsid w:val="004B096D"/>
    <w:rsid w:val="004B09FB"/>
    <w:rsid w:val="004B0D67"/>
    <w:rsid w:val="004B0F75"/>
    <w:rsid w:val="004B10DE"/>
    <w:rsid w:val="004B12E4"/>
    <w:rsid w:val="004B15F5"/>
    <w:rsid w:val="004B17E3"/>
    <w:rsid w:val="004B17F1"/>
    <w:rsid w:val="004B1842"/>
    <w:rsid w:val="004B18BD"/>
    <w:rsid w:val="004B18D1"/>
    <w:rsid w:val="004B194F"/>
    <w:rsid w:val="004B1A37"/>
    <w:rsid w:val="004B1C6F"/>
    <w:rsid w:val="004B2248"/>
    <w:rsid w:val="004B227D"/>
    <w:rsid w:val="004B23E6"/>
    <w:rsid w:val="004B24A6"/>
    <w:rsid w:val="004B2582"/>
    <w:rsid w:val="004B280C"/>
    <w:rsid w:val="004B284A"/>
    <w:rsid w:val="004B2859"/>
    <w:rsid w:val="004B2920"/>
    <w:rsid w:val="004B2A2F"/>
    <w:rsid w:val="004B2A39"/>
    <w:rsid w:val="004B2A7B"/>
    <w:rsid w:val="004B2BA5"/>
    <w:rsid w:val="004B2CAE"/>
    <w:rsid w:val="004B2D22"/>
    <w:rsid w:val="004B2EB2"/>
    <w:rsid w:val="004B2EDF"/>
    <w:rsid w:val="004B2F73"/>
    <w:rsid w:val="004B2FB1"/>
    <w:rsid w:val="004B30BF"/>
    <w:rsid w:val="004B311E"/>
    <w:rsid w:val="004B3376"/>
    <w:rsid w:val="004B34B3"/>
    <w:rsid w:val="004B36B1"/>
    <w:rsid w:val="004B373B"/>
    <w:rsid w:val="004B37AD"/>
    <w:rsid w:val="004B3854"/>
    <w:rsid w:val="004B3872"/>
    <w:rsid w:val="004B396D"/>
    <w:rsid w:val="004B3C09"/>
    <w:rsid w:val="004B3E82"/>
    <w:rsid w:val="004B3EBB"/>
    <w:rsid w:val="004B3FE7"/>
    <w:rsid w:val="004B411C"/>
    <w:rsid w:val="004B4206"/>
    <w:rsid w:val="004B42F6"/>
    <w:rsid w:val="004B43C5"/>
    <w:rsid w:val="004B442D"/>
    <w:rsid w:val="004B44A5"/>
    <w:rsid w:val="004B4A2A"/>
    <w:rsid w:val="004B4B83"/>
    <w:rsid w:val="004B4D0A"/>
    <w:rsid w:val="004B4D9F"/>
    <w:rsid w:val="004B4F63"/>
    <w:rsid w:val="004B5036"/>
    <w:rsid w:val="004B5576"/>
    <w:rsid w:val="004B562E"/>
    <w:rsid w:val="004B5885"/>
    <w:rsid w:val="004B59CA"/>
    <w:rsid w:val="004B5A7D"/>
    <w:rsid w:val="004B5D02"/>
    <w:rsid w:val="004B5DAA"/>
    <w:rsid w:val="004B6076"/>
    <w:rsid w:val="004B6160"/>
    <w:rsid w:val="004B62F8"/>
    <w:rsid w:val="004B6592"/>
    <w:rsid w:val="004B670F"/>
    <w:rsid w:val="004B67DE"/>
    <w:rsid w:val="004B698C"/>
    <w:rsid w:val="004B6A22"/>
    <w:rsid w:val="004B6A55"/>
    <w:rsid w:val="004B6A7A"/>
    <w:rsid w:val="004B6C92"/>
    <w:rsid w:val="004B6CBE"/>
    <w:rsid w:val="004B6CE3"/>
    <w:rsid w:val="004B6E3B"/>
    <w:rsid w:val="004B6F11"/>
    <w:rsid w:val="004B6FD8"/>
    <w:rsid w:val="004B7008"/>
    <w:rsid w:val="004B741D"/>
    <w:rsid w:val="004B7551"/>
    <w:rsid w:val="004B779E"/>
    <w:rsid w:val="004B785E"/>
    <w:rsid w:val="004B7AE6"/>
    <w:rsid w:val="004B7C78"/>
    <w:rsid w:val="004B7CBA"/>
    <w:rsid w:val="004B7E01"/>
    <w:rsid w:val="004B7F0F"/>
    <w:rsid w:val="004B7F2D"/>
    <w:rsid w:val="004C004D"/>
    <w:rsid w:val="004C0291"/>
    <w:rsid w:val="004C0349"/>
    <w:rsid w:val="004C03A7"/>
    <w:rsid w:val="004C04D9"/>
    <w:rsid w:val="004C05C1"/>
    <w:rsid w:val="004C0743"/>
    <w:rsid w:val="004C07DD"/>
    <w:rsid w:val="004C0810"/>
    <w:rsid w:val="004C0863"/>
    <w:rsid w:val="004C0B15"/>
    <w:rsid w:val="004C0E8B"/>
    <w:rsid w:val="004C0EE9"/>
    <w:rsid w:val="004C0EF3"/>
    <w:rsid w:val="004C0FE2"/>
    <w:rsid w:val="004C1073"/>
    <w:rsid w:val="004C131C"/>
    <w:rsid w:val="004C1320"/>
    <w:rsid w:val="004C13ED"/>
    <w:rsid w:val="004C16A8"/>
    <w:rsid w:val="004C16D0"/>
    <w:rsid w:val="004C1863"/>
    <w:rsid w:val="004C1C38"/>
    <w:rsid w:val="004C1DE5"/>
    <w:rsid w:val="004C1E1F"/>
    <w:rsid w:val="004C1E2A"/>
    <w:rsid w:val="004C1EBA"/>
    <w:rsid w:val="004C1ED1"/>
    <w:rsid w:val="004C20EC"/>
    <w:rsid w:val="004C24C7"/>
    <w:rsid w:val="004C26E9"/>
    <w:rsid w:val="004C276D"/>
    <w:rsid w:val="004C288C"/>
    <w:rsid w:val="004C29BD"/>
    <w:rsid w:val="004C2CC9"/>
    <w:rsid w:val="004C2D7A"/>
    <w:rsid w:val="004C2F5E"/>
    <w:rsid w:val="004C2F61"/>
    <w:rsid w:val="004C3073"/>
    <w:rsid w:val="004C309F"/>
    <w:rsid w:val="004C3160"/>
    <w:rsid w:val="004C31A2"/>
    <w:rsid w:val="004C31D5"/>
    <w:rsid w:val="004C3223"/>
    <w:rsid w:val="004C3481"/>
    <w:rsid w:val="004C3483"/>
    <w:rsid w:val="004C348A"/>
    <w:rsid w:val="004C35B0"/>
    <w:rsid w:val="004C35D9"/>
    <w:rsid w:val="004C3772"/>
    <w:rsid w:val="004C390B"/>
    <w:rsid w:val="004C3959"/>
    <w:rsid w:val="004C3DBC"/>
    <w:rsid w:val="004C3E0A"/>
    <w:rsid w:val="004C3E49"/>
    <w:rsid w:val="004C412C"/>
    <w:rsid w:val="004C4134"/>
    <w:rsid w:val="004C4427"/>
    <w:rsid w:val="004C4475"/>
    <w:rsid w:val="004C455F"/>
    <w:rsid w:val="004C4857"/>
    <w:rsid w:val="004C496A"/>
    <w:rsid w:val="004C4C00"/>
    <w:rsid w:val="004C4C01"/>
    <w:rsid w:val="004C4D02"/>
    <w:rsid w:val="004C4DD7"/>
    <w:rsid w:val="004C4DF6"/>
    <w:rsid w:val="004C4E21"/>
    <w:rsid w:val="004C4F54"/>
    <w:rsid w:val="004C4FB0"/>
    <w:rsid w:val="004C5026"/>
    <w:rsid w:val="004C5087"/>
    <w:rsid w:val="004C5179"/>
    <w:rsid w:val="004C525B"/>
    <w:rsid w:val="004C53FD"/>
    <w:rsid w:val="004C5405"/>
    <w:rsid w:val="004C55A8"/>
    <w:rsid w:val="004C569E"/>
    <w:rsid w:val="004C594B"/>
    <w:rsid w:val="004C5987"/>
    <w:rsid w:val="004C5AB1"/>
    <w:rsid w:val="004C5ABE"/>
    <w:rsid w:val="004C5CBA"/>
    <w:rsid w:val="004C5CEB"/>
    <w:rsid w:val="004C5E62"/>
    <w:rsid w:val="004C5E8A"/>
    <w:rsid w:val="004C5F1F"/>
    <w:rsid w:val="004C605E"/>
    <w:rsid w:val="004C60A1"/>
    <w:rsid w:val="004C60C4"/>
    <w:rsid w:val="004C61F0"/>
    <w:rsid w:val="004C66C5"/>
    <w:rsid w:val="004C674F"/>
    <w:rsid w:val="004C6AE3"/>
    <w:rsid w:val="004C6B34"/>
    <w:rsid w:val="004C6B7E"/>
    <w:rsid w:val="004C6BAA"/>
    <w:rsid w:val="004C6C18"/>
    <w:rsid w:val="004C6E16"/>
    <w:rsid w:val="004C6FFA"/>
    <w:rsid w:val="004C70E2"/>
    <w:rsid w:val="004C70E8"/>
    <w:rsid w:val="004C751A"/>
    <w:rsid w:val="004C752E"/>
    <w:rsid w:val="004C7574"/>
    <w:rsid w:val="004C758B"/>
    <w:rsid w:val="004C76F0"/>
    <w:rsid w:val="004C7762"/>
    <w:rsid w:val="004C7781"/>
    <w:rsid w:val="004C77F6"/>
    <w:rsid w:val="004C77F7"/>
    <w:rsid w:val="004C7894"/>
    <w:rsid w:val="004C79ED"/>
    <w:rsid w:val="004C7D24"/>
    <w:rsid w:val="004C7E1E"/>
    <w:rsid w:val="004D0009"/>
    <w:rsid w:val="004D0420"/>
    <w:rsid w:val="004D066D"/>
    <w:rsid w:val="004D07F2"/>
    <w:rsid w:val="004D0B3C"/>
    <w:rsid w:val="004D0C2A"/>
    <w:rsid w:val="004D10BE"/>
    <w:rsid w:val="004D11CE"/>
    <w:rsid w:val="004D1395"/>
    <w:rsid w:val="004D1455"/>
    <w:rsid w:val="004D14C4"/>
    <w:rsid w:val="004D1740"/>
    <w:rsid w:val="004D17A4"/>
    <w:rsid w:val="004D18EE"/>
    <w:rsid w:val="004D197A"/>
    <w:rsid w:val="004D1A0A"/>
    <w:rsid w:val="004D1A7A"/>
    <w:rsid w:val="004D1B27"/>
    <w:rsid w:val="004D2130"/>
    <w:rsid w:val="004D22BD"/>
    <w:rsid w:val="004D2403"/>
    <w:rsid w:val="004D245F"/>
    <w:rsid w:val="004D2535"/>
    <w:rsid w:val="004D2544"/>
    <w:rsid w:val="004D286A"/>
    <w:rsid w:val="004D28AD"/>
    <w:rsid w:val="004D28B7"/>
    <w:rsid w:val="004D28E9"/>
    <w:rsid w:val="004D28EB"/>
    <w:rsid w:val="004D291D"/>
    <w:rsid w:val="004D2940"/>
    <w:rsid w:val="004D29DA"/>
    <w:rsid w:val="004D2A73"/>
    <w:rsid w:val="004D2DA9"/>
    <w:rsid w:val="004D2DD3"/>
    <w:rsid w:val="004D2E02"/>
    <w:rsid w:val="004D2E87"/>
    <w:rsid w:val="004D2F06"/>
    <w:rsid w:val="004D2F0D"/>
    <w:rsid w:val="004D2F3E"/>
    <w:rsid w:val="004D2F64"/>
    <w:rsid w:val="004D2FDD"/>
    <w:rsid w:val="004D3275"/>
    <w:rsid w:val="004D3415"/>
    <w:rsid w:val="004D3515"/>
    <w:rsid w:val="004D3691"/>
    <w:rsid w:val="004D3876"/>
    <w:rsid w:val="004D398C"/>
    <w:rsid w:val="004D3994"/>
    <w:rsid w:val="004D3AF1"/>
    <w:rsid w:val="004D3D58"/>
    <w:rsid w:val="004D3E30"/>
    <w:rsid w:val="004D3E7C"/>
    <w:rsid w:val="004D3F48"/>
    <w:rsid w:val="004D3FFB"/>
    <w:rsid w:val="004D404F"/>
    <w:rsid w:val="004D414C"/>
    <w:rsid w:val="004D4466"/>
    <w:rsid w:val="004D46C4"/>
    <w:rsid w:val="004D477F"/>
    <w:rsid w:val="004D48F4"/>
    <w:rsid w:val="004D4B6E"/>
    <w:rsid w:val="004D4B9E"/>
    <w:rsid w:val="004D4C19"/>
    <w:rsid w:val="004D4EDF"/>
    <w:rsid w:val="004D4FA0"/>
    <w:rsid w:val="004D5022"/>
    <w:rsid w:val="004D51E7"/>
    <w:rsid w:val="004D51EE"/>
    <w:rsid w:val="004D554B"/>
    <w:rsid w:val="004D55A7"/>
    <w:rsid w:val="004D55D8"/>
    <w:rsid w:val="004D57E3"/>
    <w:rsid w:val="004D5915"/>
    <w:rsid w:val="004D5AC4"/>
    <w:rsid w:val="004D5C9D"/>
    <w:rsid w:val="004D5D90"/>
    <w:rsid w:val="004D6077"/>
    <w:rsid w:val="004D60D1"/>
    <w:rsid w:val="004D619F"/>
    <w:rsid w:val="004D6574"/>
    <w:rsid w:val="004D66FF"/>
    <w:rsid w:val="004D67B1"/>
    <w:rsid w:val="004D6815"/>
    <w:rsid w:val="004D68A7"/>
    <w:rsid w:val="004D6B0F"/>
    <w:rsid w:val="004D6B57"/>
    <w:rsid w:val="004D6CDC"/>
    <w:rsid w:val="004D6E90"/>
    <w:rsid w:val="004D6F1B"/>
    <w:rsid w:val="004D7104"/>
    <w:rsid w:val="004D7173"/>
    <w:rsid w:val="004D73C5"/>
    <w:rsid w:val="004D73CE"/>
    <w:rsid w:val="004D752F"/>
    <w:rsid w:val="004D76AC"/>
    <w:rsid w:val="004D7B1E"/>
    <w:rsid w:val="004D7B45"/>
    <w:rsid w:val="004D7C0F"/>
    <w:rsid w:val="004D7C8F"/>
    <w:rsid w:val="004D7CD9"/>
    <w:rsid w:val="004D7D27"/>
    <w:rsid w:val="004D7DD4"/>
    <w:rsid w:val="004D7F02"/>
    <w:rsid w:val="004D7F12"/>
    <w:rsid w:val="004D7FA3"/>
    <w:rsid w:val="004E0497"/>
    <w:rsid w:val="004E050C"/>
    <w:rsid w:val="004E07B0"/>
    <w:rsid w:val="004E089D"/>
    <w:rsid w:val="004E095E"/>
    <w:rsid w:val="004E0A70"/>
    <w:rsid w:val="004E0B18"/>
    <w:rsid w:val="004E0C36"/>
    <w:rsid w:val="004E0C9A"/>
    <w:rsid w:val="004E0CC2"/>
    <w:rsid w:val="004E0DC2"/>
    <w:rsid w:val="004E0E2E"/>
    <w:rsid w:val="004E0E8A"/>
    <w:rsid w:val="004E104A"/>
    <w:rsid w:val="004E1257"/>
    <w:rsid w:val="004E12B2"/>
    <w:rsid w:val="004E1542"/>
    <w:rsid w:val="004E1773"/>
    <w:rsid w:val="004E1B59"/>
    <w:rsid w:val="004E1BD5"/>
    <w:rsid w:val="004E1E74"/>
    <w:rsid w:val="004E1EE9"/>
    <w:rsid w:val="004E2192"/>
    <w:rsid w:val="004E269A"/>
    <w:rsid w:val="004E27B9"/>
    <w:rsid w:val="004E2AB0"/>
    <w:rsid w:val="004E2B43"/>
    <w:rsid w:val="004E2BE8"/>
    <w:rsid w:val="004E2C19"/>
    <w:rsid w:val="004E2DD5"/>
    <w:rsid w:val="004E2E2F"/>
    <w:rsid w:val="004E2FDB"/>
    <w:rsid w:val="004E3086"/>
    <w:rsid w:val="004E3099"/>
    <w:rsid w:val="004E3124"/>
    <w:rsid w:val="004E354B"/>
    <w:rsid w:val="004E3569"/>
    <w:rsid w:val="004E3573"/>
    <w:rsid w:val="004E3597"/>
    <w:rsid w:val="004E3908"/>
    <w:rsid w:val="004E3A5B"/>
    <w:rsid w:val="004E3E00"/>
    <w:rsid w:val="004E3F08"/>
    <w:rsid w:val="004E3F0F"/>
    <w:rsid w:val="004E3F17"/>
    <w:rsid w:val="004E3F33"/>
    <w:rsid w:val="004E3F54"/>
    <w:rsid w:val="004E40F0"/>
    <w:rsid w:val="004E4293"/>
    <w:rsid w:val="004E44D4"/>
    <w:rsid w:val="004E459A"/>
    <w:rsid w:val="004E4693"/>
    <w:rsid w:val="004E474F"/>
    <w:rsid w:val="004E47A2"/>
    <w:rsid w:val="004E4C0E"/>
    <w:rsid w:val="004E55A7"/>
    <w:rsid w:val="004E5A05"/>
    <w:rsid w:val="004E5A15"/>
    <w:rsid w:val="004E5B2F"/>
    <w:rsid w:val="004E5B98"/>
    <w:rsid w:val="004E5D12"/>
    <w:rsid w:val="004E5EE9"/>
    <w:rsid w:val="004E5F2A"/>
    <w:rsid w:val="004E61C5"/>
    <w:rsid w:val="004E65DC"/>
    <w:rsid w:val="004E66F7"/>
    <w:rsid w:val="004E67DD"/>
    <w:rsid w:val="004E6A7B"/>
    <w:rsid w:val="004E6AAC"/>
    <w:rsid w:val="004E6AD7"/>
    <w:rsid w:val="004E6AF3"/>
    <w:rsid w:val="004E6B8F"/>
    <w:rsid w:val="004E6C1F"/>
    <w:rsid w:val="004E6C5B"/>
    <w:rsid w:val="004E7180"/>
    <w:rsid w:val="004E731F"/>
    <w:rsid w:val="004E758E"/>
    <w:rsid w:val="004E7774"/>
    <w:rsid w:val="004E7804"/>
    <w:rsid w:val="004E78DD"/>
    <w:rsid w:val="004E79D9"/>
    <w:rsid w:val="004E7E6C"/>
    <w:rsid w:val="004E7EC1"/>
    <w:rsid w:val="004F002C"/>
    <w:rsid w:val="004F00FC"/>
    <w:rsid w:val="004F0165"/>
    <w:rsid w:val="004F041F"/>
    <w:rsid w:val="004F0611"/>
    <w:rsid w:val="004F0799"/>
    <w:rsid w:val="004F079E"/>
    <w:rsid w:val="004F0812"/>
    <w:rsid w:val="004F0E3C"/>
    <w:rsid w:val="004F0E68"/>
    <w:rsid w:val="004F0F49"/>
    <w:rsid w:val="004F1130"/>
    <w:rsid w:val="004F122A"/>
    <w:rsid w:val="004F1331"/>
    <w:rsid w:val="004F14F6"/>
    <w:rsid w:val="004F1545"/>
    <w:rsid w:val="004F15F9"/>
    <w:rsid w:val="004F1621"/>
    <w:rsid w:val="004F1758"/>
    <w:rsid w:val="004F17E1"/>
    <w:rsid w:val="004F1B68"/>
    <w:rsid w:val="004F1B88"/>
    <w:rsid w:val="004F1D7E"/>
    <w:rsid w:val="004F1E2E"/>
    <w:rsid w:val="004F1E8B"/>
    <w:rsid w:val="004F1EBF"/>
    <w:rsid w:val="004F1F42"/>
    <w:rsid w:val="004F2047"/>
    <w:rsid w:val="004F2185"/>
    <w:rsid w:val="004F23AE"/>
    <w:rsid w:val="004F273F"/>
    <w:rsid w:val="004F2831"/>
    <w:rsid w:val="004F287F"/>
    <w:rsid w:val="004F2AD7"/>
    <w:rsid w:val="004F2BAC"/>
    <w:rsid w:val="004F2D40"/>
    <w:rsid w:val="004F2E04"/>
    <w:rsid w:val="004F2ED2"/>
    <w:rsid w:val="004F2F1D"/>
    <w:rsid w:val="004F2F29"/>
    <w:rsid w:val="004F2FB4"/>
    <w:rsid w:val="004F30F5"/>
    <w:rsid w:val="004F3148"/>
    <w:rsid w:val="004F33E8"/>
    <w:rsid w:val="004F3429"/>
    <w:rsid w:val="004F345E"/>
    <w:rsid w:val="004F384F"/>
    <w:rsid w:val="004F387C"/>
    <w:rsid w:val="004F3B37"/>
    <w:rsid w:val="004F3D64"/>
    <w:rsid w:val="004F3E52"/>
    <w:rsid w:val="004F3EAC"/>
    <w:rsid w:val="004F403D"/>
    <w:rsid w:val="004F41AD"/>
    <w:rsid w:val="004F4322"/>
    <w:rsid w:val="004F4355"/>
    <w:rsid w:val="004F4494"/>
    <w:rsid w:val="004F46D9"/>
    <w:rsid w:val="004F49EF"/>
    <w:rsid w:val="004F4AAF"/>
    <w:rsid w:val="004F4BDA"/>
    <w:rsid w:val="004F4EA2"/>
    <w:rsid w:val="004F5166"/>
    <w:rsid w:val="004F56D6"/>
    <w:rsid w:val="004F5786"/>
    <w:rsid w:val="004F5847"/>
    <w:rsid w:val="004F58FD"/>
    <w:rsid w:val="004F5BBE"/>
    <w:rsid w:val="004F5CAF"/>
    <w:rsid w:val="004F5DCF"/>
    <w:rsid w:val="004F5FB4"/>
    <w:rsid w:val="004F6029"/>
    <w:rsid w:val="004F60F0"/>
    <w:rsid w:val="004F6100"/>
    <w:rsid w:val="004F628F"/>
    <w:rsid w:val="004F6389"/>
    <w:rsid w:val="004F647C"/>
    <w:rsid w:val="004F65A1"/>
    <w:rsid w:val="004F65F0"/>
    <w:rsid w:val="004F66BF"/>
    <w:rsid w:val="004F68A3"/>
    <w:rsid w:val="004F68AC"/>
    <w:rsid w:val="004F696F"/>
    <w:rsid w:val="004F6D9B"/>
    <w:rsid w:val="004F6E01"/>
    <w:rsid w:val="004F6EE0"/>
    <w:rsid w:val="004F744E"/>
    <w:rsid w:val="004F751B"/>
    <w:rsid w:val="004F797C"/>
    <w:rsid w:val="0050036A"/>
    <w:rsid w:val="0050056F"/>
    <w:rsid w:val="00500902"/>
    <w:rsid w:val="0050092C"/>
    <w:rsid w:val="00500A8E"/>
    <w:rsid w:val="00500AA8"/>
    <w:rsid w:val="00500B16"/>
    <w:rsid w:val="00500BE0"/>
    <w:rsid w:val="00500E6F"/>
    <w:rsid w:val="00500E88"/>
    <w:rsid w:val="00500F10"/>
    <w:rsid w:val="00500F8D"/>
    <w:rsid w:val="00501132"/>
    <w:rsid w:val="00501254"/>
    <w:rsid w:val="005012E3"/>
    <w:rsid w:val="0050132B"/>
    <w:rsid w:val="00501340"/>
    <w:rsid w:val="0050134B"/>
    <w:rsid w:val="00501397"/>
    <w:rsid w:val="005013E4"/>
    <w:rsid w:val="00501647"/>
    <w:rsid w:val="0050169D"/>
    <w:rsid w:val="00501788"/>
    <w:rsid w:val="00501A30"/>
    <w:rsid w:val="00501A72"/>
    <w:rsid w:val="00501AE4"/>
    <w:rsid w:val="00501BB5"/>
    <w:rsid w:val="00501DB3"/>
    <w:rsid w:val="00501E31"/>
    <w:rsid w:val="00501E5C"/>
    <w:rsid w:val="00501EBB"/>
    <w:rsid w:val="00501F38"/>
    <w:rsid w:val="00501FC0"/>
    <w:rsid w:val="00502120"/>
    <w:rsid w:val="005024C6"/>
    <w:rsid w:val="00502667"/>
    <w:rsid w:val="00502785"/>
    <w:rsid w:val="005029A7"/>
    <w:rsid w:val="00502AAB"/>
    <w:rsid w:val="00502CDE"/>
    <w:rsid w:val="00502E42"/>
    <w:rsid w:val="00502F9E"/>
    <w:rsid w:val="0050321B"/>
    <w:rsid w:val="00503308"/>
    <w:rsid w:val="00503329"/>
    <w:rsid w:val="005033B3"/>
    <w:rsid w:val="005033C3"/>
    <w:rsid w:val="0050348E"/>
    <w:rsid w:val="005034C3"/>
    <w:rsid w:val="0050359A"/>
    <w:rsid w:val="0050368E"/>
    <w:rsid w:val="005036F7"/>
    <w:rsid w:val="0050378D"/>
    <w:rsid w:val="00503816"/>
    <w:rsid w:val="005039C1"/>
    <w:rsid w:val="00503AA9"/>
    <w:rsid w:val="00503C8A"/>
    <w:rsid w:val="00503CD2"/>
    <w:rsid w:val="00503EC9"/>
    <w:rsid w:val="00503FB5"/>
    <w:rsid w:val="00503FF0"/>
    <w:rsid w:val="005042BE"/>
    <w:rsid w:val="005042E3"/>
    <w:rsid w:val="0050434C"/>
    <w:rsid w:val="005046A4"/>
    <w:rsid w:val="0050475C"/>
    <w:rsid w:val="005047E5"/>
    <w:rsid w:val="00504B37"/>
    <w:rsid w:val="00504BFA"/>
    <w:rsid w:val="00504D88"/>
    <w:rsid w:val="00504F2E"/>
    <w:rsid w:val="00504F31"/>
    <w:rsid w:val="0050500F"/>
    <w:rsid w:val="00505052"/>
    <w:rsid w:val="0050517F"/>
    <w:rsid w:val="005053B7"/>
    <w:rsid w:val="005054D5"/>
    <w:rsid w:val="00505583"/>
    <w:rsid w:val="005057E3"/>
    <w:rsid w:val="0050581D"/>
    <w:rsid w:val="005059D6"/>
    <w:rsid w:val="00505AEE"/>
    <w:rsid w:val="00505D4C"/>
    <w:rsid w:val="00505EB1"/>
    <w:rsid w:val="00505F4C"/>
    <w:rsid w:val="00506762"/>
    <w:rsid w:val="005069E7"/>
    <w:rsid w:val="00506A06"/>
    <w:rsid w:val="00507030"/>
    <w:rsid w:val="00507127"/>
    <w:rsid w:val="005072E7"/>
    <w:rsid w:val="005073E8"/>
    <w:rsid w:val="005074B8"/>
    <w:rsid w:val="005075ED"/>
    <w:rsid w:val="00507661"/>
    <w:rsid w:val="00507D8B"/>
    <w:rsid w:val="00507F35"/>
    <w:rsid w:val="00510106"/>
    <w:rsid w:val="005103E2"/>
    <w:rsid w:val="005104CB"/>
    <w:rsid w:val="005105C7"/>
    <w:rsid w:val="00510801"/>
    <w:rsid w:val="00510868"/>
    <w:rsid w:val="0051090B"/>
    <w:rsid w:val="0051091A"/>
    <w:rsid w:val="00510A81"/>
    <w:rsid w:val="00510BAA"/>
    <w:rsid w:val="00510E4F"/>
    <w:rsid w:val="005111CF"/>
    <w:rsid w:val="005113FE"/>
    <w:rsid w:val="0051147A"/>
    <w:rsid w:val="00511508"/>
    <w:rsid w:val="00511569"/>
    <w:rsid w:val="005115F2"/>
    <w:rsid w:val="005119C5"/>
    <w:rsid w:val="00511AE4"/>
    <w:rsid w:val="00511C22"/>
    <w:rsid w:val="00511C24"/>
    <w:rsid w:val="00511C4D"/>
    <w:rsid w:val="00511F2A"/>
    <w:rsid w:val="00511FBB"/>
    <w:rsid w:val="0051211B"/>
    <w:rsid w:val="0051236D"/>
    <w:rsid w:val="005123DA"/>
    <w:rsid w:val="00512548"/>
    <w:rsid w:val="0051257D"/>
    <w:rsid w:val="005125E4"/>
    <w:rsid w:val="00512625"/>
    <w:rsid w:val="00512636"/>
    <w:rsid w:val="005127AC"/>
    <w:rsid w:val="00512DC2"/>
    <w:rsid w:val="00512ECF"/>
    <w:rsid w:val="00512FE4"/>
    <w:rsid w:val="00512FFF"/>
    <w:rsid w:val="00513003"/>
    <w:rsid w:val="00513330"/>
    <w:rsid w:val="00513348"/>
    <w:rsid w:val="0051352E"/>
    <w:rsid w:val="005136BB"/>
    <w:rsid w:val="005136FD"/>
    <w:rsid w:val="00513726"/>
    <w:rsid w:val="0051390B"/>
    <w:rsid w:val="00513AA3"/>
    <w:rsid w:val="00513B24"/>
    <w:rsid w:val="00513EAB"/>
    <w:rsid w:val="00513EB5"/>
    <w:rsid w:val="00513EC1"/>
    <w:rsid w:val="0051408C"/>
    <w:rsid w:val="00514116"/>
    <w:rsid w:val="005141FA"/>
    <w:rsid w:val="00514409"/>
    <w:rsid w:val="00514432"/>
    <w:rsid w:val="00514508"/>
    <w:rsid w:val="0051454E"/>
    <w:rsid w:val="00514796"/>
    <w:rsid w:val="0051480E"/>
    <w:rsid w:val="00514A82"/>
    <w:rsid w:val="00514B2D"/>
    <w:rsid w:val="00514F2E"/>
    <w:rsid w:val="00514F82"/>
    <w:rsid w:val="0051514E"/>
    <w:rsid w:val="0051517F"/>
    <w:rsid w:val="0051522C"/>
    <w:rsid w:val="0051529A"/>
    <w:rsid w:val="005152FD"/>
    <w:rsid w:val="00515301"/>
    <w:rsid w:val="0051540F"/>
    <w:rsid w:val="005156AF"/>
    <w:rsid w:val="00515760"/>
    <w:rsid w:val="00515773"/>
    <w:rsid w:val="00515B22"/>
    <w:rsid w:val="00515B31"/>
    <w:rsid w:val="00515C91"/>
    <w:rsid w:val="00515E50"/>
    <w:rsid w:val="00516004"/>
    <w:rsid w:val="005162ED"/>
    <w:rsid w:val="00516541"/>
    <w:rsid w:val="005165ED"/>
    <w:rsid w:val="005167D3"/>
    <w:rsid w:val="005169D3"/>
    <w:rsid w:val="00516A6E"/>
    <w:rsid w:val="00516C96"/>
    <w:rsid w:val="00516E48"/>
    <w:rsid w:val="00516EE9"/>
    <w:rsid w:val="005172BC"/>
    <w:rsid w:val="005172C9"/>
    <w:rsid w:val="005175D6"/>
    <w:rsid w:val="005176F2"/>
    <w:rsid w:val="005178C6"/>
    <w:rsid w:val="00517955"/>
    <w:rsid w:val="005179CD"/>
    <w:rsid w:val="00517A62"/>
    <w:rsid w:val="00517A79"/>
    <w:rsid w:val="00517A8B"/>
    <w:rsid w:val="00517B66"/>
    <w:rsid w:val="00517C89"/>
    <w:rsid w:val="00517DA7"/>
    <w:rsid w:val="00517DBE"/>
    <w:rsid w:val="00520124"/>
    <w:rsid w:val="00520287"/>
    <w:rsid w:val="005207F7"/>
    <w:rsid w:val="00520816"/>
    <w:rsid w:val="0052089F"/>
    <w:rsid w:val="00520A33"/>
    <w:rsid w:val="00520A7D"/>
    <w:rsid w:val="00520E6D"/>
    <w:rsid w:val="005210D7"/>
    <w:rsid w:val="005212DB"/>
    <w:rsid w:val="00521401"/>
    <w:rsid w:val="0052167C"/>
    <w:rsid w:val="005216E9"/>
    <w:rsid w:val="005217D5"/>
    <w:rsid w:val="00521D0D"/>
    <w:rsid w:val="00521DB3"/>
    <w:rsid w:val="00521FC7"/>
    <w:rsid w:val="00521FFB"/>
    <w:rsid w:val="005221CB"/>
    <w:rsid w:val="005222A5"/>
    <w:rsid w:val="005224C0"/>
    <w:rsid w:val="005224E5"/>
    <w:rsid w:val="0052258B"/>
    <w:rsid w:val="005225B6"/>
    <w:rsid w:val="005227DD"/>
    <w:rsid w:val="00522CD3"/>
    <w:rsid w:val="00522E56"/>
    <w:rsid w:val="00523030"/>
    <w:rsid w:val="00523044"/>
    <w:rsid w:val="00523101"/>
    <w:rsid w:val="00523153"/>
    <w:rsid w:val="00523256"/>
    <w:rsid w:val="005233C9"/>
    <w:rsid w:val="00523714"/>
    <w:rsid w:val="00523756"/>
    <w:rsid w:val="005237AB"/>
    <w:rsid w:val="00523835"/>
    <w:rsid w:val="005238C0"/>
    <w:rsid w:val="0052393F"/>
    <w:rsid w:val="00523A0A"/>
    <w:rsid w:val="00523CDD"/>
    <w:rsid w:val="00523ED7"/>
    <w:rsid w:val="00523FD8"/>
    <w:rsid w:val="00524027"/>
    <w:rsid w:val="00524048"/>
    <w:rsid w:val="005240EB"/>
    <w:rsid w:val="005241A0"/>
    <w:rsid w:val="0052429D"/>
    <w:rsid w:val="005242E0"/>
    <w:rsid w:val="005243C7"/>
    <w:rsid w:val="0052441B"/>
    <w:rsid w:val="00524528"/>
    <w:rsid w:val="00524682"/>
    <w:rsid w:val="0052469E"/>
    <w:rsid w:val="005246CE"/>
    <w:rsid w:val="005248A4"/>
    <w:rsid w:val="005248B0"/>
    <w:rsid w:val="005249B9"/>
    <w:rsid w:val="005249DD"/>
    <w:rsid w:val="005249E4"/>
    <w:rsid w:val="00524B5E"/>
    <w:rsid w:val="00524CD7"/>
    <w:rsid w:val="00524D94"/>
    <w:rsid w:val="00524FFB"/>
    <w:rsid w:val="00525008"/>
    <w:rsid w:val="005253A1"/>
    <w:rsid w:val="00525479"/>
    <w:rsid w:val="005254EF"/>
    <w:rsid w:val="00525584"/>
    <w:rsid w:val="00525605"/>
    <w:rsid w:val="005257F0"/>
    <w:rsid w:val="0052580C"/>
    <w:rsid w:val="00525825"/>
    <w:rsid w:val="00525A4A"/>
    <w:rsid w:val="00525B72"/>
    <w:rsid w:val="00525D2C"/>
    <w:rsid w:val="00525D83"/>
    <w:rsid w:val="00525E32"/>
    <w:rsid w:val="00525F01"/>
    <w:rsid w:val="00525F57"/>
    <w:rsid w:val="0052614F"/>
    <w:rsid w:val="00526390"/>
    <w:rsid w:val="005264A8"/>
    <w:rsid w:val="005264E7"/>
    <w:rsid w:val="005264FE"/>
    <w:rsid w:val="00526640"/>
    <w:rsid w:val="00526780"/>
    <w:rsid w:val="005268AB"/>
    <w:rsid w:val="005269E9"/>
    <w:rsid w:val="00526AA0"/>
    <w:rsid w:val="00526FC5"/>
    <w:rsid w:val="0052708D"/>
    <w:rsid w:val="00527297"/>
    <w:rsid w:val="005272DA"/>
    <w:rsid w:val="00527376"/>
    <w:rsid w:val="00527442"/>
    <w:rsid w:val="005274DA"/>
    <w:rsid w:val="005276A9"/>
    <w:rsid w:val="00527749"/>
    <w:rsid w:val="005277D8"/>
    <w:rsid w:val="00527AE4"/>
    <w:rsid w:val="00527C0F"/>
    <w:rsid w:val="00527C85"/>
    <w:rsid w:val="00527CE9"/>
    <w:rsid w:val="00527EBC"/>
    <w:rsid w:val="00527F31"/>
    <w:rsid w:val="0053014B"/>
    <w:rsid w:val="00530251"/>
    <w:rsid w:val="005302F8"/>
    <w:rsid w:val="00530396"/>
    <w:rsid w:val="0053085C"/>
    <w:rsid w:val="00530868"/>
    <w:rsid w:val="00530938"/>
    <w:rsid w:val="00530CCE"/>
    <w:rsid w:val="00530D83"/>
    <w:rsid w:val="00530DA9"/>
    <w:rsid w:val="00530EEF"/>
    <w:rsid w:val="00530EFD"/>
    <w:rsid w:val="00531079"/>
    <w:rsid w:val="005310B2"/>
    <w:rsid w:val="00531139"/>
    <w:rsid w:val="005311A2"/>
    <w:rsid w:val="00531217"/>
    <w:rsid w:val="0053143E"/>
    <w:rsid w:val="00531481"/>
    <w:rsid w:val="00531557"/>
    <w:rsid w:val="0053161A"/>
    <w:rsid w:val="00531804"/>
    <w:rsid w:val="00531AEA"/>
    <w:rsid w:val="00531B43"/>
    <w:rsid w:val="00531C58"/>
    <w:rsid w:val="00531E6C"/>
    <w:rsid w:val="00531FC2"/>
    <w:rsid w:val="005320E1"/>
    <w:rsid w:val="00532173"/>
    <w:rsid w:val="005322FB"/>
    <w:rsid w:val="00532531"/>
    <w:rsid w:val="005326C4"/>
    <w:rsid w:val="00532759"/>
    <w:rsid w:val="005327AA"/>
    <w:rsid w:val="00532965"/>
    <w:rsid w:val="00532ABE"/>
    <w:rsid w:val="00532B1C"/>
    <w:rsid w:val="00532B6B"/>
    <w:rsid w:val="00532D28"/>
    <w:rsid w:val="00532E20"/>
    <w:rsid w:val="00532ED7"/>
    <w:rsid w:val="00532F8B"/>
    <w:rsid w:val="005331AB"/>
    <w:rsid w:val="00533229"/>
    <w:rsid w:val="005333DB"/>
    <w:rsid w:val="0053345D"/>
    <w:rsid w:val="0053347A"/>
    <w:rsid w:val="005334CD"/>
    <w:rsid w:val="005334FE"/>
    <w:rsid w:val="005335A0"/>
    <w:rsid w:val="005335E6"/>
    <w:rsid w:val="00533CD5"/>
    <w:rsid w:val="00533FBD"/>
    <w:rsid w:val="00534120"/>
    <w:rsid w:val="0053415C"/>
    <w:rsid w:val="005342B7"/>
    <w:rsid w:val="00534535"/>
    <w:rsid w:val="00534771"/>
    <w:rsid w:val="005347BF"/>
    <w:rsid w:val="00534880"/>
    <w:rsid w:val="00534B9E"/>
    <w:rsid w:val="00534C6C"/>
    <w:rsid w:val="00534D1F"/>
    <w:rsid w:val="00534D67"/>
    <w:rsid w:val="00534DB2"/>
    <w:rsid w:val="005350B3"/>
    <w:rsid w:val="005350ED"/>
    <w:rsid w:val="00535159"/>
    <w:rsid w:val="005351A3"/>
    <w:rsid w:val="005355EB"/>
    <w:rsid w:val="00535785"/>
    <w:rsid w:val="00535905"/>
    <w:rsid w:val="00535AF2"/>
    <w:rsid w:val="00535BE9"/>
    <w:rsid w:val="00535D93"/>
    <w:rsid w:val="00535DFE"/>
    <w:rsid w:val="00535E0F"/>
    <w:rsid w:val="00535FCF"/>
    <w:rsid w:val="00536072"/>
    <w:rsid w:val="005361BB"/>
    <w:rsid w:val="005362F3"/>
    <w:rsid w:val="005364B8"/>
    <w:rsid w:val="005365BF"/>
    <w:rsid w:val="00536636"/>
    <w:rsid w:val="005366CD"/>
    <w:rsid w:val="00536996"/>
    <w:rsid w:val="00536A46"/>
    <w:rsid w:val="00536BA2"/>
    <w:rsid w:val="00537511"/>
    <w:rsid w:val="00537625"/>
    <w:rsid w:val="0053784A"/>
    <w:rsid w:val="00537910"/>
    <w:rsid w:val="00537973"/>
    <w:rsid w:val="005379B6"/>
    <w:rsid w:val="00537A9D"/>
    <w:rsid w:val="00537B96"/>
    <w:rsid w:val="00537D2E"/>
    <w:rsid w:val="00537EA2"/>
    <w:rsid w:val="00537FB8"/>
    <w:rsid w:val="00540016"/>
    <w:rsid w:val="00540154"/>
    <w:rsid w:val="005402A4"/>
    <w:rsid w:val="005409E2"/>
    <w:rsid w:val="00540E0F"/>
    <w:rsid w:val="00540E24"/>
    <w:rsid w:val="00540F54"/>
    <w:rsid w:val="00541184"/>
    <w:rsid w:val="00541655"/>
    <w:rsid w:val="005416B3"/>
    <w:rsid w:val="00541745"/>
    <w:rsid w:val="00541927"/>
    <w:rsid w:val="00541AFA"/>
    <w:rsid w:val="00541BCC"/>
    <w:rsid w:val="00541EB8"/>
    <w:rsid w:val="00541F18"/>
    <w:rsid w:val="005422C2"/>
    <w:rsid w:val="00542376"/>
    <w:rsid w:val="0054262D"/>
    <w:rsid w:val="00542846"/>
    <w:rsid w:val="00542913"/>
    <w:rsid w:val="00542955"/>
    <w:rsid w:val="00542BD9"/>
    <w:rsid w:val="00542D1B"/>
    <w:rsid w:val="00542F0B"/>
    <w:rsid w:val="00542FAA"/>
    <w:rsid w:val="00543021"/>
    <w:rsid w:val="0054309A"/>
    <w:rsid w:val="005430C5"/>
    <w:rsid w:val="00543113"/>
    <w:rsid w:val="0054315D"/>
    <w:rsid w:val="005433BC"/>
    <w:rsid w:val="005433DE"/>
    <w:rsid w:val="005434BC"/>
    <w:rsid w:val="0054350E"/>
    <w:rsid w:val="00543652"/>
    <w:rsid w:val="005437BD"/>
    <w:rsid w:val="005439B5"/>
    <w:rsid w:val="00543A2C"/>
    <w:rsid w:val="00543AD5"/>
    <w:rsid w:val="00543C1A"/>
    <w:rsid w:val="00543D0F"/>
    <w:rsid w:val="00543DD5"/>
    <w:rsid w:val="00544043"/>
    <w:rsid w:val="00544098"/>
    <w:rsid w:val="005440AC"/>
    <w:rsid w:val="005441A5"/>
    <w:rsid w:val="005444DC"/>
    <w:rsid w:val="00544780"/>
    <w:rsid w:val="0054486C"/>
    <w:rsid w:val="005448FC"/>
    <w:rsid w:val="005449A5"/>
    <w:rsid w:val="00544C42"/>
    <w:rsid w:val="00544C56"/>
    <w:rsid w:val="00544DF1"/>
    <w:rsid w:val="00544E6E"/>
    <w:rsid w:val="00544EBA"/>
    <w:rsid w:val="005450B2"/>
    <w:rsid w:val="005450FA"/>
    <w:rsid w:val="005451D5"/>
    <w:rsid w:val="005453F2"/>
    <w:rsid w:val="005454A5"/>
    <w:rsid w:val="00545646"/>
    <w:rsid w:val="00545647"/>
    <w:rsid w:val="0054565F"/>
    <w:rsid w:val="00545698"/>
    <w:rsid w:val="005456B0"/>
    <w:rsid w:val="00545753"/>
    <w:rsid w:val="005457F8"/>
    <w:rsid w:val="00545824"/>
    <w:rsid w:val="00545880"/>
    <w:rsid w:val="005458FD"/>
    <w:rsid w:val="0054594B"/>
    <w:rsid w:val="0054598B"/>
    <w:rsid w:val="00545C1B"/>
    <w:rsid w:val="00545D32"/>
    <w:rsid w:val="0054601D"/>
    <w:rsid w:val="0054603D"/>
    <w:rsid w:val="00546078"/>
    <w:rsid w:val="00546313"/>
    <w:rsid w:val="005466F3"/>
    <w:rsid w:val="00546748"/>
    <w:rsid w:val="00546871"/>
    <w:rsid w:val="00546D80"/>
    <w:rsid w:val="00546DA1"/>
    <w:rsid w:val="00546E19"/>
    <w:rsid w:val="00546EA1"/>
    <w:rsid w:val="00546FF8"/>
    <w:rsid w:val="00547237"/>
    <w:rsid w:val="0054734C"/>
    <w:rsid w:val="005474B8"/>
    <w:rsid w:val="0054768B"/>
    <w:rsid w:val="005476D3"/>
    <w:rsid w:val="0054774E"/>
    <w:rsid w:val="00547787"/>
    <w:rsid w:val="005478A6"/>
    <w:rsid w:val="00547A70"/>
    <w:rsid w:val="00547C97"/>
    <w:rsid w:val="00547D5C"/>
    <w:rsid w:val="00547E6A"/>
    <w:rsid w:val="00547EA9"/>
    <w:rsid w:val="005502E9"/>
    <w:rsid w:val="005504A5"/>
    <w:rsid w:val="0055063B"/>
    <w:rsid w:val="00550821"/>
    <w:rsid w:val="005508AC"/>
    <w:rsid w:val="005508EB"/>
    <w:rsid w:val="00550AF3"/>
    <w:rsid w:val="00550C99"/>
    <w:rsid w:val="00550E45"/>
    <w:rsid w:val="00550F37"/>
    <w:rsid w:val="00550F7C"/>
    <w:rsid w:val="00550F87"/>
    <w:rsid w:val="00550FD7"/>
    <w:rsid w:val="00551116"/>
    <w:rsid w:val="005512C9"/>
    <w:rsid w:val="0055138D"/>
    <w:rsid w:val="0055138E"/>
    <w:rsid w:val="005515DC"/>
    <w:rsid w:val="005517CC"/>
    <w:rsid w:val="00551847"/>
    <w:rsid w:val="005518C4"/>
    <w:rsid w:val="00551A46"/>
    <w:rsid w:val="00551B08"/>
    <w:rsid w:val="00551B22"/>
    <w:rsid w:val="00551C44"/>
    <w:rsid w:val="00551D1C"/>
    <w:rsid w:val="00551FC0"/>
    <w:rsid w:val="005520BA"/>
    <w:rsid w:val="0055213D"/>
    <w:rsid w:val="0055219D"/>
    <w:rsid w:val="005521AE"/>
    <w:rsid w:val="0055229A"/>
    <w:rsid w:val="005522AB"/>
    <w:rsid w:val="00552410"/>
    <w:rsid w:val="00552509"/>
    <w:rsid w:val="005526A0"/>
    <w:rsid w:val="00552861"/>
    <w:rsid w:val="00552A71"/>
    <w:rsid w:val="00552B61"/>
    <w:rsid w:val="00552CA9"/>
    <w:rsid w:val="00552F8F"/>
    <w:rsid w:val="0055316A"/>
    <w:rsid w:val="005532CD"/>
    <w:rsid w:val="00553759"/>
    <w:rsid w:val="00553825"/>
    <w:rsid w:val="00553A2F"/>
    <w:rsid w:val="00553BD7"/>
    <w:rsid w:val="00553BDE"/>
    <w:rsid w:val="00553C52"/>
    <w:rsid w:val="00553C7C"/>
    <w:rsid w:val="00554088"/>
    <w:rsid w:val="00554211"/>
    <w:rsid w:val="00554240"/>
    <w:rsid w:val="005545A2"/>
    <w:rsid w:val="005548CF"/>
    <w:rsid w:val="005548EE"/>
    <w:rsid w:val="005549E2"/>
    <w:rsid w:val="00554D2B"/>
    <w:rsid w:val="00554F4A"/>
    <w:rsid w:val="00555255"/>
    <w:rsid w:val="005557CD"/>
    <w:rsid w:val="00555825"/>
    <w:rsid w:val="00555B1A"/>
    <w:rsid w:val="00555E30"/>
    <w:rsid w:val="005560A4"/>
    <w:rsid w:val="00556193"/>
    <w:rsid w:val="0055624A"/>
    <w:rsid w:val="005562F0"/>
    <w:rsid w:val="0055632A"/>
    <w:rsid w:val="0055654D"/>
    <w:rsid w:val="00556588"/>
    <w:rsid w:val="00556923"/>
    <w:rsid w:val="0055699C"/>
    <w:rsid w:val="00556C95"/>
    <w:rsid w:val="00556DBF"/>
    <w:rsid w:val="00556FB5"/>
    <w:rsid w:val="00557033"/>
    <w:rsid w:val="00557045"/>
    <w:rsid w:val="005571B8"/>
    <w:rsid w:val="005573CC"/>
    <w:rsid w:val="005577C1"/>
    <w:rsid w:val="005579F7"/>
    <w:rsid w:val="00560155"/>
    <w:rsid w:val="00560180"/>
    <w:rsid w:val="0056018A"/>
    <w:rsid w:val="00560327"/>
    <w:rsid w:val="005605ED"/>
    <w:rsid w:val="0056063F"/>
    <w:rsid w:val="005608E3"/>
    <w:rsid w:val="00560B0C"/>
    <w:rsid w:val="00560B11"/>
    <w:rsid w:val="00560B65"/>
    <w:rsid w:val="00560C1C"/>
    <w:rsid w:val="00560D8F"/>
    <w:rsid w:val="005610C8"/>
    <w:rsid w:val="00561223"/>
    <w:rsid w:val="00561295"/>
    <w:rsid w:val="00561363"/>
    <w:rsid w:val="005613B4"/>
    <w:rsid w:val="005613F2"/>
    <w:rsid w:val="005614CA"/>
    <w:rsid w:val="00561650"/>
    <w:rsid w:val="005616D4"/>
    <w:rsid w:val="00561825"/>
    <w:rsid w:val="00561BAE"/>
    <w:rsid w:val="00561BBA"/>
    <w:rsid w:val="00562168"/>
    <w:rsid w:val="00562184"/>
    <w:rsid w:val="00562199"/>
    <w:rsid w:val="00562248"/>
    <w:rsid w:val="00562367"/>
    <w:rsid w:val="00562430"/>
    <w:rsid w:val="0056256B"/>
    <w:rsid w:val="00562676"/>
    <w:rsid w:val="005627A8"/>
    <w:rsid w:val="00562917"/>
    <w:rsid w:val="00562958"/>
    <w:rsid w:val="0056299F"/>
    <w:rsid w:val="00562A13"/>
    <w:rsid w:val="00562BF5"/>
    <w:rsid w:val="00562FD5"/>
    <w:rsid w:val="00562FEB"/>
    <w:rsid w:val="005630B2"/>
    <w:rsid w:val="0056311B"/>
    <w:rsid w:val="00563151"/>
    <w:rsid w:val="005632B1"/>
    <w:rsid w:val="00563572"/>
    <w:rsid w:val="00563574"/>
    <w:rsid w:val="005635CC"/>
    <w:rsid w:val="005635EB"/>
    <w:rsid w:val="005637D4"/>
    <w:rsid w:val="00563C04"/>
    <w:rsid w:val="00563CFA"/>
    <w:rsid w:val="00563F6F"/>
    <w:rsid w:val="0056403C"/>
    <w:rsid w:val="0056412F"/>
    <w:rsid w:val="0056415F"/>
    <w:rsid w:val="00564227"/>
    <w:rsid w:val="005645A5"/>
    <w:rsid w:val="005648A1"/>
    <w:rsid w:val="00564BF9"/>
    <w:rsid w:val="00564EFC"/>
    <w:rsid w:val="00565008"/>
    <w:rsid w:val="005650E6"/>
    <w:rsid w:val="00565170"/>
    <w:rsid w:val="0056524C"/>
    <w:rsid w:val="00565393"/>
    <w:rsid w:val="005653E5"/>
    <w:rsid w:val="00565426"/>
    <w:rsid w:val="00565496"/>
    <w:rsid w:val="00565514"/>
    <w:rsid w:val="00565622"/>
    <w:rsid w:val="005656B8"/>
    <w:rsid w:val="00565731"/>
    <w:rsid w:val="00565734"/>
    <w:rsid w:val="00565761"/>
    <w:rsid w:val="0056583A"/>
    <w:rsid w:val="00565939"/>
    <w:rsid w:val="005659C0"/>
    <w:rsid w:val="00565B39"/>
    <w:rsid w:val="00565C6A"/>
    <w:rsid w:val="00565CF3"/>
    <w:rsid w:val="00565D09"/>
    <w:rsid w:val="00565DBC"/>
    <w:rsid w:val="00565EFB"/>
    <w:rsid w:val="00565F1F"/>
    <w:rsid w:val="00565FB2"/>
    <w:rsid w:val="0056602D"/>
    <w:rsid w:val="00566080"/>
    <w:rsid w:val="005660DF"/>
    <w:rsid w:val="00566456"/>
    <w:rsid w:val="005664E3"/>
    <w:rsid w:val="0056657D"/>
    <w:rsid w:val="00566594"/>
    <w:rsid w:val="00566610"/>
    <w:rsid w:val="005666F6"/>
    <w:rsid w:val="0056687F"/>
    <w:rsid w:val="00566C4B"/>
    <w:rsid w:val="00566DCA"/>
    <w:rsid w:val="00566DCF"/>
    <w:rsid w:val="00566E21"/>
    <w:rsid w:val="00566E28"/>
    <w:rsid w:val="00566E74"/>
    <w:rsid w:val="00566F6B"/>
    <w:rsid w:val="00566F7D"/>
    <w:rsid w:val="005671D3"/>
    <w:rsid w:val="0056728B"/>
    <w:rsid w:val="005672E1"/>
    <w:rsid w:val="00567625"/>
    <w:rsid w:val="005676DE"/>
    <w:rsid w:val="005676E6"/>
    <w:rsid w:val="00567784"/>
    <w:rsid w:val="0056784D"/>
    <w:rsid w:val="005678A8"/>
    <w:rsid w:val="00567A16"/>
    <w:rsid w:val="00567D53"/>
    <w:rsid w:val="00570275"/>
    <w:rsid w:val="0057054D"/>
    <w:rsid w:val="0057070E"/>
    <w:rsid w:val="0057078C"/>
    <w:rsid w:val="005707BD"/>
    <w:rsid w:val="00570872"/>
    <w:rsid w:val="005708C6"/>
    <w:rsid w:val="00570C22"/>
    <w:rsid w:val="00570C8E"/>
    <w:rsid w:val="00570D50"/>
    <w:rsid w:val="00570D7B"/>
    <w:rsid w:val="00570EE0"/>
    <w:rsid w:val="00571099"/>
    <w:rsid w:val="0057137A"/>
    <w:rsid w:val="005713DA"/>
    <w:rsid w:val="00571474"/>
    <w:rsid w:val="00571481"/>
    <w:rsid w:val="005714F2"/>
    <w:rsid w:val="00571541"/>
    <w:rsid w:val="0057185F"/>
    <w:rsid w:val="0057186E"/>
    <w:rsid w:val="00571946"/>
    <w:rsid w:val="0057198C"/>
    <w:rsid w:val="005719CC"/>
    <w:rsid w:val="00571ABD"/>
    <w:rsid w:val="00571B6D"/>
    <w:rsid w:val="00571E0A"/>
    <w:rsid w:val="0057210E"/>
    <w:rsid w:val="005721EE"/>
    <w:rsid w:val="00572545"/>
    <w:rsid w:val="00572A75"/>
    <w:rsid w:val="00572AAA"/>
    <w:rsid w:val="00572C18"/>
    <w:rsid w:val="00572C49"/>
    <w:rsid w:val="00572E9F"/>
    <w:rsid w:val="00572EC0"/>
    <w:rsid w:val="00572FB6"/>
    <w:rsid w:val="0057312B"/>
    <w:rsid w:val="00573146"/>
    <w:rsid w:val="00573398"/>
    <w:rsid w:val="00573634"/>
    <w:rsid w:val="0057373F"/>
    <w:rsid w:val="005739E1"/>
    <w:rsid w:val="005739E2"/>
    <w:rsid w:val="00573DDA"/>
    <w:rsid w:val="00573E8D"/>
    <w:rsid w:val="00573EA0"/>
    <w:rsid w:val="00574193"/>
    <w:rsid w:val="00574296"/>
    <w:rsid w:val="00574650"/>
    <w:rsid w:val="00574748"/>
    <w:rsid w:val="00574761"/>
    <w:rsid w:val="00574AA0"/>
    <w:rsid w:val="00574BB3"/>
    <w:rsid w:val="00574F47"/>
    <w:rsid w:val="005750A6"/>
    <w:rsid w:val="00575198"/>
    <w:rsid w:val="00575204"/>
    <w:rsid w:val="00575229"/>
    <w:rsid w:val="0057543E"/>
    <w:rsid w:val="00575688"/>
    <w:rsid w:val="00575924"/>
    <w:rsid w:val="00575A07"/>
    <w:rsid w:val="00575CC9"/>
    <w:rsid w:val="00575DDF"/>
    <w:rsid w:val="00575F5F"/>
    <w:rsid w:val="0057618F"/>
    <w:rsid w:val="005761C2"/>
    <w:rsid w:val="005768DB"/>
    <w:rsid w:val="00576A14"/>
    <w:rsid w:val="00576AF6"/>
    <w:rsid w:val="00576E2F"/>
    <w:rsid w:val="00576E34"/>
    <w:rsid w:val="00576E3E"/>
    <w:rsid w:val="00576E6F"/>
    <w:rsid w:val="00576FBD"/>
    <w:rsid w:val="00576FDD"/>
    <w:rsid w:val="00577149"/>
    <w:rsid w:val="005771A9"/>
    <w:rsid w:val="005773F6"/>
    <w:rsid w:val="005777F5"/>
    <w:rsid w:val="00577BA3"/>
    <w:rsid w:val="00577C21"/>
    <w:rsid w:val="00577C8D"/>
    <w:rsid w:val="00577D1D"/>
    <w:rsid w:val="00577D60"/>
    <w:rsid w:val="00577DCC"/>
    <w:rsid w:val="00577F69"/>
    <w:rsid w:val="00577FCE"/>
    <w:rsid w:val="00580056"/>
    <w:rsid w:val="0058026C"/>
    <w:rsid w:val="005802ED"/>
    <w:rsid w:val="00580300"/>
    <w:rsid w:val="0058046E"/>
    <w:rsid w:val="00580576"/>
    <w:rsid w:val="00580773"/>
    <w:rsid w:val="0058077E"/>
    <w:rsid w:val="00580892"/>
    <w:rsid w:val="00580952"/>
    <w:rsid w:val="00580BA8"/>
    <w:rsid w:val="00580E84"/>
    <w:rsid w:val="00580F2B"/>
    <w:rsid w:val="00581049"/>
    <w:rsid w:val="00581067"/>
    <w:rsid w:val="005812AB"/>
    <w:rsid w:val="005812EB"/>
    <w:rsid w:val="00581341"/>
    <w:rsid w:val="00581763"/>
    <w:rsid w:val="00581AAA"/>
    <w:rsid w:val="00581D7A"/>
    <w:rsid w:val="00581DB6"/>
    <w:rsid w:val="00581E8B"/>
    <w:rsid w:val="00581EB0"/>
    <w:rsid w:val="00581F4B"/>
    <w:rsid w:val="00581F83"/>
    <w:rsid w:val="00581FD7"/>
    <w:rsid w:val="005822EF"/>
    <w:rsid w:val="0058237D"/>
    <w:rsid w:val="005823A5"/>
    <w:rsid w:val="0058244F"/>
    <w:rsid w:val="005825B0"/>
    <w:rsid w:val="005827E8"/>
    <w:rsid w:val="00582814"/>
    <w:rsid w:val="0058289D"/>
    <w:rsid w:val="00582A12"/>
    <w:rsid w:val="00582B3B"/>
    <w:rsid w:val="00582BC0"/>
    <w:rsid w:val="00582C1C"/>
    <w:rsid w:val="00582C3F"/>
    <w:rsid w:val="00582CD2"/>
    <w:rsid w:val="00582D42"/>
    <w:rsid w:val="00582E48"/>
    <w:rsid w:val="00583176"/>
    <w:rsid w:val="005832B1"/>
    <w:rsid w:val="0058345B"/>
    <w:rsid w:val="0058345F"/>
    <w:rsid w:val="005835D6"/>
    <w:rsid w:val="005837D1"/>
    <w:rsid w:val="005839BD"/>
    <w:rsid w:val="00583A8A"/>
    <w:rsid w:val="00583A99"/>
    <w:rsid w:val="00583CBC"/>
    <w:rsid w:val="00583D31"/>
    <w:rsid w:val="00583D4E"/>
    <w:rsid w:val="00583D6B"/>
    <w:rsid w:val="00583DA6"/>
    <w:rsid w:val="00583DFC"/>
    <w:rsid w:val="00583FAA"/>
    <w:rsid w:val="005840F1"/>
    <w:rsid w:val="00584114"/>
    <w:rsid w:val="00584120"/>
    <w:rsid w:val="005841F6"/>
    <w:rsid w:val="005844CC"/>
    <w:rsid w:val="005847BF"/>
    <w:rsid w:val="0058498E"/>
    <w:rsid w:val="005849F7"/>
    <w:rsid w:val="00584A66"/>
    <w:rsid w:val="00584CA6"/>
    <w:rsid w:val="00584CA8"/>
    <w:rsid w:val="00584CB2"/>
    <w:rsid w:val="00584D72"/>
    <w:rsid w:val="00584F23"/>
    <w:rsid w:val="00584FDE"/>
    <w:rsid w:val="00585101"/>
    <w:rsid w:val="005851B8"/>
    <w:rsid w:val="0058535E"/>
    <w:rsid w:val="0058542F"/>
    <w:rsid w:val="00585880"/>
    <w:rsid w:val="00585C16"/>
    <w:rsid w:val="00585C7C"/>
    <w:rsid w:val="005860D8"/>
    <w:rsid w:val="00586284"/>
    <w:rsid w:val="005862AB"/>
    <w:rsid w:val="005864AC"/>
    <w:rsid w:val="0058660D"/>
    <w:rsid w:val="0058680E"/>
    <w:rsid w:val="0058689D"/>
    <w:rsid w:val="005869DE"/>
    <w:rsid w:val="00586A61"/>
    <w:rsid w:val="00586A7E"/>
    <w:rsid w:val="00586BE6"/>
    <w:rsid w:val="00586D1E"/>
    <w:rsid w:val="005871D8"/>
    <w:rsid w:val="005871E9"/>
    <w:rsid w:val="00587407"/>
    <w:rsid w:val="0058787E"/>
    <w:rsid w:val="005878A1"/>
    <w:rsid w:val="005878A6"/>
    <w:rsid w:val="00587900"/>
    <w:rsid w:val="0058796C"/>
    <w:rsid w:val="00587970"/>
    <w:rsid w:val="00587CCB"/>
    <w:rsid w:val="005901B7"/>
    <w:rsid w:val="00590535"/>
    <w:rsid w:val="005905CF"/>
    <w:rsid w:val="005905D3"/>
    <w:rsid w:val="0059094C"/>
    <w:rsid w:val="005909BD"/>
    <w:rsid w:val="00590C0F"/>
    <w:rsid w:val="00590C68"/>
    <w:rsid w:val="00590D10"/>
    <w:rsid w:val="00590D74"/>
    <w:rsid w:val="00590DC1"/>
    <w:rsid w:val="00590DD5"/>
    <w:rsid w:val="00590DF0"/>
    <w:rsid w:val="00590ED7"/>
    <w:rsid w:val="005910F5"/>
    <w:rsid w:val="005910F6"/>
    <w:rsid w:val="005910F7"/>
    <w:rsid w:val="0059113B"/>
    <w:rsid w:val="00591147"/>
    <w:rsid w:val="0059117E"/>
    <w:rsid w:val="0059117F"/>
    <w:rsid w:val="0059133C"/>
    <w:rsid w:val="005915F9"/>
    <w:rsid w:val="0059181F"/>
    <w:rsid w:val="00591C3D"/>
    <w:rsid w:val="00591C65"/>
    <w:rsid w:val="00591C93"/>
    <w:rsid w:val="00591E90"/>
    <w:rsid w:val="00592082"/>
    <w:rsid w:val="005921B3"/>
    <w:rsid w:val="00592575"/>
    <w:rsid w:val="005925BD"/>
    <w:rsid w:val="00592690"/>
    <w:rsid w:val="00592B1C"/>
    <w:rsid w:val="00592C77"/>
    <w:rsid w:val="00592CC4"/>
    <w:rsid w:val="00592D81"/>
    <w:rsid w:val="00592E46"/>
    <w:rsid w:val="00592E69"/>
    <w:rsid w:val="0059325A"/>
    <w:rsid w:val="00593452"/>
    <w:rsid w:val="00593474"/>
    <w:rsid w:val="005934A8"/>
    <w:rsid w:val="005937DA"/>
    <w:rsid w:val="005937E2"/>
    <w:rsid w:val="00593844"/>
    <w:rsid w:val="00593924"/>
    <w:rsid w:val="00593964"/>
    <w:rsid w:val="00593A9C"/>
    <w:rsid w:val="00593B66"/>
    <w:rsid w:val="00593C21"/>
    <w:rsid w:val="00593DEB"/>
    <w:rsid w:val="00593E7F"/>
    <w:rsid w:val="00594393"/>
    <w:rsid w:val="00594495"/>
    <w:rsid w:val="005945EB"/>
    <w:rsid w:val="00594641"/>
    <w:rsid w:val="005946EE"/>
    <w:rsid w:val="0059472D"/>
    <w:rsid w:val="005948A9"/>
    <w:rsid w:val="005948F7"/>
    <w:rsid w:val="00594989"/>
    <w:rsid w:val="00594AC5"/>
    <w:rsid w:val="00594B59"/>
    <w:rsid w:val="00594C0A"/>
    <w:rsid w:val="00594CA4"/>
    <w:rsid w:val="00594E83"/>
    <w:rsid w:val="0059520A"/>
    <w:rsid w:val="005954B7"/>
    <w:rsid w:val="0059556C"/>
    <w:rsid w:val="0059568F"/>
    <w:rsid w:val="005959B3"/>
    <w:rsid w:val="00595B3A"/>
    <w:rsid w:val="00595C74"/>
    <w:rsid w:val="00595CDD"/>
    <w:rsid w:val="00595D6C"/>
    <w:rsid w:val="00595DD9"/>
    <w:rsid w:val="0059614D"/>
    <w:rsid w:val="00596165"/>
    <w:rsid w:val="00596347"/>
    <w:rsid w:val="00596350"/>
    <w:rsid w:val="0059637B"/>
    <w:rsid w:val="00596775"/>
    <w:rsid w:val="005967EF"/>
    <w:rsid w:val="005968D6"/>
    <w:rsid w:val="00596A73"/>
    <w:rsid w:val="00596BD5"/>
    <w:rsid w:val="00596C68"/>
    <w:rsid w:val="00596C82"/>
    <w:rsid w:val="00596E3E"/>
    <w:rsid w:val="00596FF9"/>
    <w:rsid w:val="00597016"/>
    <w:rsid w:val="005971D2"/>
    <w:rsid w:val="00597298"/>
    <w:rsid w:val="0059754E"/>
    <w:rsid w:val="0059759A"/>
    <w:rsid w:val="00597605"/>
    <w:rsid w:val="0059770A"/>
    <w:rsid w:val="005977D6"/>
    <w:rsid w:val="005979EC"/>
    <w:rsid w:val="00597C16"/>
    <w:rsid w:val="00597D21"/>
    <w:rsid w:val="00597E21"/>
    <w:rsid w:val="005A0266"/>
    <w:rsid w:val="005A026C"/>
    <w:rsid w:val="005A02CD"/>
    <w:rsid w:val="005A02DA"/>
    <w:rsid w:val="005A0540"/>
    <w:rsid w:val="005A05D9"/>
    <w:rsid w:val="005A0674"/>
    <w:rsid w:val="005A0697"/>
    <w:rsid w:val="005A0725"/>
    <w:rsid w:val="005A0B35"/>
    <w:rsid w:val="005A0D21"/>
    <w:rsid w:val="005A0DC6"/>
    <w:rsid w:val="005A0DF6"/>
    <w:rsid w:val="005A1017"/>
    <w:rsid w:val="005A10DB"/>
    <w:rsid w:val="005A12E5"/>
    <w:rsid w:val="005A1304"/>
    <w:rsid w:val="005A133B"/>
    <w:rsid w:val="005A13FE"/>
    <w:rsid w:val="005A159E"/>
    <w:rsid w:val="005A1C87"/>
    <w:rsid w:val="005A1EB2"/>
    <w:rsid w:val="005A1F28"/>
    <w:rsid w:val="005A1FBA"/>
    <w:rsid w:val="005A20B4"/>
    <w:rsid w:val="005A20C7"/>
    <w:rsid w:val="005A2189"/>
    <w:rsid w:val="005A21E6"/>
    <w:rsid w:val="005A23FA"/>
    <w:rsid w:val="005A257F"/>
    <w:rsid w:val="005A2792"/>
    <w:rsid w:val="005A2924"/>
    <w:rsid w:val="005A2AA7"/>
    <w:rsid w:val="005A2BC9"/>
    <w:rsid w:val="005A2C49"/>
    <w:rsid w:val="005A2E46"/>
    <w:rsid w:val="005A2F58"/>
    <w:rsid w:val="005A2F6E"/>
    <w:rsid w:val="005A2FF3"/>
    <w:rsid w:val="005A31C3"/>
    <w:rsid w:val="005A3303"/>
    <w:rsid w:val="005A330E"/>
    <w:rsid w:val="005A33D9"/>
    <w:rsid w:val="005A3445"/>
    <w:rsid w:val="005A348A"/>
    <w:rsid w:val="005A35CE"/>
    <w:rsid w:val="005A39B3"/>
    <w:rsid w:val="005A3A36"/>
    <w:rsid w:val="005A3ADF"/>
    <w:rsid w:val="005A3D96"/>
    <w:rsid w:val="005A4018"/>
    <w:rsid w:val="005A415F"/>
    <w:rsid w:val="005A41FE"/>
    <w:rsid w:val="005A4270"/>
    <w:rsid w:val="005A4445"/>
    <w:rsid w:val="005A448A"/>
    <w:rsid w:val="005A44A9"/>
    <w:rsid w:val="005A4511"/>
    <w:rsid w:val="005A460E"/>
    <w:rsid w:val="005A495F"/>
    <w:rsid w:val="005A4A4A"/>
    <w:rsid w:val="005A4AFF"/>
    <w:rsid w:val="005A4D14"/>
    <w:rsid w:val="005A4EBD"/>
    <w:rsid w:val="005A502D"/>
    <w:rsid w:val="005A511D"/>
    <w:rsid w:val="005A5242"/>
    <w:rsid w:val="005A536A"/>
    <w:rsid w:val="005A544F"/>
    <w:rsid w:val="005A5635"/>
    <w:rsid w:val="005A5906"/>
    <w:rsid w:val="005A5995"/>
    <w:rsid w:val="005A5AC0"/>
    <w:rsid w:val="005A5CAC"/>
    <w:rsid w:val="005A5CE4"/>
    <w:rsid w:val="005A5EB5"/>
    <w:rsid w:val="005A5F86"/>
    <w:rsid w:val="005A5FB9"/>
    <w:rsid w:val="005A6076"/>
    <w:rsid w:val="005A609B"/>
    <w:rsid w:val="005A617A"/>
    <w:rsid w:val="005A6218"/>
    <w:rsid w:val="005A624B"/>
    <w:rsid w:val="005A6339"/>
    <w:rsid w:val="005A6503"/>
    <w:rsid w:val="005A66DB"/>
    <w:rsid w:val="005A6AAB"/>
    <w:rsid w:val="005A6AEE"/>
    <w:rsid w:val="005A6BFC"/>
    <w:rsid w:val="005A6D55"/>
    <w:rsid w:val="005A6E6C"/>
    <w:rsid w:val="005A6F45"/>
    <w:rsid w:val="005A71AE"/>
    <w:rsid w:val="005A7242"/>
    <w:rsid w:val="005A73C1"/>
    <w:rsid w:val="005A76FB"/>
    <w:rsid w:val="005A7881"/>
    <w:rsid w:val="005A79DD"/>
    <w:rsid w:val="005A7A71"/>
    <w:rsid w:val="005A7A8E"/>
    <w:rsid w:val="005A7AB4"/>
    <w:rsid w:val="005B026A"/>
    <w:rsid w:val="005B037B"/>
    <w:rsid w:val="005B06F9"/>
    <w:rsid w:val="005B0785"/>
    <w:rsid w:val="005B07E9"/>
    <w:rsid w:val="005B0AB6"/>
    <w:rsid w:val="005B0C01"/>
    <w:rsid w:val="005B0DD3"/>
    <w:rsid w:val="005B0F35"/>
    <w:rsid w:val="005B0FD6"/>
    <w:rsid w:val="005B11F9"/>
    <w:rsid w:val="005B1310"/>
    <w:rsid w:val="005B1367"/>
    <w:rsid w:val="005B137C"/>
    <w:rsid w:val="005B13AA"/>
    <w:rsid w:val="005B14C2"/>
    <w:rsid w:val="005B17A2"/>
    <w:rsid w:val="005B18EB"/>
    <w:rsid w:val="005B1A5F"/>
    <w:rsid w:val="005B1C6C"/>
    <w:rsid w:val="005B200A"/>
    <w:rsid w:val="005B2107"/>
    <w:rsid w:val="005B2135"/>
    <w:rsid w:val="005B2414"/>
    <w:rsid w:val="005B2471"/>
    <w:rsid w:val="005B24C5"/>
    <w:rsid w:val="005B24C9"/>
    <w:rsid w:val="005B258B"/>
    <w:rsid w:val="005B260A"/>
    <w:rsid w:val="005B26E4"/>
    <w:rsid w:val="005B2731"/>
    <w:rsid w:val="005B28BF"/>
    <w:rsid w:val="005B297B"/>
    <w:rsid w:val="005B2CB8"/>
    <w:rsid w:val="005B2CF9"/>
    <w:rsid w:val="005B2D64"/>
    <w:rsid w:val="005B2EE1"/>
    <w:rsid w:val="005B2FC1"/>
    <w:rsid w:val="005B3334"/>
    <w:rsid w:val="005B3732"/>
    <w:rsid w:val="005B389B"/>
    <w:rsid w:val="005B3985"/>
    <w:rsid w:val="005B3C9B"/>
    <w:rsid w:val="005B3E15"/>
    <w:rsid w:val="005B4094"/>
    <w:rsid w:val="005B40D9"/>
    <w:rsid w:val="005B41C9"/>
    <w:rsid w:val="005B41FD"/>
    <w:rsid w:val="005B44CE"/>
    <w:rsid w:val="005B45FF"/>
    <w:rsid w:val="005B496A"/>
    <w:rsid w:val="005B4988"/>
    <w:rsid w:val="005B4D27"/>
    <w:rsid w:val="005B4F0B"/>
    <w:rsid w:val="005B5023"/>
    <w:rsid w:val="005B5048"/>
    <w:rsid w:val="005B50B1"/>
    <w:rsid w:val="005B5240"/>
    <w:rsid w:val="005B535F"/>
    <w:rsid w:val="005B53F3"/>
    <w:rsid w:val="005B54E4"/>
    <w:rsid w:val="005B55A1"/>
    <w:rsid w:val="005B5733"/>
    <w:rsid w:val="005B577F"/>
    <w:rsid w:val="005B57F4"/>
    <w:rsid w:val="005B5904"/>
    <w:rsid w:val="005B5ADF"/>
    <w:rsid w:val="005B5B5C"/>
    <w:rsid w:val="005B5F4F"/>
    <w:rsid w:val="005B5F62"/>
    <w:rsid w:val="005B5FCD"/>
    <w:rsid w:val="005B62E2"/>
    <w:rsid w:val="005B6437"/>
    <w:rsid w:val="005B6536"/>
    <w:rsid w:val="005B654D"/>
    <w:rsid w:val="005B6783"/>
    <w:rsid w:val="005B69C3"/>
    <w:rsid w:val="005B6AA9"/>
    <w:rsid w:val="005B6B4E"/>
    <w:rsid w:val="005B6CAE"/>
    <w:rsid w:val="005B6FFC"/>
    <w:rsid w:val="005B705F"/>
    <w:rsid w:val="005B74F2"/>
    <w:rsid w:val="005B7A83"/>
    <w:rsid w:val="005B7B94"/>
    <w:rsid w:val="005B7EFF"/>
    <w:rsid w:val="005B7F07"/>
    <w:rsid w:val="005B7FD5"/>
    <w:rsid w:val="005C0072"/>
    <w:rsid w:val="005C00EA"/>
    <w:rsid w:val="005C0685"/>
    <w:rsid w:val="005C0A55"/>
    <w:rsid w:val="005C0ABC"/>
    <w:rsid w:val="005C0C78"/>
    <w:rsid w:val="005C11A7"/>
    <w:rsid w:val="005C11C9"/>
    <w:rsid w:val="005C1361"/>
    <w:rsid w:val="005C139A"/>
    <w:rsid w:val="005C16C0"/>
    <w:rsid w:val="005C174B"/>
    <w:rsid w:val="005C1830"/>
    <w:rsid w:val="005C1897"/>
    <w:rsid w:val="005C18A7"/>
    <w:rsid w:val="005C190F"/>
    <w:rsid w:val="005C1A43"/>
    <w:rsid w:val="005C1A7B"/>
    <w:rsid w:val="005C1B30"/>
    <w:rsid w:val="005C1C9E"/>
    <w:rsid w:val="005C1CB5"/>
    <w:rsid w:val="005C1E28"/>
    <w:rsid w:val="005C2059"/>
    <w:rsid w:val="005C22D9"/>
    <w:rsid w:val="005C24B9"/>
    <w:rsid w:val="005C24BA"/>
    <w:rsid w:val="005C24C9"/>
    <w:rsid w:val="005C24E0"/>
    <w:rsid w:val="005C26C6"/>
    <w:rsid w:val="005C27CE"/>
    <w:rsid w:val="005C2BCD"/>
    <w:rsid w:val="005C3061"/>
    <w:rsid w:val="005C315C"/>
    <w:rsid w:val="005C31DE"/>
    <w:rsid w:val="005C3273"/>
    <w:rsid w:val="005C33C4"/>
    <w:rsid w:val="005C347A"/>
    <w:rsid w:val="005C3653"/>
    <w:rsid w:val="005C379C"/>
    <w:rsid w:val="005C3CD1"/>
    <w:rsid w:val="005C4058"/>
    <w:rsid w:val="005C4097"/>
    <w:rsid w:val="005C4237"/>
    <w:rsid w:val="005C424C"/>
    <w:rsid w:val="005C4739"/>
    <w:rsid w:val="005C47F6"/>
    <w:rsid w:val="005C483F"/>
    <w:rsid w:val="005C4866"/>
    <w:rsid w:val="005C4868"/>
    <w:rsid w:val="005C4C82"/>
    <w:rsid w:val="005C4E73"/>
    <w:rsid w:val="005C4F94"/>
    <w:rsid w:val="005C51F1"/>
    <w:rsid w:val="005C534D"/>
    <w:rsid w:val="005C5530"/>
    <w:rsid w:val="005C55C1"/>
    <w:rsid w:val="005C56E8"/>
    <w:rsid w:val="005C572A"/>
    <w:rsid w:val="005C5873"/>
    <w:rsid w:val="005C5A2E"/>
    <w:rsid w:val="005C5CED"/>
    <w:rsid w:val="005C5E1A"/>
    <w:rsid w:val="005C5F60"/>
    <w:rsid w:val="005C608E"/>
    <w:rsid w:val="005C6184"/>
    <w:rsid w:val="005C6350"/>
    <w:rsid w:val="005C641A"/>
    <w:rsid w:val="005C6461"/>
    <w:rsid w:val="005C6468"/>
    <w:rsid w:val="005C6573"/>
    <w:rsid w:val="005C65B6"/>
    <w:rsid w:val="005C66C3"/>
    <w:rsid w:val="005C6731"/>
    <w:rsid w:val="005C6794"/>
    <w:rsid w:val="005C6A02"/>
    <w:rsid w:val="005C6AD0"/>
    <w:rsid w:val="005C6DB1"/>
    <w:rsid w:val="005C6DF1"/>
    <w:rsid w:val="005C71B3"/>
    <w:rsid w:val="005C7590"/>
    <w:rsid w:val="005C7A4A"/>
    <w:rsid w:val="005C7B12"/>
    <w:rsid w:val="005C7B88"/>
    <w:rsid w:val="005C7C24"/>
    <w:rsid w:val="005CABD6"/>
    <w:rsid w:val="005D0112"/>
    <w:rsid w:val="005D03BE"/>
    <w:rsid w:val="005D0539"/>
    <w:rsid w:val="005D05AB"/>
    <w:rsid w:val="005D0BAE"/>
    <w:rsid w:val="005D0C53"/>
    <w:rsid w:val="005D1083"/>
    <w:rsid w:val="005D11F5"/>
    <w:rsid w:val="005D135B"/>
    <w:rsid w:val="005D1465"/>
    <w:rsid w:val="005D15D9"/>
    <w:rsid w:val="005D1936"/>
    <w:rsid w:val="005D1A1C"/>
    <w:rsid w:val="005D1F01"/>
    <w:rsid w:val="005D222B"/>
    <w:rsid w:val="005D2325"/>
    <w:rsid w:val="005D244D"/>
    <w:rsid w:val="005D2454"/>
    <w:rsid w:val="005D2564"/>
    <w:rsid w:val="005D28D2"/>
    <w:rsid w:val="005D2A1E"/>
    <w:rsid w:val="005D2BB2"/>
    <w:rsid w:val="005D2CBC"/>
    <w:rsid w:val="005D2E5B"/>
    <w:rsid w:val="005D2E74"/>
    <w:rsid w:val="005D2FEB"/>
    <w:rsid w:val="005D304E"/>
    <w:rsid w:val="005D324F"/>
    <w:rsid w:val="005D32C8"/>
    <w:rsid w:val="005D336C"/>
    <w:rsid w:val="005D3457"/>
    <w:rsid w:val="005D35EE"/>
    <w:rsid w:val="005D37E5"/>
    <w:rsid w:val="005D3E38"/>
    <w:rsid w:val="005D3F0C"/>
    <w:rsid w:val="005D45A6"/>
    <w:rsid w:val="005D4640"/>
    <w:rsid w:val="005D49E4"/>
    <w:rsid w:val="005D4A8F"/>
    <w:rsid w:val="005D4AC5"/>
    <w:rsid w:val="005D4B98"/>
    <w:rsid w:val="005D4CCE"/>
    <w:rsid w:val="005D4D3C"/>
    <w:rsid w:val="005D4E41"/>
    <w:rsid w:val="005D4E78"/>
    <w:rsid w:val="005D5045"/>
    <w:rsid w:val="005D5231"/>
    <w:rsid w:val="005D52AF"/>
    <w:rsid w:val="005D52DF"/>
    <w:rsid w:val="005D5385"/>
    <w:rsid w:val="005D53FA"/>
    <w:rsid w:val="005D5416"/>
    <w:rsid w:val="005D5514"/>
    <w:rsid w:val="005D55A8"/>
    <w:rsid w:val="005D56E5"/>
    <w:rsid w:val="005D56F6"/>
    <w:rsid w:val="005D5768"/>
    <w:rsid w:val="005D57F0"/>
    <w:rsid w:val="005D59BB"/>
    <w:rsid w:val="005D5B36"/>
    <w:rsid w:val="005D5CA9"/>
    <w:rsid w:val="005D5D1E"/>
    <w:rsid w:val="005D5D7B"/>
    <w:rsid w:val="005D601F"/>
    <w:rsid w:val="005D6091"/>
    <w:rsid w:val="005D60FD"/>
    <w:rsid w:val="005D6343"/>
    <w:rsid w:val="005D64EE"/>
    <w:rsid w:val="005D65B4"/>
    <w:rsid w:val="005D6767"/>
    <w:rsid w:val="005D6BE9"/>
    <w:rsid w:val="005D6BF1"/>
    <w:rsid w:val="005D6D43"/>
    <w:rsid w:val="005D707D"/>
    <w:rsid w:val="005D72FC"/>
    <w:rsid w:val="005D76A9"/>
    <w:rsid w:val="005D773E"/>
    <w:rsid w:val="005D77F7"/>
    <w:rsid w:val="005D7887"/>
    <w:rsid w:val="005D7B26"/>
    <w:rsid w:val="005D7F09"/>
    <w:rsid w:val="005E0164"/>
    <w:rsid w:val="005E0444"/>
    <w:rsid w:val="005E04DC"/>
    <w:rsid w:val="005E052E"/>
    <w:rsid w:val="005E0538"/>
    <w:rsid w:val="005E0670"/>
    <w:rsid w:val="005E080C"/>
    <w:rsid w:val="005E08E9"/>
    <w:rsid w:val="005E0988"/>
    <w:rsid w:val="005E09FC"/>
    <w:rsid w:val="005E0A17"/>
    <w:rsid w:val="005E0B47"/>
    <w:rsid w:val="005E0C35"/>
    <w:rsid w:val="005E0F0B"/>
    <w:rsid w:val="005E127E"/>
    <w:rsid w:val="005E14A5"/>
    <w:rsid w:val="005E1555"/>
    <w:rsid w:val="005E15A0"/>
    <w:rsid w:val="005E160B"/>
    <w:rsid w:val="005E161C"/>
    <w:rsid w:val="005E188C"/>
    <w:rsid w:val="005E1A51"/>
    <w:rsid w:val="005E1C08"/>
    <w:rsid w:val="005E1C20"/>
    <w:rsid w:val="005E1D16"/>
    <w:rsid w:val="005E1E1E"/>
    <w:rsid w:val="005E1FE5"/>
    <w:rsid w:val="005E2034"/>
    <w:rsid w:val="005E2141"/>
    <w:rsid w:val="005E2265"/>
    <w:rsid w:val="005E22AC"/>
    <w:rsid w:val="005E2434"/>
    <w:rsid w:val="005E244E"/>
    <w:rsid w:val="005E2614"/>
    <w:rsid w:val="005E2644"/>
    <w:rsid w:val="005E2688"/>
    <w:rsid w:val="005E2A27"/>
    <w:rsid w:val="005E2A54"/>
    <w:rsid w:val="005E2AEA"/>
    <w:rsid w:val="005E2B90"/>
    <w:rsid w:val="005E2C9C"/>
    <w:rsid w:val="005E2CB5"/>
    <w:rsid w:val="005E2CD3"/>
    <w:rsid w:val="005E3116"/>
    <w:rsid w:val="005E341A"/>
    <w:rsid w:val="005E3932"/>
    <w:rsid w:val="005E394E"/>
    <w:rsid w:val="005E3ABA"/>
    <w:rsid w:val="005E3EF9"/>
    <w:rsid w:val="005E4183"/>
    <w:rsid w:val="005E4405"/>
    <w:rsid w:val="005E44E0"/>
    <w:rsid w:val="005E4528"/>
    <w:rsid w:val="005E4610"/>
    <w:rsid w:val="005E476D"/>
    <w:rsid w:val="005E4917"/>
    <w:rsid w:val="005E4B57"/>
    <w:rsid w:val="005E50C2"/>
    <w:rsid w:val="005E50D7"/>
    <w:rsid w:val="005E51DC"/>
    <w:rsid w:val="005E52F0"/>
    <w:rsid w:val="005E53D9"/>
    <w:rsid w:val="005E5597"/>
    <w:rsid w:val="005E593F"/>
    <w:rsid w:val="005E5941"/>
    <w:rsid w:val="005E59B4"/>
    <w:rsid w:val="005E5B78"/>
    <w:rsid w:val="005E5BAC"/>
    <w:rsid w:val="005E5E53"/>
    <w:rsid w:val="005E5E6A"/>
    <w:rsid w:val="005E5EEE"/>
    <w:rsid w:val="005E5F45"/>
    <w:rsid w:val="005E6027"/>
    <w:rsid w:val="005E6389"/>
    <w:rsid w:val="005E65CE"/>
    <w:rsid w:val="005E6608"/>
    <w:rsid w:val="005E66AD"/>
    <w:rsid w:val="005E67EC"/>
    <w:rsid w:val="005E6829"/>
    <w:rsid w:val="005E6CBC"/>
    <w:rsid w:val="005E6D39"/>
    <w:rsid w:val="005E6F5E"/>
    <w:rsid w:val="005E6FB6"/>
    <w:rsid w:val="005E70FD"/>
    <w:rsid w:val="005E71EE"/>
    <w:rsid w:val="005E72D2"/>
    <w:rsid w:val="005E72DC"/>
    <w:rsid w:val="005E72E1"/>
    <w:rsid w:val="005E74FF"/>
    <w:rsid w:val="005E75C5"/>
    <w:rsid w:val="005E75E3"/>
    <w:rsid w:val="005E766C"/>
    <w:rsid w:val="005F0253"/>
    <w:rsid w:val="005F02E8"/>
    <w:rsid w:val="005F03A2"/>
    <w:rsid w:val="005F0492"/>
    <w:rsid w:val="005F04BD"/>
    <w:rsid w:val="005F04CF"/>
    <w:rsid w:val="005F06F0"/>
    <w:rsid w:val="005F07C3"/>
    <w:rsid w:val="005F0AB2"/>
    <w:rsid w:val="005F0ACC"/>
    <w:rsid w:val="005F0C86"/>
    <w:rsid w:val="005F0FF0"/>
    <w:rsid w:val="005F1147"/>
    <w:rsid w:val="005F11BE"/>
    <w:rsid w:val="005F13A5"/>
    <w:rsid w:val="005F1405"/>
    <w:rsid w:val="005F1832"/>
    <w:rsid w:val="005F1855"/>
    <w:rsid w:val="005F18C8"/>
    <w:rsid w:val="005F1948"/>
    <w:rsid w:val="005F1C2A"/>
    <w:rsid w:val="005F1DE2"/>
    <w:rsid w:val="005F1E46"/>
    <w:rsid w:val="005F2008"/>
    <w:rsid w:val="005F20DC"/>
    <w:rsid w:val="005F2367"/>
    <w:rsid w:val="005F2466"/>
    <w:rsid w:val="005F2583"/>
    <w:rsid w:val="005F25BE"/>
    <w:rsid w:val="005F270B"/>
    <w:rsid w:val="005F29AE"/>
    <w:rsid w:val="005F2A52"/>
    <w:rsid w:val="005F2BEA"/>
    <w:rsid w:val="005F2D4E"/>
    <w:rsid w:val="005F2E9A"/>
    <w:rsid w:val="005F2F5B"/>
    <w:rsid w:val="005F30DD"/>
    <w:rsid w:val="005F334E"/>
    <w:rsid w:val="005F3530"/>
    <w:rsid w:val="005F3563"/>
    <w:rsid w:val="005F36F3"/>
    <w:rsid w:val="005F3898"/>
    <w:rsid w:val="005F38BA"/>
    <w:rsid w:val="005F3911"/>
    <w:rsid w:val="005F3B8A"/>
    <w:rsid w:val="005F3B8B"/>
    <w:rsid w:val="005F3D51"/>
    <w:rsid w:val="005F3D61"/>
    <w:rsid w:val="005F3D75"/>
    <w:rsid w:val="005F41B2"/>
    <w:rsid w:val="005F4273"/>
    <w:rsid w:val="005F42DD"/>
    <w:rsid w:val="005F43CB"/>
    <w:rsid w:val="005F4727"/>
    <w:rsid w:val="005F496A"/>
    <w:rsid w:val="005F4C4A"/>
    <w:rsid w:val="005F4D17"/>
    <w:rsid w:val="005F4D8F"/>
    <w:rsid w:val="005F4EFA"/>
    <w:rsid w:val="005F5056"/>
    <w:rsid w:val="005F5313"/>
    <w:rsid w:val="005F5352"/>
    <w:rsid w:val="005F53AE"/>
    <w:rsid w:val="005F5411"/>
    <w:rsid w:val="005F56F5"/>
    <w:rsid w:val="005F56FD"/>
    <w:rsid w:val="005F593D"/>
    <w:rsid w:val="005F5AF0"/>
    <w:rsid w:val="005F5C0C"/>
    <w:rsid w:val="005F5C1D"/>
    <w:rsid w:val="005F5C85"/>
    <w:rsid w:val="005F5F5C"/>
    <w:rsid w:val="005F6090"/>
    <w:rsid w:val="005F61B4"/>
    <w:rsid w:val="005F65DF"/>
    <w:rsid w:val="005F6609"/>
    <w:rsid w:val="005F6838"/>
    <w:rsid w:val="005F6B1A"/>
    <w:rsid w:val="005F6B44"/>
    <w:rsid w:val="005F6CBE"/>
    <w:rsid w:val="005F72BA"/>
    <w:rsid w:val="005F74F5"/>
    <w:rsid w:val="005F75FA"/>
    <w:rsid w:val="005F7645"/>
    <w:rsid w:val="005F76F0"/>
    <w:rsid w:val="005F775D"/>
    <w:rsid w:val="005F79F6"/>
    <w:rsid w:val="005F7A92"/>
    <w:rsid w:val="005F7C81"/>
    <w:rsid w:val="005F7E6B"/>
    <w:rsid w:val="006000FF"/>
    <w:rsid w:val="00600152"/>
    <w:rsid w:val="00600439"/>
    <w:rsid w:val="0060046E"/>
    <w:rsid w:val="006004CB"/>
    <w:rsid w:val="006007CF"/>
    <w:rsid w:val="00600848"/>
    <w:rsid w:val="00600C02"/>
    <w:rsid w:val="00600E97"/>
    <w:rsid w:val="0060102F"/>
    <w:rsid w:val="00601159"/>
    <w:rsid w:val="00601346"/>
    <w:rsid w:val="006013DF"/>
    <w:rsid w:val="00601489"/>
    <w:rsid w:val="0060174F"/>
    <w:rsid w:val="00601908"/>
    <w:rsid w:val="0060196E"/>
    <w:rsid w:val="00601BD0"/>
    <w:rsid w:val="00601D34"/>
    <w:rsid w:val="00601F28"/>
    <w:rsid w:val="0060255C"/>
    <w:rsid w:val="00602893"/>
    <w:rsid w:val="0060299B"/>
    <w:rsid w:val="00602AEB"/>
    <w:rsid w:val="00602BC1"/>
    <w:rsid w:val="00602BC4"/>
    <w:rsid w:val="00602BFA"/>
    <w:rsid w:val="00602DE6"/>
    <w:rsid w:val="00602E9D"/>
    <w:rsid w:val="00602EF7"/>
    <w:rsid w:val="00602F24"/>
    <w:rsid w:val="0060308E"/>
    <w:rsid w:val="006030CE"/>
    <w:rsid w:val="00603141"/>
    <w:rsid w:val="0060316B"/>
    <w:rsid w:val="00603361"/>
    <w:rsid w:val="006033C7"/>
    <w:rsid w:val="006035C3"/>
    <w:rsid w:val="006036A9"/>
    <w:rsid w:val="006036FA"/>
    <w:rsid w:val="00603758"/>
    <w:rsid w:val="006039D1"/>
    <w:rsid w:val="00603A8E"/>
    <w:rsid w:val="00603AEA"/>
    <w:rsid w:val="00603BC9"/>
    <w:rsid w:val="00603BF0"/>
    <w:rsid w:val="00603D86"/>
    <w:rsid w:val="00604107"/>
    <w:rsid w:val="0060429D"/>
    <w:rsid w:val="0060446F"/>
    <w:rsid w:val="0060468D"/>
    <w:rsid w:val="0060475B"/>
    <w:rsid w:val="006049CE"/>
    <w:rsid w:val="00604B89"/>
    <w:rsid w:val="00604BBC"/>
    <w:rsid w:val="00604D99"/>
    <w:rsid w:val="00604DD8"/>
    <w:rsid w:val="00604EEF"/>
    <w:rsid w:val="00605206"/>
    <w:rsid w:val="00605287"/>
    <w:rsid w:val="00605349"/>
    <w:rsid w:val="00605567"/>
    <w:rsid w:val="00605778"/>
    <w:rsid w:val="00605969"/>
    <w:rsid w:val="00605A65"/>
    <w:rsid w:val="00605B1B"/>
    <w:rsid w:val="00605BCB"/>
    <w:rsid w:val="00605E6D"/>
    <w:rsid w:val="00605F2C"/>
    <w:rsid w:val="0060603B"/>
    <w:rsid w:val="0060636C"/>
    <w:rsid w:val="00606693"/>
    <w:rsid w:val="00606A31"/>
    <w:rsid w:val="00606D2C"/>
    <w:rsid w:val="00606DE2"/>
    <w:rsid w:val="00606E2A"/>
    <w:rsid w:val="00606EF0"/>
    <w:rsid w:val="0060700D"/>
    <w:rsid w:val="00607043"/>
    <w:rsid w:val="006070F6"/>
    <w:rsid w:val="006071DE"/>
    <w:rsid w:val="0060728B"/>
    <w:rsid w:val="006072E7"/>
    <w:rsid w:val="00607399"/>
    <w:rsid w:val="00607488"/>
    <w:rsid w:val="0060776E"/>
    <w:rsid w:val="00607777"/>
    <w:rsid w:val="006078FF"/>
    <w:rsid w:val="00607F25"/>
    <w:rsid w:val="0061045B"/>
    <w:rsid w:val="00610886"/>
    <w:rsid w:val="00610A5B"/>
    <w:rsid w:val="00610A9D"/>
    <w:rsid w:val="00610AC7"/>
    <w:rsid w:val="00610B11"/>
    <w:rsid w:val="00610B78"/>
    <w:rsid w:val="00610C5A"/>
    <w:rsid w:val="00610C72"/>
    <w:rsid w:val="00610D07"/>
    <w:rsid w:val="00610EEE"/>
    <w:rsid w:val="00610F1C"/>
    <w:rsid w:val="0061110C"/>
    <w:rsid w:val="006113B4"/>
    <w:rsid w:val="006119F9"/>
    <w:rsid w:val="00611A22"/>
    <w:rsid w:val="00611A7D"/>
    <w:rsid w:val="00611CA7"/>
    <w:rsid w:val="00611D42"/>
    <w:rsid w:val="00611D6F"/>
    <w:rsid w:val="00611EA0"/>
    <w:rsid w:val="006122B8"/>
    <w:rsid w:val="0061259E"/>
    <w:rsid w:val="006126B8"/>
    <w:rsid w:val="00612908"/>
    <w:rsid w:val="0061296B"/>
    <w:rsid w:val="00612FFD"/>
    <w:rsid w:val="00613056"/>
    <w:rsid w:val="006130D1"/>
    <w:rsid w:val="00613133"/>
    <w:rsid w:val="00613391"/>
    <w:rsid w:val="006133D2"/>
    <w:rsid w:val="0061372B"/>
    <w:rsid w:val="00613874"/>
    <w:rsid w:val="006138F7"/>
    <w:rsid w:val="00613A3C"/>
    <w:rsid w:val="00613A94"/>
    <w:rsid w:val="00613B58"/>
    <w:rsid w:val="00613BAD"/>
    <w:rsid w:val="00613BEB"/>
    <w:rsid w:val="00613C2D"/>
    <w:rsid w:val="00613C8F"/>
    <w:rsid w:val="00613F9B"/>
    <w:rsid w:val="00614197"/>
    <w:rsid w:val="006141E8"/>
    <w:rsid w:val="0061426C"/>
    <w:rsid w:val="0061481C"/>
    <w:rsid w:val="00614CBE"/>
    <w:rsid w:val="00614CEC"/>
    <w:rsid w:val="00614E65"/>
    <w:rsid w:val="00614EFC"/>
    <w:rsid w:val="00614F6C"/>
    <w:rsid w:val="006150B1"/>
    <w:rsid w:val="006150C9"/>
    <w:rsid w:val="00615182"/>
    <w:rsid w:val="00615226"/>
    <w:rsid w:val="006154FC"/>
    <w:rsid w:val="00615658"/>
    <w:rsid w:val="006156CD"/>
    <w:rsid w:val="0061580A"/>
    <w:rsid w:val="00615A6A"/>
    <w:rsid w:val="00615B50"/>
    <w:rsid w:val="00615EB6"/>
    <w:rsid w:val="00615ECD"/>
    <w:rsid w:val="0061603A"/>
    <w:rsid w:val="0061606D"/>
    <w:rsid w:val="00616279"/>
    <w:rsid w:val="0061686E"/>
    <w:rsid w:val="0061694B"/>
    <w:rsid w:val="00616B1F"/>
    <w:rsid w:val="00616CE6"/>
    <w:rsid w:val="00616D08"/>
    <w:rsid w:val="00616D1D"/>
    <w:rsid w:val="00616E8D"/>
    <w:rsid w:val="00616FDC"/>
    <w:rsid w:val="00617160"/>
    <w:rsid w:val="00617183"/>
    <w:rsid w:val="006172D1"/>
    <w:rsid w:val="00617446"/>
    <w:rsid w:val="00617654"/>
    <w:rsid w:val="0061767D"/>
    <w:rsid w:val="00617E89"/>
    <w:rsid w:val="00617F43"/>
    <w:rsid w:val="006200B1"/>
    <w:rsid w:val="006205C7"/>
    <w:rsid w:val="0062060A"/>
    <w:rsid w:val="006206AF"/>
    <w:rsid w:val="00620715"/>
    <w:rsid w:val="0062077F"/>
    <w:rsid w:val="006208BE"/>
    <w:rsid w:val="00620B54"/>
    <w:rsid w:val="00620BFC"/>
    <w:rsid w:val="00620E95"/>
    <w:rsid w:val="00620FC1"/>
    <w:rsid w:val="006211C8"/>
    <w:rsid w:val="0062165B"/>
    <w:rsid w:val="00621724"/>
    <w:rsid w:val="006218D8"/>
    <w:rsid w:val="00621A6C"/>
    <w:rsid w:val="00621B41"/>
    <w:rsid w:val="00621C36"/>
    <w:rsid w:val="00621F20"/>
    <w:rsid w:val="00621F7E"/>
    <w:rsid w:val="00622049"/>
    <w:rsid w:val="006221A0"/>
    <w:rsid w:val="006224B2"/>
    <w:rsid w:val="006226AA"/>
    <w:rsid w:val="006226D0"/>
    <w:rsid w:val="006227BE"/>
    <w:rsid w:val="00622907"/>
    <w:rsid w:val="00622BA9"/>
    <w:rsid w:val="00622C7C"/>
    <w:rsid w:val="00622EE3"/>
    <w:rsid w:val="00622F5A"/>
    <w:rsid w:val="006231CD"/>
    <w:rsid w:val="00623213"/>
    <w:rsid w:val="006235CC"/>
    <w:rsid w:val="006237D7"/>
    <w:rsid w:val="00623A08"/>
    <w:rsid w:val="00623B95"/>
    <w:rsid w:val="00623F58"/>
    <w:rsid w:val="006240A6"/>
    <w:rsid w:val="006244C8"/>
    <w:rsid w:val="00624926"/>
    <w:rsid w:val="00624CB9"/>
    <w:rsid w:val="00624CBC"/>
    <w:rsid w:val="00624CFA"/>
    <w:rsid w:val="00624F60"/>
    <w:rsid w:val="00624F6E"/>
    <w:rsid w:val="006250DA"/>
    <w:rsid w:val="006250E0"/>
    <w:rsid w:val="006250ED"/>
    <w:rsid w:val="00625108"/>
    <w:rsid w:val="006251A4"/>
    <w:rsid w:val="00625324"/>
    <w:rsid w:val="006255F5"/>
    <w:rsid w:val="0062578B"/>
    <w:rsid w:val="00625897"/>
    <w:rsid w:val="00625911"/>
    <w:rsid w:val="0062593D"/>
    <w:rsid w:val="00625B5E"/>
    <w:rsid w:val="00625C92"/>
    <w:rsid w:val="0062611A"/>
    <w:rsid w:val="0062614A"/>
    <w:rsid w:val="006261D9"/>
    <w:rsid w:val="0062643D"/>
    <w:rsid w:val="006265A6"/>
    <w:rsid w:val="0062668A"/>
    <w:rsid w:val="0062676F"/>
    <w:rsid w:val="0062687F"/>
    <w:rsid w:val="006269F0"/>
    <w:rsid w:val="00626A1E"/>
    <w:rsid w:val="00626A8E"/>
    <w:rsid w:val="00626B31"/>
    <w:rsid w:val="00626B4F"/>
    <w:rsid w:val="00626E36"/>
    <w:rsid w:val="00626EF3"/>
    <w:rsid w:val="00626F60"/>
    <w:rsid w:val="00626F96"/>
    <w:rsid w:val="00627194"/>
    <w:rsid w:val="0062723C"/>
    <w:rsid w:val="006273D7"/>
    <w:rsid w:val="00627462"/>
    <w:rsid w:val="00627747"/>
    <w:rsid w:val="00627A03"/>
    <w:rsid w:val="00627C2D"/>
    <w:rsid w:val="00630014"/>
    <w:rsid w:val="0063042F"/>
    <w:rsid w:val="006304A9"/>
    <w:rsid w:val="0063078B"/>
    <w:rsid w:val="006307C3"/>
    <w:rsid w:val="00630860"/>
    <w:rsid w:val="00630D7D"/>
    <w:rsid w:val="00630DDF"/>
    <w:rsid w:val="00630EBF"/>
    <w:rsid w:val="00630F70"/>
    <w:rsid w:val="00631165"/>
    <w:rsid w:val="00631236"/>
    <w:rsid w:val="00631637"/>
    <w:rsid w:val="006318F0"/>
    <w:rsid w:val="00631A9A"/>
    <w:rsid w:val="00631B4A"/>
    <w:rsid w:val="00631D3F"/>
    <w:rsid w:val="00631D54"/>
    <w:rsid w:val="00631E02"/>
    <w:rsid w:val="00631E4F"/>
    <w:rsid w:val="00631F60"/>
    <w:rsid w:val="00631F82"/>
    <w:rsid w:val="00632080"/>
    <w:rsid w:val="0063220D"/>
    <w:rsid w:val="0063228F"/>
    <w:rsid w:val="006322CD"/>
    <w:rsid w:val="0063231A"/>
    <w:rsid w:val="0063238E"/>
    <w:rsid w:val="006327DA"/>
    <w:rsid w:val="00632830"/>
    <w:rsid w:val="00632B41"/>
    <w:rsid w:val="00632EEE"/>
    <w:rsid w:val="00633056"/>
    <w:rsid w:val="0063309C"/>
    <w:rsid w:val="00633338"/>
    <w:rsid w:val="0063342D"/>
    <w:rsid w:val="006335D2"/>
    <w:rsid w:val="00633619"/>
    <w:rsid w:val="00633679"/>
    <w:rsid w:val="006337DA"/>
    <w:rsid w:val="00633830"/>
    <w:rsid w:val="006339F1"/>
    <w:rsid w:val="00633C25"/>
    <w:rsid w:val="00633DF5"/>
    <w:rsid w:val="00633E8C"/>
    <w:rsid w:val="00633FB8"/>
    <w:rsid w:val="0063419F"/>
    <w:rsid w:val="006341DF"/>
    <w:rsid w:val="006341F8"/>
    <w:rsid w:val="00634313"/>
    <w:rsid w:val="006343F3"/>
    <w:rsid w:val="00634621"/>
    <w:rsid w:val="00634649"/>
    <w:rsid w:val="006348D1"/>
    <w:rsid w:val="00634938"/>
    <w:rsid w:val="00634A37"/>
    <w:rsid w:val="00634B71"/>
    <w:rsid w:val="00634E41"/>
    <w:rsid w:val="00634FD0"/>
    <w:rsid w:val="00635025"/>
    <w:rsid w:val="00635139"/>
    <w:rsid w:val="006351BF"/>
    <w:rsid w:val="00635328"/>
    <w:rsid w:val="006355EC"/>
    <w:rsid w:val="0063576B"/>
    <w:rsid w:val="006358E3"/>
    <w:rsid w:val="00635BCB"/>
    <w:rsid w:val="00635F45"/>
    <w:rsid w:val="00636293"/>
    <w:rsid w:val="006362EA"/>
    <w:rsid w:val="006364E2"/>
    <w:rsid w:val="00636609"/>
    <w:rsid w:val="0063673D"/>
    <w:rsid w:val="0063674F"/>
    <w:rsid w:val="0063689C"/>
    <w:rsid w:val="00636921"/>
    <w:rsid w:val="0063694D"/>
    <w:rsid w:val="00636967"/>
    <w:rsid w:val="00636B51"/>
    <w:rsid w:val="00636D4B"/>
    <w:rsid w:val="00636E6A"/>
    <w:rsid w:val="00636FE2"/>
    <w:rsid w:val="00637050"/>
    <w:rsid w:val="00637101"/>
    <w:rsid w:val="0063717A"/>
    <w:rsid w:val="006377CB"/>
    <w:rsid w:val="00637850"/>
    <w:rsid w:val="006378EF"/>
    <w:rsid w:val="00637975"/>
    <w:rsid w:val="006379BA"/>
    <w:rsid w:val="006379D3"/>
    <w:rsid w:val="00637C49"/>
    <w:rsid w:val="00637CE4"/>
    <w:rsid w:val="00637E77"/>
    <w:rsid w:val="006400CD"/>
    <w:rsid w:val="00640198"/>
    <w:rsid w:val="0064022E"/>
    <w:rsid w:val="006402E1"/>
    <w:rsid w:val="0064042E"/>
    <w:rsid w:val="0064044D"/>
    <w:rsid w:val="00640549"/>
    <w:rsid w:val="00640748"/>
    <w:rsid w:val="00640813"/>
    <w:rsid w:val="00640B29"/>
    <w:rsid w:val="00640D8D"/>
    <w:rsid w:val="00640EC6"/>
    <w:rsid w:val="00640F43"/>
    <w:rsid w:val="00641443"/>
    <w:rsid w:val="0064154E"/>
    <w:rsid w:val="006415D1"/>
    <w:rsid w:val="00641926"/>
    <w:rsid w:val="00641A72"/>
    <w:rsid w:val="00641DB3"/>
    <w:rsid w:val="00641DEB"/>
    <w:rsid w:val="00641F21"/>
    <w:rsid w:val="00641F45"/>
    <w:rsid w:val="00641F75"/>
    <w:rsid w:val="006423A2"/>
    <w:rsid w:val="0064245E"/>
    <w:rsid w:val="0064289F"/>
    <w:rsid w:val="00642932"/>
    <w:rsid w:val="0064295E"/>
    <w:rsid w:val="00642969"/>
    <w:rsid w:val="00642A07"/>
    <w:rsid w:val="00642B6B"/>
    <w:rsid w:val="00642BA4"/>
    <w:rsid w:val="00642F68"/>
    <w:rsid w:val="00642FB4"/>
    <w:rsid w:val="006430C8"/>
    <w:rsid w:val="0064320B"/>
    <w:rsid w:val="00643369"/>
    <w:rsid w:val="0064348F"/>
    <w:rsid w:val="0064371F"/>
    <w:rsid w:val="0064392C"/>
    <w:rsid w:val="0064397A"/>
    <w:rsid w:val="00643ADB"/>
    <w:rsid w:val="00643C9F"/>
    <w:rsid w:val="0064414C"/>
    <w:rsid w:val="006441CD"/>
    <w:rsid w:val="00644230"/>
    <w:rsid w:val="00644319"/>
    <w:rsid w:val="006443C5"/>
    <w:rsid w:val="0064449D"/>
    <w:rsid w:val="006445C5"/>
    <w:rsid w:val="00644664"/>
    <w:rsid w:val="00644680"/>
    <w:rsid w:val="00644858"/>
    <w:rsid w:val="00644A41"/>
    <w:rsid w:val="00644B12"/>
    <w:rsid w:val="00644B68"/>
    <w:rsid w:val="00644BD6"/>
    <w:rsid w:val="00644C0A"/>
    <w:rsid w:val="006450CD"/>
    <w:rsid w:val="006451E1"/>
    <w:rsid w:val="00645231"/>
    <w:rsid w:val="00645324"/>
    <w:rsid w:val="006453D4"/>
    <w:rsid w:val="006453DA"/>
    <w:rsid w:val="00645416"/>
    <w:rsid w:val="00645694"/>
    <w:rsid w:val="006458D7"/>
    <w:rsid w:val="00645916"/>
    <w:rsid w:val="006459B6"/>
    <w:rsid w:val="006459EA"/>
    <w:rsid w:val="00645AD9"/>
    <w:rsid w:val="00645DFD"/>
    <w:rsid w:val="00646001"/>
    <w:rsid w:val="00646010"/>
    <w:rsid w:val="00646151"/>
    <w:rsid w:val="006461F4"/>
    <w:rsid w:val="006464F9"/>
    <w:rsid w:val="00646515"/>
    <w:rsid w:val="006466A6"/>
    <w:rsid w:val="0064684C"/>
    <w:rsid w:val="0064686B"/>
    <w:rsid w:val="00646A06"/>
    <w:rsid w:val="00646AB5"/>
    <w:rsid w:val="00646B83"/>
    <w:rsid w:val="00646BFE"/>
    <w:rsid w:val="00646C70"/>
    <w:rsid w:val="00646CD7"/>
    <w:rsid w:val="00646D56"/>
    <w:rsid w:val="00646E64"/>
    <w:rsid w:val="00646E78"/>
    <w:rsid w:val="00646F8F"/>
    <w:rsid w:val="00647106"/>
    <w:rsid w:val="006473E8"/>
    <w:rsid w:val="00647797"/>
    <w:rsid w:val="006477F2"/>
    <w:rsid w:val="00650048"/>
    <w:rsid w:val="0065009B"/>
    <w:rsid w:val="00650339"/>
    <w:rsid w:val="00650548"/>
    <w:rsid w:val="00650578"/>
    <w:rsid w:val="00650681"/>
    <w:rsid w:val="006506D0"/>
    <w:rsid w:val="006507A0"/>
    <w:rsid w:val="00650829"/>
    <w:rsid w:val="006508D0"/>
    <w:rsid w:val="00650A28"/>
    <w:rsid w:val="00650AA2"/>
    <w:rsid w:val="00650ABA"/>
    <w:rsid w:val="00650E67"/>
    <w:rsid w:val="00650F1B"/>
    <w:rsid w:val="00650F55"/>
    <w:rsid w:val="00650F67"/>
    <w:rsid w:val="00651082"/>
    <w:rsid w:val="00651290"/>
    <w:rsid w:val="006515BA"/>
    <w:rsid w:val="006516CB"/>
    <w:rsid w:val="00651811"/>
    <w:rsid w:val="00651A39"/>
    <w:rsid w:val="00651A51"/>
    <w:rsid w:val="00651B9A"/>
    <w:rsid w:val="00651B9E"/>
    <w:rsid w:val="00651BD0"/>
    <w:rsid w:val="00651E67"/>
    <w:rsid w:val="00651F90"/>
    <w:rsid w:val="00651FAC"/>
    <w:rsid w:val="006524D6"/>
    <w:rsid w:val="0065259D"/>
    <w:rsid w:val="00652606"/>
    <w:rsid w:val="00652904"/>
    <w:rsid w:val="00652921"/>
    <w:rsid w:val="00652DD1"/>
    <w:rsid w:val="00652E08"/>
    <w:rsid w:val="006531C0"/>
    <w:rsid w:val="00653251"/>
    <w:rsid w:val="00653409"/>
    <w:rsid w:val="006534B5"/>
    <w:rsid w:val="006534D7"/>
    <w:rsid w:val="00653598"/>
    <w:rsid w:val="006538AD"/>
    <w:rsid w:val="006538B1"/>
    <w:rsid w:val="00653996"/>
    <w:rsid w:val="00653ADA"/>
    <w:rsid w:val="00653BAC"/>
    <w:rsid w:val="00653C7C"/>
    <w:rsid w:val="00653CAD"/>
    <w:rsid w:val="00653F8C"/>
    <w:rsid w:val="0065414C"/>
    <w:rsid w:val="006544CE"/>
    <w:rsid w:val="00654569"/>
    <w:rsid w:val="0065459B"/>
    <w:rsid w:val="0065477F"/>
    <w:rsid w:val="00654905"/>
    <w:rsid w:val="006549B6"/>
    <w:rsid w:val="00654AF7"/>
    <w:rsid w:val="00654D52"/>
    <w:rsid w:val="00654E34"/>
    <w:rsid w:val="0065534C"/>
    <w:rsid w:val="0065541A"/>
    <w:rsid w:val="00655869"/>
    <w:rsid w:val="00655871"/>
    <w:rsid w:val="006558C8"/>
    <w:rsid w:val="00655AE8"/>
    <w:rsid w:val="00655AED"/>
    <w:rsid w:val="00655B17"/>
    <w:rsid w:val="00655B55"/>
    <w:rsid w:val="00655B74"/>
    <w:rsid w:val="00655B77"/>
    <w:rsid w:val="00655C93"/>
    <w:rsid w:val="00655CF6"/>
    <w:rsid w:val="00655D4C"/>
    <w:rsid w:val="00655FAF"/>
    <w:rsid w:val="006560D4"/>
    <w:rsid w:val="00656151"/>
    <w:rsid w:val="006561B7"/>
    <w:rsid w:val="0065620B"/>
    <w:rsid w:val="00656516"/>
    <w:rsid w:val="00656591"/>
    <w:rsid w:val="0065663D"/>
    <w:rsid w:val="0065668A"/>
    <w:rsid w:val="00656877"/>
    <w:rsid w:val="006569CC"/>
    <w:rsid w:val="00656A62"/>
    <w:rsid w:val="00656AF2"/>
    <w:rsid w:val="00656B37"/>
    <w:rsid w:val="00656DA2"/>
    <w:rsid w:val="0065719C"/>
    <w:rsid w:val="0065723F"/>
    <w:rsid w:val="006572A1"/>
    <w:rsid w:val="00657439"/>
    <w:rsid w:val="006576B9"/>
    <w:rsid w:val="006578C4"/>
    <w:rsid w:val="006578FC"/>
    <w:rsid w:val="00657913"/>
    <w:rsid w:val="006579A5"/>
    <w:rsid w:val="00657B1E"/>
    <w:rsid w:val="00657B24"/>
    <w:rsid w:val="00657D68"/>
    <w:rsid w:val="006603E8"/>
    <w:rsid w:val="00660533"/>
    <w:rsid w:val="006605FB"/>
    <w:rsid w:val="00660961"/>
    <w:rsid w:val="00660E31"/>
    <w:rsid w:val="00660F5E"/>
    <w:rsid w:val="006611AC"/>
    <w:rsid w:val="006614F4"/>
    <w:rsid w:val="006614F7"/>
    <w:rsid w:val="006616CA"/>
    <w:rsid w:val="006618B2"/>
    <w:rsid w:val="006618CB"/>
    <w:rsid w:val="00661AE2"/>
    <w:rsid w:val="00661AE5"/>
    <w:rsid w:val="00661C1F"/>
    <w:rsid w:val="00661DAD"/>
    <w:rsid w:val="00661EEE"/>
    <w:rsid w:val="0066225A"/>
    <w:rsid w:val="00662583"/>
    <w:rsid w:val="00662631"/>
    <w:rsid w:val="00662707"/>
    <w:rsid w:val="00662755"/>
    <w:rsid w:val="006627B6"/>
    <w:rsid w:val="006627EF"/>
    <w:rsid w:val="00662831"/>
    <w:rsid w:val="0066284D"/>
    <w:rsid w:val="00662902"/>
    <w:rsid w:val="0066297B"/>
    <w:rsid w:val="00662BE6"/>
    <w:rsid w:val="00662D52"/>
    <w:rsid w:val="00662DDC"/>
    <w:rsid w:val="00662E44"/>
    <w:rsid w:val="00663012"/>
    <w:rsid w:val="00663075"/>
    <w:rsid w:val="00663091"/>
    <w:rsid w:val="006631AD"/>
    <w:rsid w:val="0066327D"/>
    <w:rsid w:val="00663460"/>
    <w:rsid w:val="00663602"/>
    <w:rsid w:val="00663814"/>
    <w:rsid w:val="006638FB"/>
    <w:rsid w:val="00663920"/>
    <w:rsid w:val="0066395D"/>
    <w:rsid w:val="00663B6D"/>
    <w:rsid w:val="00663CED"/>
    <w:rsid w:val="00663D71"/>
    <w:rsid w:val="00663FCB"/>
    <w:rsid w:val="0066442D"/>
    <w:rsid w:val="00664674"/>
    <w:rsid w:val="00664694"/>
    <w:rsid w:val="006646A9"/>
    <w:rsid w:val="00664806"/>
    <w:rsid w:val="0066483B"/>
    <w:rsid w:val="006648F9"/>
    <w:rsid w:val="00664ABA"/>
    <w:rsid w:val="00664E04"/>
    <w:rsid w:val="006650B0"/>
    <w:rsid w:val="0066513F"/>
    <w:rsid w:val="006655DD"/>
    <w:rsid w:val="00665659"/>
    <w:rsid w:val="00665A02"/>
    <w:rsid w:val="00665CFF"/>
    <w:rsid w:val="00665E41"/>
    <w:rsid w:val="00665F0A"/>
    <w:rsid w:val="00666673"/>
    <w:rsid w:val="00666B1E"/>
    <w:rsid w:val="00666EF7"/>
    <w:rsid w:val="00666FC1"/>
    <w:rsid w:val="0066709A"/>
    <w:rsid w:val="006670D0"/>
    <w:rsid w:val="006671B7"/>
    <w:rsid w:val="00667356"/>
    <w:rsid w:val="0066735C"/>
    <w:rsid w:val="006673AB"/>
    <w:rsid w:val="0066740A"/>
    <w:rsid w:val="0066747C"/>
    <w:rsid w:val="006675E9"/>
    <w:rsid w:val="006675F4"/>
    <w:rsid w:val="00667EC2"/>
    <w:rsid w:val="00667EC8"/>
    <w:rsid w:val="00667EE8"/>
    <w:rsid w:val="006700B9"/>
    <w:rsid w:val="006700D6"/>
    <w:rsid w:val="006700F8"/>
    <w:rsid w:val="00670174"/>
    <w:rsid w:val="00670208"/>
    <w:rsid w:val="00670256"/>
    <w:rsid w:val="006702A1"/>
    <w:rsid w:val="0067038C"/>
    <w:rsid w:val="0067050C"/>
    <w:rsid w:val="00670735"/>
    <w:rsid w:val="006707AA"/>
    <w:rsid w:val="00670A68"/>
    <w:rsid w:val="00670D1C"/>
    <w:rsid w:val="00670E00"/>
    <w:rsid w:val="00670EE9"/>
    <w:rsid w:val="00671026"/>
    <w:rsid w:val="00671262"/>
    <w:rsid w:val="006716D1"/>
    <w:rsid w:val="006718B8"/>
    <w:rsid w:val="006719DD"/>
    <w:rsid w:val="00671ADB"/>
    <w:rsid w:val="00671B63"/>
    <w:rsid w:val="00671CA4"/>
    <w:rsid w:val="00671D4F"/>
    <w:rsid w:val="00671E1C"/>
    <w:rsid w:val="00671FD3"/>
    <w:rsid w:val="00671FEC"/>
    <w:rsid w:val="006720C2"/>
    <w:rsid w:val="00672465"/>
    <w:rsid w:val="006725FA"/>
    <w:rsid w:val="006726A5"/>
    <w:rsid w:val="006728ED"/>
    <w:rsid w:val="00672947"/>
    <w:rsid w:val="00672B2C"/>
    <w:rsid w:val="00672B52"/>
    <w:rsid w:val="00672E34"/>
    <w:rsid w:val="00673231"/>
    <w:rsid w:val="0067328C"/>
    <w:rsid w:val="00673336"/>
    <w:rsid w:val="006736EE"/>
    <w:rsid w:val="00673C7D"/>
    <w:rsid w:val="00673CA3"/>
    <w:rsid w:val="00674056"/>
    <w:rsid w:val="00674078"/>
    <w:rsid w:val="006740CF"/>
    <w:rsid w:val="00674355"/>
    <w:rsid w:val="006744F5"/>
    <w:rsid w:val="00674630"/>
    <w:rsid w:val="00674832"/>
    <w:rsid w:val="00674880"/>
    <w:rsid w:val="00674981"/>
    <w:rsid w:val="00674A71"/>
    <w:rsid w:val="00674AD4"/>
    <w:rsid w:val="00674B31"/>
    <w:rsid w:val="00674C32"/>
    <w:rsid w:val="00674D5F"/>
    <w:rsid w:val="00674DBF"/>
    <w:rsid w:val="00674EC8"/>
    <w:rsid w:val="00674EDF"/>
    <w:rsid w:val="00674F02"/>
    <w:rsid w:val="006751F7"/>
    <w:rsid w:val="006751FB"/>
    <w:rsid w:val="0067523A"/>
    <w:rsid w:val="0067523E"/>
    <w:rsid w:val="00675708"/>
    <w:rsid w:val="006757A0"/>
    <w:rsid w:val="0067587F"/>
    <w:rsid w:val="00675A2D"/>
    <w:rsid w:val="00675C5A"/>
    <w:rsid w:val="00675CA1"/>
    <w:rsid w:val="00675D7E"/>
    <w:rsid w:val="00675E2B"/>
    <w:rsid w:val="00675E8A"/>
    <w:rsid w:val="00676151"/>
    <w:rsid w:val="0067661B"/>
    <w:rsid w:val="0067668E"/>
    <w:rsid w:val="006768C1"/>
    <w:rsid w:val="00676B9E"/>
    <w:rsid w:val="00676D10"/>
    <w:rsid w:val="00676D7E"/>
    <w:rsid w:val="00676DDE"/>
    <w:rsid w:val="00676E21"/>
    <w:rsid w:val="00676F7F"/>
    <w:rsid w:val="00676F9F"/>
    <w:rsid w:val="00677206"/>
    <w:rsid w:val="00677365"/>
    <w:rsid w:val="006774B6"/>
    <w:rsid w:val="00677702"/>
    <w:rsid w:val="00677769"/>
    <w:rsid w:val="00677917"/>
    <w:rsid w:val="00677A84"/>
    <w:rsid w:val="00677A8D"/>
    <w:rsid w:val="00677ADB"/>
    <w:rsid w:val="00677CFA"/>
    <w:rsid w:val="00677D06"/>
    <w:rsid w:val="00677D4B"/>
    <w:rsid w:val="00677DAC"/>
    <w:rsid w:val="00680132"/>
    <w:rsid w:val="006804B1"/>
    <w:rsid w:val="006806E5"/>
    <w:rsid w:val="006808AA"/>
    <w:rsid w:val="006809C9"/>
    <w:rsid w:val="00680B3E"/>
    <w:rsid w:val="00680CAA"/>
    <w:rsid w:val="00680CF4"/>
    <w:rsid w:val="00680CFA"/>
    <w:rsid w:val="00680DC1"/>
    <w:rsid w:val="00680E00"/>
    <w:rsid w:val="00680E34"/>
    <w:rsid w:val="00681093"/>
    <w:rsid w:val="006812D9"/>
    <w:rsid w:val="00681362"/>
    <w:rsid w:val="00681413"/>
    <w:rsid w:val="0068179C"/>
    <w:rsid w:val="00681AC4"/>
    <w:rsid w:val="00681B8E"/>
    <w:rsid w:val="00681BC3"/>
    <w:rsid w:val="00681BC9"/>
    <w:rsid w:val="00681D38"/>
    <w:rsid w:val="00681DBA"/>
    <w:rsid w:val="00681E5F"/>
    <w:rsid w:val="0068205A"/>
    <w:rsid w:val="00682211"/>
    <w:rsid w:val="00682357"/>
    <w:rsid w:val="00682463"/>
    <w:rsid w:val="006824B6"/>
    <w:rsid w:val="006824FC"/>
    <w:rsid w:val="00682804"/>
    <w:rsid w:val="006828DB"/>
    <w:rsid w:val="006828F6"/>
    <w:rsid w:val="0068298C"/>
    <w:rsid w:val="006829A3"/>
    <w:rsid w:val="00682A94"/>
    <w:rsid w:val="00682C8E"/>
    <w:rsid w:val="00683156"/>
    <w:rsid w:val="0068317E"/>
    <w:rsid w:val="006832C0"/>
    <w:rsid w:val="0068332B"/>
    <w:rsid w:val="006833EF"/>
    <w:rsid w:val="00683457"/>
    <w:rsid w:val="00683655"/>
    <w:rsid w:val="006836B5"/>
    <w:rsid w:val="006838C6"/>
    <w:rsid w:val="00683ADA"/>
    <w:rsid w:val="00683B91"/>
    <w:rsid w:val="00683C6B"/>
    <w:rsid w:val="00683C9E"/>
    <w:rsid w:val="00683D34"/>
    <w:rsid w:val="00683F53"/>
    <w:rsid w:val="00684045"/>
    <w:rsid w:val="00684130"/>
    <w:rsid w:val="00684598"/>
    <w:rsid w:val="0068480D"/>
    <w:rsid w:val="00684B3F"/>
    <w:rsid w:val="00684D0A"/>
    <w:rsid w:val="00684D33"/>
    <w:rsid w:val="00684E3F"/>
    <w:rsid w:val="00684E73"/>
    <w:rsid w:val="00684ED8"/>
    <w:rsid w:val="006851BE"/>
    <w:rsid w:val="0068556A"/>
    <w:rsid w:val="00685624"/>
    <w:rsid w:val="00685679"/>
    <w:rsid w:val="00685999"/>
    <w:rsid w:val="00685A0F"/>
    <w:rsid w:val="00685AB1"/>
    <w:rsid w:val="00685F36"/>
    <w:rsid w:val="00685F8C"/>
    <w:rsid w:val="0068600B"/>
    <w:rsid w:val="0068609D"/>
    <w:rsid w:val="006862FA"/>
    <w:rsid w:val="00686336"/>
    <w:rsid w:val="00686421"/>
    <w:rsid w:val="0068644E"/>
    <w:rsid w:val="006864A2"/>
    <w:rsid w:val="006864AB"/>
    <w:rsid w:val="0068654D"/>
    <w:rsid w:val="00686557"/>
    <w:rsid w:val="00686715"/>
    <w:rsid w:val="0068687C"/>
    <w:rsid w:val="00686894"/>
    <w:rsid w:val="006869AC"/>
    <w:rsid w:val="00686FBB"/>
    <w:rsid w:val="0068710C"/>
    <w:rsid w:val="006872C3"/>
    <w:rsid w:val="00687393"/>
    <w:rsid w:val="006873A6"/>
    <w:rsid w:val="00687478"/>
    <w:rsid w:val="006876F4"/>
    <w:rsid w:val="0068785A"/>
    <w:rsid w:val="00687950"/>
    <w:rsid w:val="0068799E"/>
    <w:rsid w:val="00687B51"/>
    <w:rsid w:val="00687E86"/>
    <w:rsid w:val="00687EF2"/>
    <w:rsid w:val="00687F91"/>
    <w:rsid w:val="0069011D"/>
    <w:rsid w:val="00690264"/>
    <w:rsid w:val="00690276"/>
    <w:rsid w:val="006904B3"/>
    <w:rsid w:val="00690895"/>
    <w:rsid w:val="00690C08"/>
    <w:rsid w:val="00690D46"/>
    <w:rsid w:val="006914E0"/>
    <w:rsid w:val="00691549"/>
    <w:rsid w:val="00691677"/>
    <w:rsid w:val="006916C3"/>
    <w:rsid w:val="00691863"/>
    <w:rsid w:val="00691909"/>
    <w:rsid w:val="00691EBE"/>
    <w:rsid w:val="00691EDA"/>
    <w:rsid w:val="0069200E"/>
    <w:rsid w:val="00692147"/>
    <w:rsid w:val="006922A0"/>
    <w:rsid w:val="006922EC"/>
    <w:rsid w:val="00692324"/>
    <w:rsid w:val="00692390"/>
    <w:rsid w:val="006925C0"/>
    <w:rsid w:val="00692631"/>
    <w:rsid w:val="006926AE"/>
    <w:rsid w:val="0069282C"/>
    <w:rsid w:val="006928D7"/>
    <w:rsid w:val="00692907"/>
    <w:rsid w:val="0069291D"/>
    <w:rsid w:val="00692936"/>
    <w:rsid w:val="00692DD1"/>
    <w:rsid w:val="00692FB5"/>
    <w:rsid w:val="0069301F"/>
    <w:rsid w:val="00693043"/>
    <w:rsid w:val="00693060"/>
    <w:rsid w:val="0069306E"/>
    <w:rsid w:val="00693177"/>
    <w:rsid w:val="006933A6"/>
    <w:rsid w:val="00693769"/>
    <w:rsid w:val="006938BD"/>
    <w:rsid w:val="00693963"/>
    <w:rsid w:val="00693985"/>
    <w:rsid w:val="00693A0E"/>
    <w:rsid w:val="00693C4B"/>
    <w:rsid w:val="0069402B"/>
    <w:rsid w:val="00694288"/>
    <w:rsid w:val="00694298"/>
    <w:rsid w:val="00694365"/>
    <w:rsid w:val="0069436E"/>
    <w:rsid w:val="00694503"/>
    <w:rsid w:val="00694564"/>
    <w:rsid w:val="006949F2"/>
    <w:rsid w:val="00694CF7"/>
    <w:rsid w:val="00695018"/>
    <w:rsid w:val="006950DA"/>
    <w:rsid w:val="006952E9"/>
    <w:rsid w:val="006953D2"/>
    <w:rsid w:val="0069547D"/>
    <w:rsid w:val="00695533"/>
    <w:rsid w:val="0069575E"/>
    <w:rsid w:val="00695A92"/>
    <w:rsid w:val="00695BE9"/>
    <w:rsid w:val="00695D6F"/>
    <w:rsid w:val="00695FA1"/>
    <w:rsid w:val="00696025"/>
    <w:rsid w:val="006960E5"/>
    <w:rsid w:val="006961FF"/>
    <w:rsid w:val="0069644D"/>
    <w:rsid w:val="006964D5"/>
    <w:rsid w:val="006966C2"/>
    <w:rsid w:val="00696717"/>
    <w:rsid w:val="0069693A"/>
    <w:rsid w:val="006969B4"/>
    <w:rsid w:val="00696A37"/>
    <w:rsid w:val="00696B21"/>
    <w:rsid w:val="00696EDE"/>
    <w:rsid w:val="00696EE5"/>
    <w:rsid w:val="00696F13"/>
    <w:rsid w:val="0069700D"/>
    <w:rsid w:val="0069701E"/>
    <w:rsid w:val="006970A1"/>
    <w:rsid w:val="0069714F"/>
    <w:rsid w:val="00697252"/>
    <w:rsid w:val="0069734B"/>
    <w:rsid w:val="0069747E"/>
    <w:rsid w:val="00697869"/>
    <w:rsid w:val="006979B6"/>
    <w:rsid w:val="00697A68"/>
    <w:rsid w:val="00697B9F"/>
    <w:rsid w:val="00697BD3"/>
    <w:rsid w:val="00697C29"/>
    <w:rsid w:val="00697D13"/>
    <w:rsid w:val="00697D60"/>
    <w:rsid w:val="00697D71"/>
    <w:rsid w:val="00697E23"/>
    <w:rsid w:val="006A02C8"/>
    <w:rsid w:val="006A037C"/>
    <w:rsid w:val="006A05B2"/>
    <w:rsid w:val="006A05B6"/>
    <w:rsid w:val="006A0737"/>
    <w:rsid w:val="006A075E"/>
    <w:rsid w:val="006A0B68"/>
    <w:rsid w:val="006A0B85"/>
    <w:rsid w:val="006A0DB7"/>
    <w:rsid w:val="006A1007"/>
    <w:rsid w:val="006A10A6"/>
    <w:rsid w:val="006A10D2"/>
    <w:rsid w:val="006A11EF"/>
    <w:rsid w:val="006A11F2"/>
    <w:rsid w:val="006A123C"/>
    <w:rsid w:val="006A152F"/>
    <w:rsid w:val="006A1566"/>
    <w:rsid w:val="006A15BC"/>
    <w:rsid w:val="006A1762"/>
    <w:rsid w:val="006A1B22"/>
    <w:rsid w:val="006A1F09"/>
    <w:rsid w:val="006A2354"/>
    <w:rsid w:val="006A26BB"/>
    <w:rsid w:val="006A270D"/>
    <w:rsid w:val="006A27EF"/>
    <w:rsid w:val="006A28CF"/>
    <w:rsid w:val="006A28D0"/>
    <w:rsid w:val="006A2968"/>
    <w:rsid w:val="006A2982"/>
    <w:rsid w:val="006A2BAD"/>
    <w:rsid w:val="006A2D28"/>
    <w:rsid w:val="006A2DFB"/>
    <w:rsid w:val="006A2ECE"/>
    <w:rsid w:val="006A2FD7"/>
    <w:rsid w:val="006A301D"/>
    <w:rsid w:val="006A307E"/>
    <w:rsid w:val="006A30D3"/>
    <w:rsid w:val="006A3382"/>
    <w:rsid w:val="006A357B"/>
    <w:rsid w:val="006A35EF"/>
    <w:rsid w:val="006A35FB"/>
    <w:rsid w:val="006A3611"/>
    <w:rsid w:val="006A376D"/>
    <w:rsid w:val="006A3BF2"/>
    <w:rsid w:val="006A3EE4"/>
    <w:rsid w:val="006A4084"/>
    <w:rsid w:val="006A439E"/>
    <w:rsid w:val="006A4499"/>
    <w:rsid w:val="006A4664"/>
    <w:rsid w:val="006A46BA"/>
    <w:rsid w:val="006A48E8"/>
    <w:rsid w:val="006A4B1E"/>
    <w:rsid w:val="006A5521"/>
    <w:rsid w:val="006A556A"/>
    <w:rsid w:val="006A5888"/>
    <w:rsid w:val="006A5A4B"/>
    <w:rsid w:val="006A5B5D"/>
    <w:rsid w:val="006A5C93"/>
    <w:rsid w:val="006A5CD3"/>
    <w:rsid w:val="006A5D8D"/>
    <w:rsid w:val="006A6028"/>
    <w:rsid w:val="006A604E"/>
    <w:rsid w:val="006A61AB"/>
    <w:rsid w:val="006A62BE"/>
    <w:rsid w:val="006A6354"/>
    <w:rsid w:val="006A653E"/>
    <w:rsid w:val="006A67FC"/>
    <w:rsid w:val="006A68CD"/>
    <w:rsid w:val="006A68DA"/>
    <w:rsid w:val="006A6AB1"/>
    <w:rsid w:val="006A6BFF"/>
    <w:rsid w:val="006A6C7A"/>
    <w:rsid w:val="006A6D88"/>
    <w:rsid w:val="006A706E"/>
    <w:rsid w:val="006A7588"/>
    <w:rsid w:val="006A7762"/>
    <w:rsid w:val="006A77EA"/>
    <w:rsid w:val="006A7D59"/>
    <w:rsid w:val="006B015B"/>
    <w:rsid w:val="006B01FE"/>
    <w:rsid w:val="006B022E"/>
    <w:rsid w:val="006B0236"/>
    <w:rsid w:val="006B0337"/>
    <w:rsid w:val="006B041C"/>
    <w:rsid w:val="006B047B"/>
    <w:rsid w:val="006B0570"/>
    <w:rsid w:val="006B0635"/>
    <w:rsid w:val="006B0672"/>
    <w:rsid w:val="006B06B6"/>
    <w:rsid w:val="006B08B2"/>
    <w:rsid w:val="006B0970"/>
    <w:rsid w:val="006B0AB5"/>
    <w:rsid w:val="006B0BD8"/>
    <w:rsid w:val="006B0EFF"/>
    <w:rsid w:val="006B141D"/>
    <w:rsid w:val="006B1667"/>
    <w:rsid w:val="006B1773"/>
    <w:rsid w:val="006B19C3"/>
    <w:rsid w:val="006B19FF"/>
    <w:rsid w:val="006B1A3F"/>
    <w:rsid w:val="006B1A69"/>
    <w:rsid w:val="006B1D82"/>
    <w:rsid w:val="006B1E64"/>
    <w:rsid w:val="006B1EDC"/>
    <w:rsid w:val="006B1F1C"/>
    <w:rsid w:val="006B200D"/>
    <w:rsid w:val="006B2217"/>
    <w:rsid w:val="006B22F8"/>
    <w:rsid w:val="006B23D7"/>
    <w:rsid w:val="006B2538"/>
    <w:rsid w:val="006B2595"/>
    <w:rsid w:val="006B2C9E"/>
    <w:rsid w:val="006B2E59"/>
    <w:rsid w:val="006B2E77"/>
    <w:rsid w:val="006B2F51"/>
    <w:rsid w:val="006B31DF"/>
    <w:rsid w:val="006B3479"/>
    <w:rsid w:val="006B3560"/>
    <w:rsid w:val="006B35AD"/>
    <w:rsid w:val="006B3650"/>
    <w:rsid w:val="006B36AC"/>
    <w:rsid w:val="006B39E5"/>
    <w:rsid w:val="006B3BBF"/>
    <w:rsid w:val="006B3E4A"/>
    <w:rsid w:val="006B3F3E"/>
    <w:rsid w:val="006B4086"/>
    <w:rsid w:val="006B40B4"/>
    <w:rsid w:val="006B42B3"/>
    <w:rsid w:val="006B4324"/>
    <w:rsid w:val="006B4336"/>
    <w:rsid w:val="006B438C"/>
    <w:rsid w:val="006B440E"/>
    <w:rsid w:val="006B4525"/>
    <w:rsid w:val="006B489D"/>
    <w:rsid w:val="006B4950"/>
    <w:rsid w:val="006B4A41"/>
    <w:rsid w:val="006B4D4F"/>
    <w:rsid w:val="006B4DC9"/>
    <w:rsid w:val="006B4F41"/>
    <w:rsid w:val="006B4F85"/>
    <w:rsid w:val="006B545B"/>
    <w:rsid w:val="006B5465"/>
    <w:rsid w:val="006B5596"/>
    <w:rsid w:val="006B5633"/>
    <w:rsid w:val="006B5764"/>
    <w:rsid w:val="006B5A51"/>
    <w:rsid w:val="006B5D53"/>
    <w:rsid w:val="006B5D6A"/>
    <w:rsid w:val="006B5E59"/>
    <w:rsid w:val="006B63B6"/>
    <w:rsid w:val="006B679B"/>
    <w:rsid w:val="006B68FB"/>
    <w:rsid w:val="006B6B31"/>
    <w:rsid w:val="006B6E1D"/>
    <w:rsid w:val="006B6FD5"/>
    <w:rsid w:val="006B7111"/>
    <w:rsid w:val="006B7250"/>
    <w:rsid w:val="006B72EE"/>
    <w:rsid w:val="006B751E"/>
    <w:rsid w:val="006B7583"/>
    <w:rsid w:val="006B764B"/>
    <w:rsid w:val="006B768E"/>
    <w:rsid w:val="006B7823"/>
    <w:rsid w:val="006B7860"/>
    <w:rsid w:val="006B788E"/>
    <w:rsid w:val="006B790B"/>
    <w:rsid w:val="006B791E"/>
    <w:rsid w:val="006B79B4"/>
    <w:rsid w:val="006B7B1D"/>
    <w:rsid w:val="006B7F6E"/>
    <w:rsid w:val="006BE61A"/>
    <w:rsid w:val="006C01CC"/>
    <w:rsid w:val="006C020A"/>
    <w:rsid w:val="006C03B9"/>
    <w:rsid w:val="006C0489"/>
    <w:rsid w:val="006C0518"/>
    <w:rsid w:val="006C07BC"/>
    <w:rsid w:val="006C07F3"/>
    <w:rsid w:val="006C0C1A"/>
    <w:rsid w:val="006C0CE7"/>
    <w:rsid w:val="006C0D71"/>
    <w:rsid w:val="006C15AD"/>
    <w:rsid w:val="006C16F3"/>
    <w:rsid w:val="006C1871"/>
    <w:rsid w:val="006C187D"/>
    <w:rsid w:val="006C1A20"/>
    <w:rsid w:val="006C1BDC"/>
    <w:rsid w:val="006C1D02"/>
    <w:rsid w:val="006C1D16"/>
    <w:rsid w:val="006C1D1F"/>
    <w:rsid w:val="006C1D6E"/>
    <w:rsid w:val="006C1FAF"/>
    <w:rsid w:val="006C2483"/>
    <w:rsid w:val="006C263E"/>
    <w:rsid w:val="006C26FD"/>
    <w:rsid w:val="006C28FC"/>
    <w:rsid w:val="006C2C0A"/>
    <w:rsid w:val="006C2FC9"/>
    <w:rsid w:val="006C30EF"/>
    <w:rsid w:val="006C3643"/>
    <w:rsid w:val="006C377F"/>
    <w:rsid w:val="006C3823"/>
    <w:rsid w:val="006C3906"/>
    <w:rsid w:val="006C3A4A"/>
    <w:rsid w:val="006C3C86"/>
    <w:rsid w:val="006C3D51"/>
    <w:rsid w:val="006C4072"/>
    <w:rsid w:val="006C432C"/>
    <w:rsid w:val="006C43CB"/>
    <w:rsid w:val="006C4436"/>
    <w:rsid w:val="006C4674"/>
    <w:rsid w:val="006C469C"/>
    <w:rsid w:val="006C48FA"/>
    <w:rsid w:val="006C49BD"/>
    <w:rsid w:val="006C4BEE"/>
    <w:rsid w:val="006C4DA4"/>
    <w:rsid w:val="006C4E21"/>
    <w:rsid w:val="006C4F12"/>
    <w:rsid w:val="006C5161"/>
    <w:rsid w:val="006C5221"/>
    <w:rsid w:val="006C53AF"/>
    <w:rsid w:val="006C59D1"/>
    <w:rsid w:val="006C5DEF"/>
    <w:rsid w:val="006C5E22"/>
    <w:rsid w:val="006C6113"/>
    <w:rsid w:val="006C612A"/>
    <w:rsid w:val="006C6183"/>
    <w:rsid w:val="006C64FA"/>
    <w:rsid w:val="006C65F9"/>
    <w:rsid w:val="006C6645"/>
    <w:rsid w:val="006C6757"/>
    <w:rsid w:val="006C67C6"/>
    <w:rsid w:val="006C6897"/>
    <w:rsid w:val="006C6A7F"/>
    <w:rsid w:val="006C6A80"/>
    <w:rsid w:val="006C6B74"/>
    <w:rsid w:val="006C6BBF"/>
    <w:rsid w:val="006C6D6E"/>
    <w:rsid w:val="006C6DD5"/>
    <w:rsid w:val="006C6E6A"/>
    <w:rsid w:val="006C6EE4"/>
    <w:rsid w:val="006C71CB"/>
    <w:rsid w:val="006C7439"/>
    <w:rsid w:val="006C7654"/>
    <w:rsid w:val="006C7803"/>
    <w:rsid w:val="006C7808"/>
    <w:rsid w:val="006C780C"/>
    <w:rsid w:val="006C7820"/>
    <w:rsid w:val="006C7897"/>
    <w:rsid w:val="006C79EA"/>
    <w:rsid w:val="006C7B14"/>
    <w:rsid w:val="006C7D9B"/>
    <w:rsid w:val="006C7FA6"/>
    <w:rsid w:val="006D002D"/>
    <w:rsid w:val="006D009C"/>
    <w:rsid w:val="006D011B"/>
    <w:rsid w:val="006D031D"/>
    <w:rsid w:val="006D0382"/>
    <w:rsid w:val="006D03BC"/>
    <w:rsid w:val="006D071A"/>
    <w:rsid w:val="006D0ADD"/>
    <w:rsid w:val="006D0B51"/>
    <w:rsid w:val="006D0EF2"/>
    <w:rsid w:val="006D0F39"/>
    <w:rsid w:val="006D1012"/>
    <w:rsid w:val="006D11A9"/>
    <w:rsid w:val="006D12B9"/>
    <w:rsid w:val="006D16A8"/>
    <w:rsid w:val="006D1813"/>
    <w:rsid w:val="006D18B6"/>
    <w:rsid w:val="006D18FF"/>
    <w:rsid w:val="006D1A21"/>
    <w:rsid w:val="006D1AC6"/>
    <w:rsid w:val="006D1BF2"/>
    <w:rsid w:val="006D1D64"/>
    <w:rsid w:val="006D1EA3"/>
    <w:rsid w:val="006D2178"/>
    <w:rsid w:val="006D21E1"/>
    <w:rsid w:val="006D22ED"/>
    <w:rsid w:val="006D2BD4"/>
    <w:rsid w:val="006D2F4F"/>
    <w:rsid w:val="006D3022"/>
    <w:rsid w:val="006D3064"/>
    <w:rsid w:val="006D30C4"/>
    <w:rsid w:val="006D32AC"/>
    <w:rsid w:val="006D3334"/>
    <w:rsid w:val="006D33CE"/>
    <w:rsid w:val="006D33D2"/>
    <w:rsid w:val="006D34FE"/>
    <w:rsid w:val="006D36D0"/>
    <w:rsid w:val="006D37A6"/>
    <w:rsid w:val="006D38EE"/>
    <w:rsid w:val="006D394F"/>
    <w:rsid w:val="006D3EFB"/>
    <w:rsid w:val="006D40D4"/>
    <w:rsid w:val="006D410A"/>
    <w:rsid w:val="006D4208"/>
    <w:rsid w:val="006D43F0"/>
    <w:rsid w:val="006D453A"/>
    <w:rsid w:val="006D4692"/>
    <w:rsid w:val="006D4AB6"/>
    <w:rsid w:val="006D4B4B"/>
    <w:rsid w:val="006D4B6F"/>
    <w:rsid w:val="006D4B97"/>
    <w:rsid w:val="006D4BF7"/>
    <w:rsid w:val="006D4D83"/>
    <w:rsid w:val="006D4F20"/>
    <w:rsid w:val="006D4F5E"/>
    <w:rsid w:val="006D5069"/>
    <w:rsid w:val="006D506D"/>
    <w:rsid w:val="006D50DC"/>
    <w:rsid w:val="006D50E7"/>
    <w:rsid w:val="006D5159"/>
    <w:rsid w:val="006D51C2"/>
    <w:rsid w:val="006D51EC"/>
    <w:rsid w:val="006D539E"/>
    <w:rsid w:val="006D53CE"/>
    <w:rsid w:val="006D558D"/>
    <w:rsid w:val="006D55D0"/>
    <w:rsid w:val="006D5899"/>
    <w:rsid w:val="006D597C"/>
    <w:rsid w:val="006D5A16"/>
    <w:rsid w:val="006D5B9F"/>
    <w:rsid w:val="006D5BEB"/>
    <w:rsid w:val="006D5CFA"/>
    <w:rsid w:val="006D5D3F"/>
    <w:rsid w:val="006D5F9C"/>
    <w:rsid w:val="006D5FFC"/>
    <w:rsid w:val="006D6128"/>
    <w:rsid w:val="006D6146"/>
    <w:rsid w:val="006D61A8"/>
    <w:rsid w:val="006D62EC"/>
    <w:rsid w:val="006D6537"/>
    <w:rsid w:val="006D6611"/>
    <w:rsid w:val="006D6664"/>
    <w:rsid w:val="006D6766"/>
    <w:rsid w:val="006D67BA"/>
    <w:rsid w:val="006D689A"/>
    <w:rsid w:val="006D690F"/>
    <w:rsid w:val="006D69F4"/>
    <w:rsid w:val="006D69FB"/>
    <w:rsid w:val="006D6AB2"/>
    <w:rsid w:val="006D6AE7"/>
    <w:rsid w:val="006D6C3D"/>
    <w:rsid w:val="006D6DA2"/>
    <w:rsid w:val="006D6DBF"/>
    <w:rsid w:val="006D70F2"/>
    <w:rsid w:val="006D7102"/>
    <w:rsid w:val="006D72CD"/>
    <w:rsid w:val="006D7452"/>
    <w:rsid w:val="006D750C"/>
    <w:rsid w:val="006D75CA"/>
    <w:rsid w:val="006D7C20"/>
    <w:rsid w:val="006D7E1C"/>
    <w:rsid w:val="006D7E28"/>
    <w:rsid w:val="006D7F79"/>
    <w:rsid w:val="006E0049"/>
    <w:rsid w:val="006E0101"/>
    <w:rsid w:val="006E032A"/>
    <w:rsid w:val="006E045E"/>
    <w:rsid w:val="006E04E4"/>
    <w:rsid w:val="006E074D"/>
    <w:rsid w:val="006E0952"/>
    <w:rsid w:val="006E09B2"/>
    <w:rsid w:val="006E0A3A"/>
    <w:rsid w:val="006E0AB8"/>
    <w:rsid w:val="006E0B19"/>
    <w:rsid w:val="006E0D84"/>
    <w:rsid w:val="006E0FBD"/>
    <w:rsid w:val="006E10F8"/>
    <w:rsid w:val="006E1220"/>
    <w:rsid w:val="006E1383"/>
    <w:rsid w:val="006E13EE"/>
    <w:rsid w:val="006E13F1"/>
    <w:rsid w:val="006E14A7"/>
    <w:rsid w:val="006E14B6"/>
    <w:rsid w:val="006E14EB"/>
    <w:rsid w:val="006E160A"/>
    <w:rsid w:val="006E1677"/>
    <w:rsid w:val="006E1A52"/>
    <w:rsid w:val="006E1ABF"/>
    <w:rsid w:val="006E1F2D"/>
    <w:rsid w:val="006E1F4F"/>
    <w:rsid w:val="006E1F68"/>
    <w:rsid w:val="006E1F8E"/>
    <w:rsid w:val="006E1FCE"/>
    <w:rsid w:val="006E20CB"/>
    <w:rsid w:val="006E20D3"/>
    <w:rsid w:val="006E237B"/>
    <w:rsid w:val="006E247C"/>
    <w:rsid w:val="006E24C3"/>
    <w:rsid w:val="006E2618"/>
    <w:rsid w:val="006E26A7"/>
    <w:rsid w:val="006E2A86"/>
    <w:rsid w:val="006E2AC9"/>
    <w:rsid w:val="006E2D56"/>
    <w:rsid w:val="006E2D67"/>
    <w:rsid w:val="006E3105"/>
    <w:rsid w:val="006E3137"/>
    <w:rsid w:val="006E31FD"/>
    <w:rsid w:val="006E3338"/>
    <w:rsid w:val="006E333A"/>
    <w:rsid w:val="006E3430"/>
    <w:rsid w:val="006E3439"/>
    <w:rsid w:val="006E34AB"/>
    <w:rsid w:val="006E34D2"/>
    <w:rsid w:val="006E3620"/>
    <w:rsid w:val="006E3658"/>
    <w:rsid w:val="006E36DD"/>
    <w:rsid w:val="006E3710"/>
    <w:rsid w:val="006E375D"/>
    <w:rsid w:val="006E3E58"/>
    <w:rsid w:val="006E3EF6"/>
    <w:rsid w:val="006E4194"/>
    <w:rsid w:val="006E437F"/>
    <w:rsid w:val="006E44DD"/>
    <w:rsid w:val="006E44ED"/>
    <w:rsid w:val="006E4580"/>
    <w:rsid w:val="006E472A"/>
    <w:rsid w:val="006E4930"/>
    <w:rsid w:val="006E4950"/>
    <w:rsid w:val="006E4A89"/>
    <w:rsid w:val="006E4B7D"/>
    <w:rsid w:val="006E4BA4"/>
    <w:rsid w:val="006E4C19"/>
    <w:rsid w:val="006E4C6E"/>
    <w:rsid w:val="006E4F71"/>
    <w:rsid w:val="006E4F83"/>
    <w:rsid w:val="006E4FBF"/>
    <w:rsid w:val="006E5007"/>
    <w:rsid w:val="006E528B"/>
    <w:rsid w:val="006E52F1"/>
    <w:rsid w:val="006E5535"/>
    <w:rsid w:val="006E55A1"/>
    <w:rsid w:val="006E5955"/>
    <w:rsid w:val="006E5A7D"/>
    <w:rsid w:val="006E5C32"/>
    <w:rsid w:val="006E5D6E"/>
    <w:rsid w:val="006E5DCD"/>
    <w:rsid w:val="006E5EFC"/>
    <w:rsid w:val="006E5FEF"/>
    <w:rsid w:val="006E6065"/>
    <w:rsid w:val="006E60FA"/>
    <w:rsid w:val="006E62D2"/>
    <w:rsid w:val="006E6305"/>
    <w:rsid w:val="006E6348"/>
    <w:rsid w:val="006E6573"/>
    <w:rsid w:val="006E671B"/>
    <w:rsid w:val="006E6733"/>
    <w:rsid w:val="006E6BDC"/>
    <w:rsid w:val="006E6CCB"/>
    <w:rsid w:val="006E6E37"/>
    <w:rsid w:val="006E708A"/>
    <w:rsid w:val="006E70E5"/>
    <w:rsid w:val="006E711A"/>
    <w:rsid w:val="006E7190"/>
    <w:rsid w:val="006E71AF"/>
    <w:rsid w:val="006E726B"/>
    <w:rsid w:val="006E7326"/>
    <w:rsid w:val="006E7379"/>
    <w:rsid w:val="006E7B29"/>
    <w:rsid w:val="006E7BAD"/>
    <w:rsid w:val="006E7D3D"/>
    <w:rsid w:val="006F0193"/>
    <w:rsid w:val="006F026A"/>
    <w:rsid w:val="006F059D"/>
    <w:rsid w:val="006F080D"/>
    <w:rsid w:val="006F0851"/>
    <w:rsid w:val="006F0A3C"/>
    <w:rsid w:val="006F0C22"/>
    <w:rsid w:val="006F0EE0"/>
    <w:rsid w:val="006F0F42"/>
    <w:rsid w:val="006F1214"/>
    <w:rsid w:val="006F146A"/>
    <w:rsid w:val="006F1596"/>
    <w:rsid w:val="006F18C1"/>
    <w:rsid w:val="006F18F7"/>
    <w:rsid w:val="006F1A40"/>
    <w:rsid w:val="006F1AF8"/>
    <w:rsid w:val="006F1C00"/>
    <w:rsid w:val="006F1C05"/>
    <w:rsid w:val="006F1C0B"/>
    <w:rsid w:val="006F1D9B"/>
    <w:rsid w:val="006F1E21"/>
    <w:rsid w:val="006F1F43"/>
    <w:rsid w:val="006F2156"/>
    <w:rsid w:val="006F24A5"/>
    <w:rsid w:val="006F25E2"/>
    <w:rsid w:val="006F265B"/>
    <w:rsid w:val="006F2923"/>
    <w:rsid w:val="006F2C53"/>
    <w:rsid w:val="006F2EB4"/>
    <w:rsid w:val="006F303F"/>
    <w:rsid w:val="006F311C"/>
    <w:rsid w:val="006F325E"/>
    <w:rsid w:val="006F34B6"/>
    <w:rsid w:val="006F3545"/>
    <w:rsid w:val="006F35C5"/>
    <w:rsid w:val="006F3992"/>
    <w:rsid w:val="006F39AA"/>
    <w:rsid w:val="006F3B50"/>
    <w:rsid w:val="006F3B57"/>
    <w:rsid w:val="006F3C33"/>
    <w:rsid w:val="006F3F56"/>
    <w:rsid w:val="006F4080"/>
    <w:rsid w:val="006F42DE"/>
    <w:rsid w:val="006F4497"/>
    <w:rsid w:val="006F44ED"/>
    <w:rsid w:val="006F45AE"/>
    <w:rsid w:val="006F45C3"/>
    <w:rsid w:val="006F45E5"/>
    <w:rsid w:val="006F4764"/>
    <w:rsid w:val="006F47E4"/>
    <w:rsid w:val="006F482B"/>
    <w:rsid w:val="006F4A3E"/>
    <w:rsid w:val="006F4AD6"/>
    <w:rsid w:val="006F4C3C"/>
    <w:rsid w:val="006F4CDA"/>
    <w:rsid w:val="006F4D10"/>
    <w:rsid w:val="006F4D13"/>
    <w:rsid w:val="006F4D8D"/>
    <w:rsid w:val="006F4E71"/>
    <w:rsid w:val="006F5467"/>
    <w:rsid w:val="006F5508"/>
    <w:rsid w:val="006F5661"/>
    <w:rsid w:val="006F57E6"/>
    <w:rsid w:val="006F5C00"/>
    <w:rsid w:val="006F5C73"/>
    <w:rsid w:val="006F5D47"/>
    <w:rsid w:val="006F5DC1"/>
    <w:rsid w:val="006F6007"/>
    <w:rsid w:val="006F608E"/>
    <w:rsid w:val="006F60FF"/>
    <w:rsid w:val="006F6489"/>
    <w:rsid w:val="006F64FE"/>
    <w:rsid w:val="006F65BF"/>
    <w:rsid w:val="006F67D6"/>
    <w:rsid w:val="006F6894"/>
    <w:rsid w:val="006F69B5"/>
    <w:rsid w:val="006F6CC4"/>
    <w:rsid w:val="006F6DA0"/>
    <w:rsid w:val="006F6E58"/>
    <w:rsid w:val="006F6F56"/>
    <w:rsid w:val="006F7047"/>
    <w:rsid w:val="006F70F7"/>
    <w:rsid w:val="006F719F"/>
    <w:rsid w:val="006F7277"/>
    <w:rsid w:val="006F73C2"/>
    <w:rsid w:val="006F78B0"/>
    <w:rsid w:val="006F79E5"/>
    <w:rsid w:val="006F7A5A"/>
    <w:rsid w:val="006F7B5C"/>
    <w:rsid w:val="006F7BA3"/>
    <w:rsid w:val="006F7C43"/>
    <w:rsid w:val="006F7D7C"/>
    <w:rsid w:val="006F7F3E"/>
    <w:rsid w:val="0070015A"/>
    <w:rsid w:val="0070022D"/>
    <w:rsid w:val="00700449"/>
    <w:rsid w:val="0070053E"/>
    <w:rsid w:val="00700571"/>
    <w:rsid w:val="007005A7"/>
    <w:rsid w:val="00700956"/>
    <w:rsid w:val="00700D11"/>
    <w:rsid w:val="00700D13"/>
    <w:rsid w:val="00701232"/>
    <w:rsid w:val="00701286"/>
    <w:rsid w:val="007014FF"/>
    <w:rsid w:val="00701546"/>
    <w:rsid w:val="00701781"/>
    <w:rsid w:val="0070180B"/>
    <w:rsid w:val="007018D9"/>
    <w:rsid w:val="0070197F"/>
    <w:rsid w:val="00701A02"/>
    <w:rsid w:val="00701A0C"/>
    <w:rsid w:val="00701A75"/>
    <w:rsid w:val="00701AA5"/>
    <w:rsid w:val="00701C9E"/>
    <w:rsid w:val="00701CC7"/>
    <w:rsid w:val="00701FDB"/>
    <w:rsid w:val="007020E2"/>
    <w:rsid w:val="00702346"/>
    <w:rsid w:val="0070236E"/>
    <w:rsid w:val="00702406"/>
    <w:rsid w:val="007024DC"/>
    <w:rsid w:val="007025E2"/>
    <w:rsid w:val="007026DF"/>
    <w:rsid w:val="0070272E"/>
    <w:rsid w:val="00702876"/>
    <w:rsid w:val="00702B1E"/>
    <w:rsid w:val="00702C9C"/>
    <w:rsid w:val="00702CC8"/>
    <w:rsid w:val="00702DF8"/>
    <w:rsid w:val="00702E45"/>
    <w:rsid w:val="00702E77"/>
    <w:rsid w:val="00702EBA"/>
    <w:rsid w:val="00702EE1"/>
    <w:rsid w:val="00703055"/>
    <w:rsid w:val="007031AB"/>
    <w:rsid w:val="0070330D"/>
    <w:rsid w:val="00703341"/>
    <w:rsid w:val="007035C5"/>
    <w:rsid w:val="00703675"/>
    <w:rsid w:val="0070371F"/>
    <w:rsid w:val="00703816"/>
    <w:rsid w:val="00703822"/>
    <w:rsid w:val="0070384A"/>
    <w:rsid w:val="00703B08"/>
    <w:rsid w:val="00703E54"/>
    <w:rsid w:val="00703EEF"/>
    <w:rsid w:val="00703FD0"/>
    <w:rsid w:val="007040AE"/>
    <w:rsid w:val="00704372"/>
    <w:rsid w:val="00704A91"/>
    <w:rsid w:val="00704B5A"/>
    <w:rsid w:val="00704C1E"/>
    <w:rsid w:val="00704D27"/>
    <w:rsid w:val="00704D5B"/>
    <w:rsid w:val="00704DF3"/>
    <w:rsid w:val="00705069"/>
    <w:rsid w:val="00705086"/>
    <w:rsid w:val="00705314"/>
    <w:rsid w:val="007053AF"/>
    <w:rsid w:val="007053B2"/>
    <w:rsid w:val="0070543C"/>
    <w:rsid w:val="00705896"/>
    <w:rsid w:val="00705B3C"/>
    <w:rsid w:val="00705B84"/>
    <w:rsid w:val="00705BAB"/>
    <w:rsid w:val="00705C1A"/>
    <w:rsid w:val="00705E16"/>
    <w:rsid w:val="00705E36"/>
    <w:rsid w:val="00706058"/>
    <w:rsid w:val="007062AE"/>
    <w:rsid w:val="0070654A"/>
    <w:rsid w:val="00706568"/>
    <w:rsid w:val="00706754"/>
    <w:rsid w:val="00706B28"/>
    <w:rsid w:val="00706C25"/>
    <w:rsid w:val="00706D94"/>
    <w:rsid w:val="00706E41"/>
    <w:rsid w:val="00706FFC"/>
    <w:rsid w:val="00707264"/>
    <w:rsid w:val="00707287"/>
    <w:rsid w:val="007075C3"/>
    <w:rsid w:val="0070768B"/>
    <w:rsid w:val="00707A15"/>
    <w:rsid w:val="00707A6C"/>
    <w:rsid w:val="00707AF8"/>
    <w:rsid w:val="00707CB0"/>
    <w:rsid w:val="00707F03"/>
    <w:rsid w:val="00710095"/>
    <w:rsid w:val="007100B9"/>
    <w:rsid w:val="007102CA"/>
    <w:rsid w:val="00710510"/>
    <w:rsid w:val="00710741"/>
    <w:rsid w:val="0071076C"/>
    <w:rsid w:val="007108FC"/>
    <w:rsid w:val="007109FD"/>
    <w:rsid w:val="00710A5F"/>
    <w:rsid w:val="00710B28"/>
    <w:rsid w:val="00710B9F"/>
    <w:rsid w:val="00710BA6"/>
    <w:rsid w:val="00710C78"/>
    <w:rsid w:val="00710C87"/>
    <w:rsid w:val="00710E44"/>
    <w:rsid w:val="00710F3C"/>
    <w:rsid w:val="007111F7"/>
    <w:rsid w:val="0071126C"/>
    <w:rsid w:val="0071159F"/>
    <w:rsid w:val="00711875"/>
    <w:rsid w:val="007118A6"/>
    <w:rsid w:val="00711991"/>
    <w:rsid w:val="00711A5C"/>
    <w:rsid w:val="00711CDE"/>
    <w:rsid w:val="00711D25"/>
    <w:rsid w:val="00711F65"/>
    <w:rsid w:val="00711F6B"/>
    <w:rsid w:val="0071206C"/>
    <w:rsid w:val="0071207F"/>
    <w:rsid w:val="00712094"/>
    <w:rsid w:val="00712223"/>
    <w:rsid w:val="0071223E"/>
    <w:rsid w:val="00712308"/>
    <w:rsid w:val="007123E5"/>
    <w:rsid w:val="00712534"/>
    <w:rsid w:val="007125ED"/>
    <w:rsid w:val="007126EA"/>
    <w:rsid w:val="00712705"/>
    <w:rsid w:val="007128D3"/>
    <w:rsid w:val="0071290F"/>
    <w:rsid w:val="00712950"/>
    <w:rsid w:val="00712B10"/>
    <w:rsid w:val="00712C26"/>
    <w:rsid w:val="00712E64"/>
    <w:rsid w:val="00712EF4"/>
    <w:rsid w:val="00712EFB"/>
    <w:rsid w:val="00712FA0"/>
    <w:rsid w:val="00713071"/>
    <w:rsid w:val="0071313B"/>
    <w:rsid w:val="0071313D"/>
    <w:rsid w:val="0071316C"/>
    <w:rsid w:val="007131EC"/>
    <w:rsid w:val="00713295"/>
    <w:rsid w:val="007133A2"/>
    <w:rsid w:val="00713597"/>
    <w:rsid w:val="007136AD"/>
    <w:rsid w:val="0071371A"/>
    <w:rsid w:val="00713972"/>
    <w:rsid w:val="00713A8D"/>
    <w:rsid w:val="00713E64"/>
    <w:rsid w:val="00713F73"/>
    <w:rsid w:val="00713FDF"/>
    <w:rsid w:val="00714018"/>
    <w:rsid w:val="00714640"/>
    <w:rsid w:val="00714975"/>
    <w:rsid w:val="00714A04"/>
    <w:rsid w:val="00714A17"/>
    <w:rsid w:val="00714A8E"/>
    <w:rsid w:val="00714CCF"/>
    <w:rsid w:val="00714E4C"/>
    <w:rsid w:val="00714E87"/>
    <w:rsid w:val="00714F51"/>
    <w:rsid w:val="00714FE0"/>
    <w:rsid w:val="0071551D"/>
    <w:rsid w:val="00715746"/>
    <w:rsid w:val="0071587C"/>
    <w:rsid w:val="0071589B"/>
    <w:rsid w:val="00715990"/>
    <w:rsid w:val="007159A0"/>
    <w:rsid w:val="00715A14"/>
    <w:rsid w:val="00715AE5"/>
    <w:rsid w:val="00715C74"/>
    <w:rsid w:val="00715D0B"/>
    <w:rsid w:val="00715F82"/>
    <w:rsid w:val="00716105"/>
    <w:rsid w:val="00716228"/>
    <w:rsid w:val="00716239"/>
    <w:rsid w:val="0071630B"/>
    <w:rsid w:val="00716418"/>
    <w:rsid w:val="007164E6"/>
    <w:rsid w:val="00716532"/>
    <w:rsid w:val="00716606"/>
    <w:rsid w:val="007166B6"/>
    <w:rsid w:val="0071670B"/>
    <w:rsid w:val="00716789"/>
    <w:rsid w:val="0071697B"/>
    <w:rsid w:val="007169C2"/>
    <w:rsid w:val="00716A22"/>
    <w:rsid w:val="00716BFD"/>
    <w:rsid w:val="00716C35"/>
    <w:rsid w:val="00716FEC"/>
    <w:rsid w:val="00717271"/>
    <w:rsid w:val="00717364"/>
    <w:rsid w:val="007173BF"/>
    <w:rsid w:val="00717541"/>
    <w:rsid w:val="007175A8"/>
    <w:rsid w:val="0071761A"/>
    <w:rsid w:val="0071781B"/>
    <w:rsid w:val="00717B65"/>
    <w:rsid w:val="00717EB2"/>
    <w:rsid w:val="00717FE5"/>
    <w:rsid w:val="00720008"/>
    <w:rsid w:val="007200EE"/>
    <w:rsid w:val="007201B5"/>
    <w:rsid w:val="00720376"/>
    <w:rsid w:val="00720B43"/>
    <w:rsid w:val="00720BFF"/>
    <w:rsid w:val="00720C35"/>
    <w:rsid w:val="00720DAF"/>
    <w:rsid w:val="00720DB9"/>
    <w:rsid w:val="00720E81"/>
    <w:rsid w:val="0072100F"/>
    <w:rsid w:val="00721427"/>
    <w:rsid w:val="00721626"/>
    <w:rsid w:val="00721858"/>
    <w:rsid w:val="007218A6"/>
    <w:rsid w:val="00721978"/>
    <w:rsid w:val="00721A2C"/>
    <w:rsid w:val="00721B03"/>
    <w:rsid w:val="00721D3F"/>
    <w:rsid w:val="00721EBA"/>
    <w:rsid w:val="00722194"/>
    <w:rsid w:val="00722353"/>
    <w:rsid w:val="007223F5"/>
    <w:rsid w:val="0072265E"/>
    <w:rsid w:val="007227A6"/>
    <w:rsid w:val="007229D3"/>
    <w:rsid w:val="00722B0F"/>
    <w:rsid w:val="00722C57"/>
    <w:rsid w:val="00722C68"/>
    <w:rsid w:val="00722CDF"/>
    <w:rsid w:val="00722DE1"/>
    <w:rsid w:val="00722ED2"/>
    <w:rsid w:val="00723085"/>
    <w:rsid w:val="0072320D"/>
    <w:rsid w:val="0072346A"/>
    <w:rsid w:val="0072364E"/>
    <w:rsid w:val="007238E7"/>
    <w:rsid w:val="00723A84"/>
    <w:rsid w:val="00723C5E"/>
    <w:rsid w:val="00723D6B"/>
    <w:rsid w:val="00723EF9"/>
    <w:rsid w:val="00724062"/>
    <w:rsid w:val="00724311"/>
    <w:rsid w:val="007243CA"/>
    <w:rsid w:val="00724496"/>
    <w:rsid w:val="00724666"/>
    <w:rsid w:val="007248ED"/>
    <w:rsid w:val="00724943"/>
    <w:rsid w:val="00724979"/>
    <w:rsid w:val="00724A8B"/>
    <w:rsid w:val="00724B34"/>
    <w:rsid w:val="00724B6F"/>
    <w:rsid w:val="00724B9F"/>
    <w:rsid w:val="00724D96"/>
    <w:rsid w:val="00724F47"/>
    <w:rsid w:val="00725030"/>
    <w:rsid w:val="0072503E"/>
    <w:rsid w:val="0072528A"/>
    <w:rsid w:val="00725862"/>
    <w:rsid w:val="00725A61"/>
    <w:rsid w:val="00725A7F"/>
    <w:rsid w:val="00725C91"/>
    <w:rsid w:val="00725CA1"/>
    <w:rsid w:val="00725EBB"/>
    <w:rsid w:val="00726202"/>
    <w:rsid w:val="0072647D"/>
    <w:rsid w:val="0072653B"/>
    <w:rsid w:val="007265C1"/>
    <w:rsid w:val="00726641"/>
    <w:rsid w:val="007266AD"/>
    <w:rsid w:val="00726766"/>
    <w:rsid w:val="00726B94"/>
    <w:rsid w:val="00726D01"/>
    <w:rsid w:val="00726F71"/>
    <w:rsid w:val="00727032"/>
    <w:rsid w:val="00727043"/>
    <w:rsid w:val="007273E9"/>
    <w:rsid w:val="007275D7"/>
    <w:rsid w:val="0072762F"/>
    <w:rsid w:val="007278BB"/>
    <w:rsid w:val="007278BE"/>
    <w:rsid w:val="00727C94"/>
    <w:rsid w:val="00727CAC"/>
    <w:rsid w:val="00727E21"/>
    <w:rsid w:val="0073002D"/>
    <w:rsid w:val="0073017B"/>
    <w:rsid w:val="00730261"/>
    <w:rsid w:val="00730291"/>
    <w:rsid w:val="00730582"/>
    <w:rsid w:val="0073096D"/>
    <w:rsid w:val="00730FC8"/>
    <w:rsid w:val="007312E3"/>
    <w:rsid w:val="007316AA"/>
    <w:rsid w:val="00731898"/>
    <w:rsid w:val="007318E9"/>
    <w:rsid w:val="00731A91"/>
    <w:rsid w:val="00731D8A"/>
    <w:rsid w:val="007323B9"/>
    <w:rsid w:val="007325E5"/>
    <w:rsid w:val="007325E9"/>
    <w:rsid w:val="007326B7"/>
    <w:rsid w:val="00732703"/>
    <w:rsid w:val="0073274A"/>
    <w:rsid w:val="00732784"/>
    <w:rsid w:val="00732810"/>
    <w:rsid w:val="00732BAC"/>
    <w:rsid w:val="00732BD9"/>
    <w:rsid w:val="00732C13"/>
    <w:rsid w:val="00732D07"/>
    <w:rsid w:val="00732DED"/>
    <w:rsid w:val="00732F16"/>
    <w:rsid w:val="00733050"/>
    <w:rsid w:val="00733102"/>
    <w:rsid w:val="0073311B"/>
    <w:rsid w:val="00733197"/>
    <w:rsid w:val="00733521"/>
    <w:rsid w:val="00733526"/>
    <w:rsid w:val="007335A6"/>
    <w:rsid w:val="00733663"/>
    <w:rsid w:val="007336D1"/>
    <w:rsid w:val="00733776"/>
    <w:rsid w:val="0073383C"/>
    <w:rsid w:val="007338E9"/>
    <w:rsid w:val="00733A6E"/>
    <w:rsid w:val="00733AA0"/>
    <w:rsid w:val="00733C10"/>
    <w:rsid w:val="00733D2A"/>
    <w:rsid w:val="00733DF1"/>
    <w:rsid w:val="00733EA0"/>
    <w:rsid w:val="00733F32"/>
    <w:rsid w:val="00733F4A"/>
    <w:rsid w:val="007340B0"/>
    <w:rsid w:val="007340EE"/>
    <w:rsid w:val="007341F3"/>
    <w:rsid w:val="00734238"/>
    <w:rsid w:val="007342E1"/>
    <w:rsid w:val="00734422"/>
    <w:rsid w:val="007345BC"/>
    <w:rsid w:val="007346DD"/>
    <w:rsid w:val="0073480C"/>
    <w:rsid w:val="00734A56"/>
    <w:rsid w:val="00734AAA"/>
    <w:rsid w:val="00734B0F"/>
    <w:rsid w:val="00734C24"/>
    <w:rsid w:val="00734C72"/>
    <w:rsid w:val="00734D30"/>
    <w:rsid w:val="00734EF1"/>
    <w:rsid w:val="007350BC"/>
    <w:rsid w:val="0073510C"/>
    <w:rsid w:val="00735569"/>
    <w:rsid w:val="007356A0"/>
    <w:rsid w:val="00735753"/>
    <w:rsid w:val="00735C05"/>
    <w:rsid w:val="00735C4F"/>
    <w:rsid w:val="00735FFB"/>
    <w:rsid w:val="007361B5"/>
    <w:rsid w:val="007361F8"/>
    <w:rsid w:val="00736387"/>
    <w:rsid w:val="007364AD"/>
    <w:rsid w:val="00736584"/>
    <w:rsid w:val="007367F8"/>
    <w:rsid w:val="00736856"/>
    <w:rsid w:val="00736A31"/>
    <w:rsid w:val="00736BD3"/>
    <w:rsid w:val="00736E07"/>
    <w:rsid w:val="00736E68"/>
    <w:rsid w:val="00736F5D"/>
    <w:rsid w:val="0073704B"/>
    <w:rsid w:val="007375A7"/>
    <w:rsid w:val="007379FD"/>
    <w:rsid w:val="00737BD3"/>
    <w:rsid w:val="00737D88"/>
    <w:rsid w:val="00737E7E"/>
    <w:rsid w:val="00737F8C"/>
    <w:rsid w:val="0074001D"/>
    <w:rsid w:val="00740147"/>
    <w:rsid w:val="00740653"/>
    <w:rsid w:val="00740C5D"/>
    <w:rsid w:val="00740D2F"/>
    <w:rsid w:val="00741128"/>
    <w:rsid w:val="00741211"/>
    <w:rsid w:val="0074136E"/>
    <w:rsid w:val="0074139E"/>
    <w:rsid w:val="007413E7"/>
    <w:rsid w:val="0074143B"/>
    <w:rsid w:val="0074158D"/>
    <w:rsid w:val="007415A7"/>
    <w:rsid w:val="007415F4"/>
    <w:rsid w:val="00741DEB"/>
    <w:rsid w:val="00742146"/>
    <w:rsid w:val="00742206"/>
    <w:rsid w:val="00742207"/>
    <w:rsid w:val="0074222C"/>
    <w:rsid w:val="0074224D"/>
    <w:rsid w:val="007422BF"/>
    <w:rsid w:val="007422C1"/>
    <w:rsid w:val="007422D8"/>
    <w:rsid w:val="0074273C"/>
    <w:rsid w:val="00742A03"/>
    <w:rsid w:val="00742A6D"/>
    <w:rsid w:val="00742D06"/>
    <w:rsid w:val="00742E20"/>
    <w:rsid w:val="00742ED3"/>
    <w:rsid w:val="00742EF7"/>
    <w:rsid w:val="00743040"/>
    <w:rsid w:val="00743054"/>
    <w:rsid w:val="00743151"/>
    <w:rsid w:val="007432BC"/>
    <w:rsid w:val="007436A2"/>
    <w:rsid w:val="00743F7E"/>
    <w:rsid w:val="00743F85"/>
    <w:rsid w:val="00743F88"/>
    <w:rsid w:val="0074407C"/>
    <w:rsid w:val="007440BD"/>
    <w:rsid w:val="00744631"/>
    <w:rsid w:val="00744636"/>
    <w:rsid w:val="007448E7"/>
    <w:rsid w:val="007449EE"/>
    <w:rsid w:val="007449F0"/>
    <w:rsid w:val="00744D0F"/>
    <w:rsid w:val="00744F9D"/>
    <w:rsid w:val="00745289"/>
    <w:rsid w:val="0074578E"/>
    <w:rsid w:val="007457C4"/>
    <w:rsid w:val="007457FF"/>
    <w:rsid w:val="007458A1"/>
    <w:rsid w:val="00745948"/>
    <w:rsid w:val="00745C95"/>
    <w:rsid w:val="00745D3C"/>
    <w:rsid w:val="00745D67"/>
    <w:rsid w:val="0074626B"/>
    <w:rsid w:val="007462A6"/>
    <w:rsid w:val="007462EB"/>
    <w:rsid w:val="0074648E"/>
    <w:rsid w:val="00746491"/>
    <w:rsid w:val="0074665C"/>
    <w:rsid w:val="00746682"/>
    <w:rsid w:val="00746831"/>
    <w:rsid w:val="00746982"/>
    <w:rsid w:val="00746AB0"/>
    <w:rsid w:val="00746D7C"/>
    <w:rsid w:val="00747050"/>
    <w:rsid w:val="00747065"/>
    <w:rsid w:val="007470AC"/>
    <w:rsid w:val="0074710B"/>
    <w:rsid w:val="0074735F"/>
    <w:rsid w:val="0074747E"/>
    <w:rsid w:val="00747516"/>
    <w:rsid w:val="00747881"/>
    <w:rsid w:val="00747993"/>
    <w:rsid w:val="00747C9D"/>
    <w:rsid w:val="00747FF0"/>
    <w:rsid w:val="0075020F"/>
    <w:rsid w:val="007502B4"/>
    <w:rsid w:val="00750508"/>
    <w:rsid w:val="00750517"/>
    <w:rsid w:val="00750908"/>
    <w:rsid w:val="00750995"/>
    <w:rsid w:val="00750F48"/>
    <w:rsid w:val="00750FA2"/>
    <w:rsid w:val="00750FF5"/>
    <w:rsid w:val="0075108B"/>
    <w:rsid w:val="00751356"/>
    <w:rsid w:val="007513DA"/>
    <w:rsid w:val="007514E3"/>
    <w:rsid w:val="00751687"/>
    <w:rsid w:val="007518EB"/>
    <w:rsid w:val="00751906"/>
    <w:rsid w:val="00751940"/>
    <w:rsid w:val="00751B35"/>
    <w:rsid w:val="00751B49"/>
    <w:rsid w:val="00751E84"/>
    <w:rsid w:val="00752011"/>
    <w:rsid w:val="0075221B"/>
    <w:rsid w:val="007523F5"/>
    <w:rsid w:val="00752435"/>
    <w:rsid w:val="00752498"/>
    <w:rsid w:val="00752539"/>
    <w:rsid w:val="0075270A"/>
    <w:rsid w:val="00752790"/>
    <w:rsid w:val="0075279B"/>
    <w:rsid w:val="00752A9D"/>
    <w:rsid w:val="00752BD4"/>
    <w:rsid w:val="00752C30"/>
    <w:rsid w:val="00752CE6"/>
    <w:rsid w:val="007531A6"/>
    <w:rsid w:val="0075367C"/>
    <w:rsid w:val="007537F7"/>
    <w:rsid w:val="00753890"/>
    <w:rsid w:val="0075392A"/>
    <w:rsid w:val="00753E92"/>
    <w:rsid w:val="00753EBA"/>
    <w:rsid w:val="0075400B"/>
    <w:rsid w:val="0075405E"/>
    <w:rsid w:val="00754076"/>
    <w:rsid w:val="007540CC"/>
    <w:rsid w:val="0075423D"/>
    <w:rsid w:val="00754316"/>
    <w:rsid w:val="00754449"/>
    <w:rsid w:val="0075458D"/>
    <w:rsid w:val="00754A4F"/>
    <w:rsid w:val="00754DF2"/>
    <w:rsid w:val="007550B7"/>
    <w:rsid w:val="007551CE"/>
    <w:rsid w:val="007551E1"/>
    <w:rsid w:val="0075540C"/>
    <w:rsid w:val="00755421"/>
    <w:rsid w:val="00755533"/>
    <w:rsid w:val="007555FF"/>
    <w:rsid w:val="0075571E"/>
    <w:rsid w:val="00755734"/>
    <w:rsid w:val="0075579D"/>
    <w:rsid w:val="007558E6"/>
    <w:rsid w:val="00755902"/>
    <w:rsid w:val="00755A14"/>
    <w:rsid w:val="00755B83"/>
    <w:rsid w:val="00755BF2"/>
    <w:rsid w:val="007561DF"/>
    <w:rsid w:val="007563CD"/>
    <w:rsid w:val="007563FB"/>
    <w:rsid w:val="007569B9"/>
    <w:rsid w:val="00756C58"/>
    <w:rsid w:val="00756F3B"/>
    <w:rsid w:val="00757026"/>
    <w:rsid w:val="007573B3"/>
    <w:rsid w:val="007576B3"/>
    <w:rsid w:val="0075778F"/>
    <w:rsid w:val="0075799A"/>
    <w:rsid w:val="00757A26"/>
    <w:rsid w:val="00757B85"/>
    <w:rsid w:val="00757CD5"/>
    <w:rsid w:val="00757DF1"/>
    <w:rsid w:val="00760188"/>
    <w:rsid w:val="007603C9"/>
    <w:rsid w:val="00760428"/>
    <w:rsid w:val="00760500"/>
    <w:rsid w:val="00760563"/>
    <w:rsid w:val="0076080A"/>
    <w:rsid w:val="007608A4"/>
    <w:rsid w:val="00760A45"/>
    <w:rsid w:val="00760AC0"/>
    <w:rsid w:val="00760C88"/>
    <w:rsid w:val="00760CC2"/>
    <w:rsid w:val="00760CD5"/>
    <w:rsid w:val="00760E43"/>
    <w:rsid w:val="00760E9C"/>
    <w:rsid w:val="007610FB"/>
    <w:rsid w:val="0076110A"/>
    <w:rsid w:val="0076118B"/>
    <w:rsid w:val="0076119E"/>
    <w:rsid w:val="007611B0"/>
    <w:rsid w:val="007612A3"/>
    <w:rsid w:val="007613A3"/>
    <w:rsid w:val="00761714"/>
    <w:rsid w:val="00761720"/>
    <w:rsid w:val="00761866"/>
    <w:rsid w:val="00761D8E"/>
    <w:rsid w:val="00761E74"/>
    <w:rsid w:val="00761FF2"/>
    <w:rsid w:val="007621B6"/>
    <w:rsid w:val="007622EF"/>
    <w:rsid w:val="007624A6"/>
    <w:rsid w:val="007624A7"/>
    <w:rsid w:val="007624EB"/>
    <w:rsid w:val="007625C5"/>
    <w:rsid w:val="0076282F"/>
    <w:rsid w:val="007628D9"/>
    <w:rsid w:val="00762B51"/>
    <w:rsid w:val="00762C27"/>
    <w:rsid w:val="00762CA1"/>
    <w:rsid w:val="00762DD2"/>
    <w:rsid w:val="00762DF4"/>
    <w:rsid w:val="00762EC9"/>
    <w:rsid w:val="00762EEC"/>
    <w:rsid w:val="00762FF4"/>
    <w:rsid w:val="0076325B"/>
    <w:rsid w:val="0076351E"/>
    <w:rsid w:val="00763568"/>
    <w:rsid w:val="007636F7"/>
    <w:rsid w:val="007637A5"/>
    <w:rsid w:val="007637DC"/>
    <w:rsid w:val="0076389F"/>
    <w:rsid w:val="00763992"/>
    <w:rsid w:val="00763A43"/>
    <w:rsid w:val="00763AA9"/>
    <w:rsid w:val="00763B42"/>
    <w:rsid w:val="00763CF7"/>
    <w:rsid w:val="00763D33"/>
    <w:rsid w:val="00763ECE"/>
    <w:rsid w:val="00764068"/>
    <w:rsid w:val="0076440F"/>
    <w:rsid w:val="00764463"/>
    <w:rsid w:val="007644F7"/>
    <w:rsid w:val="00764BA5"/>
    <w:rsid w:val="00764BBC"/>
    <w:rsid w:val="00764BDE"/>
    <w:rsid w:val="00764D59"/>
    <w:rsid w:val="00765238"/>
    <w:rsid w:val="007652CF"/>
    <w:rsid w:val="007653CF"/>
    <w:rsid w:val="0076546F"/>
    <w:rsid w:val="00765489"/>
    <w:rsid w:val="007654CD"/>
    <w:rsid w:val="007655ED"/>
    <w:rsid w:val="00765624"/>
    <w:rsid w:val="00765790"/>
    <w:rsid w:val="00765818"/>
    <w:rsid w:val="00765952"/>
    <w:rsid w:val="00765C1B"/>
    <w:rsid w:val="00765E4E"/>
    <w:rsid w:val="00765F70"/>
    <w:rsid w:val="00765F71"/>
    <w:rsid w:val="007661F6"/>
    <w:rsid w:val="00766355"/>
    <w:rsid w:val="00766417"/>
    <w:rsid w:val="007664A8"/>
    <w:rsid w:val="0076659A"/>
    <w:rsid w:val="0076663B"/>
    <w:rsid w:val="0076664B"/>
    <w:rsid w:val="0076692B"/>
    <w:rsid w:val="00766A5D"/>
    <w:rsid w:val="00766AEB"/>
    <w:rsid w:val="00766B2D"/>
    <w:rsid w:val="00766B3B"/>
    <w:rsid w:val="00766C64"/>
    <w:rsid w:val="00766D2C"/>
    <w:rsid w:val="00766D37"/>
    <w:rsid w:val="00766D4B"/>
    <w:rsid w:val="00767004"/>
    <w:rsid w:val="00767028"/>
    <w:rsid w:val="00767054"/>
    <w:rsid w:val="00767306"/>
    <w:rsid w:val="0076753B"/>
    <w:rsid w:val="007678D4"/>
    <w:rsid w:val="00767B61"/>
    <w:rsid w:val="00767C0C"/>
    <w:rsid w:val="00767CE2"/>
    <w:rsid w:val="00767E91"/>
    <w:rsid w:val="00767FD4"/>
    <w:rsid w:val="00767FE9"/>
    <w:rsid w:val="007700CE"/>
    <w:rsid w:val="00770115"/>
    <w:rsid w:val="00770279"/>
    <w:rsid w:val="00770323"/>
    <w:rsid w:val="0077048F"/>
    <w:rsid w:val="00770500"/>
    <w:rsid w:val="00770535"/>
    <w:rsid w:val="007707FB"/>
    <w:rsid w:val="00770AE3"/>
    <w:rsid w:val="00770C64"/>
    <w:rsid w:val="00770E20"/>
    <w:rsid w:val="00770E5E"/>
    <w:rsid w:val="00770EDE"/>
    <w:rsid w:val="00771222"/>
    <w:rsid w:val="007712E3"/>
    <w:rsid w:val="0077130C"/>
    <w:rsid w:val="00771392"/>
    <w:rsid w:val="007714C5"/>
    <w:rsid w:val="00771660"/>
    <w:rsid w:val="0077172D"/>
    <w:rsid w:val="007717F7"/>
    <w:rsid w:val="007718B0"/>
    <w:rsid w:val="00771B61"/>
    <w:rsid w:val="00771C82"/>
    <w:rsid w:val="00771C83"/>
    <w:rsid w:val="00771F23"/>
    <w:rsid w:val="00772182"/>
    <w:rsid w:val="00772290"/>
    <w:rsid w:val="007722E1"/>
    <w:rsid w:val="007722E3"/>
    <w:rsid w:val="0077259F"/>
    <w:rsid w:val="007725E8"/>
    <w:rsid w:val="00772612"/>
    <w:rsid w:val="007726C4"/>
    <w:rsid w:val="007726D4"/>
    <w:rsid w:val="0077295F"/>
    <w:rsid w:val="00772CB9"/>
    <w:rsid w:val="00772CDD"/>
    <w:rsid w:val="00772D4C"/>
    <w:rsid w:val="00773083"/>
    <w:rsid w:val="007730D6"/>
    <w:rsid w:val="0077340E"/>
    <w:rsid w:val="00773526"/>
    <w:rsid w:val="007735D5"/>
    <w:rsid w:val="00773702"/>
    <w:rsid w:val="0077376E"/>
    <w:rsid w:val="00773A82"/>
    <w:rsid w:val="00773B7D"/>
    <w:rsid w:val="00773F31"/>
    <w:rsid w:val="00773F99"/>
    <w:rsid w:val="0077414D"/>
    <w:rsid w:val="0077465D"/>
    <w:rsid w:val="007746CF"/>
    <w:rsid w:val="0077496A"/>
    <w:rsid w:val="00774B14"/>
    <w:rsid w:val="00774EB6"/>
    <w:rsid w:val="0077503C"/>
    <w:rsid w:val="007750EE"/>
    <w:rsid w:val="007751D0"/>
    <w:rsid w:val="0077530D"/>
    <w:rsid w:val="00775389"/>
    <w:rsid w:val="00775608"/>
    <w:rsid w:val="007756F0"/>
    <w:rsid w:val="007758B8"/>
    <w:rsid w:val="007759C6"/>
    <w:rsid w:val="00775C9E"/>
    <w:rsid w:val="00775D6E"/>
    <w:rsid w:val="00775E87"/>
    <w:rsid w:val="0077614A"/>
    <w:rsid w:val="007762F7"/>
    <w:rsid w:val="007765A9"/>
    <w:rsid w:val="0077675E"/>
    <w:rsid w:val="00776A68"/>
    <w:rsid w:val="00776A97"/>
    <w:rsid w:val="00776BCC"/>
    <w:rsid w:val="00776BE1"/>
    <w:rsid w:val="00776E3F"/>
    <w:rsid w:val="00776ECB"/>
    <w:rsid w:val="0077716B"/>
    <w:rsid w:val="00777283"/>
    <w:rsid w:val="00777536"/>
    <w:rsid w:val="007775B8"/>
    <w:rsid w:val="007777CE"/>
    <w:rsid w:val="00777902"/>
    <w:rsid w:val="00777928"/>
    <w:rsid w:val="00777CBF"/>
    <w:rsid w:val="00777D63"/>
    <w:rsid w:val="00777EC9"/>
    <w:rsid w:val="00777F53"/>
    <w:rsid w:val="0078000E"/>
    <w:rsid w:val="0078021A"/>
    <w:rsid w:val="00780285"/>
    <w:rsid w:val="00780595"/>
    <w:rsid w:val="00780662"/>
    <w:rsid w:val="00780B0A"/>
    <w:rsid w:val="00780C9B"/>
    <w:rsid w:val="00780DBE"/>
    <w:rsid w:val="00780DFB"/>
    <w:rsid w:val="007810C3"/>
    <w:rsid w:val="007811C3"/>
    <w:rsid w:val="007815D3"/>
    <w:rsid w:val="00781623"/>
    <w:rsid w:val="007817E0"/>
    <w:rsid w:val="0078187F"/>
    <w:rsid w:val="00781B8C"/>
    <w:rsid w:val="00781D54"/>
    <w:rsid w:val="00781F64"/>
    <w:rsid w:val="00781F72"/>
    <w:rsid w:val="00782146"/>
    <w:rsid w:val="0078231A"/>
    <w:rsid w:val="007823C0"/>
    <w:rsid w:val="0078242F"/>
    <w:rsid w:val="0078265A"/>
    <w:rsid w:val="00782663"/>
    <w:rsid w:val="00782677"/>
    <w:rsid w:val="007826F2"/>
    <w:rsid w:val="007829A1"/>
    <w:rsid w:val="00782AE9"/>
    <w:rsid w:val="00782BBC"/>
    <w:rsid w:val="00782F16"/>
    <w:rsid w:val="00783071"/>
    <w:rsid w:val="0078311D"/>
    <w:rsid w:val="00783191"/>
    <w:rsid w:val="007834B1"/>
    <w:rsid w:val="007836D8"/>
    <w:rsid w:val="00783A2D"/>
    <w:rsid w:val="00783D30"/>
    <w:rsid w:val="00783EB2"/>
    <w:rsid w:val="00783EDC"/>
    <w:rsid w:val="007840C1"/>
    <w:rsid w:val="007840F6"/>
    <w:rsid w:val="00784115"/>
    <w:rsid w:val="00784285"/>
    <w:rsid w:val="00784C60"/>
    <w:rsid w:val="00784C93"/>
    <w:rsid w:val="00784FFA"/>
    <w:rsid w:val="007850CD"/>
    <w:rsid w:val="00785403"/>
    <w:rsid w:val="00785429"/>
    <w:rsid w:val="00785493"/>
    <w:rsid w:val="007854B6"/>
    <w:rsid w:val="00785515"/>
    <w:rsid w:val="007855CC"/>
    <w:rsid w:val="007857B5"/>
    <w:rsid w:val="0078584E"/>
    <w:rsid w:val="00785918"/>
    <w:rsid w:val="00785B2E"/>
    <w:rsid w:val="00785DB4"/>
    <w:rsid w:val="00785FAD"/>
    <w:rsid w:val="0078642C"/>
    <w:rsid w:val="007867B3"/>
    <w:rsid w:val="0078688C"/>
    <w:rsid w:val="007868C8"/>
    <w:rsid w:val="0078692D"/>
    <w:rsid w:val="00786B1B"/>
    <w:rsid w:val="00786B7A"/>
    <w:rsid w:val="0078716E"/>
    <w:rsid w:val="007871FF"/>
    <w:rsid w:val="00787281"/>
    <w:rsid w:val="007873C8"/>
    <w:rsid w:val="0078752F"/>
    <w:rsid w:val="00787663"/>
    <w:rsid w:val="007876EE"/>
    <w:rsid w:val="00787869"/>
    <w:rsid w:val="00787C2C"/>
    <w:rsid w:val="00787DE5"/>
    <w:rsid w:val="00787F4C"/>
    <w:rsid w:val="00787FCF"/>
    <w:rsid w:val="00790069"/>
    <w:rsid w:val="0079049E"/>
    <w:rsid w:val="007906FC"/>
    <w:rsid w:val="00790740"/>
    <w:rsid w:val="007907A1"/>
    <w:rsid w:val="00790A6B"/>
    <w:rsid w:val="00790B64"/>
    <w:rsid w:val="00791100"/>
    <w:rsid w:val="00791294"/>
    <w:rsid w:val="007913E3"/>
    <w:rsid w:val="00791423"/>
    <w:rsid w:val="007914F3"/>
    <w:rsid w:val="007916CF"/>
    <w:rsid w:val="007917F1"/>
    <w:rsid w:val="007919ED"/>
    <w:rsid w:val="00791D8A"/>
    <w:rsid w:val="0079206E"/>
    <w:rsid w:val="007920A0"/>
    <w:rsid w:val="0079252F"/>
    <w:rsid w:val="007926D4"/>
    <w:rsid w:val="0079293F"/>
    <w:rsid w:val="00792956"/>
    <w:rsid w:val="0079298F"/>
    <w:rsid w:val="00792996"/>
    <w:rsid w:val="007929FB"/>
    <w:rsid w:val="00792B50"/>
    <w:rsid w:val="00792C4E"/>
    <w:rsid w:val="00792DFB"/>
    <w:rsid w:val="00792ED2"/>
    <w:rsid w:val="00792F35"/>
    <w:rsid w:val="007930A5"/>
    <w:rsid w:val="00793188"/>
    <w:rsid w:val="0079324E"/>
    <w:rsid w:val="0079335B"/>
    <w:rsid w:val="0079364C"/>
    <w:rsid w:val="00793C30"/>
    <w:rsid w:val="00793CA3"/>
    <w:rsid w:val="00793EAB"/>
    <w:rsid w:val="007940AB"/>
    <w:rsid w:val="00794174"/>
    <w:rsid w:val="00794443"/>
    <w:rsid w:val="007944A5"/>
    <w:rsid w:val="0079465C"/>
    <w:rsid w:val="007948F4"/>
    <w:rsid w:val="00794A8D"/>
    <w:rsid w:val="00794C40"/>
    <w:rsid w:val="00794E8A"/>
    <w:rsid w:val="0079552E"/>
    <w:rsid w:val="00795561"/>
    <w:rsid w:val="007955B1"/>
    <w:rsid w:val="00795628"/>
    <w:rsid w:val="0079580D"/>
    <w:rsid w:val="0079585A"/>
    <w:rsid w:val="007958A1"/>
    <w:rsid w:val="0079590A"/>
    <w:rsid w:val="00795A62"/>
    <w:rsid w:val="00795B43"/>
    <w:rsid w:val="00795BF1"/>
    <w:rsid w:val="00795D38"/>
    <w:rsid w:val="00795E48"/>
    <w:rsid w:val="00795F91"/>
    <w:rsid w:val="00796052"/>
    <w:rsid w:val="0079617D"/>
    <w:rsid w:val="00796395"/>
    <w:rsid w:val="007963EC"/>
    <w:rsid w:val="00796576"/>
    <w:rsid w:val="00796608"/>
    <w:rsid w:val="0079680E"/>
    <w:rsid w:val="007969E9"/>
    <w:rsid w:val="00796A7E"/>
    <w:rsid w:val="00796AAE"/>
    <w:rsid w:val="00796BE5"/>
    <w:rsid w:val="00796E07"/>
    <w:rsid w:val="00796ECE"/>
    <w:rsid w:val="00796F3E"/>
    <w:rsid w:val="00797065"/>
    <w:rsid w:val="0079713C"/>
    <w:rsid w:val="0079714F"/>
    <w:rsid w:val="00797452"/>
    <w:rsid w:val="007974C3"/>
    <w:rsid w:val="00797965"/>
    <w:rsid w:val="00797AE5"/>
    <w:rsid w:val="00797B25"/>
    <w:rsid w:val="00797B40"/>
    <w:rsid w:val="00797DF5"/>
    <w:rsid w:val="00797E95"/>
    <w:rsid w:val="007A0368"/>
    <w:rsid w:val="007A03C2"/>
    <w:rsid w:val="007A04EF"/>
    <w:rsid w:val="007A0595"/>
    <w:rsid w:val="007A0A8B"/>
    <w:rsid w:val="007A0AB8"/>
    <w:rsid w:val="007A0B71"/>
    <w:rsid w:val="007A0BA9"/>
    <w:rsid w:val="007A0BD2"/>
    <w:rsid w:val="007A0DFD"/>
    <w:rsid w:val="007A1062"/>
    <w:rsid w:val="007A10F8"/>
    <w:rsid w:val="007A13A7"/>
    <w:rsid w:val="007A14E4"/>
    <w:rsid w:val="007A151A"/>
    <w:rsid w:val="007A15B1"/>
    <w:rsid w:val="007A1619"/>
    <w:rsid w:val="007A1764"/>
    <w:rsid w:val="007A1B0E"/>
    <w:rsid w:val="007A1DD1"/>
    <w:rsid w:val="007A1E33"/>
    <w:rsid w:val="007A1E35"/>
    <w:rsid w:val="007A21EB"/>
    <w:rsid w:val="007A2559"/>
    <w:rsid w:val="007A2712"/>
    <w:rsid w:val="007A27D7"/>
    <w:rsid w:val="007A2942"/>
    <w:rsid w:val="007A3002"/>
    <w:rsid w:val="007A305C"/>
    <w:rsid w:val="007A31BA"/>
    <w:rsid w:val="007A32D6"/>
    <w:rsid w:val="007A32D8"/>
    <w:rsid w:val="007A3432"/>
    <w:rsid w:val="007A3470"/>
    <w:rsid w:val="007A3479"/>
    <w:rsid w:val="007A3574"/>
    <w:rsid w:val="007A357D"/>
    <w:rsid w:val="007A35D1"/>
    <w:rsid w:val="007A37DE"/>
    <w:rsid w:val="007A38F9"/>
    <w:rsid w:val="007A3A89"/>
    <w:rsid w:val="007A3ABA"/>
    <w:rsid w:val="007A3B5D"/>
    <w:rsid w:val="007A3F9D"/>
    <w:rsid w:val="007A3FA4"/>
    <w:rsid w:val="007A3FBB"/>
    <w:rsid w:val="007A4011"/>
    <w:rsid w:val="007A40A8"/>
    <w:rsid w:val="007A4199"/>
    <w:rsid w:val="007A42DD"/>
    <w:rsid w:val="007A43C1"/>
    <w:rsid w:val="007A4B5C"/>
    <w:rsid w:val="007A4B6C"/>
    <w:rsid w:val="007A4BBE"/>
    <w:rsid w:val="007A4D2C"/>
    <w:rsid w:val="007A4DF2"/>
    <w:rsid w:val="007A51D4"/>
    <w:rsid w:val="007A546B"/>
    <w:rsid w:val="007A558B"/>
    <w:rsid w:val="007A569D"/>
    <w:rsid w:val="007A57F3"/>
    <w:rsid w:val="007A59EE"/>
    <w:rsid w:val="007A5AA7"/>
    <w:rsid w:val="007A5BB2"/>
    <w:rsid w:val="007A5C30"/>
    <w:rsid w:val="007A5D60"/>
    <w:rsid w:val="007A5DC7"/>
    <w:rsid w:val="007A5F4B"/>
    <w:rsid w:val="007A5FB7"/>
    <w:rsid w:val="007A6111"/>
    <w:rsid w:val="007A6177"/>
    <w:rsid w:val="007A620B"/>
    <w:rsid w:val="007A620D"/>
    <w:rsid w:val="007A623A"/>
    <w:rsid w:val="007A6345"/>
    <w:rsid w:val="007A6494"/>
    <w:rsid w:val="007A654C"/>
    <w:rsid w:val="007A6579"/>
    <w:rsid w:val="007A6807"/>
    <w:rsid w:val="007A6918"/>
    <w:rsid w:val="007A692C"/>
    <w:rsid w:val="007A6AE1"/>
    <w:rsid w:val="007A6BA2"/>
    <w:rsid w:val="007A6CCC"/>
    <w:rsid w:val="007A6DD4"/>
    <w:rsid w:val="007A6DD9"/>
    <w:rsid w:val="007A6ECE"/>
    <w:rsid w:val="007A719B"/>
    <w:rsid w:val="007A7535"/>
    <w:rsid w:val="007A75ED"/>
    <w:rsid w:val="007A7700"/>
    <w:rsid w:val="007A7B53"/>
    <w:rsid w:val="007A7BAD"/>
    <w:rsid w:val="007A7C75"/>
    <w:rsid w:val="007A7EC7"/>
    <w:rsid w:val="007B002C"/>
    <w:rsid w:val="007B0031"/>
    <w:rsid w:val="007B012D"/>
    <w:rsid w:val="007B015B"/>
    <w:rsid w:val="007B0182"/>
    <w:rsid w:val="007B030E"/>
    <w:rsid w:val="007B0517"/>
    <w:rsid w:val="007B063E"/>
    <w:rsid w:val="007B0690"/>
    <w:rsid w:val="007B0872"/>
    <w:rsid w:val="007B08B1"/>
    <w:rsid w:val="007B0B8F"/>
    <w:rsid w:val="007B0C56"/>
    <w:rsid w:val="007B0CC0"/>
    <w:rsid w:val="007B0ED7"/>
    <w:rsid w:val="007B125A"/>
    <w:rsid w:val="007B13BB"/>
    <w:rsid w:val="007B1474"/>
    <w:rsid w:val="007B14BB"/>
    <w:rsid w:val="007B1939"/>
    <w:rsid w:val="007B195D"/>
    <w:rsid w:val="007B1A17"/>
    <w:rsid w:val="007B1ABA"/>
    <w:rsid w:val="007B1C46"/>
    <w:rsid w:val="007B1C72"/>
    <w:rsid w:val="007B1DDC"/>
    <w:rsid w:val="007B1E27"/>
    <w:rsid w:val="007B1F9B"/>
    <w:rsid w:val="007B2140"/>
    <w:rsid w:val="007B26F7"/>
    <w:rsid w:val="007B2AE4"/>
    <w:rsid w:val="007B2BFC"/>
    <w:rsid w:val="007B2EBE"/>
    <w:rsid w:val="007B2F98"/>
    <w:rsid w:val="007B3175"/>
    <w:rsid w:val="007B3359"/>
    <w:rsid w:val="007B3AB0"/>
    <w:rsid w:val="007B3C46"/>
    <w:rsid w:val="007B3DB9"/>
    <w:rsid w:val="007B411F"/>
    <w:rsid w:val="007B43A3"/>
    <w:rsid w:val="007B43AA"/>
    <w:rsid w:val="007B43D7"/>
    <w:rsid w:val="007B440D"/>
    <w:rsid w:val="007B4571"/>
    <w:rsid w:val="007B4601"/>
    <w:rsid w:val="007B4685"/>
    <w:rsid w:val="007B468B"/>
    <w:rsid w:val="007B4864"/>
    <w:rsid w:val="007B48F5"/>
    <w:rsid w:val="007B4A17"/>
    <w:rsid w:val="007B4A99"/>
    <w:rsid w:val="007B4B79"/>
    <w:rsid w:val="007B4BBF"/>
    <w:rsid w:val="007B4DD1"/>
    <w:rsid w:val="007B4E5C"/>
    <w:rsid w:val="007B4E5F"/>
    <w:rsid w:val="007B4EAD"/>
    <w:rsid w:val="007B53D3"/>
    <w:rsid w:val="007B5644"/>
    <w:rsid w:val="007B5691"/>
    <w:rsid w:val="007B56D1"/>
    <w:rsid w:val="007B56E7"/>
    <w:rsid w:val="007B56EC"/>
    <w:rsid w:val="007B576D"/>
    <w:rsid w:val="007B5990"/>
    <w:rsid w:val="007B5B6D"/>
    <w:rsid w:val="007B5C94"/>
    <w:rsid w:val="007B5D39"/>
    <w:rsid w:val="007B5D75"/>
    <w:rsid w:val="007B5E7A"/>
    <w:rsid w:val="007B5ED0"/>
    <w:rsid w:val="007B5F00"/>
    <w:rsid w:val="007B5F38"/>
    <w:rsid w:val="007B62B9"/>
    <w:rsid w:val="007B6381"/>
    <w:rsid w:val="007B647A"/>
    <w:rsid w:val="007B6573"/>
    <w:rsid w:val="007B65A9"/>
    <w:rsid w:val="007B65DE"/>
    <w:rsid w:val="007B691B"/>
    <w:rsid w:val="007B705D"/>
    <w:rsid w:val="007B72B4"/>
    <w:rsid w:val="007B72E9"/>
    <w:rsid w:val="007B73F0"/>
    <w:rsid w:val="007B7438"/>
    <w:rsid w:val="007B74C5"/>
    <w:rsid w:val="007B792A"/>
    <w:rsid w:val="007B7A53"/>
    <w:rsid w:val="007B7A69"/>
    <w:rsid w:val="007B7B81"/>
    <w:rsid w:val="007B7C2D"/>
    <w:rsid w:val="007B7E15"/>
    <w:rsid w:val="007B7E59"/>
    <w:rsid w:val="007B7E8E"/>
    <w:rsid w:val="007C00BA"/>
    <w:rsid w:val="007C011D"/>
    <w:rsid w:val="007C03EB"/>
    <w:rsid w:val="007C056B"/>
    <w:rsid w:val="007C0837"/>
    <w:rsid w:val="007C0A7E"/>
    <w:rsid w:val="007C0B51"/>
    <w:rsid w:val="007C0C01"/>
    <w:rsid w:val="007C0E5A"/>
    <w:rsid w:val="007C0EDB"/>
    <w:rsid w:val="007C11C3"/>
    <w:rsid w:val="007C136E"/>
    <w:rsid w:val="007C1468"/>
    <w:rsid w:val="007C1550"/>
    <w:rsid w:val="007C195B"/>
    <w:rsid w:val="007C1996"/>
    <w:rsid w:val="007C1A45"/>
    <w:rsid w:val="007C1A49"/>
    <w:rsid w:val="007C1B3A"/>
    <w:rsid w:val="007C1E5C"/>
    <w:rsid w:val="007C1F45"/>
    <w:rsid w:val="007C2552"/>
    <w:rsid w:val="007C26D4"/>
    <w:rsid w:val="007C2900"/>
    <w:rsid w:val="007C2907"/>
    <w:rsid w:val="007C29EE"/>
    <w:rsid w:val="007C2EEF"/>
    <w:rsid w:val="007C3211"/>
    <w:rsid w:val="007C32DB"/>
    <w:rsid w:val="007C32FE"/>
    <w:rsid w:val="007C341E"/>
    <w:rsid w:val="007C3520"/>
    <w:rsid w:val="007C36B1"/>
    <w:rsid w:val="007C37C0"/>
    <w:rsid w:val="007C3B11"/>
    <w:rsid w:val="007C3DCF"/>
    <w:rsid w:val="007C3E76"/>
    <w:rsid w:val="007C3F8F"/>
    <w:rsid w:val="007C4008"/>
    <w:rsid w:val="007C4290"/>
    <w:rsid w:val="007C449D"/>
    <w:rsid w:val="007C45E6"/>
    <w:rsid w:val="007C48EA"/>
    <w:rsid w:val="007C490B"/>
    <w:rsid w:val="007C4E1E"/>
    <w:rsid w:val="007C4E43"/>
    <w:rsid w:val="007C5066"/>
    <w:rsid w:val="007C51AB"/>
    <w:rsid w:val="007C54D4"/>
    <w:rsid w:val="007C5732"/>
    <w:rsid w:val="007C585C"/>
    <w:rsid w:val="007C5BA4"/>
    <w:rsid w:val="007C5C8C"/>
    <w:rsid w:val="007C6052"/>
    <w:rsid w:val="007C6185"/>
    <w:rsid w:val="007C61AB"/>
    <w:rsid w:val="007C626D"/>
    <w:rsid w:val="007C64A0"/>
    <w:rsid w:val="007C64D3"/>
    <w:rsid w:val="007C670B"/>
    <w:rsid w:val="007C67B1"/>
    <w:rsid w:val="007C6871"/>
    <w:rsid w:val="007C6AEB"/>
    <w:rsid w:val="007C6EAD"/>
    <w:rsid w:val="007C714B"/>
    <w:rsid w:val="007C71CA"/>
    <w:rsid w:val="007C74C2"/>
    <w:rsid w:val="007C76BD"/>
    <w:rsid w:val="007C76DF"/>
    <w:rsid w:val="007C7766"/>
    <w:rsid w:val="007C78E9"/>
    <w:rsid w:val="007C7AA4"/>
    <w:rsid w:val="007C7AD5"/>
    <w:rsid w:val="007C7B1E"/>
    <w:rsid w:val="007C7C85"/>
    <w:rsid w:val="007C7CE4"/>
    <w:rsid w:val="007C7D50"/>
    <w:rsid w:val="007C7E37"/>
    <w:rsid w:val="007C7ED8"/>
    <w:rsid w:val="007C7F7F"/>
    <w:rsid w:val="007D01DA"/>
    <w:rsid w:val="007D03C3"/>
    <w:rsid w:val="007D0519"/>
    <w:rsid w:val="007D0535"/>
    <w:rsid w:val="007D07E7"/>
    <w:rsid w:val="007D0823"/>
    <w:rsid w:val="007D0907"/>
    <w:rsid w:val="007D0989"/>
    <w:rsid w:val="007D09CE"/>
    <w:rsid w:val="007D0AE0"/>
    <w:rsid w:val="007D0BB6"/>
    <w:rsid w:val="007D0C86"/>
    <w:rsid w:val="007D0C9E"/>
    <w:rsid w:val="007D1047"/>
    <w:rsid w:val="007D11D1"/>
    <w:rsid w:val="007D11F7"/>
    <w:rsid w:val="007D1247"/>
    <w:rsid w:val="007D135A"/>
    <w:rsid w:val="007D13F9"/>
    <w:rsid w:val="007D141F"/>
    <w:rsid w:val="007D1442"/>
    <w:rsid w:val="007D1490"/>
    <w:rsid w:val="007D1587"/>
    <w:rsid w:val="007D178B"/>
    <w:rsid w:val="007D1864"/>
    <w:rsid w:val="007D1AC7"/>
    <w:rsid w:val="007D1ADB"/>
    <w:rsid w:val="007D1F67"/>
    <w:rsid w:val="007D1F86"/>
    <w:rsid w:val="007D1FC6"/>
    <w:rsid w:val="007D2248"/>
    <w:rsid w:val="007D22AA"/>
    <w:rsid w:val="007D244A"/>
    <w:rsid w:val="007D2485"/>
    <w:rsid w:val="007D264A"/>
    <w:rsid w:val="007D299B"/>
    <w:rsid w:val="007D2C55"/>
    <w:rsid w:val="007D2C7F"/>
    <w:rsid w:val="007D2CA6"/>
    <w:rsid w:val="007D2D10"/>
    <w:rsid w:val="007D2E42"/>
    <w:rsid w:val="007D304F"/>
    <w:rsid w:val="007D3189"/>
    <w:rsid w:val="007D31EE"/>
    <w:rsid w:val="007D3359"/>
    <w:rsid w:val="007D338D"/>
    <w:rsid w:val="007D3401"/>
    <w:rsid w:val="007D346C"/>
    <w:rsid w:val="007D35E6"/>
    <w:rsid w:val="007D3714"/>
    <w:rsid w:val="007D3A06"/>
    <w:rsid w:val="007D3BDF"/>
    <w:rsid w:val="007D3D59"/>
    <w:rsid w:val="007D3F94"/>
    <w:rsid w:val="007D4534"/>
    <w:rsid w:val="007D4B03"/>
    <w:rsid w:val="007D4C35"/>
    <w:rsid w:val="007D4D1C"/>
    <w:rsid w:val="007D4EC2"/>
    <w:rsid w:val="007D4F46"/>
    <w:rsid w:val="007D5038"/>
    <w:rsid w:val="007D50E1"/>
    <w:rsid w:val="007D5231"/>
    <w:rsid w:val="007D52B2"/>
    <w:rsid w:val="007D5407"/>
    <w:rsid w:val="007D56A0"/>
    <w:rsid w:val="007D56C0"/>
    <w:rsid w:val="007D5773"/>
    <w:rsid w:val="007D5986"/>
    <w:rsid w:val="007D599F"/>
    <w:rsid w:val="007D59FE"/>
    <w:rsid w:val="007D5ABB"/>
    <w:rsid w:val="007D5AFF"/>
    <w:rsid w:val="007D5BA4"/>
    <w:rsid w:val="007D5BF9"/>
    <w:rsid w:val="007D5EF5"/>
    <w:rsid w:val="007D5F67"/>
    <w:rsid w:val="007D6038"/>
    <w:rsid w:val="007D6179"/>
    <w:rsid w:val="007D620D"/>
    <w:rsid w:val="007D6402"/>
    <w:rsid w:val="007D6556"/>
    <w:rsid w:val="007D65C1"/>
    <w:rsid w:val="007D6730"/>
    <w:rsid w:val="007D69AA"/>
    <w:rsid w:val="007D6BB1"/>
    <w:rsid w:val="007D6C99"/>
    <w:rsid w:val="007D6EED"/>
    <w:rsid w:val="007D70E6"/>
    <w:rsid w:val="007D72D0"/>
    <w:rsid w:val="007D73DE"/>
    <w:rsid w:val="007D7908"/>
    <w:rsid w:val="007D7C15"/>
    <w:rsid w:val="007D7C87"/>
    <w:rsid w:val="007D7CB4"/>
    <w:rsid w:val="007D7E72"/>
    <w:rsid w:val="007D7FDE"/>
    <w:rsid w:val="007E0153"/>
    <w:rsid w:val="007E018C"/>
    <w:rsid w:val="007E030C"/>
    <w:rsid w:val="007E07C7"/>
    <w:rsid w:val="007E09FD"/>
    <w:rsid w:val="007E0A06"/>
    <w:rsid w:val="007E0AEF"/>
    <w:rsid w:val="007E0CAE"/>
    <w:rsid w:val="007E0D57"/>
    <w:rsid w:val="007E0F81"/>
    <w:rsid w:val="007E1161"/>
    <w:rsid w:val="007E1666"/>
    <w:rsid w:val="007E1751"/>
    <w:rsid w:val="007E178A"/>
    <w:rsid w:val="007E17F5"/>
    <w:rsid w:val="007E1959"/>
    <w:rsid w:val="007E19F5"/>
    <w:rsid w:val="007E1A0B"/>
    <w:rsid w:val="007E1A8D"/>
    <w:rsid w:val="007E1B3B"/>
    <w:rsid w:val="007E1BFC"/>
    <w:rsid w:val="007E1CAA"/>
    <w:rsid w:val="007E1CDA"/>
    <w:rsid w:val="007E1CF4"/>
    <w:rsid w:val="007E1D0D"/>
    <w:rsid w:val="007E1F1F"/>
    <w:rsid w:val="007E1FE0"/>
    <w:rsid w:val="007E2007"/>
    <w:rsid w:val="007E20A2"/>
    <w:rsid w:val="007E20FC"/>
    <w:rsid w:val="007E23A7"/>
    <w:rsid w:val="007E23B5"/>
    <w:rsid w:val="007E2456"/>
    <w:rsid w:val="007E24D5"/>
    <w:rsid w:val="007E28A9"/>
    <w:rsid w:val="007E28DC"/>
    <w:rsid w:val="007E28ED"/>
    <w:rsid w:val="007E2907"/>
    <w:rsid w:val="007E2915"/>
    <w:rsid w:val="007E29C5"/>
    <w:rsid w:val="007E2A67"/>
    <w:rsid w:val="007E2C92"/>
    <w:rsid w:val="007E2CB4"/>
    <w:rsid w:val="007E2E82"/>
    <w:rsid w:val="007E3470"/>
    <w:rsid w:val="007E3490"/>
    <w:rsid w:val="007E34E4"/>
    <w:rsid w:val="007E364C"/>
    <w:rsid w:val="007E36C1"/>
    <w:rsid w:val="007E375A"/>
    <w:rsid w:val="007E386C"/>
    <w:rsid w:val="007E3B45"/>
    <w:rsid w:val="007E3D08"/>
    <w:rsid w:val="007E3DCE"/>
    <w:rsid w:val="007E3DD2"/>
    <w:rsid w:val="007E41C8"/>
    <w:rsid w:val="007E431F"/>
    <w:rsid w:val="007E43DE"/>
    <w:rsid w:val="007E44E6"/>
    <w:rsid w:val="007E4521"/>
    <w:rsid w:val="007E47F3"/>
    <w:rsid w:val="007E4A00"/>
    <w:rsid w:val="007E4C9F"/>
    <w:rsid w:val="007E4FCD"/>
    <w:rsid w:val="007E4FE1"/>
    <w:rsid w:val="007E501A"/>
    <w:rsid w:val="007E5124"/>
    <w:rsid w:val="007E51A8"/>
    <w:rsid w:val="007E56F7"/>
    <w:rsid w:val="007E58FB"/>
    <w:rsid w:val="007E5C91"/>
    <w:rsid w:val="007E5D65"/>
    <w:rsid w:val="007E5E5E"/>
    <w:rsid w:val="007E60A6"/>
    <w:rsid w:val="007E6141"/>
    <w:rsid w:val="007E630A"/>
    <w:rsid w:val="007E66A6"/>
    <w:rsid w:val="007E6ABF"/>
    <w:rsid w:val="007E6BCD"/>
    <w:rsid w:val="007E6BEE"/>
    <w:rsid w:val="007E6C2B"/>
    <w:rsid w:val="007E6C58"/>
    <w:rsid w:val="007E6C6F"/>
    <w:rsid w:val="007E6D76"/>
    <w:rsid w:val="007E6E18"/>
    <w:rsid w:val="007E6EF9"/>
    <w:rsid w:val="007E7145"/>
    <w:rsid w:val="007E7195"/>
    <w:rsid w:val="007E72A1"/>
    <w:rsid w:val="007E765B"/>
    <w:rsid w:val="007E76A4"/>
    <w:rsid w:val="007E7835"/>
    <w:rsid w:val="007E78A2"/>
    <w:rsid w:val="007E7A06"/>
    <w:rsid w:val="007E7AF8"/>
    <w:rsid w:val="007E7B2B"/>
    <w:rsid w:val="007E7C17"/>
    <w:rsid w:val="007E7E6C"/>
    <w:rsid w:val="007E7E97"/>
    <w:rsid w:val="007E7FC0"/>
    <w:rsid w:val="007F0127"/>
    <w:rsid w:val="007F01A0"/>
    <w:rsid w:val="007F0249"/>
    <w:rsid w:val="007F0463"/>
    <w:rsid w:val="007F0722"/>
    <w:rsid w:val="007F0962"/>
    <w:rsid w:val="007F0B18"/>
    <w:rsid w:val="007F0B22"/>
    <w:rsid w:val="007F0BA3"/>
    <w:rsid w:val="007F0D8B"/>
    <w:rsid w:val="007F0EF8"/>
    <w:rsid w:val="007F117C"/>
    <w:rsid w:val="007F13CC"/>
    <w:rsid w:val="007F17B7"/>
    <w:rsid w:val="007F1802"/>
    <w:rsid w:val="007F1C87"/>
    <w:rsid w:val="007F1DEB"/>
    <w:rsid w:val="007F1DED"/>
    <w:rsid w:val="007F1FA8"/>
    <w:rsid w:val="007F2597"/>
    <w:rsid w:val="007F26C7"/>
    <w:rsid w:val="007F27BA"/>
    <w:rsid w:val="007F2993"/>
    <w:rsid w:val="007F2A1C"/>
    <w:rsid w:val="007F2A87"/>
    <w:rsid w:val="007F2AD2"/>
    <w:rsid w:val="007F2B7B"/>
    <w:rsid w:val="007F2C78"/>
    <w:rsid w:val="007F2D21"/>
    <w:rsid w:val="007F2F2F"/>
    <w:rsid w:val="007F309C"/>
    <w:rsid w:val="007F31CC"/>
    <w:rsid w:val="007F3253"/>
    <w:rsid w:val="007F3429"/>
    <w:rsid w:val="007F37A8"/>
    <w:rsid w:val="007F39FB"/>
    <w:rsid w:val="007F3A17"/>
    <w:rsid w:val="007F3A64"/>
    <w:rsid w:val="007F3CA1"/>
    <w:rsid w:val="007F3E9D"/>
    <w:rsid w:val="007F40CB"/>
    <w:rsid w:val="007F458B"/>
    <w:rsid w:val="007F45B8"/>
    <w:rsid w:val="007F46A0"/>
    <w:rsid w:val="007F48C9"/>
    <w:rsid w:val="007F4945"/>
    <w:rsid w:val="007F4C6E"/>
    <w:rsid w:val="007F4DBF"/>
    <w:rsid w:val="007F4E45"/>
    <w:rsid w:val="007F4E4A"/>
    <w:rsid w:val="007F4E55"/>
    <w:rsid w:val="007F4E5B"/>
    <w:rsid w:val="007F4FD3"/>
    <w:rsid w:val="007F4FFF"/>
    <w:rsid w:val="007F50F2"/>
    <w:rsid w:val="007F52CE"/>
    <w:rsid w:val="007F54B1"/>
    <w:rsid w:val="007F581F"/>
    <w:rsid w:val="007F5934"/>
    <w:rsid w:val="007F5E1A"/>
    <w:rsid w:val="007F5EFC"/>
    <w:rsid w:val="007F5F51"/>
    <w:rsid w:val="007F5FB8"/>
    <w:rsid w:val="007F605F"/>
    <w:rsid w:val="007F608D"/>
    <w:rsid w:val="007F64BA"/>
    <w:rsid w:val="007F6510"/>
    <w:rsid w:val="007F6656"/>
    <w:rsid w:val="007F69AF"/>
    <w:rsid w:val="007F69CE"/>
    <w:rsid w:val="007F6B1B"/>
    <w:rsid w:val="007F6F0F"/>
    <w:rsid w:val="007F7011"/>
    <w:rsid w:val="007F710C"/>
    <w:rsid w:val="007F713C"/>
    <w:rsid w:val="007F72C5"/>
    <w:rsid w:val="007F743B"/>
    <w:rsid w:val="007F755F"/>
    <w:rsid w:val="007F770B"/>
    <w:rsid w:val="007F7830"/>
    <w:rsid w:val="007F78F0"/>
    <w:rsid w:val="007F79E8"/>
    <w:rsid w:val="007F7A3C"/>
    <w:rsid w:val="007F7B5C"/>
    <w:rsid w:val="007F7CDD"/>
    <w:rsid w:val="007F7DFE"/>
    <w:rsid w:val="007F7EDD"/>
    <w:rsid w:val="008000BD"/>
    <w:rsid w:val="00800131"/>
    <w:rsid w:val="00800175"/>
    <w:rsid w:val="008002D5"/>
    <w:rsid w:val="00800409"/>
    <w:rsid w:val="00800538"/>
    <w:rsid w:val="00800729"/>
    <w:rsid w:val="00800865"/>
    <w:rsid w:val="008009F0"/>
    <w:rsid w:val="00800A1C"/>
    <w:rsid w:val="00800A6F"/>
    <w:rsid w:val="00800DE5"/>
    <w:rsid w:val="00800F69"/>
    <w:rsid w:val="008010B5"/>
    <w:rsid w:val="008016A4"/>
    <w:rsid w:val="00801920"/>
    <w:rsid w:val="0080195A"/>
    <w:rsid w:val="008019BF"/>
    <w:rsid w:val="00801B8F"/>
    <w:rsid w:val="00801C59"/>
    <w:rsid w:val="00801C73"/>
    <w:rsid w:val="00801C9E"/>
    <w:rsid w:val="00801EB1"/>
    <w:rsid w:val="00801F22"/>
    <w:rsid w:val="008021AA"/>
    <w:rsid w:val="00802230"/>
    <w:rsid w:val="0080232D"/>
    <w:rsid w:val="00802BEF"/>
    <w:rsid w:val="0080304F"/>
    <w:rsid w:val="0080313D"/>
    <w:rsid w:val="00803235"/>
    <w:rsid w:val="00803297"/>
    <w:rsid w:val="008035EB"/>
    <w:rsid w:val="0080366D"/>
    <w:rsid w:val="00803756"/>
    <w:rsid w:val="008037CA"/>
    <w:rsid w:val="008038F1"/>
    <w:rsid w:val="0080393B"/>
    <w:rsid w:val="0080397C"/>
    <w:rsid w:val="00803A34"/>
    <w:rsid w:val="00803DB7"/>
    <w:rsid w:val="00804089"/>
    <w:rsid w:val="0080412C"/>
    <w:rsid w:val="0080416E"/>
    <w:rsid w:val="0080416F"/>
    <w:rsid w:val="0080421A"/>
    <w:rsid w:val="00804431"/>
    <w:rsid w:val="008044D8"/>
    <w:rsid w:val="008044E4"/>
    <w:rsid w:val="008047DC"/>
    <w:rsid w:val="00804AB0"/>
    <w:rsid w:val="00804BB5"/>
    <w:rsid w:val="00804CDF"/>
    <w:rsid w:val="00804D81"/>
    <w:rsid w:val="00804DA2"/>
    <w:rsid w:val="00804DD7"/>
    <w:rsid w:val="00804DFE"/>
    <w:rsid w:val="00804F1E"/>
    <w:rsid w:val="00804FBA"/>
    <w:rsid w:val="00804FE7"/>
    <w:rsid w:val="0080504B"/>
    <w:rsid w:val="008051A3"/>
    <w:rsid w:val="008052D7"/>
    <w:rsid w:val="00805471"/>
    <w:rsid w:val="008054DA"/>
    <w:rsid w:val="008056F0"/>
    <w:rsid w:val="00805726"/>
    <w:rsid w:val="0080578B"/>
    <w:rsid w:val="00805885"/>
    <w:rsid w:val="00805C80"/>
    <w:rsid w:val="00805CC5"/>
    <w:rsid w:val="00805CDE"/>
    <w:rsid w:val="00805F85"/>
    <w:rsid w:val="0080618A"/>
    <w:rsid w:val="008061C5"/>
    <w:rsid w:val="0080628B"/>
    <w:rsid w:val="008065AA"/>
    <w:rsid w:val="0080694E"/>
    <w:rsid w:val="0080699C"/>
    <w:rsid w:val="00806CA0"/>
    <w:rsid w:val="00806D15"/>
    <w:rsid w:val="00806D4C"/>
    <w:rsid w:val="00806DC0"/>
    <w:rsid w:val="00806E6E"/>
    <w:rsid w:val="00806FBE"/>
    <w:rsid w:val="00807D90"/>
    <w:rsid w:val="00807DFF"/>
    <w:rsid w:val="00810162"/>
    <w:rsid w:val="0081053E"/>
    <w:rsid w:val="0081057A"/>
    <w:rsid w:val="0081064A"/>
    <w:rsid w:val="00810745"/>
    <w:rsid w:val="0081084F"/>
    <w:rsid w:val="00810994"/>
    <w:rsid w:val="00810AD3"/>
    <w:rsid w:val="00810DD2"/>
    <w:rsid w:val="008111EC"/>
    <w:rsid w:val="0081132F"/>
    <w:rsid w:val="008113A3"/>
    <w:rsid w:val="008113DB"/>
    <w:rsid w:val="0081146D"/>
    <w:rsid w:val="008117FE"/>
    <w:rsid w:val="00811844"/>
    <w:rsid w:val="00811AB4"/>
    <w:rsid w:val="00811AC8"/>
    <w:rsid w:val="00811DD6"/>
    <w:rsid w:val="00811E6B"/>
    <w:rsid w:val="00812062"/>
    <w:rsid w:val="0081206A"/>
    <w:rsid w:val="008120D4"/>
    <w:rsid w:val="00812249"/>
    <w:rsid w:val="00812285"/>
    <w:rsid w:val="0081228D"/>
    <w:rsid w:val="008124A4"/>
    <w:rsid w:val="008128F7"/>
    <w:rsid w:val="00812AFC"/>
    <w:rsid w:val="00812B45"/>
    <w:rsid w:val="00812CFF"/>
    <w:rsid w:val="00812D7A"/>
    <w:rsid w:val="00812EDC"/>
    <w:rsid w:val="00812EFF"/>
    <w:rsid w:val="0081302C"/>
    <w:rsid w:val="00813235"/>
    <w:rsid w:val="008132CC"/>
    <w:rsid w:val="008132F1"/>
    <w:rsid w:val="008132F5"/>
    <w:rsid w:val="00813362"/>
    <w:rsid w:val="00813778"/>
    <w:rsid w:val="0081382C"/>
    <w:rsid w:val="00813E0D"/>
    <w:rsid w:val="00813E4F"/>
    <w:rsid w:val="00813EBB"/>
    <w:rsid w:val="008141B6"/>
    <w:rsid w:val="008142A4"/>
    <w:rsid w:val="0081445D"/>
    <w:rsid w:val="00814470"/>
    <w:rsid w:val="0081472B"/>
    <w:rsid w:val="00814817"/>
    <w:rsid w:val="00814A19"/>
    <w:rsid w:val="00814B4E"/>
    <w:rsid w:val="00814E3D"/>
    <w:rsid w:val="00814EE2"/>
    <w:rsid w:val="00814F24"/>
    <w:rsid w:val="00814F58"/>
    <w:rsid w:val="00814F77"/>
    <w:rsid w:val="00814F8B"/>
    <w:rsid w:val="0081513D"/>
    <w:rsid w:val="00815519"/>
    <w:rsid w:val="0081561E"/>
    <w:rsid w:val="0081588D"/>
    <w:rsid w:val="0081596B"/>
    <w:rsid w:val="008161EF"/>
    <w:rsid w:val="008162BF"/>
    <w:rsid w:val="0081633A"/>
    <w:rsid w:val="00816735"/>
    <w:rsid w:val="0081676E"/>
    <w:rsid w:val="00816874"/>
    <w:rsid w:val="008169B7"/>
    <w:rsid w:val="00816B36"/>
    <w:rsid w:val="00816BD4"/>
    <w:rsid w:val="00816C35"/>
    <w:rsid w:val="00816CFE"/>
    <w:rsid w:val="00816D25"/>
    <w:rsid w:val="00816D53"/>
    <w:rsid w:val="00816E2A"/>
    <w:rsid w:val="00816F5E"/>
    <w:rsid w:val="008173AF"/>
    <w:rsid w:val="008173C0"/>
    <w:rsid w:val="008175DE"/>
    <w:rsid w:val="0081781E"/>
    <w:rsid w:val="008178C7"/>
    <w:rsid w:val="00817969"/>
    <w:rsid w:val="00817BC3"/>
    <w:rsid w:val="00817C68"/>
    <w:rsid w:val="00817F98"/>
    <w:rsid w:val="008207B4"/>
    <w:rsid w:val="0082097E"/>
    <w:rsid w:val="00820EAD"/>
    <w:rsid w:val="0082107C"/>
    <w:rsid w:val="008210CE"/>
    <w:rsid w:val="0082124D"/>
    <w:rsid w:val="008213EB"/>
    <w:rsid w:val="00821409"/>
    <w:rsid w:val="008214A2"/>
    <w:rsid w:val="008214B0"/>
    <w:rsid w:val="008216B4"/>
    <w:rsid w:val="008216D6"/>
    <w:rsid w:val="008216F9"/>
    <w:rsid w:val="008218E1"/>
    <w:rsid w:val="00821A92"/>
    <w:rsid w:val="00821B8C"/>
    <w:rsid w:val="00821BF9"/>
    <w:rsid w:val="00821D61"/>
    <w:rsid w:val="00821D9D"/>
    <w:rsid w:val="00821E3D"/>
    <w:rsid w:val="00821FEC"/>
    <w:rsid w:val="00821FFE"/>
    <w:rsid w:val="00822031"/>
    <w:rsid w:val="008220EF"/>
    <w:rsid w:val="00822333"/>
    <w:rsid w:val="008224B5"/>
    <w:rsid w:val="008224B7"/>
    <w:rsid w:val="00822574"/>
    <w:rsid w:val="008225B6"/>
    <w:rsid w:val="0082273C"/>
    <w:rsid w:val="00822884"/>
    <w:rsid w:val="00822980"/>
    <w:rsid w:val="00822AB4"/>
    <w:rsid w:val="00822B20"/>
    <w:rsid w:val="00822C99"/>
    <w:rsid w:val="00822CB6"/>
    <w:rsid w:val="00822CBE"/>
    <w:rsid w:val="00822D1C"/>
    <w:rsid w:val="00822D61"/>
    <w:rsid w:val="00822EA5"/>
    <w:rsid w:val="0082302B"/>
    <w:rsid w:val="008231DE"/>
    <w:rsid w:val="008233A5"/>
    <w:rsid w:val="008233B5"/>
    <w:rsid w:val="008237A6"/>
    <w:rsid w:val="0082383D"/>
    <w:rsid w:val="00823F50"/>
    <w:rsid w:val="00823FE2"/>
    <w:rsid w:val="00824203"/>
    <w:rsid w:val="00824248"/>
    <w:rsid w:val="008245BD"/>
    <w:rsid w:val="008246D3"/>
    <w:rsid w:val="008249EE"/>
    <w:rsid w:val="00824A72"/>
    <w:rsid w:val="00824B60"/>
    <w:rsid w:val="00824ED3"/>
    <w:rsid w:val="00824F04"/>
    <w:rsid w:val="0082504B"/>
    <w:rsid w:val="008252E9"/>
    <w:rsid w:val="00825353"/>
    <w:rsid w:val="0082557A"/>
    <w:rsid w:val="008256A3"/>
    <w:rsid w:val="008256C2"/>
    <w:rsid w:val="00825778"/>
    <w:rsid w:val="0082581C"/>
    <w:rsid w:val="008259E2"/>
    <w:rsid w:val="00825BD5"/>
    <w:rsid w:val="00825DA8"/>
    <w:rsid w:val="0082600E"/>
    <w:rsid w:val="0082604B"/>
    <w:rsid w:val="0082624D"/>
    <w:rsid w:val="008262A5"/>
    <w:rsid w:val="00826509"/>
    <w:rsid w:val="008265A5"/>
    <w:rsid w:val="00826719"/>
    <w:rsid w:val="00826929"/>
    <w:rsid w:val="008269AA"/>
    <w:rsid w:val="00826AFD"/>
    <w:rsid w:val="00826BD5"/>
    <w:rsid w:val="00826E31"/>
    <w:rsid w:val="00827017"/>
    <w:rsid w:val="00827586"/>
    <w:rsid w:val="00827805"/>
    <w:rsid w:val="0082781A"/>
    <w:rsid w:val="00827834"/>
    <w:rsid w:val="008278F7"/>
    <w:rsid w:val="00827940"/>
    <w:rsid w:val="00827AC3"/>
    <w:rsid w:val="00827B5E"/>
    <w:rsid w:val="00827B7C"/>
    <w:rsid w:val="00827E0C"/>
    <w:rsid w:val="00827F4F"/>
    <w:rsid w:val="00827F7D"/>
    <w:rsid w:val="008300BD"/>
    <w:rsid w:val="008302FA"/>
    <w:rsid w:val="0083030E"/>
    <w:rsid w:val="00830384"/>
    <w:rsid w:val="0083069F"/>
    <w:rsid w:val="008306E1"/>
    <w:rsid w:val="00830976"/>
    <w:rsid w:val="00830987"/>
    <w:rsid w:val="00830B58"/>
    <w:rsid w:val="00830C50"/>
    <w:rsid w:val="00830FC0"/>
    <w:rsid w:val="0083100F"/>
    <w:rsid w:val="008311C7"/>
    <w:rsid w:val="00831396"/>
    <w:rsid w:val="0083149F"/>
    <w:rsid w:val="00831504"/>
    <w:rsid w:val="008315E2"/>
    <w:rsid w:val="0083173A"/>
    <w:rsid w:val="0083177B"/>
    <w:rsid w:val="0083180F"/>
    <w:rsid w:val="00831831"/>
    <w:rsid w:val="008319B0"/>
    <w:rsid w:val="00831B7A"/>
    <w:rsid w:val="00831B96"/>
    <w:rsid w:val="00831CD6"/>
    <w:rsid w:val="00831CE2"/>
    <w:rsid w:val="00831D50"/>
    <w:rsid w:val="00831F64"/>
    <w:rsid w:val="00832031"/>
    <w:rsid w:val="0083256F"/>
    <w:rsid w:val="00832815"/>
    <w:rsid w:val="00832830"/>
    <w:rsid w:val="00832999"/>
    <w:rsid w:val="0083299B"/>
    <w:rsid w:val="00832EA3"/>
    <w:rsid w:val="00832EB9"/>
    <w:rsid w:val="00833219"/>
    <w:rsid w:val="00833367"/>
    <w:rsid w:val="00833595"/>
    <w:rsid w:val="00833738"/>
    <w:rsid w:val="008337BB"/>
    <w:rsid w:val="00833831"/>
    <w:rsid w:val="008339CD"/>
    <w:rsid w:val="00833B42"/>
    <w:rsid w:val="00833C30"/>
    <w:rsid w:val="00833C5F"/>
    <w:rsid w:val="00833E23"/>
    <w:rsid w:val="008340CF"/>
    <w:rsid w:val="00834202"/>
    <w:rsid w:val="00834205"/>
    <w:rsid w:val="008342C3"/>
    <w:rsid w:val="00834741"/>
    <w:rsid w:val="00834D28"/>
    <w:rsid w:val="00834EEA"/>
    <w:rsid w:val="00834FBA"/>
    <w:rsid w:val="008350D3"/>
    <w:rsid w:val="0083518A"/>
    <w:rsid w:val="00835213"/>
    <w:rsid w:val="00835469"/>
    <w:rsid w:val="0083553D"/>
    <w:rsid w:val="008357B6"/>
    <w:rsid w:val="00835BBC"/>
    <w:rsid w:val="00835C90"/>
    <w:rsid w:val="00835F28"/>
    <w:rsid w:val="00835F91"/>
    <w:rsid w:val="00836075"/>
    <w:rsid w:val="008360B9"/>
    <w:rsid w:val="0083611E"/>
    <w:rsid w:val="00836173"/>
    <w:rsid w:val="00836517"/>
    <w:rsid w:val="00836558"/>
    <w:rsid w:val="008365A0"/>
    <w:rsid w:val="008366CB"/>
    <w:rsid w:val="008366CE"/>
    <w:rsid w:val="00836E11"/>
    <w:rsid w:val="0083731E"/>
    <w:rsid w:val="008373A5"/>
    <w:rsid w:val="00837485"/>
    <w:rsid w:val="00837488"/>
    <w:rsid w:val="00837659"/>
    <w:rsid w:val="008376BC"/>
    <w:rsid w:val="008378DD"/>
    <w:rsid w:val="0083790C"/>
    <w:rsid w:val="008379E9"/>
    <w:rsid w:val="008379ED"/>
    <w:rsid w:val="008379F2"/>
    <w:rsid w:val="00837AA8"/>
    <w:rsid w:val="00837AFD"/>
    <w:rsid w:val="00837B19"/>
    <w:rsid w:val="00837CB7"/>
    <w:rsid w:val="00837DD1"/>
    <w:rsid w:val="00837E70"/>
    <w:rsid w:val="008403D2"/>
    <w:rsid w:val="0084057C"/>
    <w:rsid w:val="008405B7"/>
    <w:rsid w:val="0084063A"/>
    <w:rsid w:val="008407C0"/>
    <w:rsid w:val="0084080F"/>
    <w:rsid w:val="00840A53"/>
    <w:rsid w:val="00840A5B"/>
    <w:rsid w:val="00840FA7"/>
    <w:rsid w:val="008411C6"/>
    <w:rsid w:val="008411D0"/>
    <w:rsid w:val="008412ED"/>
    <w:rsid w:val="0084156D"/>
    <w:rsid w:val="00841852"/>
    <w:rsid w:val="00841A56"/>
    <w:rsid w:val="00841AFD"/>
    <w:rsid w:val="00841B07"/>
    <w:rsid w:val="00841C4B"/>
    <w:rsid w:val="00841C5E"/>
    <w:rsid w:val="00841C8A"/>
    <w:rsid w:val="00841DED"/>
    <w:rsid w:val="00841E48"/>
    <w:rsid w:val="0084229B"/>
    <w:rsid w:val="00842324"/>
    <w:rsid w:val="008423D4"/>
    <w:rsid w:val="008424CF"/>
    <w:rsid w:val="0084252B"/>
    <w:rsid w:val="00842639"/>
    <w:rsid w:val="0084264B"/>
    <w:rsid w:val="00842781"/>
    <w:rsid w:val="00842835"/>
    <w:rsid w:val="00842858"/>
    <w:rsid w:val="008428B5"/>
    <w:rsid w:val="00842AB9"/>
    <w:rsid w:val="00842F21"/>
    <w:rsid w:val="00843035"/>
    <w:rsid w:val="0084312B"/>
    <w:rsid w:val="00843286"/>
    <w:rsid w:val="008433D4"/>
    <w:rsid w:val="008434F9"/>
    <w:rsid w:val="0084375E"/>
    <w:rsid w:val="008438C4"/>
    <w:rsid w:val="00843975"/>
    <w:rsid w:val="00843CD3"/>
    <w:rsid w:val="00844068"/>
    <w:rsid w:val="008442A2"/>
    <w:rsid w:val="00844370"/>
    <w:rsid w:val="0084437A"/>
    <w:rsid w:val="00844482"/>
    <w:rsid w:val="00844502"/>
    <w:rsid w:val="008445F6"/>
    <w:rsid w:val="00844687"/>
    <w:rsid w:val="00844784"/>
    <w:rsid w:val="008447EA"/>
    <w:rsid w:val="00844DE2"/>
    <w:rsid w:val="00844F8E"/>
    <w:rsid w:val="00845023"/>
    <w:rsid w:val="008453E6"/>
    <w:rsid w:val="0084549F"/>
    <w:rsid w:val="0084558D"/>
    <w:rsid w:val="008455B9"/>
    <w:rsid w:val="0084569A"/>
    <w:rsid w:val="00845FB7"/>
    <w:rsid w:val="00846038"/>
    <w:rsid w:val="008461F3"/>
    <w:rsid w:val="00846598"/>
    <w:rsid w:val="008467FF"/>
    <w:rsid w:val="0084683A"/>
    <w:rsid w:val="00846952"/>
    <w:rsid w:val="00846A6C"/>
    <w:rsid w:val="00846B7B"/>
    <w:rsid w:val="00846CF5"/>
    <w:rsid w:val="00846D24"/>
    <w:rsid w:val="00846EF8"/>
    <w:rsid w:val="00846FC7"/>
    <w:rsid w:val="00846FE1"/>
    <w:rsid w:val="0084721F"/>
    <w:rsid w:val="0084744A"/>
    <w:rsid w:val="00847450"/>
    <w:rsid w:val="0084746B"/>
    <w:rsid w:val="008475BD"/>
    <w:rsid w:val="008475E5"/>
    <w:rsid w:val="00847691"/>
    <w:rsid w:val="008477FC"/>
    <w:rsid w:val="0084798D"/>
    <w:rsid w:val="00847B68"/>
    <w:rsid w:val="00847DDE"/>
    <w:rsid w:val="00847E2D"/>
    <w:rsid w:val="00847F1C"/>
    <w:rsid w:val="00850213"/>
    <w:rsid w:val="00850231"/>
    <w:rsid w:val="00850239"/>
    <w:rsid w:val="008507C1"/>
    <w:rsid w:val="0085084F"/>
    <w:rsid w:val="00850B4E"/>
    <w:rsid w:val="00850BE0"/>
    <w:rsid w:val="00850F2B"/>
    <w:rsid w:val="00850F8D"/>
    <w:rsid w:val="00851026"/>
    <w:rsid w:val="0085133F"/>
    <w:rsid w:val="008513C4"/>
    <w:rsid w:val="008516B5"/>
    <w:rsid w:val="0085173A"/>
    <w:rsid w:val="00851B1C"/>
    <w:rsid w:val="00851CF7"/>
    <w:rsid w:val="00851D3E"/>
    <w:rsid w:val="00851DA3"/>
    <w:rsid w:val="00851DD0"/>
    <w:rsid w:val="00852125"/>
    <w:rsid w:val="008521A4"/>
    <w:rsid w:val="00852356"/>
    <w:rsid w:val="008524BC"/>
    <w:rsid w:val="00852574"/>
    <w:rsid w:val="00852612"/>
    <w:rsid w:val="0085265C"/>
    <w:rsid w:val="0085270C"/>
    <w:rsid w:val="00852AAE"/>
    <w:rsid w:val="00852DBA"/>
    <w:rsid w:val="00852E6F"/>
    <w:rsid w:val="008530CE"/>
    <w:rsid w:val="00853252"/>
    <w:rsid w:val="0085357B"/>
    <w:rsid w:val="008537A7"/>
    <w:rsid w:val="00853804"/>
    <w:rsid w:val="00853A3A"/>
    <w:rsid w:val="00853BF6"/>
    <w:rsid w:val="00853EEA"/>
    <w:rsid w:val="00854388"/>
    <w:rsid w:val="008544D0"/>
    <w:rsid w:val="008548CE"/>
    <w:rsid w:val="00854DE2"/>
    <w:rsid w:val="00854E63"/>
    <w:rsid w:val="00855024"/>
    <w:rsid w:val="0085503A"/>
    <w:rsid w:val="008550CC"/>
    <w:rsid w:val="0085547B"/>
    <w:rsid w:val="008554E3"/>
    <w:rsid w:val="00855621"/>
    <w:rsid w:val="008558D2"/>
    <w:rsid w:val="00855914"/>
    <w:rsid w:val="00855917"/>
    <w:rsid w:val="00855A78"/>
    <w:rsid w:val="00855C90"/>
    <w:rsid w:val="00855F9F"/>
    <w:rsid w:val="00855FF4"/>
    <w:rsid w:val="008562E1"/>
    <w:rsid w:val="00856401"/>
    <w:rsid w:val="00856528"/>
    <w:rsid w:val="00856643"/>
    <w:rsid w:val="00856666"/>
    <w:rsid w:val="0085677A"/>
    <w:rsid w:val="00856A3C"/>
    <w:rsid w:val="00856A5C"/>
    <w:rsid w:val="00856AA9"/>
    <w:rsid w:val="00856C0E"/>
    <w:rsid w:val="008570DA"/>
    <w:rsid w:val="00857133"/>
    <w:rsid w:val="00857445"/>
    <w:rsid w:val="0085759D"/>
    <w:rsid w:val="008577E2"/>
    <w:rsid w:val="00857CDD"/>
    <w:rsid w:val="008601FE"/>
    <w:rsid w:val="008602F8"/>
    <w:rsid w:val="00860530"/>
    <w:rsid w:val="008605F7"/>
    <w:rsid w:val="00860862"/>
    <w:rsid w:val="00860A56"/>
    <w:rsid w:val="00860AA7"/>
    <w:rsid w:val="00860B34"/>
    <w:rsid w:val="00860CE9"/>
    <w:rsid w:val="00860CEE"/>
    <w:rsid w:val="00860F89"/>
    <w:rsid w:val="00860FBD"/>
    <w:rsid w:val="00860FEE"/>
    <w:rsid w:val="00860FF4"/>
    <w:rsid w:val="00861284"/>
    <w:rsid w:val="00861471"/>
    <w:rsid w:val="008614FB"/>
    <w:rsid w:val="00861742"/>
    <w:rsid w:val="008617A7"/>
    <w:rsid w:val="00861934"/>
    <w:rsid w:val="00861A39"/>
    <w:rsid w:val="00861EAC"/>
    <w:rsid w:val="008622A0"/>
    <w:rsid w:val="008622D4"/>
    <w:rsid w:val="008624B8"/>
    <w:rsid w:val="008624E6"/>
    <w:rsid w:val="008625BE"/>
    <w:rsid w:val="008625D7"/>
    <w:rsid w:val="0086265E"/>
    <w:rsid w:val="008627B1"/>
    <w:rsid w:val="008628A3"/>
    <w:rsid w:val="008628B8"/>
    <w:rsid w:val="00862920"/>
    <w:rsid w:val="008629D2"/>
    <w:rsid w:val="00862B09"/>
    <w:rsid w:val="00862C41"/>
    <w:rsid w:val="00862D14"/>
    <w:rsid w:val="00862D7E"/>
    <w:rsid w:val="00862FCD"/>
    <w:rsid w:val="00862FDC"/>
    <w:rsid w:val="0086303B"/>
    <w:rsid w:val="008630CE"/>
    <w:rsid w:val="00863433"/>
    <w:rsid w:val="00863434"/>
    <w:rsid w:val="00863548"/>
    <w:rsid w:val="00863573"/>
    <w:rsid w:val="008635FA"/>
    <w:rsid w:val="00863616"/>
    <w:rsid w:val="0086366D"/>
    <w:rsid w:val="00863684"/>
    <w:rsid w:val="008636EC"/>
    <w:rsid w:val="00863A87"/>
    <w:rsid w:val="00863B2C"/>
    <w:rsid w:val="00863C2A"/>
    <w:rsid w:val="00863CDF"/>
    <w:rsid w:val="00863D4A"/>
    <w:rsid w:val="00863EEF"/>
    <w:rsid w:val="00864066"/>
    <w:rsid w:val="0086441B"/>
    <w:rsid w:val="008644E9"/>
    <w:rsid w:val="008645F5"/>
    <w:rsid w:val="00864898"/>
    <w:rsid w:val="008649F5"/>
    <w:rsid w:val="00864B14"/>
    <w:rsid w:val="00864B64"/>
    <w:rsid w:val="00864D7E"/>
    <w:rsid w:val="0086523E"/>
    <w:rsid w:val="008652A4"/>
    <w:rsid w:val="008652C2"/>
    <w:rsid w:val="008652F0"/>
    <w:rsid w:val="008655CD"/>
    <w:rsid w:val="008656E7"/>
    <w:rsid w:val="00865844"/>
    <w:rsid w:val="00865B68"/>
    <w:rsid w:val="00865BB4"/>
    <w:rsid w:val="00865C32"/>
    <w:rsid w:val="00865DCD"/>
    <w:rsid w:val="00865E60"/>
    <w:rsid w:val="00865F6E"/>
    <w:rsid w:val="008660AA"/>
    <w:rsid w:val="00866159"/>
    <w:rsid w:val="00866471"/>
    <w:rsid w:val="0086653B"/>
    <w:rsid w:val="00866849"/>
    <w:rsid w:val="00866971"/>
    <w:rsid w:val="00866B91"/>
    <w:rsid w:val="00866EE5"/>
    <w:rsid w:val="0086736D"/>
    <w:rsid w:val="00867625"/>
    <w:rsid w:val="0086778A"/>
    <w:rsid w:val="00867D76"/>
    <w:rsid w:val="008700CF"/>
    <w:rsid w:val="008701DE"/>
    <w:rsid w:val="0087024B"/>
    <w:rsid w:val="0087033F"/>
    <w:rsid w:val="008703FD"/>
    <w:rsid w:val="008705FF"/>
    <w:rsid w:val="00870682"/>
    <w:rsid w:val="008706D8"/>
    <w:rsid w:val="00870807"/>
    <w:rsid w:val="008708D1"/>
    <w:rsid w:val="008708DC"/>
    <w:rsid w:val="00870B8F"/>
    <w:rsid w:val="00870E77"/>
    <w:rsid w:val="00870F1B"/>
    <w:rsid w:val="00871042"/>
    <w:rsid w:val="008711CA"/>
    <w:rsid w:val="008712F7"/>
    <w:rsid w:val="0087144B"/>
    <w:rsid w:val="00871662"/>
    <w:rsid w:val="00871A99"/>
    <w:rsid w:val="00871D1F"/>
    <w:rsid w:val="00872061"/>
    <w:rsid w:val="0087209D"/>
    <w:rsid w:val="008720B9"/>
    <w:rsid w:val="0087215B"/>
    <w:rsid w:val="00872240"/>
    <w:rsid w:val="00872273"/>
    <w:rsid w:val="00872620"/>
    <w:rsid w:val="00872825"/>
    <w:rsid w:val="00872B12"/>
    <w:rsid w:val="00872B3F"/>
    <w:rsid w:val="00872C1B"/>
    <w:rsid w:val="00872CE0"/>
    <w:rsid w:val="00872D3D"/>
    <w:rsid w:val="00872DF2"/>
    <w:rsid w:val="00872E3B"/>
    <w:rsid w:val="00872FC3"/>
    <w:rsid w:val="00872FE3"/>
    <w:rsid w:val="0087304E"/>
    <w:rsid w:val="008732E5"/>
    <w:rsid w:val="00873479"/>
    <w:rsid w:val="00873486"/>
    <w:rsid w:val="008734F0"/>
    <w:rsid w:val="008737A5"/>
    <w:rsid w:val="008737CE"/>
    <w:rsid w:val="00873805"/>
    <w:rsid w:val="00873823"/>
    <w:rsid w:val="00873986"/>
    <w:rsid w:val="008739E9"/>
    <w:rsid w:val="00873AC1"/>
    <w:rsid w:val="00873C8F"/>
    <w:rsid w:val="00873D1C"/>
    <w:rsid w:val="00873E00"/>
    <w:rsid w:val="00873FE7"/>
    <w:rsid w:val="008740F5"/>
    <w:rsid w:val="00874341"/>
    <w:rsid w:val="00874475"/>
    <w:rsid w:val="008745E0"/>
    <w:rsid w:val="0087461C"/>
    <w:rsid w:val="00874859"/>
    <w:rsid w:val="00874A63"/>
    <w:rsid w:val="00874C0D"/>
    <w:rsid w:val="00874C23"/>
    <w:rsid w:val="00874F20"/>
    <w:rsid w:val="008750D6"/>
    <w:rsid w:val="008750DF"/>
    <w:rsid w:val="00875148"/>
    <w:rsid w:val="00875389"/>
    <w:rsid w:val="008753E1"/>
    <w:rsid w:val="00875670"/>
    <w:rsid w:val="0087572F"/>
    <w:rsid w:val="0087581E"/>
    <w:rsid w:val="00875924"/>
    <w:rsid w:val="008759B8"/>
    <w:rsid w:val="008759DB"/>
    <w:rsid w:val="00875B21"/>
    <w:rsid w:val="00875C8F"/>
    <w:rsid w:val="00875D15"/>
    <w:rsid w:val="008760A1"/>
    <w:rsid w:val="0087621C"/>
    <w:rsid w:val="008762AB"/>
    <w:rsid w:val="008762FF"/>
    <w:rsid w:val="00876A96"/>
    <w:rsid w:val="00876C7D"/>
    <w:rsid w:val="00876CBD"/>
    <w:rsid w:val="00876F85"/>
    <w:rsid w:val="0087701D"/>
    <w:rsid w:val="00877020"/>
    <w:rsid w:val="008770A0"/>
    <w:rsid w:val="0087711F"/>
    <w:rsid w:val="008771ED"/>
    <w:rsid w:val="008772E1"/>
    <w:rsid w:val="0087761D"/>
    <w:rsid w:val="00877792"/>
    <w:rsid w:val="008779A2"/>
    <w:rsid w:val="00877A60"/>
    <w:rsid w:val="00877B01"/>
    <w:rsid w:val="00877B0E"/>
    <w:rsid w:val="00877B0F"/>
    <w:rsid w:val="00877C95"/>
    <w:rsid w:val="00877CD2"/>
    <w:rsid w:val="00877D64"/>
    <w:rsid w:val="00877FA9"/>
    <w:rsid w:val="0088013C"/>
    <w:rsid w:val="008802FF"/>
    <w:rsid w:val="008803A4"/>
    <w:rsid w:val="00880637"/>
    <w:rsid w:val="008809F7"/>
    <w:rsid w:val="00880BCB"/>
    <w:rsid w:val="00880D06"/>
    <w:rsid w:val="00880E21"/>
    <w:rsid w:val="00880EA3"/>
    <w:rsid w:val="00880F6B"/>
    <w:rsid w:val="008812EB"/>
    <w:rsid w:val="0088154D"/>
    <w:rsid w:val="008815B0"/>
    <w:rsid w:val="008817AD"/>
    <w:rsid w:val="008817C7"/>
    <w:rsid w:val="00881917"/>
    <w:rsid w:val="00881A6C"/>
    <w:rsid w:val="00881B09"/>
    <w:rsid w:val="00881BB7"/>
    <w:rsid w:val="00881E3A"/>
    <w:rsid w:val="00881EBA"/>
    <w:rsid w:val="008820B6"/>
    <w:rsid w:val="008820DF"/>
    <w:rsid w:val="00882425"/>
    <w:rsid w:val="00882595"/>
    <w:rsid w:val="00882833"/>
    <w:rsid w:val="008829F2"/>
    <w:rsid w:val="00882A35"/>
    <w:rsid w:val="00882A93"/>
    <w:rsid w:val="00882F67"/>
    <w:rsid w:val="008831B2"/>
    <w:rsid w:val="00883660"/>
    <w:rsid w:val="00883683"/>
    <w:rsid w:val="0088368E"/>
    <w:rsid w:val="008838FD"/>
    <w:rsid w:val="00883EF1"/>
    <w:rsid w:val="00883EF2"/>
    <w:rsid w:val="00883F5F"/>
    <w:rsid w:val="00883FED"/>
    <w:rsid w:val="008840A3"/>
    <w:rsid w:val="0088415D"/>
    <w:rsid w:val="00884358"/>
    <w:rsid w:val="008843C3"/>
    <w:rsid w:val="008846A9"/>
    <w:rsid w:val="0088492B"/>
    <w:rsid w:val="00884C61"/>
    <w:rsid w:val="00884CE1"/>
    <w:rsid w:val="00884D8B"/>
    <w:rsid w:val="00884DA7"/>
    <w:rsid w:val="00884E59"/>
    <w:rsid w:val="00884E9E"/>
    <w:rsid w:val="008856B2"/>
    <w:rsid w:val="00885728"/>
    <w:rsid w:val="00885904"/>
    <w:rsid w:val="008859EC"/>
    <w:rsid w:val="00885A2F"/>
    <w:rsid w:val="00885C5D"/>
    <w:rsid w:val="0088600B"/>
    <w:rsid w:val="0088604F"/>
    <w:rsid w:val="00886167"/>
    <w:rsid w:val="008861CD"/>
    <w:rsid w:val="00886352"/>
    <w:rsid w:val="0088650A"/>
    <w:rsid w:val="008866E5"/>
    <w:rsid w:val="008867D1"/>
    <w:rsid w:val="00886B52"/>
    <w:rsid w:val="00886BF3"/>
    <w:rsid w:val="00886C9C"/>
    <w:rsid w:val="00886CC2"/>
    <w:rsid w:val="00886D4F"/>
    <w:rsid w:val="00886D5A"/>
    <w:rsid w:val="00887150"/>
    <w:rsid w:val="00887341"/>
    <w:rsid w:val="00887491"/>
    <w:rsid w:val="00887550"/>
    <w:rsid w:val="00887815"/>
    <w:rsid w:val="0088786B"/>
    <w:rsid w:val="008878C3"/>
    <w:rsid w:val="00887BE5"/>
    <w:rsid w:val="0088C0AB"/>
    <w:rsid w:val="0089016F"/>
    <w:rsid w:val="00890493"/>
    <w:rsid w:val="008904C4"/>
    <w:rsid w:val="0089055B"/>
    <w:rsid w:val="00890637"/>
    <w:rsid w:val="0089070A"/>
    <w:rsid w:val="008909B5"/>
    <w:rsid w:val="00890B93"/>
    <w:rsid w:val="00890BB0"/>
    <w:rsid w:val="00890BDD"/>
    <w:rsid w:val="00890D15"/>
    <w:rsid w:val="0089102F"/>
    <w:rsid w:val="008910BD"/>
    <w:rsid w:val="008913CD"/>
    <w:rsid w:val="00891404"/>
    <w:rsid w:val="0089145A"/>
    <w:rsid w:val="0089148A"/>
    <w:rsid w:val="00891764"/>
    <w:rsid w:val="0089190E"/>
    <w:rsid w:val="008919AB"/>
    <w:rsid w:val="00891A6B"/>
    <w:rsid w:val="00891AF4"/>
    <w:rsid w:val="00891B33"/>
    <w:rsid w:val="00891CF9"/>
    <w:rsid w:val="00891D03"/>
    <w:rsid w:val="00891D13"/>
    <w:rsid w:val="00891D7E"/>
    <w:rsid w:val="00891FCF"/>
    <w:rsid w:val="0089219A"/>
    <w:rsid w:val="008921B0"/>
    <w:rsid w:val="008921B3"/>
    <w:rsid w:val="00892283"/>
    <w:rsid w:val="00892514"/>
    <w:rsid w:val="00892552"/>
    <w:rsid w:val="00892930"/>
    <w:rsid w:val="008929C5"/>
    <w:rsid w:val="008929DF"/>
    <w:rsid w:val="008929E8"/>
    <w:rsid w:val="00893160"/>
    <w:rsid w:val="0089360E"/>
    <w:rsid w:val="008939A8"/>
    <w:rsid w:val="00893A7D"/>
    <w:rsid w:val="00893B54"/>
    <w:rsid w:val="00893DC8"/>
    <w:rsid w:val="00893EC7"/>
    <w:rsid w:val="00893F32"/>
    <w:rsid w:val="008941B4"/>
    <w:rsid w:val="008941C8"/>
    <w:rsid w:val="008941FA"/>
    <w:rsid w:val="008943A0"/>
    <w:rsid w:val="00894743"/>
    <w:rsid w:val="0089474D"/>
    <w:rsid w:val="00894984"/>
    <w:rsid w:val="008949A1"/>
    <w:rsid w:val="00894FA4"/>
    <w:rsid w:val="0089521A"/>
    <w:rsid w:val="008952A6"/>
    <w:rsid w:val="008952C8"/>
    <w:rsid w:val="008956CF"/>
    <w:rsid w:val="008957BF"/>
    <w:rsid w:val="00895B16"/>
    <w:rsid w:val="00895C1B"/>
    <w:rsid w:val="00895C73"/>
    <w:rsid w:val="00895FEC"/>
    <w:rsid w:val="008963A4"/>
    <w:rsid w:val="008963DC"/>
    <w:rsid w:val="008964FB"/>
    <w:rsid w:val="00896613"/>
    <w:rsid w:val="0089686C"/>
    <w:rsid w:val="00896998"/>
    <w:rsid w:val="00896B15"/>
    <w:rsid w:val="00896B66"/>
    <w:rsid w:val="00896BFF"/>
    <w:rsid w:val="00896C57"/>
    <w:rsid w:val="00896CA3"/>
    <w:rsid w:val="00896D11"/>
    <w:rsid w:val="008971A4"/>
    <w:rsid w:val="0089735E"/>
    <w:rsid w:val="00897465"/>
    <w:rsid w:val="00897760"/>
    <w:rsid w:val="008977D2"/>
    <w:rsid w:val="0089780E"/>
    <w:rsid w:val="00897948"/>
    <w:rsid w:val="00897B39"/>
    <w:rsid w:val="00897BCE"/>
    <w:rsid w:val="00897F48"/>
    <w:rsid w:val="008A043A"/>
    <w:rsid w:val="008A0592"/>
    <w:rsid w:val="008A083E"/>
    <w:rsid w:val="008A091D"/>
    <w:rsid w:val="008A096D"/>
    <w:rsid w:val="008A09A8"/>
    <w:rsid w:val="008A0C6F"/>
    <w:rsid w:val="008A0CAF"/>
    <w:rsid w:val="008A0E64"/>
    <w:rsid w:val="008A0FC4"/>
    <w:rsid w:val="008A107F"/>
    <w:rsid w:val="008A1387"/>
    <w:rsid w:val="008A14C5"/>
    <w:rsid w:val="008A15ED"/>
    <w:rsid w:val="008A180C"/>
    <w:rsid w:val="008A19B8"/>
    <w:rsid w:val="008A1AB4"/>
    <w:rsid w:val="008A1B9A"/>
    <w:rsid w:val="008A1BCC"/>
    <w:rsid w:val="008A1C5B"/>
    <w:rsid w:val="008A1E01"/>
    <w:rsid w:val="008A2387"/>
    <w:rsid w:val="008A23D8"/>
    <w:rsid w:val="008A2701"/>
    <w:rsid w:val="008A2734"/>
    <w:rsid w:val="008A27B1"/>
    <w:rsid w:val="008A2886"/>
    <w:rsid w:val="008A2ADF"/>
    <w:rsid w:val="008A2B81"/>
    <w:rsid w:val="008A2CF0"/>
    <w:rsid w:val="008A2E7F"/>
    <w:rsid w:val="008A2EE3"/>
    <w:rsid w:val="008A2F08"/>
    <w:rsid w:val="008A310D"/>
    <w:rsid w:val="008A314B"/>
    <w:rsid w:val="008A32F5"/>
    <w:rsid w:val="008A34E0"/>
    <w:rsid w:val="008A3631"/>
    <w:rsid w:val="008A37CA"/>
    <w:rsid w:val="008A39D8"/>
    <w:rsid w:val="008A3B06"/>
    <w:rsid w:val="008A3D71"/>
    <w:rsid w:val="008A3E7B"/>
    <w:rsid w:val="008A3F43"/>
    <w:rsid w:val="008A3F78"/>
    <w:rsid w:val="008A4067"/>
    <w:rsid w:val="008A420F"/>
    <w:rsid w:val="008A42BD"/>
    <w:rsid w:val="008A464D"/>
    <w:rsid w:val="008A467E"/>
    <w:rsid w:val="008A4744"/>
    <w:rsid w:val="008A4811"/>
    <w:rsid w:val="008A48BE"/>
    <w:rsid w:val="008A4A36"/>
    <w:rsid w:val="008A4BB0"/>
    <w:rsid w:val="008A4DBA"/>
    <w:rsid w:val="008A4E6C"/>
    <w:rsid w:val="008A5108"/>
    <w:rsid w:val="008A5274"/>
    <w:rsid w:val="008A55C5"/>
    <w:rsid w:val="008A5602"/>
    <w:rsid w:val="008A56D2"/>
    <w:rsid w:val="008A5A2A"/>
    <w:rsid w:val="008A5A88"/>
    <w:rsid w:val="008A5BF8"/>
    <w:rsid w:val="008A5F00"/>
    <w:rsid w:val="008A606C"/>
    <w:rsid w:val="008A6231"/>
    <w:rsid w:val="008A63CC"/>
    <w:rsid w:val="008A6616"/>
    <w:rsid w:val="008A66E6"/>
    <w:rsid w:val="008A675F"/>
    <w:rsid w:val="008A685B"/>
    <w:rsid w:val="008A6864"/>
    <w:rsid w:val="008A687F"/>
    <w:rsid w:val="008A6890"/>
    <w:rsid w:val="008A6963"/>
    <w:rsid w:val="008A6999"/>
    <w:rsid w:val="008A6A93"/>
    <w:rsid w:val="008A6AE0"/>
    <w:rsid w:val="008A6C58"/>
    <w:rsid w:val="008A6D6C"/>
    <w:rsid w:val="008A6D7A"/>
    <w:rsid w:val="008A6DE3"/>
    <w:rsid w:val="008A6E97"/>
    <w:rsid w:val="008A6F9A"/>
    <w:rsid w:val="008A6FEE"/>
    <w:rsid w:val="008A7031"/>
    <w:rsid w:val="008A70FD"/>
    <w:rsid w:val="008A74F4"/>
    <w:rsid w:val="008A7507"/>
    <w:rsid w:val="008A75AA"/>
    <w:rsid w:val="008A7847"/>
    <w:rsid w:val="008A79C6"/>
    <w:rsid w:val="008A7A87"/>
    <w:rsid w:val="008A7AE8"/>
    <w:rsid w:val="008A7B72"/>
    <w:rsid w:val="008A7B97"/>
    <w:rsid w:val="008A7F65"/>
    <w:rsid w:val="008B0035"/>
    <w:rsid w:val="008B027F"/>
    <w:rsid w:val="008B032B"/>
    <w:rsid w:val="008B0398"/>
    <w:rsid w:val="008B06E8"/>
    <w:rsid w:val="008B07E9"/>
    <w:rsid w:val="008B0886"/>
    <w:rsid w:val="008B0939"/>
    <w:rsid w:val="008B0C71"/>
    <w:rsid w:val="008B0C87"/>
    <w:rsid w:val="008B0CEB"/>
    <w:rsid w:val="008B0D9F"/>
    <w:rsid w:val="008B0EC5"/>
    <w:rsid w:val="008B0EE1"/>
    <w:rsid w:val="008B0F16"/>
    <w:rsid w:val="008B101E"/>
    <w:rsid w:val="008B1362"/>
    <w:rsid w:val="008B1423"/>
    <w:rsid w:val="008B14A0"/>
    <w:rsid w:val="008B1640"/>
    <w:rsid w:val="008B1666"/>
    <w:rsid w:val="008B17AA"/>
    <w:rsid w:val="008B1924"/>
    <w:rsid w:val="008B1A36"/>
    <w:rsid w:val="008B1B11"/>
    <w:rsid w:val="008B1B60"/>
    <w:rsid w:val="008B1B88"/>
    <w:rsid w:val="008B1CE3"/>
    <w:rsid w:val="008B1D59"/>
    <w:rsid w:val="008B1FDC"/>
    <w:rsid w:val="008B2868"/>
    <w:rsid w:val="008B287F"/>
    <w:rsid w:val="008B28D4"/>
    <w:rsid w:val="008B29B7"/>
    <w:rsid w:val="008B29F7"/>
    <w:rsid w:val="008B2A76"/>
    <w:rsid w:val="008B2B23"/>
    <w:rsid w:val="008B2BE1"/>
    <w:rsid w:val="008B2DEC"/>
    <w:rsid w:val="008B2EF0"/>
    <w:rsid w:val="008B302E"/>
    <w:rsid w:val="008B314C"/>
    <w:rsid w:val="008B325A"/>
    <w:rsid w:val="008B339A"/>
    <w:rsid w:val="008B35C3"/>
    <w:rsid w:val="008B3657"/>
    <w:rsid w:val="008B382C"/>
    <w:rsid w:val="008B3836"/>
    <w:rsid w:val="008B3880"/>
    <w:rsid w:val="008B3910"/>
    <w:rsid w:val="008B3955"/>
    <w:rsid w:val="008B39A7"/>
    <w:rsid w:val="008B39CF"/>
    <w:rsid w:val="008B3B49"/>
    <w:rsid w:val="008B3BC4"/>
    <w:rsid w:val="008B3E15"/>
    <w:rsid w:val="008B3E87"/>
    <w:rsid w:val="008B3F18"/>
    <w:rsid w:val="008B41E3"/>
    <w:rsid w:val="008B42C5"/>
    <w:rsid w:val="008B43D9"/>
    <w:rsid w:val="008B451E"/>
    <w:rsid w:val="008B4623"/>
    <w:rsid w:val="008B49E1"/>
    <w:rsid w:val="008B4A0D"/>
    <w:rsid w:val="008B4A12"/>
    <w:rsid w:val="008B4BCC"/>
    <w:rsid w:val="008B4F30"/>
    <w:rsid w:val="008B4F6B"/>
    <w:rsid w:val="008B522A"/>
    <w:rsid w:val="008B552F"/>
    <w:rsid w:val="008B58E5"/>
    <w:rsid w:val="008B5AB1"/>
    <w:rsid w:val="008B5B96"/>
    <w:rsid w:val="008B5F0C"/>
    <w:rsid w:val="008B5FCD"/>
    <w:rsid w:val="008B5FF2"/>
    <w:rsid w:val="008B607F"/>
    <w:rsid w:val="008B62AB"/>
    <w:rsid w:val="008B6521"/>
    <w:rsid w:val="008B65F0"/>
    <w:rsid w:val="008B6629"/>
    <w:rsid w:val="008B6902"/>
    <w:rsid w:val="008B6916"/>
    <w:rsid w:val="008B695E"/>
    <w:rsid w:val="008B6C4D"/>
    <w:rsid w:val="008B6FAB"/>
    <w:rsid w:val="008B703A"/>
    <w:rsid w:val="008B703F"/>
    <w:rsid w:val="008B736F"/>
    <w:rsid w:val="008B7588"/>
    <w:rsid w:val="008B7672"/>
    <w:rsid w:val="008B793A"/>
    <w:rsid w:val="008B7950"/>
    <w:rsid w:val="008B79DB"/>
    <w:rsid w:val="008B7B1C"/>
    <w:rsid w:val="008B7BFC"/>
    <w:rsid w:val="008B7C3D"/>
    <w:rsid w:val="008B7CBF"/>
    <w:rsid w:val="008B7DFA"/>
    <w:rsid w:val="008B7F3E"/>
    <w:rsid w:val="008B7F6E"/>
    <w:rsid w:val="008B7F94"/>
    <w:rsid w:val="008C00C3"/>
    <w:rsid w:val="008C011B"/>
    <w:rsid w:val="008C027C"/>
    <w:rsid w:val="008C0384"/>
    <w:rsid w:val="008C04B6"/>
    <w:rsid w:val="008C0556"/>
    <w:rsid w:val="008C0610"/>
    <w:rsid w:val="008C0672"/>
    <w:rsid w:val="008C070E"/>
    <w:rsid w:val="008C093C"/>
    <w:rsid w:val="008C095D"/>
    <w:rsid w:val="008C0C0D"/>
    <w:rsid w:val="008C0E62"/>
    <w:rsid w:val="008C1022"/>
    <w:rsid w:val="008C127D"/>
    <w:rsid w:val="008C12CA"/>
    <w:rsid w:val="008C13FF"/>
    <w:rsid w:val="008C1761"/>
    <w:rsid w:val="008C1814"/>
    <w:rsid w:val="008C1A25"/>
    <w:rsid w:val="008C1AA6"/>
    <w:rsid w:val="008C1B74"/>
    <w:rsid w:val="008C1BAB"/>
    <w:rsid w:val="008C1D16"/>
    <w:rsid w:val="008C215E"/>
    <w:rsid w:val="008C2231"/>
    <w:rsid w:val="008C23D9"/>
    <w:rsid w:val="008C2648"/>
    <w:rsid w:val="008C2676"/>
    <w:rsid w:val="008C267E"/>
    <w:rsid w:val="008C297D"/>
    <w:rsid w:val="008C2A64"/>
    <w:rsid w:val="008C2AE9"/>
    <w:rsid w:val="008C2B71"/>
    <w:rsid w:val="008C2D1A"/>
    <w:rsid w:val="008C2D99"/>
    <w:rsid w:val="008C2E72"/>
    <w:rsid w:val="008C2FA3"/>
    <w:rsid w:val="008C3014"/>
    <w:rsid w:val="008C3077"/>
    <w:rsid w:val="008C31E6"/>
    <w:rsid w:val="008C3303"/>
    <w:rsid w:val="008C3498"/>
    <w:rsid w:val="008C34FF"/>
    <w:rsid w:val="008C3D8B"/>
    <w:rsid w:val="008C3DE0"/>
    <w:rsid w:val="008C3DE7"/>
    <w:rsid w:val="008C3E18"/>
    <w:rsid w:val="008C3ECD"/>
    <w:rsid w:val="008C3EF2"/>
    <w:rsid w:val="008C3F3D"/>
    <w:rsid w:val="008C43BA"/>
    <w:rsid w:val="008C45BB"/>
    <w:rsid w:val="008C4600"/>
    <w:rsid w:val="008C4771"/>
    <w:rsid w:val="008C4819"/>
    <w:rsid w:val="008C484B"/>
    <w:rsid w:val="008C49C0"/>
    <w:rsid w:val="008C4AF2"/>
    <w:rsid w:val="008C4B4C"/>
    <w:rsid w:val="008C4EA8"/>
    <w:rsid w:val="008C503D"/>
    <w:rsid w:val="008C52C2"/>
    <w:rsid w:val="008C55D3"/>
    <w:rsid w:val="008C586E"/>
    <w:rsid w:val="008C58CD"/>
    <w:rsid w:val="008C59F3"/>
    <w:rsid w:val="008C5C01"/>
    <w:rsid w:val="008C5D6D"/>
    <w:rsid w:val="008C5E86"/>
    <w:rsid w:val="008C60FC"/>
    <w:rsid w:val="008C6233"/>
    <w:rsid w:val="008C6478"/>
    <w:rsid w:val="008C6497"/>
    <w:rsid w:val="008C6631"/>
    <w:rsid w:val="008C669A"/>
    <w:rsid w:val="008C6705"/>
    <w:rsid w:val="008C6771"/>
    <w:rsid w:val="008C6ADB"/>
    <w:rsid w:val="008C6E73"/>
    <w:rsid w:val="008C7062"/>
    <w:rsid w:val="008C712E"/>
    <w:rsid w:val="008C7130"/>
    <w:rsid w:val="008C7217"/>
    <w:rsid w:val="008C7238"/>
    <w:rsid w:val="008C75FC"/>
    <w:rsid w:val="008C7626"/>
    <w:rsid w:val="008C765E"/>
    <w:rsid w:val="008C7AF0"/>
    <w:rsid w:val="008C7BA3"/>
    <w:rsid w:val="008C7BBE"/>
    <w:rsid w:val="008C7DE3"/>
    <w:rsid w:val="008C7FD2"/>
    <w:rsid w:val="008D020E"/>
    <w:rsid w:val="008D039B"/>
    <w:rsid w:val="008D03BF"/>
    <w:rsid w:val="008D0781"/>
    <w:rsid w:val="008D0BE9"/>
    <w:rsid w:val="008D0C54"/>
    <w:rsid w:val="008D0DAA"/>
    <w:rsid w:val="008D0DBA"/>
    <w:rsid w:val="008D1224"/>
    <w:rsid w:val="008D148B"/>
    <w:rsid w:val="008D15D1"/>
    <w:rsid w:val="008D1631"/>
    <w:rsid w:val="008D1741"/>
    <w:rsid w:val="008D1ADE"/>
    <w:rsid w:val="008D1BE7"/>
    <w:rsid w:val="008D1D1B"/>
    <w:rsid w:val="008D1F18"/>
    <w:rsid w:val="008D1F4E"/>
    <w:rsid w:val="008D20E5"/>
    <w:rsid w:val="008D23B7"/>
    <w:rsid w:val="008D24A4"/>
    <w:rsid w:val="008D2520"/>
    <w:rsid w:val="008D260B"/>
    <w:rsid w:val="008D261D"/>
    <w:rsid w:val="008D27A7"/>
    <w:rsid w:val="008D27AA"/>
    <w:rsid w:val="008D2B76"/>
    <w:rsid w:val="008D2B81"/>
    <w:rsid w:val="008D2CB8"/>
    <w:rsid w:val="008D2D83"/>
    <w:rsid w:val="008D2DBF"/>
    <w:rsid w:val="008D2E04"/>
    <w:rsid w:val="008D2EC5"/>
    <w:rsid w:val="008D2FC4"/>
    <w:rsid w:val="008D3043"/>
    <w:rsid w:val="008D3077"/>
    <w:rsid w:val="008D3081"/>
    <w:rsid w:val="008D31B2"/>
    <w:rsid w:val="008D32F0"/>
    <w:rsid w:val="008D32F4"/>
    <w:rsid w:val="008D3345"/>
    <w:rsid w:val="008D3385"/>
    <w:rsid w:val="008D3590"/>
    <w:rsid w:val="008D3827"/>
    <w:rsid w:val="008D3AC1"/>
    <w:rsid w:val="008D3C48"/>
    <w:rsid w:val="008D3C5D"/>
    <w:rsid w:val="008D40D6"/>
    <w:rsid w:val="008D41EE"/>
    <w:rsid w:val="008D4218"/>
    <w:rsid w:val="008D432C"/>
    <w:rsid w:val="008D461F"/>
    <w:rsid w:val="008D473A"/>
    <w:rsid w:val="008D48A9"/>
    <w:rsid w:val="008D4C3D"/>
    <w:rsid w:val="008D4C41"/>
    <w:rsid w:val="008D4E1E"/>
    <w:rsid w:val="008D4F54"/>
    <w:rsid w:val="008D5181"/>
    <w:rsid w:val="008D518C"/>
    <w:rsid w:val="008D5198"/>
    <w:rsid w:val="008D5473"/>
    <w:rsid w:val="008D5499"/>
    <w:rsid w:val="008D57C6"/>
    <w:rsid w:val="008D589F"/>
    <w:rsid w:val="008D5917"/>
    <w:rsid w:val="008D5A92"/>
    <w:rsid w:val="008D5CA9"/>
    <w:rsid w:val="008D5CE3"/>
    <w:rsid w:val="008D5E0C"/>
    <w:rsid w:val="008D5E88"/>
    <w:rsid w:val="008D5EAE"/>
    <w:rsid w:val="008D5F41"/>
    <w:rsid w:val="008D5F79"/>
    <w:rsid w:val="008D606C"/>
    <w:rsid w:val="008D61F0"/>
    <w:rsid w:val="008D6217"/>
    <w:rsid w:val="008D6351"/>
    <w:rsid w:val="008D6444"/>
    <w:rsid w:val="008D6479"/>
    <w:rsid w:val="008D6532"/>
    <w:rsid w:val="008D664B"/>
    <w:rsid w:val="008D6BAB"/>
    <w:rsid w:val="008D6CDB"/>
    <w:rsid w:val="008D6E2A"/>
    <w:rsid w:val="008D6E5D"/>
    <w:rsid w:val="008D736B"/>
    <w:rsid w:val="008D74D7"/>
    <w:rsid w:val="008D756A"/>
    <w:rsid w:val="008D7596"/>
    <w:rsid w:val="008D779C"/>
    <w:rsid w:val="008D7902"/>
    <w:rsid w:val="008D7906"/>
    <w:rsid w:val="008D7BFC"/>
    <w:rsid w:val="008D7D96"/>
    <w:rsid w:val="008D7F45"/>
    <w:rsid w:val="008E00E6"/>
    <w:rsid w:val="008E01D1"/>
    <w:rsid w:val="008E01F5"/>
    <w:rsid w:val="008E0348"/>
    <w:rsid w:val="008E05D6"/>
    <w:rsid w:val="008E06B9"/>
    <w:rsid w:val="008E0993"/>
    <w:rsid w:val="008E0B29"/>
    <w:rsid w:val="008E0BB0"/>
    <w:rsid w:val="008E0D6A"/>
    <w:rsid w:val="008E0D84"/>
    <w:rsid w:val="008E0E26"/>
    <w:rsid w:val="008E0E2A"/>
    <w:rsid w:val="008E0E47"/>
    <w:rsid w:val="008E0EDB"/>
    <w:rsid w:val="008E1040"/>
    <w:rsid w:val="008E10E5"/>
    <w:rsid w:val="008E1141"/>
    <w:rsid w:val="008E12A1"/>
    <w:rsid w:val="008E1543"/>
    <w:rsid w:val="008E1585"/>
    <w:rsid w:val="008E1B5A"/>
    <w:rsid w:val="008E1BBB"/>
    <w:rsid w:val="008E1DE4"/>
    <w:rsid w:val="008E1F5A"/>
    <w:rsid w:val="008E1FBC"/>
    <w:rsid w:val="008E212F"/>
    <w:rsid w:val="008E235F"/>
    <w:rsid w:val="008E2584"/>
    <w:rsid w:val="008E26BD"/>
    <w:rsid w:val="008E2854"/>
    <w:rsid w:val="008E2978"/>
    <w:rsid w:val="008E2A36"/>
    <w:rsid w:val="008E2B87"/>
    <w:rsid w:val="008E2BDC"/>
    <w:rsid w:val="008E2C33"/>
    <w:rsid w:val="008E2D5F"/>
    <w:rsid w:val="008E2F11"/>
    <w:rsid w:val="008E2F2A"/>
    <w:rsid w:val="008E2F93"/>
    <w:rsid w:val="008E30B3"/>
    <w:rsid w:val="008E3206"/>
    <w:rsid w:val="008E3213"/>
    <w:rsid w:val="008E3410"/>
    <w:rsid w:val="008E37FD"/>
    <w:rsid w:val="008E385C"/>
    <w:rsid w:val="008E3A2C"/>
    <w:rsid w:val="008E3AB6"/>
    <w:rsid w:val="008E3B48"/>
    <w:rsid w:val="008E3B7A"/>
    <w:rsid w:val="008E3BE0"/>
    <w:rsid w:val="008E3EE9"/>
    <w:rsid w:val="008E40E4"/>
    <w:rsid w:val="008E4224"/>
    <w:rsid w:val="008E42A4"/>
    <w:rsid w:val="008E4362"/>
    <w:rsid w:val="008E4458"/>
    <w:rsid w:val="008E44BF"/>
    <w:rsid w:val="008E4550"/>
    <w:rsid w:val="008E4695"/>
    <w:rsid w:val="008E46A7"/>
    <w:rsid w:val="008E4991"/>
    <w:rsid w:val="008E4B43"/>
    <w:rsid w:val="008E4F94"/>
    <w:rsid w:val="008E5106"/>
    <w:rsid w:val="008E51E1"/>
    <w:rsid w:val="008E52FE"/>
    <w:rsid w:val="008E5347"/>
    <w:rsid w:val="008E5554"/>
    <w:rsid w:val="008E558A"/>
    <w:rsid w:val="008E5598"/>
    <w:rsid w:val="008E5694"/>
    <w:rsid w:val="008E5736"/>
    <w:rsid w:val="008E58EA"/>
    <w:rsid w:val="008E5C47"/>
    <w:rsid w:val="008E5EB4"/>
    <w:rsid w:val="008E5EFD"/>
    <w:rsid w:val="008E601D"/>
    <w:rsid w:val="008E6071"/>
    <w:rsid w:val="008E6266"/>
    <w:rsid w:val="008E628E"/>
    <w:rsid w:val="008E64C0"/>
    <w:rsid w:val="008E6709"/>
    <w:rsid w:val="008E6814"/>
    <w:rsid w:val="008E6842"/>
    <w:rsid w:val="008E6C71"/>
    <w:rsid w:val="008E73FE"/>
    <w:rsid w:val="008E7442"/>
    <w:rsid w:val="008E74B0"/>
    <w:rsid w:val="008E74C5"/>
    <w:rsid w:val="008E785D"/>
    <w:rsid w:val="008E786E"/>
    <w:rsid w:val="008E790A"/>
    <w:rsid w:val="008E7C34"/>
    <w:rsid w:val="008E7C7C"/>
    <w:rsid w:val="008E7C80"/>
    <w:rsid w:val="008E7E09"/>
    <w:rsid w:val="008E7F4C"/>
    <w:rsid w:val="008F0014"/>
    <w:rsid w:val="008F0017"/>
    <w:rsid w:val="008F00DA"/>
    <w:rsid w:val="008F01E2"/>
    <w:rsid w:val="008F0406"/>
    <w:rsid w:val="008F086B"/>
    <w:rsid w:val="008F099B"/>
    <w:rsid w:val="008F09A2"/>
    <w:rsid w:val="008F0A4C"/>
    <w:rsid w:val="008F0AC9"/>
    <w:rsid w:val="008F0B49"/>
    <w:rsid w:val="008F0B96"/>
    <w:rsid w:val="008F0C9B"/>
    <w:rsid w:val="008F0E35"/>
    <w:rsid w:val="008F1075"/>
    <w:rsid w:val="008F126C"/>
    <w:rsid w:val="008F152F"/>
    <w:rsid w:val="008F1599"/>
    <w:rsid w:val="008F16B1"/>
    <w:rsid w:val="008F170F"/>
    <w:rsid w:val="008F17BE"/>
    <w:rsid w:val="008F19F7"/>
    <w:rsid w:val="008F1C55"/>
    <w:rsid w:val="008F1C67"/>
    <w:rsid w:val="008F1CFD"/>
    <w:rsid w:val="008F1F6E"/>
    <w:rsid w:val="008F22FE"/>
    <w:rsid w:val="008F245A"/>
    <w:rsid w:val="008F2570"/>
    <w:rsid w:val="008F25E7"/>
    <w:rsid w:val="008F26AE"/>
    <w:rsid w:val="008F26B0"/>
    <w:rsid w:val="008F26DA"/>
    <w:rsid w:val="008F2783"/>
    <w:rsid w:val="008F27E1"/>
    <w:rsid w:val="008F2A5F"/>
    <w:rsid w:val="008F2DF6"/>
    <w:rsid w:val="008F2E9C"/>
    <w:rsid w:val="008F2EC6"/>
    <w:rsid w:val="008F2F9C"/>
    <w:rsid w:val="008F382D"/>
    <w:rsid w:val="008F3963"/>
    <w:rsid w:val="008F398A"/>
    <w:rsid w:val="008F39A0"/>
    <w:rsid w:val="008F3A70"/>
    <w:rsid w:val="008F3AD3"/>
    <w:rsid w:val="008F3BA4"/>
    <w:rsid w:val="008F3C1A"/>
    <w:rsid w:val="008F3C22"/>
    <w:rsid w:val="008F3C9D"/>
    <w:rsid w:val="008F4062"/>
    <w:rsid w:val="008F4165"/>
    <w:rsid w:val="008F4188"/>
    <w:rsid w:val="008F41A4"/>
    <w:rsid w:val="008F436C"/>
    <w:rsid w:val="008F46D3"/>
    <w:rsid w:val="008F484F"/>
    <w:rsid w:val="008F4AD1"/>
    <w:rsid w:val="008F4B5B"/>
    <w:rsid w:val="008F4B6E"/>
    <w:rsid w:val="008F4E0C"/>
    <w:rsid w:val="008F4F89"/>
    <w:rsid w:val="008F4FAA"/>
    <w:rsid w:val="008F509F"/>
    <w:rsid w:val="008F520A"/>
    <w:rsid w:val="008F5231"/>
    <w:rsid w:val="008F537F"/>
    <w:rsid w:val="008F5383"/>
    <w:rsid w:val="008F539B"/>
    <w:rsid w:val="008F547C"/>
    <w:rsid w:val="008F5496"/>
    <w:rsid w:val="008F55E5"/>
    <w:rsid w:val="008F5C53"/>
    <w:rsid w:val="008F5C59"/>
    <w:rsid w:val="008F5CC0"/>
    <w:rsid w:val="008F5CF6"/>
    <w:rsid w:val="008F5E9A"/>
    <w:rsid w:val="008F5EC3"/>
    <w:rsid w:val="008F5F56"/>
    <w:rsid w:val="008F5F83"/>
    <w:rsid w:val="008F6025"/>
    <w:rsid w:val="008F6138"/>
    <w:rsid w:val="008F6166"/>
    <w:rsid w:val="008F6648"/>
    <w:rsid w:val="008F6834"/>
    <w:rsid w:val="008F6F1A"/>
    <w:rsid w:val="008F6F40"/>
    <w:rsid w:val="008F75F5"/>
    <w:rsid w:val="008F761E"/>
    <w:rsid w:val="008F7763"/>
    <w:rsid w:val="008F7C58"/>
    <w:rsid w:val="008F7C8D"/>
    <w:rsid w:val="008F7CC3"/>
    <w:rsid w:val="008F7CF1"/>
    <w:rsid w:val="008F7F70"/>
    <w:rsid w:val="0090002C"/>
    <w:rsid w:val="0090002F"/>
    <w:rsid w:val="0090004A"/>
    <w:rsid w:val="00900101"/>
    <w:rsid w:val="00900295"/>
    <w:rsid w:val="0090035E"/>
    <w:rsid w:val="0090038B"/>
    <w:rsid w:val="009003EC"/>
    <w:rsid w:val="0090089E"/>
    <w:rsid w:val="00900A58"/>
    <w:rsid w:val="00900A90"/>
    <w:rsid w:val="00900BB2"/>
    <w:rsid w:val="00900C31"/>
    <w:rsid w:val="009010D9"/>
    <w:rsid w:val="00901134"/>
    <w:rsid w:val="009011D6"/>
    <w:rsid w:val="00901273"/>
    <w:rsid w:val="00901362"/>
    <w:rsid w:val="009015E1"/>
    <w:rsid w:val="009016B4"/>
    <w:rsid w:val="0090179C"/>
    <w:rsid w:val="0090180E"/>
    <w:rsid w:val="0090183B"/>
    <w:rsid w:val="00901852"/>
    <w:rsid w:val="00901A7F"/>
    <w:rsid w:val="00901E48"/>
    <w:rsid w:val="009020AA"/>
    <w:rsid w:val="00902248"/>
    <w:rsid w:val="00902315"/>
    <w:rsid w:val="009023F2"/>
    <w:rsid w:val="009024A8"/>
    <w:rsid w:val="00902934"/>
    <w:rsid w:val="00902A51"/>
    <w:rsid w:val="00902C3B"/>
    <w:rsid w:val="00902D17"/>
    <w:rsid w:val="00902E89"/>
    <w:rsid w:val="00902EF7"/>
    <w:rsid w:val="00903067"/>
    <w:rsid w:val="00903100"/>
    <w:rsid w:val="00903193"/>
    <w:rsid w:val="00903347"/>
    <w:rsid w:val="00903722"/>
    <w:rsid w:val="0090376F"/>
    <w:rsid w:val="00903785"/>
    <w:rsid w:val="00903836"/>
    <w:rsid w:val="00903897"/>
    <w:rsid w:val="00903950"/>
    <w:rsid w:val="00903D36"/>
    <w:rsid w:val="00904022"/>
    <w:rsid w:val="00904095"/>
    <w:rsid w:val="00904388"/>
    <w:rsid w:val="00904392"/>
    <w:rsid w:val="009043F2"/>
    <w:rsid w:val="009044E8"/>
    <w:rsid w:val="00904618"/>
    <w:rsid w:val="00904704"/>
    <w:rsid w:val="00904851"/>
    <w:rsid w:val="0090485C"/>
    <w:rsid w:val="00904904"/>
    <w:rsid w:val="009049AF"/>
    <w:rsid w:val="00904AA9"/>
    <w:rsid w:val="00904CFB"/>
    <w:rsid w:val="00904ECC"/>
    <w:rsid w:val="009051A8"/>
    <w:rsid w:val="009051C3"/>
    <w:rsid w:val="009051DD"/>
    <w:rsid w:val="00905296"/>
    <w:rsid w:val="0090555E"/>
    <w:rsid w:val="00905E18"/>
    <w:rsid w:val="009060BD"/>
    <w:rsid w:val="0090611C"/>
    <w:rsid w:val="00906218"/>
    <w:rsid w:val="00906685"/>
    <w:rsid w:val="0090685B"/>
    <w:rsid w:val="00906883"/>
    <w:rsid w:val="00906BC2"/>
    <w:rsid w:val="00906CE0"/>
    <w:rsid w:val="00906EEE"/>
    <w:rsid w:val="00906FE9"/>
    <w:rsid w:val="00907160"/>
    <w:rsid w:val="009074A2"/>
    <w:rsid w:val="009074A7"/>
    <w:rsid w:val="0090760F"/>
    <w:rsid w:val="009079D5"/>
    <w:rsid w:val="00907A85"/>
    <w:rsid w:val="00907AB6"/>
    <w:rsid w:val="00907DCA"/>
    <w:rsid w:val="00907F69"/>
    <w:rsid w:val="0091002A"/>
    <w:rsid w:val="0091017E"/>
    <w:rsid w:val="00910483"/>
    <w:rsid w:val="0091084C"/>
    <w:rsid w:val="00910959"/>
    <w:rsid w:val="00910DA2"/>
    <w:rsid w:val="00910F44"/>
    <w:rsid w:val="009110E5"/>
    <w:rsid w:val="0091121F"/>
    <w:rsid w:val="00911328"/>
    <w:rsid w:val="00911461"/>
    <w:rsid w:val="0091155F"/>
    <w:rsid w:val="00911688"/>
    <w:rsid w:val="009116DF"/>
    <w:rsid w:val="00911A79"/>
    <w:rsid w:val="00911F52"/>
    <w:rsid w:val="0091202D"/>
    <w:rsid w:val="009120F8"/>
    <w:rsid w:val="00912116"/>
    <w:rsid w:val="00912429"/>
    <w:rsid w:val="0091258C"/>
    <w:rsid w:val="009126E6"/>
    <w:rsid w:val="00912A54"/>
    <w:rsid w:val="00912D35"/>
    <w:rsid w:val="00912F5F"/>
    <w:rsid w:val="0091324D"/>
    <w:rsid w:val="0091350F"/>
    <w:rsid w:val="009136F5"/>
    <w:rsid w:val="0091370D"/>
    <w:rsid w:val="00913723"/>
    <w:rsid w:val="00913C10"/>
    <w:rsid w:val="00913C4D"/>
    <w:rsid w:val="00913C4E"/>
    <w:rsid w:val="00913D6B"/>
    <w:rsid w:val="0091416C"/>
    <w:rsid w:val="00914337"/>
    <w:rsid w:val="009144B6"/>
    <w:rsid w:val="00914A34"/>
    <w:rsid w:val="00914A67"/>
    <w:rsid w:val="00914AA6"/>
    <w:rsid w:val="00914B07"/>
    <w:rsid w:val="00914D41"/>
    <w:rsid w:val="00914DCC"/>
    <w:rsid w:val="00914F31"/>
    <w:rsid w:val="0091506D"/>
    <w:rsid w:val="00915351"/>
    <w:rsid w:val="009154AC"/>
    <w:rsid w:val="009155E0"/>
    <w:rsid w:val="009156C0"/>
    <w:rsid w:val="00915811"/>
    <w:rsid w:val="00915A01"/>
    <w:rsid w:val="00915F81"/>
    <w:rsid w:val="00916187"/>
    <w:rsid w:val="00916214"/>
    <w:rsid w:val="00916340"/>
    <w:rsid w:val="009165F8"/>
    <w:rsid w:val="00916957"/>
    <w:rsid w:val="00916B4C"/>
    <w:rsid w:val="00916B8C"/>
    <w:rsid w:val="00916CDA"/>
    <w:rsid w:val="00916E6B"/>
    <w:rsid w:val="00916F39"/>
    <w:rsid w:val="00916F46"/>
    <w:rsid w:val="009170B0"/>
    <w:rsid w:val="00917131"/>
    <w:rsid w:val="00917162"/>
    <w:rsid w:val="009171BF"/>
    <w:rsid w:val="00917592"/>
    <w:rsid w:val="009175A4"/>
    <w:rsid w:val="009175F3"/>
    <w:rsid w:val="0091760A"/>
    <w:rsid w:val="009176C9"/>
    <w:rsid w:val="00917864"/>
    <w:rsid w:val="00917A3D"/>
    <w:rsid w:val="00917BE5"/>
    <w:rsid w:val="00917C70"/>
    <w:rsid w:val="00917D0C"/>
    <w:rsid w:val="00917E50"/>
    <w:rsid w:val="009202DB"/>
    <w:rsid w:val="009203F0"/>
    <w:rsid w:val="00920490"/>
    <w:rsid w:val="00920532"/>
    <w:rsid w:val="00920752"/>
    <w:rsid w:val="0092080C"/>
    <w:rsid w:val="00920840"/>
    <w:rsid w:val="0092085B"/>
    <w:rsid w:val="009208AD"/>
    <w:rsid w:val="009209A7"/>
    <w:rsid w:val="00920A81"/>
    <w:rsid w:val="00920C03"/>
    <w:rsid w:val="00920CE8"/>
    <w:rsid w:val="00920DC9"/>
    <w:rsid w:val="00920EA6"/>
    <w:rsid w:val="00920EA7"/>
    <w:rsid w:val="00921031"/>
    <w:rsid w:val="0092109A"/>
    <w:rsid w:val="009213AA"/>
    <w:rsid w:val="009213B7"/>
    <w:rsid w:val="00921441"/>
    <w:rsid w:val="00921515"/>
    <w:rsid w:val="00921542"/>
    <w:rsid w:val="00921568"/>
    <w:rsid w:val="009216DA"/>
    <w:rsid w:val="00921845"/>
    <w:rsid w:val="00921C52"/>
    <w:rsid w:val="00921CEC"/>
    <w:rsid w:val="00921D8A"/>
    <w:rsid w:val="00921DD1"/>
    <w:rsid w:val="00921E8E"/>
    <w:rsid w:val="0092216A"/>
    <w:rsid w:val="0092234E"/>
    <w:rsid w:val="0092237C"/>
    <w:rsid w:val="0092239F"/>
    <w:rsid w:val="009223B9"/>
    <w:rsid w:val="0092281F"/>
    <w:rsid w:val="00922919"/>
    <w:rsid w:val="00922B0A"/>
    <w:rsid w:val="00922B63"/>
    <w:rsid w:val="00922BF0"/>
    <w:rsid w:val="00922C37"/>
    <w:rsid w:val="00922C84"/>
    <w:rsid w:val="00922D4C"/>
    <w:rsid w:val="00922F57"/>
    <w:rsid w:val="00923145"/>
    <w:rsid w:val="00923207"/>
    <w:rsid w:val="0092335F"/>
    <w:rsid w:val="00923402"/>
    <w:rsid w:val="0092354C"/>
    <w:rsid w:val="00923590"/>
    <w:rsid w:val="00923633"/>
    <w:rsid w:val="0092389D"/>
    <w:rsid w:val="00923939"/>
    <w:rsid w:val="00923B4F"/>
    <w:rsid w:val="00923D81"/>
    <w:rsid w:val="009240DD"/>
    <w:rsid w:val="009243B8"/>
    <w:rsid w:val="009243E6"/>
    <w:rsid w:val="0092448F"/>
    <w:rsid w:val="00924547"/>
    <w:rsid w:val="00924712"/>
    <w:rsid w:val="00924840"/>
    <w:rsid w:val="00924B45"/>
    <w:rsid w:val="00924DDE"/>
    <w:rsid w:val="00924DF7"/>
    <w:rsid w:val="00924EA8"/>
    <w:rsid w:val="00924F55"/>
    <w:rsid w:val="00924F65"/>
    <w:rsid w:val="0092502C"/>
    <w:rsid w:val="00925189"/>
    <w:rsid w:val="00925592"/>
    <w:rsid w:val="0092577B"/>
    <w:rsid w:val="009257EC"/>
    <w:rsid w:val="00925935"/>
    <w:rsid w:val="00925A26"/>
    <w:rsid w:val="00925A2A"/>
    <w:rsid w:val="00925D0D"/>
    <w:rsid w:val="00925E4C"/>
    <w:rsid w:val="00925E6E"/>
    <w:rsid w:val="00925EB8"/>
    <w:rsid w:val="00925F93"/>
    <w:rsid w:val="00926082"/>
    <w:rsid w:val="009260E6"/>
    <w:rsid w:val="009262F9"/>
    <w:rsid w:val="00926363"/>
    <w:rsid w:val="00926405"/>
    <w:rsid w:val="00926431"/>
    <w:rsid w:val="00926529"/>
    <w:rsid w:val="00926A31"/>
    <w:rsid w:val="00926AF0"/>
    <w:rsid w:val="00926E11"/>
    <w:rsid w:val="00926F0E"/>
    <w:rsid w:val="0092701A"/>
    <w:rsid w:val="0092710C"/>
    <w:rsid w:val="00927218"/>
    <w:rsid w:val="009274F4"/>
    <w:rsid w:val="00927585"/>
    <w:rsid w:val="009275EF"/>
    <w:rsid w:val="0092763F"/>
    <w:rsid w:val="00927696"/>
    <w:rsid w:val="009276FA"/>
    <w:rsid w:val="00927852"/>
    <w:rsid w:val="00927D3E"/>
    <w:rsid w:val="009301DD"/>
    <w:rsid w:val="009303E5"/>
    <w:rsid w:val="009304E3"/>
    <w:rsid w:val="0093054F"/>
    <w:rsid w:val="00930607"/>
    <w:rsid w:val="00930618"/>
    <w:rsid w:val="009306AD"/>
    <w:rsid w:val="0093070F"/>
    <w:rsid w:val="009309C5"/>
    <w:rsid w:val="00930A0E"/>
    <w:rsid w:val="00930CDA"/>
    <w:rsid w:val="00930D52"/>
    <w:rsid w:val="00930F38"/>
    <w:rsid w:val="00931126"/>
    <w:rsid w:val="009312AD"/>
    <w:rsid w:val="009312D7"/>
    <w:rsid w:val="00931344"/>
    <w:rsid w:val="0093146E"/>
    <w:rsid w:val="009315A8"/>
    <w:rsid w:val="009315B8"/>
    <w:rsid w:val="00931627"/>
    <w:rsid w:val="0093185D"/>
    <w:rsid w:val="00931B7A"/>
    <w:rsid w:val="00931D16"/>
    <w:rsid w:val="0093223E"/>
    <w:rsid w:val="009324A6"/>
    <w:rsid w:val="0093251F"/>
    <w:rsid w:val="00932596"/>
    <w:rsid w:val="009325DA"/>
    <w:rsid w:val="0093266F"/>
    <w:rsid w:val="00932695"/>
    <w:rsid w:val="009328F2"/>
    <w:rsid w:val="00932A1D"/>
    <w:rsid w:val="00932A24"/>
    <w:rsid w:val="00932BA9"/>
    <w:rsid w:val="00932CAF"/>
    <w:rsid w:val="00932EC3"/>
    <w:rsid w:val="0093322B"/>
    <w:rsid w:val="0093338C"/>
    <w:rsid w:val="0093349F"/>
    <w:rsid w:val="009338EF"/>
    <w:rsid w:val="00933971"/>
    <w:rsid w:val="00933A0F"/>
    <w:rsid w:val="00933A65"/>
    <w:rsid w:val="00933CAA"/>
    <w:rsid w:val="00933FC7"/>
    <w:rsid w:val="00934006"/>
    <w:rsid w:val="00934154"/>
    <w:rsid w:val="00934275"/>
    <w:rsid w:val="00934376"/>
    <w:rsid w:val="009343AE"/>
    <w:rsid w:val="0093472E"/>
    <w:rsid w:val="0093473D"/>
    <w:rsid w:val="0093474D"/>
    <w:rsid w:val="00934926"/>
    <w:rsid w:val="00934AF1"/>
    <w:rsid w:val="00934DCE"/>
    <w:rsid w:val="00934F48"/>
    <w:rsid w:val="00934FA8"/>
    <w:rsid w:val="0093522A"/>
    <w:rsid w:val="00935471"/>
    <w:rsid w:val="009355CA"/>
    <w:rsid w:val="009355E0"/>
    <w:rsid w:val="009356D6"/>
    <w:rsid w:val="0093574D"/>
    <w:rsid w:val="00935BEA"/>
    <w:rsid w:val="00935D68"/>
    <w:rsid w:val="00935EFF"/>
    <w:rsid w:val="00936065"/>
    <w:rsid w:val="00936077"/>
    <w:rsid w:val="009361B4"/>
    <w:rsid w:val="009361E6"/>
    <w:rsid w:val="0093637C"/>
    <w:rsid w:val="00936388"/>
    <w:rsid w:val="009365EA"/>
    <w:rsid w:val="0093668B"/>
    <w:rsid w:val="009366C9"/>
    <w:rsid w:val="00936948"/>
    <w:rsid w:val="00936954"/>
    <w:rsid w:val="00936AA0"/>
    <w:rsid w:val="00936D4C"/>
    <w:rsid w:val="00936D90"/>
    <w:rsid w:val="00936E08"/>
    <w:rsid w:val="00936ECE"/>
    <w:rsid w:val="00936F01"/>
    <w:rsid w:val="0093712B"/>
    <w:rsid w:val="0093732F"/>
    <w:rsid w:val="00937544"/>
    <w:rsid w:val="009375D9"/>
    <w:rsid w:val="009377BB"/>
    <w:rsid w:val="00937844"/>
    <w:rsid w:val="00937E8A"/>
    <w:rsid w:val="00937F72"/>
    <w:rsid w:val="00937FC3"/>
    <w:rsid w:val="0094003D"/>
    <w:rsid w:val="00940097"/>
    <w:rsid w:val="00940112"/>
    <w:rsid w:val="009402B0"/>
    <w:rsid w:val="00940317"/>
    <w:rsid w:val="00940615"/>
    <w:rsid w:val="0094073F"/>
    <w:rsid w:val="009409CC"/>
    <w:rsid w:val="00940B5B"/>
    <w:rsid w:val="00940B6F"/>
    <w:rsid w:val="00940D60"/>
    <w:rsid w:val="00940E4B"/>
    <w:rsid w:val="00940F3C"/>
    <w:rsid w:val="009410B8"/>
    <w:rsid w:val="009410E9"/>
    <w:rsid w:val="009411D1"/>
    <w:rsid w:val="009412F3"/>
    <w:rsid w:val="00941686"/>
    <w:rsid w:val="009416BD"/>
    <w:rsid w:val="009416D2"/>
    <w:rsid w:val="00941708"/>
    <w:rsid w:val="00941851"/>
    <w:rsid w:val="009418E6"/>
    <w:rsid w:val="009419C7"/>
    <w:rsid w:val="00941AE5"/>
    <w:rsid w:val="00941B04"/>
    <w:rsid w:val="00941B95"/>
    <w:rsid w:val="00941BBD"/>
    <w:rsid w:val="00941CEA"/>
    <w:rsid w:val="00941D27"/>
    <w:rsid w:val="00941D4C"/>
    <w:rsid w:val="009422C5"/>
    <w:rsid w:val="0094245E"/>
    <w:rsid w:val="0094246A"/>
    <w:rsid w:val="009424FE"/>
    <w:rsid w:val="0094269C"/>
    <w:rsid w:val="009426A1"/>
    <w:rsid w:val="0094272B"/>
    <w:rsid w:val="00942C16"/>
    <w:rsid w:val="00942C65"/>
    <w:rsid w:val="00942C7E"/>
    <w:rsid w:val="00942C83"/>
    <w:rsid w:val="00942F7D"/>
    <w:rsid w:val="00942FF6"/>
    <w:rsid w:val="00943044"/>
    <w:rsid w:val="0094325C"/>
    <w:rsid w:val="00943428"/>
    <w:rsid w:val="00943638"/>
    <w:rsid w:val="00943753"/>
    <w:rsid w:val="009438D3"/>
    <w:rsid w:val="009439BC"/>
    <w:rsid w:val="009439FB"/>
    <w:rsid w:val="00943A6C"/>
    <w:rsid w:val="00943D04"/>
    <w:rsid w:val="00943EAF"/>
    <w:rsid w:val="00943EEE"/>
    <w:rsid w:val="00943F17"/>
    <w:rsid w:val="00944167"/>
    <w:rsid w:val="0094429C"/>
    <w:rsid w:val="0094429F"/>
    <w:rsid w:val="00944334"/>
    <w:rsid w:val="0094451F"/>
    <w:rsid w:val="00944639"/>
    <w:rsid w:val="00944709"/>
    <w:rsid w:val="00944B41"/>
    <w:rsid w:val="00944CD7"/>
    <w:rsid w:val="00944E73"/>
    <w:rsid w:val="00944F0B"/>
    <w:rsid w:val="00944F1D"/>
    <w:rsid w:val="00944F92"/>
    <w:rsid w:val="0094506F"/>
    <w:rsid w:val="00945287"/>
    <w:rsid w:val="0094529E"/>
    <w:rsid w:val="0094534A"/>
    <w:rsid w:val="009453CD"/>
    <w:rsid w:val="009455CC"/>
    <w:rsid w:val="00945606"/>
    <w:rsid w:val="00945B08"/>
    <w:rsid w:val="00945E70"/>
    <w:rsid w:val="009460DF"/>
    <w:rsid w:val="00946156"/>
    <w:rsid w:val="00946269"/>
    <w:rsid w:val="009462FF"/>
    <w:rsid w:val="0094643E"/>
    <w:rsid w:val="0094657E"/>
    <w:rsid w:val="00946615"/>
    <w:rsid w:val="009466B9"/>
    <w:rsid w:val="00946DAE"/>
    <w:rsid w:val="00946E30"/>
    <w:rsid w:val="00946EAA"/>
    <w:rsid w:val="00946EB7"/>
    <w:rsid w:val="00946F85"/>
    <w:rsid w:val="00947412"/>
    <w:rsid w:val="00947465"/>
    <w:rsid w:val="009478A6"/>
    <w:rsid w:val="009478C1"/>
    <w:rsid w:val="009478C9"/>
    <w:rsid w:val="00947A1D"/>
    <w:rsid w:val="00947A43"/>
    <w:rsid w:val="00947AA0"/>
    <w:rsid w:val="00947B50"/>
    <w:rsid w:val="00947F30"/>
    <w:rsid w:val="00947F65"/>
    <w:rsid w:val="009502BA"/>
    <w:rsid w:val="009505D0"/>
    <w:rsid w:val="0095064F"/>
    <w:rsid w:val="00950812"/>
    <w:rsid w:val="00950BB6"/>
    <w:rsid w:val="00950EE4"/>
    <w:rsid w:val="00950F94"/>
    <w:rsid w:val="00950FF0"/>
    <w:rsid w:val="009512EB"/>
    <w:rsid w:val="009513FB"/>
    <w:rsid w:val="00951494"/>
    <w:rsid w:val="0095164F"/>
    <w:rsid w:val="009516C4"/>
    <w:rsid w:val="00951795"/>
    <w:rsid w:val="00951A37"/>
    <w:rsid w:val="00951C19"/>
    <w:rsid w:val="00951C36"/>
    <w:rsid w:val="00951CFB"/>
    <w:rsid w:val="00951D31"/>
    <w:rsid w:val="00951E5F"/>
    <w:rsid w:val="00951EB2"/>
    <w:rsid w:val="00951F2C"/>
    <w:rsid w:val="009520AD"/>
    <w:rsid w:val="0095225A"/>
    <w:rsid w:val="009522D6"/>
    <w:rsid w:val="009522F0"/>
    <w:rsid w:val="0095265F"/>
    <w:rsid w:val="009526A7"/>
    <w:rsid w:val="00952752"/>
    <w:rsid w:val="00952AE6"/>
    <w:rsid w:val="00952FA0"/>
    <w:rsid w:val="00952FEC"/>
    <w:rsid w:val="00953573"/>
    <w:rsid w:val="009538C0"/>
    <w:rsid w:val="0095395E"/>
    <w:rsid w:val="00953AEC"/>
    <w:rsid w:val="00953D70"/>
    <w:rsid w:val="00953D85"/>
    <w:rsid w:val="00953D99"/>
    <w:rsid w:val="00953E19"/>
    <w:rsid w:val="00954107"/>
    <w:rsid w:val="00954168"/>
    <w:rsid w:val="00954313"/>
    <w:rsid w:val="00954566"/>
    <w:rsid w:val="00954641"/>
    <w:rsid w:val="009546B9"/>
    <w:rsid w:val="009547CD"/>
    <w:rsid w:val="0095481A"/>
    <w:rsid w:val="009548D0"/>
    <w:rsid w:val="009549D3"/>
    <w:rsid w:val="00954B51"/>
    <w:rsid w:val="00954DE8"/>
    <w:rsid w:val="00955216"/>
    <w:rsid w:val="009554BD"/>
    <w:rsid w:val="00955548"/>
    <w:rsid w:val="00955687"/>
    <w:rsid w:val="009556E6"/>
    <w:rsid w:val="009559C3"/>
    <w:rsid w:val="00955B50"/>
    <w:rsid w:val="00955D67"/>
    <w:rsid w:val="00955DAD"/>
    <w:rsid w:val="00955E8C"/>
    <w:rsid w:val="00955F93"/>
    <w:rsid w:val="009561DC"/>
    <w:rsid w:val="00956325"/>
    <w:rsid w:val="0095636C"/>
    <w:rsid w:val="0095643A"/>
    <w:rsid w:val="0095645F"/>
    <w:rsid w:val="00956581"/>
    <w:rsid w:val="00956647"/>
    <w:rsid w:val="009569EC"/>
    <w:rsid w:val="00956C70"/>
    <w:rsid w:val="00956E91"/>
    <w:rsid w:val="009570DF"/>
    <w:rsid w:val="009570FD"/>
    <w:rsid w:val="009572B3"/>
    <w:rsid w:val="009578AF"/>
    <w:rsid w:val="009578B5"/>
    <w:rsid w:val="00957934"/>
    <w:rsid w:val="00957A7E"/>
    <w:rsid w:val="00957D26"/>
    <w:rsid w:val="00957E85"/>
    <w:rsid w:val="00957E98"/>
    <w:rsid w:val="00957FBA"/>
    <w:rsid w:val="00960069"/>
    <w:rsid w:val="00960080"/>
    <w:rsid w:val="00960182"/>
    <w:rsid w:val="009604D6"/>
    <w:rsid w:val="009606A1"/>
    <w:rsid w:val="009607A3"/>
    <w:rsid w:val="00960815"/>
    <w:rsid w:val="0096091C"/>
    <w:rsid w:val="00960D55"/>
    <w:rsid w:val="00960DE7"/>
    <w:rsid w:val="00960E23"/>
    <w:rsid w:val="00960ECA"/>
    <w:rsid w:val="00960FB0"/>
    <w:rsid w:val="0096128F"/>
    <w:rsid w:val="0096178C"/>
    <w:rsid w:val="009619E5"/>
    <w:rsid w:val="00961B35"/>
    <w:rsid w:val="00961C5E"/>
    <w:rsid w:val="00961CC1"/>
    <w:rsid w:val="00961CCC"/>
    <w:rsid w:val="00961E01"/>
    <w:rsid w:val="00961EE9"/>
    <w:rsid w:val="00961EF9"/>
    <w:rsid w:val="00962264"/>
    <w:rsid w:val="009622CF"/>
    <w:rsid w:val="009629EB"/>
    <w:rsid w:val="00962A18"/>
    <w:rsid w:val="00962B9B"/>
    <w:rsid w:val="00962CC2"/>
    <w:rsid w:val="00962CF4"/>
    <w:rsid w:val="009631F8"/>
    <w:rsid w:val="00963731"/>
    <w:rsid w:val="0096391F"/>
    <w:rsid w:val="00963A2A"/>
    <w:rsid w:val="00963B5E"/>
    <w:rsid w:val="00963BAB"/>
    <w:rsid w:val="00963E93"/>
    <w:rsid w:val="009640BD"/>
    <w:rsid w:val="009641CC"/>
    <w:rsid w:val="009641FF"/>
    <w:rsid w:val="0096431D"/>
    <w:rsid w:val="00964AA2"/>
    <w:rsid w:val="00964AA9"/>
    <w:rsid w:val="00964BBA"/>
    <w:rsid w:val="00964BED"/>
    <w:rsid w:val="00964CB2"/>
    <w:rsid w:val="00964CFD"/>
    <w:rsid w:val="00964D66"/>
    <w:rsid w:val="0096509D"/>
    <w:rsid w:val="009650F3"/>
    <w:rsid w:val="009651B6"/>
    <w:rsid w:val="009651F2"/>
    <w:rsid w:val="009652D8"/>
    <w:rsid w:val="009652E2"/>
    <w:rsid w:val="00965362"/>
    <w:rsid w:val="00965378"/>
    <w:rsid w:val="009653E6"/>
    <w:rsid w:val="00965455"/>
    <w:rsid w:val="0096546B"/>
    <w:rsid w:val="00965670"/>
    <w:rsid w:val="009656C7"/>
    <w:rsid w:val="0096570E"/>
    <w:rsid w:val="00965710"/>
    <w:rsid w:val="00965731"/>
    <w:rsid w:val="0096576B"/>
    <w:rsid w:val="00965A17"/>
    <w:rsid w:val="00965AE7"/>
    <w:rsid w:val="00965BFF"/>
    <w:rsid w:val="0096604F"/>
    <w:rsid w:val="009660F9"/>
    <w:rsid w:val="009661B3"/>
    <w:rsid w:val="00966401"/>
    <w:rsid w:val="0096656E"/>
    <w:rsid w:val="009665CD"/>
    <w:rsid w:val="00966634"/>
    <w:rsid w:val="0096672D"/>
    <w:rsid w:val="00966B0B"/>
    <w:rsid w:val="00966C9A"/>
    <w:rsid w:val="00966E79"/>
    <w:rsid w:val="00966ECF"/>
    <w:rsid w:val="00966F86"/>
    <w:rsid w:val="0096720C"/>
    <w:rsid w:val="0096721C"/>
    <w:rsid w:val="0096740B"/>
    <w:rsid w:val="009674D5"/>
    <w:rsid w:val="0096751A"/>
    <w:rsid w:val="00967831"/>
    <w:rsid w:val="0096797B"/>
    <w:rsid w:val="00967AD9"/>
    <w:rsid w:val="00967B78"/>
    <w:rsid w:val="00967C9B"/>
    <w:rsid w:val="00967CD1"/>
    <w:rsid w:val="00967E2F"/>
    <w:rsid w:val="00970391"/>
    <w:rsid w:val="009704E0"/>
    <w:rsid w:val="00970543"/>
    <w:rsid w:val="00970A1C"/>
    <w:rsid w:val="00970B6E"/>
    <w:rsid w:val="00970B86"/>
    <w:rsid w:val="00970C84"/>
    <w:rsid w:val="00970D7B"/>
    <w:rsid w:val="00971165"/>
    <w:rsid w:val="009711D7"/>
    <w:rsid w:val="0097135C"/>
    <w:rsid w:val="00971414"/>
    <w:rsid w:val="009714B8"/>
    <w:rsid w:val="00971867"/>
    <w:rsid w:val="009719E8"/>
    <w:rsid w:val="00971C50"/>
    <w:rsid w:val="00971C9A"/>
    <w:rsid w:val="00971EA2"/>
    <w:rsid w:val="00971F10"/>
    <w:rsid w:val="00971FC0"/>
    <w:rsid w:val="0097206D"/>
    <w:rsid w:val="009722EC"/>
    <w:rsid w:val="00972421"/>
    <w:rsid w:val="00972425"/>
    <w:rsid w:val="009725CD"/>
    <w:rsid w:val="009726B8"/>
    <w:rsid w:val="0097272E"/>
    <w:rsid w:val="009727C6"/>
    <w:rsid w:val="00972855"/>
    <w:rsid w:val="009729E4"/>
    <w:rsid w:val="00972E86"/>
    <w:rsid w:val="00972F57"/>
    <w:rsid w:val="00972F6C"/>
    <w:rsid w:val="00972FDF"/>
    <w:rsid w:val="00973000"/>
    <w:rsid w:val="00973029"/>
    <w:rsid w:val="00973068"/>
    <w:rsid w:val="00973163"/>
    <w:rsid w:val="0097318B"/>
    <w:rsid w:val="0097319B"/>
    <w:rsid w:val="00973500"/>
    <w:rsid w:val="009736DD"/>
    <w:rsid w:val="00973708"/>
    <w:rsid w:val="00973811"/>
    <w:rsid w:val="00973846"/>
    <w:rsid w:val="00973898"/>
    <w:rsid w:val="00973BC8"/>
    <w:rsid w:val="00973C5E"/>
    <w:rsid w:val="00973C6D"/>
    <w:rsid w:val="00973E15"/>
    <w:rsid w:val="00973ED6"/>
    <w:rsid w:val="00973FC4"/>
    <w:rsid w:val="00974149"/>
    <w:rsid w:val="00974184"/>
    <w:rsid w:val="0097418C"/>
    <w:rsid w:val="0097447A"/>
    <w:rsid w:val="0097448F"/>
    <w:rsid w:val="0097451F"/>
    <w:rsid w:val="0097496D"/>
    <w:rsid w:val="00974A78"/>
    <w:rsid w:val="00974AE8"/>
    <w:rsid w:val="00974B5D"/>
    <w:rsid w:val="00974B65"/>
    <w:rsid w:val="00974CB8"/>
    <w:rsid w:val="00974D68"/>
    <w:rsid w:val="00974E63"/>
    <w:rsid w:val="00974FC8"/>
    <w:rsid w:val="009750A0"/>
    <w:rsid w:val="009751A7"/>
    <w:rsid w:val="00975236"/>
    <w:rsid w:val="00975467"/>
    <w:rsid w:val="009754E8"/>
    <w:rsid w:val="009755A6"/>
    <w:rsid w:val="00975720"/>
    <w:rsid w:val="0097579C"/>
    <w:rsid w:val="009757D6"/>
    <w:rsid w:val="00975B43"/>
    <w:rsid w:val="00975B60"/>
    <w:rsid w:val="00975B7D"/>
    <w:rsid w:val="00975D68"/>
    <w:rsid w:val="00976628"/>
    <w:rsid w:val="009766D7"/>
    <w:rsid w:val="009766F9"/>
    <w:rsid w:val="00976838"/>
    <w:rsid w:val="00976883"/>
    <w:rsid w:val="00976AA1"/>
    <w:rsid w:val="00976AC1"/>
    <w:rsid w:val="00976BD5"/>
    <w:rsid w:val="00976E37"/>
    <w:rsid w:val="00976EA9"/>
    <w:rsid w:val="00977176"/>
    <w:rsid w:val="009771F9"/>
    <w:rsid w:val="00977242"/>
    <w:rsid w:val="00977267"/>
    <w:rsid w:val="00977282"/>
    <w:rsid w:val="00977364"/>
    <w:rsid w:val="00977392"/>
    <w:rsid w:val="00977447"/>
    <w:rsid w:val="00977505"/>
    <w:rsid w:val="00977518"/>
    <w:rsid w:val="00977594"/>
    <w:rsid w:val="00977940"/>
    <w:rsid w:val="0097798D"/>
    <w:rsid w:val="00977B25"/>
    <w:rsid w:val="00977BF4"/>
    <w:rsid w:val="00977FBF"/>
    <w:rsid w:val="00977FE6"/>
    <w:rsid w:val="00980189"/>
    <w:rsid w:val="0098027B"/>
    <w:rsid w:val="009802A1"/>
    <w:rsid w:val="0098045F"/>
    <w:rsid w:val="00980562"/>
    <w:rsid w:val="0098058D"/>
    <w:rsid w:val="0098066C"/>
    <w:rsid w:val="009807B3"/>
    <w:rsid w:val="0098081D"/>
    <w:rsid w:val="00980919"/>
    <w:rsid w:val="00980AAA"/>
    <w:rsid w:val="00980B45"/>
    <w:rsid w:val="00980D40"/>
    <w:rsid w:val="00980D93"/>
    <w:rsid w:val="0098105C"/>
    <w:rsid w:val="009810AD"/>
    <w:rsid w:val="00981113"/>
    <w:rsid w:val="00981154"/>
    <w:rsid w:val="00981247"/>
    <w:rsid w:val="009812C4"/>
    <w:rsid w:val="009813FE"/>
    <w:rsid w:val="0098170A"/>
    <w:rsid w:val="009818E5"/>
    <w:rsid w:val="00981B19"/>
    <w:rsid w:val="00981B9C"/>
    <w:rsid w:val="00981CFE"/>
    <w:rsid w:val="00981EF0"/>
    <w:rsid w:val="00982034"/>
    <w:rsid w:val="00982050"/>
    <w:rsid w:val="00982470"/>
    <w:rsid w:val="00982555"/>
    <w:rsid w:val="00982573"/>
    <w:rsid w:val="00982609"/>
    <w:rsid w:val="009826AA"/>
    <w:rsid w:val="009827D3"/>
    <w:rsid w:val="009829F4"/>
    <w:rsid w:val="00982BE8"/>
    <w:rsid w:val="00982C1C"/>
    <w:rsid w:val="00982C4E"/>
    <w:rsid w:val="0098300D"/>
    <w:rsid w:val="009831D3"/>
    <w:rsid w:val="00983242"/>
    <w:rsid w:val="00983374"/>
    <w:rsid w:val="009833F6"/>
    <w:rsid w:val="0098371F"/>
    <w:rsid w:val="00983745"/>
    <w:rsid w:val="009837E2"/>
    <w:rsid w:val="009838A0"/>
    <w:rsid w:val="00983E4C"/>
    <w:rsid w:val="009841F6"/>
    <w:rsid w:val="009844AD"/>
    <w:rsid w:val="009844DE"/>
    <w:rsid w:val="009844FD"/>
    <w:rsid w:val="009845EA"/>
    <w:rsid w:val="00984675"/>
    <w:rsid w:val="00984729"/>
    <w:rsid w:val="00984846"/>
    <w:rsid w:val="009848CB"/>
    <w:rsid w:val="00984AB2"/>
    <w:rsid w:val="00984C29"/>
    <w:rsid w:val="00984C9E"/>
    <w:rsid w:val="00984E72"/>
    <w:rsid w:val="00984F51"/>
    <w:rsid w:val="00984FB8"/>
    <w:rsid w:val="00985356"/>
    <w:rsid w:val="009854D1"/>
    <w:rsid w:val="0098561A"/>
    <w:rsid w:val="0098569A"/>
    <w:rsid w:val="00985928"/>
    <w:rsid w:val="00985E56"/>
    <w:rsid w:val="009860A9"/>
    <w:rsid w:val="00986342"/>
    <w:rsid w:val="00986424"/>
    <w:rsid w:val="00986473"/>
    <w:rsid w:val="00986567"/>
    <w:rsid w:val="009867F8"/>
    <w:rsid w:val="00986857"/>
    <w:rsid w:val="0098695A"/>
    <w:rsid w:val="00986A7B"/>
    <w:rsid w:val="00986D61"/>
    <w:rsid w:val="0098729A"/>
    <w:rsid w:val="009875EE"/>
    <w:rsid w:val="00987645"/>
    <w:rsid w:val="0098766F"/>
    <w:rsid w:val="00987789"/>
    <w:rsid w:val="00987851"/>
    <w:rsid w:val="00987988"/>
    <w:rsid w:val="009879DB"/>
    <w:rsid w:val="00987A20"/>
    <w:rsid w:val="00987B23"/>
    <w:rsid w:val="00987EA4"/>
    <w:rsid w:val="009902C4"/>
    <w:rsid w:val="0099033C"/>
    <w:rsid w:val="00990393"/>
    <w:rsid w:val="00990782"/>
    <w:rsid w:val="0099086C"/>
    <w:rsid w:val="009908F5"/>
    <w:rsid w:val="00990B42"/>
    <w:rsid w:val="00990B55"/>
    <w:rsid w:val="00990BAD"/>
    <w:rsid w:val="00990C36"/>
    <w:rsid w:val="00990FDF"/>
    <w:rsid w:val="00991041"/>
    <w:rsid w:val="00991048"/>
    <w:rsid w:val="009910E3"/>
    <w:rsid w:val="00991120"/>
    <w:rsid w:val="009911BF"/>
    <w:rsid w:val="009911E5"/>
    <w:rsid w:val="009913CF"/>
    <w:rsid w:val="00991409"/>
    <w:rsid w:val="0099179C"/>
    <w:rsid w:val="009918B3"/>
    <w:rsid w:val="00991923"/>
    <w:rsid w:val="00991A76"/>
    <w:rsid w:val="00991B08"/>
    <w:rsid w:val="00991CD2"/>
    <w:rsid w:val="00991E11"/>
    <w:rsid w:val="0099218A"/>
    <w:rsid w:val="0099242F"/>
    <w:rsid w:val="00992580"/>
    <w:rsid w:val="00992684"/>
    <w:rsid w:val="00992715"/>
    <w:rsid w:val="00992790"/>
    <w:rsid w:val="009928E1"/>
    <w:rsid w:val="009929E6"/>
    <w:rsid w:val="009929E9"/>
    <w:rsid w:val="00992E60"/>
    <w:rsid w:val="009933E1"/>
    <w:rsid w:val="009933F8"/>
    <w:rsid w:val="0099387C"/>
    <w:rsid w:val="009938F5"/>
    <w:rsid w:val="00993A15"/>
    <w:rsid w:val="00993B4E"/>
    <w:rsid w:val="00993B93"/>
    <w:rsid w:val="00993E8B"/>
    <w:rsid w:val="00993F94"/>
    <w:rsid w:val="00994042"/>
    <w:rsid w:val="009942DB"/>
    <w:rsid w:val="0099451B"/>
    <w:rsid w:val="00994845"/>
    <w:rsid w:val="00994BE6"/>
    <w:rsid w:val="00994C15"/>
    <w:rsid w:val="00994E91"/>
    <w:rsid w:val="00994FA0"/>
    <w:rsid w:val="00994FDB"/>
    <w:rsid w:val="00995084"/>
    <w:rsid w:val="00995262"/>
    <w:rsid w:val="00995280"/>
    <w:rsid w:val="009956A1"/>
    <w:rsid w:val="00995934"/>
    <w:rsid w:val="0099593A"/>
    <w:rsid w:val="00995BAA"/>
    <w:rsid w:val="00995BFF"/>
    <w:rsid w:val="00995C09"/>
    <w:rsid w:val="00995C15"/>
    <w:rsid w:val="00995C78"/>
    <w:rsid w:val="00995DDE"/>
    <w:rsid w:val="00995E4D"/>
    <w:rsid w:val="009960FB"/>
    <w:rsid w:val="00996344"/>
    <w:rsid w:val="009963D1"/>
    <w:rsid w:val="0099649F"/>
    <w:rsid w:val="00996541"/>
    <w:rsid w:val="00996570"/>
    <w:rsid w:val="00996721"/>
    <w:rsid w:val="009967AE"/>
    <w:rsid w:val="009967F4"/>
    <w:rsid w:val="009967FF"/>
    <w:rsid w:val="0099691D"/>
    <w:rsid w:val="00996BA5"/>
    <w:rsid w:val="00996BD7"/>
    <w:rsid w:val="00996C6B"/>
    <w:rsid w:val="00996DC4"/>
    <w:rsid w:val="00996E7E"/>
    <w:rsid w:val="00997039"/>
    <w:rsid w:val="00997101"/>
    <w:rsid w:val="009971CE"/>
    <w:rsid w:val="009971F2"/>
    <w:rsid w:val="00997337"/>
    <w:rsid w:val="009973E9"/>
    <w:rsid w:val="0099761C"/>
    <w:rsid w:val="00997624"/>
    <w:rsid w:val="00997AA9"/>
    <w:rsid w:val="00997CC3"/>
    <w:rsid w:val="00997CCF"/>
    <w:rsid w:val="00997D4D"/>
    <w:rsid w:val="00997FC8"/>
    <w:rsid w:val="009A02B5"/>
    <w:rsid w:val="009A06E5"/>
    <w:rsid w:val="009A0775"/>
    <w:rsid w:val="009A07AC"/>
    <w:rsid w:val="009A07D4"/>
    <w:rsid w:val="009A0836"/>
    <w:rsid w:val="009A0EAD"/>
    <w:rsid w:val="009A0F55"/>
    <w:rsid w:val="009A0F9F"/>
    <w:rsid w:val="009A1039"/>
    <w:rsid w:val="009A1124"/>
    <w:rsid w:val="009A1235"/>
    <w:rsid w:val="009A155D"/>
    <w:rsid w:val="009A156E"/>
    <w:rsid w:val="009A1629"/>
    <w:rsid w:val="009A1787"/>
    <w:rsid w:val="009A19B9"/>
    <w:rsid w:val="009A1B1D"/>
    <w:rsid w:val="009A1CC7"/>
    <w:rsid w:val="009A2113"/>
    <w:rsid w:val="009A2298"/>
    <w:rsid w:val="009A230D"/>
    <w:rsid w:val="009A28D7"/>
    <w:rsid w:val="009A2AFF"/>
    <w:rsid w:val="009A2B84"/>
    <w:rsid w:val="009A2CE9"/>
    <w:rsid w:val="009A2D85"/>
    <w:rsid w:val="009A2F53"/>
    <w:rsid w:val="009A308D"/>
    <w:rsid w:val="009A312F"/>
    <w:rsid w:val="009A32BF"/>
    <w:rsid w:val="009A3315"/>
    <w:rsid w:val="009A35B9"/>
    <w:rsid w:val="009A373A"/>
    <w:rsid w:val="009A38B8"/>
    <w:rsid w:val="009A39A6"/>
    <w:rsid w:val="009A3ADA"/>
    <w:rsid w:val="009A3E95"/>
    <w:rsid w:val="009A3FC3"/>
    <w:rsid w:val="009A4157"/>
    <w:rsid w:val="009A4161"/>
    <w:rsid w:val="009A437E"/>
    <w:rsid w:val="009A4410"/>
    <w:rsid w:val="009A474B"/>
    <w:rsid w:val="009A474F"/>
    <w:rsid w:val="009A4789"/>
    <w:rsid w:val="009A47C8"/>
    <w:rsid w:val="009A48EB"/>
    <w:rsid w:val="009A4970"/>
    <w:rsid w:val="009A49D9"/>
    <w:rsid w:val="009A49DC"/>
    <w:rsid w:val="009A4C32"/>
    <w:rsid w:val="009A4D50"/>
    <w:rsid w:val="009A4F92"/>
    <w:rsid w:val="009A5012"/>
    <w:rsid w:val="009A5016"/>
    <w:rsid w:val="009A50D1"/>
    <w:rsid w:val="009A5506"/>
    <w:rsid w:val="009A5548"/>
    <w:rsid w:val="009A5579"/>
    <w:rsid w:val="009A563C"/>
    <w:rsid w:val="009A5737"/>
    <w:rsid w:val="009A59A6"/>
    <w:rsid w:val="009A5BA9"/>
    <w:rsid w:val="009A5C33"/>
    <w:rsid w:val="009A5C4C"/>
    <w:rsid w:val="009A5E18"/>
    <w:rsid w:val="009A6029"/>
    <w:rsid w:val="009A6126"/>
    <w:rsid w:val="009A64A4"/>
    <w:rsid w:val="009A653A"/>
    <w:rsid w:val="009A6B2D"/>
    <w:rsid w:val="009A6C01"/>
    <w:rsid w:val="009A6DA1"/>
    <w:rsid w:val="009A6F23"/>
    <w:rsid w:val="009A71B3"/>
    <w:rsid w:val="009A7259"/>
    <w:rsid w:val="009A7417"/>
    <w:rsid w:val="009A757D"/>
    <w:rsid w:val="009A75EC"/>
    <w:rsid w:val="009A76BD"/>
    <w:rsid w:val="009A778C"/>
    <w:rsid w:val="009A7896"/>
    <w:rsid w:val="009A7A20"/>
    <w:rsid w:val="009A7B46"/>
    <w:rsid w:val="009A7EA6"/>
    <w:rsid w:val="009B01C3"/>
    <w:rsid w:val="009B0257"/>
    <w:rsid w:val="009B0299"/>
    <w:rsid w:val="009B02CF"/>
    <w:rsid w:val="009B0345"/>
    <w:rsid w:val="009B050C"/>
    <w:rsid w:val="009B055A"/>
    <w:rsid w:val="009B0595"/>
    <w:rsid w:val="009B07EF"/>
    <w:rsid w:val="009B0800"/>
    <w:rsid w:val="009B081D"/>
    <w:rsid w:val="009B08AA"/>
    <w:rsid w:val="009B098B"/>
    <w:rsid w:val="009B09EF"/>
    <w:rsid w:val="009B0A8E"/>
    <w:rsid w:val="009B0BBC"/>
    <w:rsid w:val="009B0BF0"/>
    <w:rsid w:val="009B0D25"/>
    <w:rsid w:val="009B0D85"/>
    <w:rsid w:val="009B0E7C"/>
    <w:rsid w:val="009B0FEB"/>
    <w:rsid w:val="009B10D2"/>
    <w:rsid w:val="009B11C0"/>
    <w:rsid w:val="009B12BF"/>
    <w:rsid w:val="009B15AD"/>
    <w:rsid w:val="009B15C8"/>
    <w:rsid w:val="009B16B1"/>
    <w:rsid w:val="009B18A9"/>
    <w:rsid w:val="009B19A9"/>
    <w:rsid w:val="009B1B82"/>
    <w:rsid w:val="009B1CC0"/>
    <w:rsid w:val="009B1CC6"/>
    <w:rsid w:val="009B1E68"/>
    <w:rsid w:val="009B21F0"/>
    <w:rsid w:val="009B2387"/>
    <w:rsid w:val="009B23DD"/>
    <w:rsid w:val="009B2599"/>
    <w:rsid w:val="009B2632"/>
    <w:rsid w:val="009B2765"/>
    <w:rsid w:val="009B279A"/>
    <w:rsid w:val="009B281C"/>
    <w:rsid w:val="009B2A4B"/>
    <w:rsid w:val="009B2A58"/>
    <w:rsid w:val="009B2CA4"/>
    <w:rsid w:val="009B2DA5"/>
    <w:rsid w:val="009B2E54"/>
    <w:rsid w:val="009B3037"/>
    <w:rsid w:val="009B33AC"/>
    <w:rsid w:val="009B346E"/>
    <w:rsid w:val="009B348A"/>
    <w:rsid w:val="009B35F2"/>
    <w:rsid w:val="009B37D9"/>
    <w:rsid w:val="009B38E1"/>
    <w:rsid w:val="009B3B02"/>
    <w:rsid w:val="009B3B80"/>
    <w:rsid w:val="009B3E8A"/>
    <w:rsid w:val="009B40C0"/>
    <w:rsid w:val="009B4197"/>
    <w:rsid w:val="009B4548"/>
    <w:rsid w:val="009B4598"/>
    <w:rsid w:val="009B45D0"/>
    <w:rsid w:val="009B47F9"/>
    <w:rsid w:val="009B48E5"/>
    <w:rsid w:val="009B48FE"/>
    <w:rsid w:val="009B4ABC"/>
    <w:rsid w:val="009B4B12"/>
    <w:rsid w:val="009B4D84"/>
    <w:rsid w:val="009B4F03"/>
    <w:rsid w:val="009B4F85"/>
    <w:rsid w:val="009B4FC3"/>
    <w:rsid w:val="009B523C"/>
    <w:rsid w:val="009B52B5"/>
    <w:rsid w:val="009B540E"/>
    <w:rsid w:val="009B59ED"/>
    <w:rsid w:val="009B5C38"/>
    <w:rsid w:val="009B5E0D"/>
    <w:rsid w:val="009B60BD"/>
    <w:rsid w:val="009B6139"/>
    <w:rsid w:val="009B62F0"/>
    <w:rsid w:val="009B66EF"/>
    <w:rsid w:val="009B68E2"/>
    <w:rsid w:val="009B6AA6"/>
    <w:rsid w:val="009B6CCD"/>
    <w:rsid w:val="009B6D07"/>
    <w:rsid w:val="009B6D45"/>
    <w:rsid w:val="009B6E5B"/>
    <w:rsid w:val="009B6EAC"/>
    <w:rsid w:val="009B6EFE"/>
    <w:rsid w:val="009B7213"/>
    <w:rsid w:val="009B7408"/>
    <w:rsid w:val="009B74A8"/>
    <w:rsid w:val="009B7965"/>
    <w:rsid w:val="009B7A1D"/>
    <w:rsid w:val="009B7B95"/>
    <w:rsid w:val="009B7C98"/>
    <w:rsid w:val="009C01D5"/>
    <w:rsid w:val="009C02E4"/>
    <w:rsid w:val="009C032E"/>
    <w:rsid w:val="009C0AD3"/>
    <w:rsid w:val="009C0BD3"/>
    <w:rsid w:val="009C0DFB"/>
    <w:rsid w:val="009C0F6C"/>
    <w:rsid w:val="009C1194"/>
    <w:rsid w:val="009C122D"/>
    <w:rsid w:val="009C12F2"/>
    <w:rsid w:val="009C13AD"/>
    <w:rsid w:val="009C142B"/>
    <w:rsid w:val="009C1479"/>
    <w:rsid w:val="009C14FA"/>
    <w:rsid w:val="009C17DF"/>
    <w:rsid w:val="009C1821"/>
    <w:rsid w:val="009C1B9D"/>
    <w:rsid w:val="009C205A"/>
    <w:rsid w:val="009C2171"/>
    <w:rsid w:val="009C24A0"/>
    <w:rsid w:val="009C2509"/>
    <w:rsid w:val="009C2581"/>
    <w:rsid w:val="009C2588"/>
    <w:rsid w:val="009C274B"/>
    <w:rsid w:val="009C2768"/>
    <w:rsid w:val="009C2824"/>
    <w:rsid w:val="009C295B"/>
    <w:rsid w:val="009C2C5F"/>
    <w:rsid w:val="009C2DE6"/>
    <w:rsid w:val="009C2E08"/>
    <w:rsid w:val="009C2EAC"/>
    <w:rsid w:val="009C2EBD"/>
    <w:rsid w:val="009C30FB"/>
    <w:rsid w:val="009C3137"/>
    <w:rsid w:val="009C31E4"/>
    <w:rsid w:val="009C3312"/>
    <w:rsid w:val="009C340C"/>
    <w:rsid w:val="009C3524"/>
    <w:rsid w:val="009C3567"/>
    <w:rsid w:val="009C3640"/>
    <w:rsid w:val="009C3981"/>
    <w:rsid w:val="009C39A5"/>
    <w:rsid w:val="009C3A98"/>
    <w:rsid w:val="009C3CEE"/>
    <w:rsid w:val="009C433F"/>
    <w:rsid w:val="009C4370"/>
    <w:rsid w:val="009C43DA"/>
    <w:rsid w:val="009C46BA"/>
    <w:rsid w:val="009C49E1"/>
    <w:rsid w:val="009C4A09"/>
    <w:rsid w:val="009C4A54"/>
    <w:rsid w:val="009C4A72"/>
    <w:rsid w:val="009C4C17"/>
    <w:rsid w:val="009C4C73"/>
    <w:rsid w:val="009C5095"/>
    <w:rsid w:val="009C50E1"/>
    <w:rsid w:val="009C524E"/>
    <w:rsid w:val="009C5256"/>
    <w:rsid w:val="009C52DC"/>
    <w:rsid w:val="009C5318"/>
    <w:rsid w:val="009C5480"/>
    <w:rsid w:val="009C554D"/>
    <w:rsid w:val="009C56B1"/>
    <w:rsid w:val="009C5D22"/>
    <w:rsid w:val="009C5F01"/>
    <w:rsid w:val="009C5FA5"/>
    <w:rsid w:val="009C615C"/>
    <w:rsid w:val="009C6196"/>
    <w:rsid w:val="009C6238"/>
    <w:rsid w:val="009C6240"/>
    <w:rsid w:val="009C62F5"/>
    <w:rsid w:val="009C6370"/>
    <w:rsid w:val="009C67F4"/>
    <w:rsid w:val="009C6B67"/>
    <w:rsid w:val="009C6CB4"/>
    <w:rsid w:val="009C6DC6"/>
    <w:rsid w:val="009C6EFF"/>
    <w:rsid w:val="009C6F54"/>
    <w:rsid w:val="009C73EB"/>
    <w:rsid w:val="009C761E"/>
    <w:rsid w:val="009C763F"/>
    <w:rsid w:val="009C775B"/>
    <w:rsid w:val="009C7775"/>
    <w:rsid w:val="009C7BB7"/>
    <w:rsid w:val="009C7C01"/>
    <w:rsid w:val="009C7EF1"/>
    <w:rsid w:val="009D045A"/>
    <w:rsid w:val="009D0467"/>
    <w:rsid w:val="009D050D"/>
    <w:rsid w:val="009D0545"/>
    <w:rsid w:val="009D07BD"/>
    <w:rsid w:val="009D08A2"/>
    <w:rsid w:val="009D0914"/>
    <w:rsid w:val="009D0A02"/>
    <w:rsid w:val="009D0AA1"/>
    <w:rsid w:val="009D0BD9"/>
    <w:rsid w:val="009D0C11"/>
    <w:rsid w:val="009D0CFF"/>
    <w:rsid w:val="009D0D33"/>
    <w:rsid w:val="009D0F8F"/>
    <w:rsid w:val="009D136B"/>
    <w:rsid w:val="009D1703"/>
    <w:rsid w:val="009D194C"/>
    <w:rsid w:val="009D1DE7"/>
    <w:rsid w:val="009D21AF"/>
    <w:rsid w:val="009D22D1"/>
    <w:rsid w:val="009D2494"/>
    <w:rsid w:val="009D2612"/>
    <w:rsid w:val="009D2AC9"/>
    <w:rsid w:val="009D2B39"/>
    <w:rsid w:val="009D2BD0"/>
    <w:rsid w:val="009D2C85"/>
    <w:rsid w:val="009D2D5B"/>
    <w:rsid w:val="009D2DD5"/>
    <w:rsid w:val="009D2ED8"/>
    <w:rsid w:val="009D3035"/>
    <w:rsid w:val="009D321B"/>
    <w:rsid w:val="009D32B7"/>
    <w:rsid w:val="009D3374"/>
    <w:rsid w:val="009D340F"/>
    <w:rsid w:val="009D36D2"/>
    <w:rsid w:val="009D382F"/>
    <w:rsid w:val="009D38B0"/>
    <w:rsid w:val="009D38BA"/>
    <w:rsid w:val="009D3923"/>
    <w:rsid w:val="009D3CEA"/>
    <w:rsid w:val="009D3DD2"/>
    <w:rsid w:val="009D3E1B"/>
    <w:rsid w:val="009D46AE"/>
    <w:rsid w:val="009D47B8"/>
    <w:rsid w:val="009D48D8"/>
    <w:rsid w:val="009D490F"/>
    <w:rsid w:val="009D494A"/>
    <w:rsid w:val="009D4AF1"/>
    <w:rsid w:val="009D4AFB"/>
    <w:rsid w:val="009D4C84"/>
    <w:rsid w:val="009D4DB0"/>
    <w:rsid w:val="009D50A8"/>
    <w:rsid w:val="009D50D4"/>
    <w:rsid w:val="009D535A"/>
    <w:rsid w:val="009D53AF"/>
    <w:rsid w:val="009D53B1"/>
    <w:rsid w:val="009D5539"/>
    <w:rsid w:val="009D571A"/>
    <w:rsid w:val="009D586D"/>
    <w:rsid w:val="009D5931"/>
    <w:rsid w:val="009D5AF8"/>
    <w:rsid w:val="009D5E1C"/>
    <w:rsid w:val="009D60BD"/>
    <w:rsid w:val="009D63AF"/>
    <w:rsid w:val="009D6498"/>
    <w:rsid w:val="009D65B8"/>
    <w:rsid w:val="009D65F7"/>
    <w:rsid w:val="009D686D"/>
    <w:rsid w:val="009D6A3C"/>
    <w:rsid w:val="009D6A45"/>
    <w:rsid w:val="009D6AE9"/>
    <w:rsid w:val="009D6BA0"/>
    <w:rsid w:val="009D6BF9"/>
    <w:rsid w:val="009D6CC5"/>
    <w:rsid w:val="009D702B"/>
    <w:rsid w:val="009D7196"/>
    <w:rsid w:val="009D71F3"/>
    <w:rsid w:val="009D72C7"/>
    <w:rsid w:val="009D7705"/>
    <w:rsid w:val="009D7841"/>
    <w:rsid w:val="009D789B"/>
    <w:rsid w:val="009D79D2"/>
    <w:rsid w:val="009D7B7B"/>
    <w:rsid w:val="009D7CD1"/>
    <w:rsid w:val="009D7D77"/>
    <w:rsid w:val="009D7DA7"/>
    <w:rsid w:val="009D7F13"/>
    <w:rsid w:val="009D7FAF"/>
    <w:rsid w:val="009E0030"/>
    <w:rsid w:val="009E00D8"/>
    <w:rsid w:val="009E030C"/>
    <w:rsid w:val="009E03F9"/>
    <w:rsid w:val="009E06C3"/>
    <w:rsid w:val="009E0C18"/>
    <w:rsid w:val="009E0F4E"/>
    <w:rsid w:val="009E1112"/>
    <w:rsid w:val="009E1285"/>
    <w:rsid w:val="009E176F"/>
    <w:rsid w:val="009E19F7"/>
    <w:rsid w:val="009E1C7B"/>
    <w:rsid w:val="009E1D92"/>
    <w:rsid w:val="009E21E2"/>
    <w:rsid w:val="009E2251"/>
    <w:rsid w:val="009E2529"/>
    <w:rsid w:val="009E2668"/>
    <w:rsid w:val="009E2A24"/>
    <w:rsid w:val="009E2A4D"/>
    <w:rsid w:val="009E306E"/>
    <w:rsid w:val="009E3158"/>
    <w:rsid w:val="009E31AE"/>
    <w:rsid w:val="009E320D"/>
    <w:rsid w:val="009E358D"/>
    <w:rsid w:val="009E35B8"/>
    <w:rsid w:val="009E383B"/>
    <w:rsid w:val="009E39E7"/>
    <w:rsid w:val="009E39EA"/>
    <w:rsid w:val="009E3DB7"/>
    <w:rsid w:val="009E3DC0"/>
    <w:rsid w:val="009E3DDA"/>
    <w:rsid w:val="009E3E85"/>
    <w:rsid w:val="009E3FFD"/>
    <w:rsid w:val="009E450C"/>
    <w:rsid w:val="009E45DC"/>
    <w:rsid w:val="009E4674"/>
    <w:rsid w:val="009E48FA"/>
    <w:rsid w:val="009E4A20"/>
    <w:rsid w:val="009E4AEB"/>
    <w:rsid w:val="009E4C5B"/>
    <w:rsid w:val="009E5069"/>
    <w:rsid w:val="009E5115"/>
    <w:rsid w:val="009E5134"/>
    <w:rsid w:val="009E5172"/>
    <w:rsid w:val="009E520D"/>
    <w:rsid w:val="009E5256"/>
    <w:rsid w:val="009E53AF"/>
    <w:rsid w:val="009E56DD"/>
    <w:rsid w:val="009E5700"/>
    <w:rsid w:val="009E57E9"/>
    <w:rsid w:val="009E58A5"/>
    <w:rsid w:val="009E58CF"/>
    <w:rsid w:val="009E58E8"/>
    <w:rsid w:val="009E5E64"/>
    <w:rsid w:val="009E5F73"/>
    <w:rsid w:val="009E6241"/>
    <w:rsid w:val="009E62BC"/>
    <w:rsid w:val="009E6470"/>
    <w:rsid w:val="009E6501"/>
    <w:rsid w:val="009E656B"/>
    <w:rsid w:val="009E657C"/>
    <w:rsid w:val="009E6584"/>
    <w:rsid w:val="009E6589"/>
    <w:rsid w:val="009E65C9"/>
    <w:rsid w:val="009E65F1"/>
    <w:rsid w:val="009E667A"/>
    <w:rsid w:val="009E6A5D"/>
    <w:rsid w:val="009E6C30"/>
    <w:rsid w:val="009E6C43"/>
    <w:rsid w:val="009E6C7A"/>
    <w:rsid w:val="009E6CA2"/>
    <w:rsid w:val="009E6CBE"/>
    <w:rsid w:val="009E6D9C"/>
    <w:rsid w:val="009E701F"/>
    <w:rsid w:val="009E71A9"/>
    <w:rsid w:val="009E748F"/>
    <w:rsid w:val="009E7947"/>
    <w:rsid w:val="009E79BD"/>
    <w:rsid w:val="009E7B06"/>
    <w:rsid w:val="009E7B77"/>
    <w:rsid w:val="009E7E21"/>
    <w:rsid w:val="009E7E24"/>
    <w:rsid w:val="009E7FCC"/>
    <w:rsid w:val="009F0241"/>
    <w:rsid w:val="009F0343"/>
    <w:rsid w:val="009F03EC"/>
    <w:rsid w:val="009F0556"/>
    <w:rsid w:val="009F0809"/>
    <w:rsid w:val="009F0903"/>
    <w:rsid w:val="009F091E"/>
    <w:rsid w:val="009F0E0D"/>
    <w:rsid w:val="009F0F87"/>
    <w:rsid w:val="009F1154"/>
    <w:rsid w:val="009F1243"/>
    <w:rsid w:val="009F1393"/>
    <w:rsid w:val="009F14A7"/>
    <w:rsid w:val="009F15F8"/>
    <w:rsid w:val="009F1725"/>
    <w:rsid w:val="009F19CB"/>
    <w:rsid w:val="009F19E2"/>
    <w:rsid w:val="009F1A95"/>
    <w:rsid w:val="009F1D3B"/>
    <w:rsid w:val="009F1E19"/>
    <w:rsid w:val="009F1E20"/>
    <w:rsid w:val="009F1E95"/>
    <w:rsid w:val="009F2465"/>
    <w:rsid w:val="009F246A"/>
    <w:rsid w:val="009F248D"/>
    <w:rsid w:val="009F2705"/>
    <w:rsid w:val="009F2727"/>
    <w:rsid w:val="009F27DD"/>
    <w:rsid w:val="009F28CB"/>
    <w:rsid w:val="009F297C"/>
    <w:rsid w:val="009F2AE1"/>
    <w:rsid w:val="009F2AFD"/>
    <w:rsid w:val="009F2CEC"/>
    <w:rsid w:val="009F3022"/>
    <w:rsid w:val="009F3172"/>
    <w:rsid w:val="009F31EC"/>
    <w:rsid w:val="009F326D"/>
    <w:rsid w:val="009F3427"/>
    <w:rsid w:val="009F34D0"/>
    <w:rsid w:val="009F374D"/>
    <w:rsid w:val="009F37D6"/>
    <w:rsid w:val="009F39D0"/>
    <w:rsid w:val="009F3A33"/>
    <w:rsid w:val="009F3B26"/>
    <w:rsid w:val="009F3B8E"/>
    <w:rsid w:val="009F3C20"/>
    <w:rsid w:val="009F3CB6"/>
    <w:rsid w:val="009F416B"/>
    <w:rsid w:val="009F429C"/>
    <w:rsid w:val="009F42FC"/>
    <w:rsid w:val="009F464D"/>
    <w:rsid w:val="009F490D"/>
    <w:rsid w:val="009F4992"/>
    <w:rsid w:val="009F4C23"/>
    <w:rsid w:val="009F4CE2"/>
    <w:rsid w:val="009F4D01"/>
    <w:rsid w:val="009F4F7A"/>
    <w:rsid w:val="009F507C"/>
    <w:rsid w:val="009F51A6"/>
    <w:rsid w:val="009F555E"/>
    <w:rsid w:val="009F5565"/>
    <w:rsid w:val="009F5595"/>
    <w:rsid w:val="009F55BB"/>
    <w:rsid w:val="009F5601"/>
    <w:rsid w:val="009F562F"/>
    <w:rsid w:val="009F58FB"/>
    <w:rsid w:val="009F5947"/>
    <w:rsid w:val="009F5AE5"/>
    <w:rsid w:val="009F5AEA"/>
    <w:rsid w:val="009F5CA4"/>
    <w:rsid w:val="009F5DEC"/>
    <w:rsid w:val="009F5E9A"/>
    <w:rsid w:val="009F600C"/>
    <w:rsid w:val="009F617B"/>
    <w:rsid w:val="009F61F3"/>
    <w:rsid w:val="009F64F5"/>
    <w:rsid w:val="009F67DD"/>
    <w:rsid w:val="009F687B"/>
    <w:rsid w:val="009F6ACE"/>
    <w:rsid w:val="009F6E56"/>
    <w:rsid w:val="009F6EFF"/>
    <w:rsid w:val="009F7334"/>
    <w:rsid w:val="009F735A"/>
    <w:rsid w:val="009F737D"/>
    <w:rsid w:val="009F7566"/>
    <w:rsid w:val="009F797B"/>
    <w:rsid w:val="009F7AAA"/>
    <w:rsid w:val="009F7D5D"/>
    <w:rsid w:val="009F7D68"/>
    <w:rsid w:val="009F7F8D"/>
    <w:rsid w:val="009F7FD3"/>
    <w:rsid w:val="00A00147"/>
    <w:rsid w:val="00A0036D"/>
    <w:rsid w:val="00A003CE"/>
    <w:rsid w:val="00A00488"/>
    <w:rsid w:val="00A006E1"/>
    <w:rsid w:val="00A00798"/>
    <w:rsid w:val="00A007F7"/>
    <w:rsid w:val="00A00819"/>
    <w:rsid w:val="00A009CC"/>
    <w:rsid w:val="00A00AB7"/>
    <w:rsid w:val="00A00C94"/>
    <w:rsid w:val="00A00CA3"/>
    <w:rsid w:val="00A00CAB"/>
    <w:rsid w:val="00A00DEC"/>
    <w:rsid w:val="00A00DF9"/>
    <w:rsid w:val="00A00EEE"/>
    <w:rsid w:val="00A00F23"/>
    <w:rsid w:val="00A01033"/>
    <w:rsid w:val="00A0117E"/>
    <w:rsid w:val="00A01226"/>
    <w:rsid w:val="00A0126A"/>
    <w:rsid w:val="00A01462"/>
    <w:rsid w:val="00A014E7"/>
    <w:rsid w:val="00A015D6"/>
    <w:rsid w:val="00A01646"/>
    <w:rsid w:val="00A01655"/>
    <w:rsid w:val="00A016E8"/>
    <w:rsid w:val="00A01806"/>
    <w:rsid w:val="00A01951"/>
    <w:rsid w:val="00A01D2A"/>
    <w:rsid w:val="00A01F2B"/>
    <w:rsid w:val="00A02223"/>
    <w:rsid w:val="00A024A8"/>
    <w:rsid w:val="00A025CA"/>
    <w:rsid w:val="00A026B9"/>
    <w:rsid w:val="00A026EF"/>
    <w:rsid w:val="00A02E68"/>
    <w:rsid w:val="00A02F04"/>
    <w:rsid w:val="00A02F3A"/>
    <w:rsid w:val="00A0314D"/>
    <w:rsid w:val="00A031D9"/>
    <w:rsid w:val="00A03234"/>
    <w:rsid w:val="00A035F6"/>
    <w:rsid w:val="00A03663"/>
    <w:rsid w:val="00A0379F"/>
    <w:rsid w:val="00A037E8"/>
    <w:rsid w:val="00A03835"/>
    <w:rsid w:val="00A03A5B"/>
    <w:rsid w:val="00A03A74"/>
    <w:rsid w:val="00A03C01"/>
    <w:rsid w:val="00A03C21"/>
    <w:rsid w:val="00A03CDD"/>
    <w:rsid w:val="00A03D69"/>
    <w:rsid w:val="00A03E70"/>
    <w:rsid w:val="00A03EDF"/>
    <w:rsid w:val="00A0424F"/>
    <w:rsid w:val="00A0426E"/>
    <w:rsid w:val="00A04299"/>
    <w:rsid w:val="00A0441D"/>
    <w:rsid w:val="00A044A1"/>
    <w:rsid w:val="00A0457C"/>
    <w:rsid w:val="00A0460B"/>
    <w:rsid w:val="00A04657"/>
    <w:rsid w:val="00A04755"/>
    <w:rsid w:val="00A04A7F"/>
    <w:rsid w:val="00A04D30"/>
    <w:rsid w:val="00A04F25"/>
    <w:rsid w:val="00A04F32"/>
    <w:rsid w:val="00A04F45"/>
    <w:rsid w:val="00A04FF6"/>
    <w:rsid w:val="00A0539B"/>
    <w:rsid w:val="00A0541F"/>
    <w:rsid w:val="00A05488"/>
    <w:rsid w:val="00A05494"/>
    <w:rsid w:val="00A0567C"/>
    <w:rsid w:val="00A05803"/>
    <w:rsid w:val="00A05A65"/>
    <w:rsid w:val="00A05B7F"/>
    <w:rsid w:val="00A063C4"/>
    <w:rsid w:val="00A06705"/>
    <w:rsid w:val="00A0683C"/>
    <w:rsid w:val="00A069A7"/>
    <w:rsid w:val="00A069DC"/>
    <w:rsid w:val="00A06B2F"/>
    <w:rsid w:val="00A06B52"/>
    <w:rsid w:val="00A06E93"/>
    <w:rsid w:val="00A06EE8"/>
    <w:rsid w:val="00A06F54"/>
    <w:rsid w:val="00A0715D"/>
    <w:rsid w:val="00A0768E"/>
    <w:rsid w:val="00A0772E"/>
    <w:rsid w:val="00A07762"/>
    <w:rsid w:val="00A07ADA"/>
    <w:rsid w:val="00A07B0B"/>
    <w:rsid w:val="00A07C17"/>
    <w:rsid w:val="00A07D3C"/>
    <w:rsid w:val="00A07EDA"/>
    <w:rsid w:val="00A07FB4"/>
    <w:rsid w:val="00A10003"/>
    <w:rsid w:val="00A10112"/>
    <w:rsid w:val="00A10124"/>
    <w:rsid w:val="00A1034D"/>
    <w:rsid w:val="00A10356"/>
    <w:rsid w:val="00A103EC"/>
    <w:rsid w:val="00A10456"/>
    <w:rsid w:val="00A10459"/>
    <w:rsid w:val="00A1047D"/>
    <w:rsid w:val="00A10574"/>
    <w:rsid w:val="00A10585"/>
    <w:rsid w:val="00A108D4"/>
    <w:rsid w:val="00A109D2"/>
    <w:rsid w:val="00A10BC1"/>
    <w:rsid w:val="00A10C4E"/>
    <w:rsid w:val="00A10D2B"/>
    <w:rsid w:val="00A11080"/>
    <w:rsid w:val="00A110E7"/>
    <w:rsid w:val="00A11368"/>
    <w:rsid w:val="00A11467"/>
    <w:rsid w:val="00A11518"/>
    <w:rsid w:val="00A11569"/>
    <w:rsid w:val="00A1158C"/>
    <w:rsid w:val="00A11BB7"/>
    <w:rsid w:val="00A11DA9"/>
    <w:rsid w:val="00A12102"/>
    <w:rsid w:val="00A12140"/>
    <w:rsid w:val="00A121EA"/>
    <w:rsid w:val="00A122F1"/>
    <w:rsid w:val="00A12499"/>
    <w:rsid w:val="00A124BC"/>
    <w:rsid w:val="00A125CD"/>
    <w:rsid w:val="00A128B2"/>
    <w:rsid w:val="00A128BB"/>
    <w:rsid w:val="00A12C3A"/>
    <w:rsid w:val="00A12E50"/>
    <w:rsid w:val="00A13068"/>
    <w:rsid w:val="00A13203"/>
    <w:rsid w:val="00A13328"/>
    <w:rsid w:val="00A13595"/>
    <w:rsid w:val="00A136C4"/>
    <w:rsid w:val="00A1380D"/>
    <w:rsid w:val="00A13931"/>
    <w:rsid w:val="00A139B2"/>
    <w:rsid w:val="00A139EC"/>
    <w:rsid w:val="00A13A7B"/>
    <w:rsid w:val="00A13D06"/>
    <w:rsid w:val="00A13F32"/>
    <w:rsid w:val="00A13FA0"/>
    <w:rsid w:val="00A1416B"/>
    <w:rsid w:val="00A141AC"/>
    <w:rsid w:val="00A14219"/>
    <w:rsid w:val="00A14779"/>
    <w:rsid w:val="00A1483B"/>
    <w:rsid w:val="00A1484D"/>
    <w:rsid w:val="00A149EA"/>
    <w:rsid w:val="00A14ACA"/>
    <w:rsid w:val="00A14B0C"/>
    <w:rsid w:val="00A14BF1"/>
    <w:rsid w:val="00A14D0D"/>
    <w:rsid w:val="00A14D24"/>
    <w:rsid w:val="00A14DF2"/>
    <w:rsid w:val="00A1500D"/>
    <w:rsid w:val="00A152BE"/>
    <w:rsid w:val="00A152F6"/>
    <w:rsid w:val="00A1535A"/>
    <w:rsid w:val="00A15374"/>
    <w:rsid w:val="00A153C9"/>
    <w:rsid w:val="00A15B34"/>
    <w:rsid w:val="00A15B4F"/>
    <w:rsid w:val="00A15C0E"/>
    <w:rsid w:val="00A15E21"/>
    <w:rsid w:val="00A15F69"/>
    <w:rsid w:val="00A1608D"/>
    <w:rsid w:val="00A16813"/>
    <w:rsid w:val="00A1687C"/>
    <w:rsid w:val="00A16949"/>
    <w:rsid w:val="00A16B5E"/>
    <w:rsid w:val="00A16E63"/>
    <w:rsid w:val="00A16F57"/>
    <w:rsid w:val="00A1715E"/>
    <w:rsid w:val="00A173B6"/>
    <w:rsid w:val="00A17419"/>
    <w:rsid w:val="00A175FB"/>
    <w:rsid w:val="00A177EE"/>
    <w:rsid w:val="00A179AA"/>
    <w:rsid w:val="00A17AB5"/>
    <w:rsid w:val="00A2025B"/>
    <w:rsid w:val="00A202BB"/>
    <w:rsid w:val="00A20724"/>
    <w:rsid w:val="00A208F5"/>
    <w:rsid w:val="00A20B26"/>
    <w:rsid w:val="00A20BF7"/>
    <w:rsid w:val="00A20C1C"/>
    <w:rsid w:val="00A20C5E"/>
    <w:rsid w:val="00A20CC3"/>
    <w:rsid w:val="00A2111D"/>
    <w:rsid w:val="00A2139D"/>
    <w:rsid w:val="00A2165B"/>
    <w:rsid w:val="00A21871"/>
    <w:rsid w:val="00A21906"/>
    <w:rsid w:val="00A21AEC"/>
    <w:rsid w:val="00A21CC0"/>
    <w:rsid w:val="00A21D70"/>
    <w:rsid w:val="00A21D77"/>
    <w:rsid w:val="00A21FE5"/>
    <w:rsid w:val="00A2200B"/>
    <w:rsid w:val="00A2201B"/>
    <w:rsid w:val="00A22288"/>
    <w:rsid w:val="00A22299"/>
    <w:rsid w:val="00A22429"/>
    <w:rsid w:val="00A22477"/>
    <w:rsid w:val="00A22686"/>
    <w:rsid w:val="00A2270A"/>
    <w:rsid w:val="00A22849"/>
    <w:rsid w:val="00A22872"/>
    <w:rsid w:val="00A22962"/>
    <w:rsid w:val="00A2296C"/>
    <w:rsid w:val="00A22C1B"/>
    <w:rsid w:val="00A22CD2"/>
    <w:rsid w:val="00A22F51"/>
    <w:rsid w:val="00A230A3"/>
    <w:rsid w:val="00A23237"/>
    <w:rsid w:val="00A2327D"/>
    <w:rsid w:val="00A23417"/>
    <w:rsid w:val="00A236CA"/>
    <w:rsid w:val="00A23746"/>
    <w:rsid w:val="00A23C45"/>
    <w:rsid w:val="00A23CAD"/>
    <w:rsid w:val="00A23D09"/>
    <w:rsid w:val="00A23E53"/>
    <w:rsid w:val="00A24003"/>
    <w:rsid w:val="00A240C5"/>
    <w:rsid w:val="00A242BF"/>
    <w:rsid w:val="00A242C2"/>
    <w:rsid w:val="00A2447B"/>
    <w:rsid w:val="00A2488A"/>
    <w:rsid w:val="00A249A3"/>
    <w:rsid w:val="00A24A14"/>
    <w:rsid w:val="00A24AE8"/>
    <w:rsid w:val="00A24C17"/>
    <w:rsid w:val="00A24E6E"/>
    <w:rsid w:val="00A2507A"/>
    <w:rsid w:val="00A25100"/>
    <w:rsid w:val="00A251F1"/>
    <w:rsid w:val="00A25392"/>
    <w:rsid w:val="00A255DF"/>
    <w:rsid w:val="00A25686"/>
    <w:rsid w:val="00A2571B"/>
    <w:rsid w:val="00A2590F"/>
    <w:rsid w:val="00A25B5C"/>
    <w:rsid w:val="00A25C7F"/>
    <w:rsid w:val="00A25D8F"/>
    <w:rsid w:val="00A25D93"/>
    <w:rsid w:val="00A25F50"/>
    <w:rsid w:val="00A26229"/>
    <w:rsid w:val="00A263A5"/>
    <w:rsid w:val="00A263AA"/>
    <w:rsid w:val="00A26444"/>
    <w:rsid w:val="00A26473"/>
    <w:rsid w:val="00A26506"/>
    <w:rsid w:val="00A26549"/>
    <w:rsid w:val="00A26552"/>
    <w:rsid w:val="00A266A6"/>
    <w:rsid w:val="00A267E7"/>
    <w:rsid w:val="00A268DE"/>
    <w:rsid w:val="00A268F3"/>
    <w:rsid w:val="00A26919"/>
    <w:rsid w:val="00A269A8"/>
    <w:rsid w:val="00A269C2"/>
    <w:rsid w:val="00A269C7"/>
    <w:rsid w:val="00A26A29"/>
    <w:rsid w:val="00A26D01"/>
    <w:rsid w:val="00A26D37"/>
    <w:rsid w:val="00A26F4A"/>
    <w:rsid w:val="00A2704E"/>
    <w:rsid w:val="00A270A6"/>
    <w:rsid w:val="00A270B7"/>
    <w:rsid w:val="00A271A9"/>
    <w:rsid w:val="00A27493"/>
    <w:rsid w:val="00A2754B"/>
    <w:rsid w:val="00A275C6"/>
    <w:rsid w:val="00A2765D"/>
    <w:rsid w:val="00A278EC"/>
    <w:rsid w:val="00A27900"/>
    <w:rsid w:val="00A2791E"/>
    <w:rsid w:val="00A27922"/>
    <w:rsid w:val="00A27941"/>
    <w:rsid w:val="00A2795E"/>
    <w:rsid w:val="00A27960"/>
    <w:rsid w:val="00A27ACE"/>
    <w:rsid w:val="00A27B44"/>
    <w:rsid w:val="00A27E4E"/>
    <w:rsid w:val="00A27EFF"/>
    <w:rsid w:val="00A27FEF"/>
    <w:rsid w:val="00A3016A"/>
    <w:rsid w:val="00A30287"/>
    <w:rsid w:val="00A30373"/>
    <w:rsid w:val="00A30384"/>
    <w:rsid w:val="00A30650"/>
    <w:rsid w:val="00A309A8"/>
    <w:rsid w:val="00A30A42"/>
    <w:rsid w:val="00A30B55"/>
    <w:rsid w:val="00A30B9E"/>
    <w:rsid w:val="00A30C56"/>
    <w:rsid w:val="00A30D90"/>
    <w:rsid w:val="00A30F53"/>
    <w:rsid w:val="00A30FA1"/>
    <w:rsid w:val="00A310EC"/>
    <w:rsid w:val="00A3119E"/>
    <w:rsid w:val="00A316D8"/>
    <w:rsid w:val="00A318D6"/>
    <w:rsid w:val="00A31944"/>
    <w:rsid w:val="00A31997"/>
    <w:rsid w:val="00A31C47"/>
    <w:rsid w:val="00A31CE0"/>
    <w:rsid w:val="00A31EE3"/>
    <w:rsid w:val="00A31EF8"/>
    <w:rsid w:val="00A31FC8"/>
    <w:rsid w:val="00A3223A"/>
    <w:rsid w:val="00A322F9"/>
    <w:rsid w:val="00A32397"/>
    <w:rsid w:val="00A323E3"/>
    <w:rsid w:val="00A32461"/>
    <w:rsid w:val="00A32790"/>
    <w:rsid w:val="00A3288E"/>
    <w:rsid w:val="00A32BC4"/>
    <w:rsid w:val="00A32E25"/>
    <w:rsid w:val="00A32E8F"/>
    <w:rsid w:val="00A3302A"/>
    <w:rsid w:val="00A33636"/>
    <w:rsid w:val="00A336D0"/>
    <w:rsid w:val="00A3370F"/>
    <w:rsid w:val="00A3377C"/>
    <w:rsid w:val="00A337BB"/>
    <w:rsid w:val="00A33834"/>
    <w:rsid w:val="00A33AC4"/>
    <w:rsid w:val="00A33C63"/>
    <w:rsid w:val="00A33D59"/>
    <w:rsid w:val="00A33F34"/>
    <w:rsid w:val="00A340CA"/>
    <w:rsid w:val="00A341C8"/>
    <w:rsid w:val="00A34265"/>
    <w:rsid w:val="00A343AF"/>
    <w:rsid w:val="00A3449A"/>
    <w:rsid w:val="00A345D0"/>
    <w:rsid w:val="00A345D6"/>
    <w:rsid w:val="00A3465F"/>
    <w:rsid w:val="00A346FC"/>
    <w:rsid w:val="00A347A2"/>
    <w:rsid w:val="00A347CF"/>
    <w:rsid w:val="00A3491C"/>
    <w:rsid w:val="00A34B3C"/>
    <w:rsid w:val="00A34BFD"/>
    <w:rsid w:val="00A34C24"/>
    <w:rsid w:val="00A34FC2"/>
    <w:rsid w:val="00A3508E"/>
    <w:rsid w:val="00A352B2"/>
    <w:rsid w:val="00A353A5"/>
    <w:rsid w:val="00A35486"/>
    <w:rsid w:val="00A35524"/>
    <w:rsid w:val="00A3552A"/>
    <w:rsid w:val="00A3553E"/>
    <w:rsid w:val="00A356E9"/>
    <w:rsid w:val="00A35893"/>
    <w:rsid w:val="00A3590B"/>
    <w:rsid w:val="00A359C6"/>
    <w:rsid w:val="00A36033"/>
    <w:rsid w:val="00A36072"/>
    <w:rsid w:val="00A3621E"/>
    <w:rsid w:val="00A36304"/>
    <w:rsid w:val="00A36346"/>
    <w:rsid w:val="00A36A7A"/>
    <w:rsid w:val="00A36B68"/>
    <w:rsid w:val="00A36B91"/>
    <w:rsid w:val="00A36CC2"/>
    <w:rsid w:val="00A36CE6"/>
    <w:rsid w:val="00A36D73"/>
    <w:rsid w:val="00A36DC9"/>
    <w:rsid w:val="00A36EA7"/>
    <w:rsid w:val="00A36F51"/>
    <w:rsid w:val="00A3702E"/>
    <w:rsid w:val="00A3713F"/>
    <w:rsid w:val="00A37174"/>
    <w:rsid w:val="00A375DB"/>
    <w:rsid w:val="00A37708"/>
    <w:rsid w:val="00A37792"/>
    <w:rsid w:val="00A37857"/>
    <w:rsid w:val="00A378F9"/>
    <w:rsid w:val="00A37905"/>
    <w:rsid w:val="00A37D46"/>
    <w:rsid w:val="00A37EE6"/>
    <w:rsid w:val="00A37F75"/>
    <w:rsid w:val="00A400B7"/>
    <w:rsid w:val="00A40113"/>
    <w:rsid w:val="00A401E1"/>
    <w:rsid w:val="00A40316"/>
    <w:rsid w:val="00A4039E"/>
    <w:rsid w:val="00A405A0"/>
    <w:rsid w:val="00A40631"/>
    <w:rsid w:val="00A407C7"/>
    <w:rsid w:val="00A40900"/>
    <w:rsid w:val="00A409F0"/>
    <w:rsid w:val="00A40A00"/>
    <w:rsid w:val="00A40B71"/>
    <w:rsid w:val="00A40E05"/>
    <w:rsid w:val="00A40EB9"/>
    <w:rsid w:val="00A40F5C"/>
    <w:rsid w:val="00A4121F"/>
    <w:rsid w:val="00A412D3"/>
    <w:rsid w:val="00A4139B"/>
    <w:rsid w:val="00A413E4"/>
    <w:rsid w:val="00A41438"/>
    <w:rsid w:val="00A4171C"/>
    <w:rsid w:val="00A41AE5"/>
    <w:rsid w:val="00A41C25"/>
    <w:rsid w:val="00A41DF0"/>
    <w:rsid w:val="00A41E4F"/>
    <w:rsid w:val="00A41E68"/>
    <w:rsid w:val="00A42071"/>
    <w:rsid w:val="00A42220"/>
    <w:rsid w:val="00A42261"/>
    <w:rsid w:val="00A42301"/>
    <w:rsid w:val="00A42472"/>
    <w:rsid w:val="00A42572"/>
    <w:rsid w:val="00A4260A"/>
    <w:rsid w:val="00A42A11"/>
    <w:rsid w:val="00A42A34"/>
    <w:rsid w:val="00A42DA2"/>
    <w:rsid w:val="00A42E53"/>
    <w:rsid w:val="00A43045"/>
    <w:rsid w:val="00A4305D"/>
    <w:rsid w:val="00A430AA"/>
    <w:rsid w:val="00A4311A"/>
    <w:rsid w:val="00A433BC"/>
    <w:rsid w:val="00A433E7"/>
    <w:rsid w:val="00A43448"/>
    <w:rsid w:val="00A43606"/>
    <w:rsid w:val="00A43694"/>
    <w:rsid w:val="00A43739"/>
    <w:rsid w:val="00A43895"/>
    <w:rsid w:val="00A4398A"/>
    <w:rsid w:val="00A43AF3"/>
    <w:rsid w:val="00A43AF9"/>
    <w:rsid w:val="00A43B4C"/>
    <w:rsid w:val="00A43B87"/>
    <w:rsid w:val="00A43C8E"/>
    <w:rsid w:val="00A43D3D"/>
    <w:rsid w:val="00A43E6F"/>
    <w:rsid w:val="00A43F87"/>
    <w:rsid w:val="00A4409A"/>
    <w:rsid w:val="00A44109"/>
    <w:rsid w:val="00A441F1"/>
    <w:rsid w:val="00A442EB"/>
    <w:rsid w:val="00A44325"/>
    <w:rsid w:val="00A44333"/>
    <w:rsid w:val="00A44467"/>
    <w:rsid w:val="00A44592"/>
    <w:rsid w:val="00A44728"/>
    <w:rsid w:val="00A4482E"/>
    <w:rsid w:val="00A449B8"/>
    <w:rsid w:val="00A44C29"/>
    <w:rsid w:val="00A44CD9"/>
    <w:rsid w:val="00A44DC6"/>
    <w:rsid w:val="00A450D9"/>
    <w:rsid w:val="00A451CD"/>
    <w:rsid w:val="00A45254"/>
    <w:rsid w:val="00A4544D"/>
    <w:rsid w:val="00A45617"/>
    <w:rsid w:val="00A45645"/>
    <w:rsid w:val="00A4591D"/>
    <w:rsid w:val="00A459C3"/>
    <w:rsid w:val="00A45D4D"/>
    <w:rsid w:val="00A45D88"/>
    <w:rsid w:val="00A45DB3"/>
    <w:rsid w:val="00A460AF"/>
    <w:rsid w:val="00A46231"/>
    <w:rsid w:val="00A46246"/>
    <w:rsid w:val="00A46265"/>
    <w:rsid w:val="00A462A7"/>
    <w:rsid w:val="00A46372"/>
    <w:rsid w:val="00A465C2"/>
    <w:rsid w:val="00A4667C"/>
    <w:rsid w:val="00A467C4"/>
    <w:rsid w:val="00A46962"/>
    <w:rsid w:val="00A46B11"/>
    <w:rsid w:val="00A46B5F"/>
    <w:rsid w:val="00A46CCA"/>
    <w:rsid w:val="00A46DC0"/>
    <w:rsid w:val="00A46EF6"/>
    <w:rsid w:val="00A46F5D"/>
    <w:rsid w:val="00A46FC6"/>
    <w:rsid w:val="00A47025"/>
    <w:rsid w:val="00A47184"/>
    <w:rsid w:val="00A472EB"/>
    <w:rsid w:val="00A476E7"/>
    <w:rsid w:val="00A47C77"/>
    <w:rsid w:val="00A47E82"/>
    <w:rsid w:val="00A47F92"/>
    <w:rsid w:val="00A47FA7"/>
    <w:rsid w:val="00A500F8"/>
    <w:rsid w:val="00A5018E"/>
    <w:rsid w:val="00A50371"/>
    <w:rsid w:val="00A5039C"/>
    <w:rsid w:val="00A50520"/>
    <w:rsid w:val="00A5066B"/>
    <w:rsid w:val="00A50686"/>
    <w:rsid w:val="00A50689"/>
    <w:rsid w:val="00A50832"/>
    <w:rsid w:val="00A50996"/>
    <w:rsid w:val="00A50A0D"/>
    <w:rsid w:val="00A50A39"/>
    <w:rsid w:val="00A50A79"/>
    <w:rsid w:val="00A50A93"/>
    <w:rsid w:val="00A50BB9"/>
    <w:rsid w:val="00A50C1C"/>
    <w:rsid w:val="00A50C27"/>
    <w:rsid w:val="00A50DA3"/>
    <w:rsid w:val="00A511E6"/>
    <w:rsid w:val="00A5154E"/>
    <w:rsid w:val="00A5159B"/>
    <w:rsid w:val="00A51642"/>
    <w:rsid w:val="00A518B3"/>
    <w:rsid w:val="00A5193E"/>
    <w:rsid w:val="00A51A7F"/>
    <w:rsid w:val="00A51B6D"/>
    <w:rsid w:val="00A51D02"/>
    <w:rsid w:val="00A51DC5"/>
    <w:rsid w:val="00A51DDA"/>
    <w:rsid w:val="00A51E88"/>
    <w:rsid w:val="00A52094"/>
    <w:rsid w:val="00A52122"/>
    <w:rsid w:val="00A52497"/>
    <w:rsid w:val="00A526C4"/>
    <w:rsid w:val="00A52880"/>
    <w:rsid w:val="00A52891"/>
    <w:rsid w:val="00A5300A"/>
    <w:rsid w:val="00A53019"/>
    <w:rsid w:val="00A5339C"/>
    <w:rsid w:val="00A53424"/>
    <w:rsid w:val="00A5343E"/>
    <w:rsid w:val="00A534CA"/>
    <w:rsid w:val="00A53583"/>
    <w:rsid w:val="00A53693"/>
    <w:rsid w:val="00A53874"/>
    <w:rsid w:val="00A53B5D"/>
    <w:rsid w:val="00A53BB2"/>
    <w:rsid w:val="00A53DB8"/>
    <w:rsid w:val="00A54141"/>
    <w:rsid w:val="00A5421C"/>
    <w:rsid w:val="00A54300"/>
    <w:rsid w:val="00A5458C"/>
    <w:rsid w:val="00A54639"/>
    <w:rsid w:val="00A54714"/>
    <w:rsid w:val="00A54906"/>
    <w:rsid w:val="00A54976"/>
    <w:rsid w:val="00A54A2C"/>
    <w:rsid w:val="00A54A42"/>
    <w:rsid w:val="00A54A59"/>
    <w:rsid w:val="00A54A90"/>
    <w:rsid w:val="00A54C6D"/>
    <w:rsid w:val="00A54E90"/>
    <w:rsid w:val="00A55089"/>
    <w:rsid w:val="00A5512F"/>
    <w:rsid w:val="00A551BC"/>
    <w:rsid w:val="00A55267"/>
    <w:rsid w:val="00A55366"/>
    <w:rsid w:val="00A5554B"/>
    <w:rsid w:val="00A5570C"/>
    <w:rsid w:val="00A557DE"/>
    <w:rsid w:val="00A559CF"/>
    <w:rsid w:val="00A55AD4"/>
    <w:rsid w:val="00A55F37"/>
    <w:rsid w:val="00A55F44"/>
    <w:rsid w:val="00A55FE2"/>
    <w:rsid w:val="00A56254"/>
    <w:rsid w:val="00A563BB"/>
    <w:rsid w:val="00A5660D"/>
    <w:rsid w:val="00A56719"/>
    <w:rsid w:val="00A568B8"/>
    <w:rsid w:val="00A56994"/>
    <w:rsid w:val="00A56AB7"/>
    <w:rsid w:val="00A56C10"/>
    <w:rsid w:val="00A56C94"/>
    <w:rsid w:val="00A56D39"/>
    <w:rsid w:val="00A56EE6"/>
    <w:rsid w:val="00A56F82"/>
    <w:rsid w:val="00A56FC7"/>
    <w:rsid w:val="00A5700E"/>
    <w:rsid w:val="00A57199"/>
    <w:rsid w:val="00A574D7"/>
    <w:rsid w:val="00A574F5"/>
    <w:rsid w:val="00A5766B"/>
    <w:rsid w:val="00A5771C"/>
    <w:rsid w:val="00A5790A"/>
    <w:rsid w:val="00A57A7A"/>
    <w:rsid w:val="00A57E21"/>
    <w:rsid w:val="00A57E70"/>
    <w:rsid w:val="00A57F17"/>
    <w:rsid w:val="00A60078"/>
    <w:rsid w:val="00A600AB"/>
    <w:rsid w:val="00A6026A"/>
    <w:rsid w:val="00A605CB"/>
    <w:rsid w:val="00A60789"/>
    <w:rsid w:val="00A607BF"/>
    <w:rsid w:val="00A608C7"/>
    <w:rsid w:val="00A6094E"/>
    <w:rsid w:val="00A60998"/>
    <w:rsid w:val="00A60A01"/>
    <w:rsid w:val="00A60A10"/>
    <w:rsid w:val="00A60A81"/>
    <w:rsid w:val="00A60B4C"/>
    <w:rsid w:val="00A60CDE"/>
    <w:rsid w:val="00A60D14"/>
    <w:rsid w:val="00A60E50"/>
    <w:rsid w:val="00A60EDF"/>
    <w:rsid w:val="00A60FC3"/>
    <w:rsid w:val="00A61002"/>
    <w:rsid w:val="00A610C4"/>
    <w:rsid w:val="00A61272"/>
    <w:rsid w:val="00A613FF"/>
    <w:rsid w:val="00A615AF"/>
    <w:rsid w:val="00A61923"/>
    <w:rsid w:val="00A61A65"/>
    <w:rsid w:val="00A61AD4"/>
    <w:rsid w:val="00A61B4F"/>
    <w:rsid w:val="00A61C85"/>
    <w:rsid w:val="00A61CE7"/>
    <w:rsid w:val="00A61F24"/>
    <w:rsid w:val="00A61FB3"/>
    <w:rsid w:val="00A622D9"/>
    <w:rsid w:val="00A623D1"/>
    <w:rsid w:val="00A62454"/>
    <w:rsid w:val="00A624E6"/>
    <w:rsid w:val="00A625D6"/>
    <w:rsid w:val="00A625F3"/>
    <w:rsid w:val="00A62680"/>
    <w:rsid w:val="00A628F9"/>
    <w:rsid w:val="00A62BF1"/>
    <w:rsid w:val="00A62D8A"/>
    <w:rsid w:val="00A62F10"/>
    <w:rsid w:val="00A62FF2"/>
    <w:rsid w:val="00A63134"/>
    <w:rsid w:val="00A6321D"/>
    <w:rsid w:val="00A636AE"/>
    <w:rsid w:val="00A63764"/>
    <w:rsid w:val="00A63775"/>
    <w:rsid w:val="00A63B54"/>
    <w:rsid w:val="00A63B98"/>
    <w:rsid w:val="00A63B9A"/>
    <w:rsid w:val="00A63CD4"/>
    <w:rsid w:val="00A63DF5"/>
    <w:rsid w:val="00A63EDE"/>
    <w:rsid w:val="00A63F87"/>
    <w:rsid w:val="00A6407A"/>
    <w:rsid w:val="00A6415C"/>
    <w:rsid w:val="00A642A1"/>
    <w:rsid w:val="00A642BA"/>
    <w:rsid w:val="00A643C2"/>
    <w:rsid w:val="00A64595"/>
    <w:rsid w:val="00A646CA"/>
    <w:rsid w:val="00A647D0"/>
    <w:rsid w:val="00A6483A"/>
    <w:rsid w:val="00A649DC"/>
    <w:rsid w:val="00A64B5B"/>
    <w:rsid w:val="00A6519D"/>
    <w:rsid w:val="00A65322"/>
    <w:rsid w:val="00A654EA"/>
    <w:rsid w:val="00A65546"/>
    <w:rsid w:val="00A65617"/>
    <w:rsid w:val="00A656DE"/>
    <w:rsid w:val="00A65770"/>
    <w:rsid w:val="00A657BC"/>
    <w:rsid w:val="00A65B3D"/>
    <w:rsid w:val="00A65C32"/>
    <w:rsid w:val="00A65D48"/>
    <w:rsid w:val="00A65E96"/>
    <w:rsid w:val="00A6632E"/>
    <w:rsid w:val="00A66395"/>
    <w:rsid w:val="00A664A6"/>
    <w:rsid w:val="00A66573"/>
    <w:rsid w:val="00A66C17"/>
    <w:rsid w:val="00A66D5F"/>
    <w:rsid w:val="00A66E70"/>
    <w:rsid w:val="00A66F49"/>
    <w:rsid w:val="00A66FC8"/>
    <w:rsid w:val="00A6714F"/>
    <w:rsid w:val="00A671E6"/>
    <w:rsid w:val="00A673FD"/>
    <w:rsid w:val="00A675C7"/>
    <w:rsid w:val="00A677EA"/>
    <w:rsid w:val="00A679A7"/>
    <w:rsid w:val="00A679B6"/>
    <w:rsid w:val="00A67A98"/>
    <w:rsid w:val="00A67D36"/>
    <w:rsid w:val="00A67E60"/>
    <w:rsid w:val="00A67E8B"/>
    <w:rsid w:val="00A67EC9"/>
    <w:rsid w:val="00A67F7E"/>
    <w:rsid w:val="00A67FCF"/>
    <w:rsid w:val="00A7005B"/>
    <w:rsid w:val="00A70465"/>
    <w:rsid w:val="00A7096E"/>
    <w:rsid w:val="00A70B4A"/>
    <w:rsid w:val="00A70E2C"/>
    <w:rsid w:val="00A70E9E"/>
    <w:rsid w:val="00A70EDA"/>
    <w:rsid w:val="00A70FD0"/>
    <w:rsid w:val="00A70FD1"/>
    <w:rsid w:val="00A7130E"/>
    <w:rsid w:val="00A71392"/>
    <w:rsid w:val="00A7142C"/>
    <w:rsid w:val="00A714DC"/>
    <w:rsid w:val="00A7159D"/>
    <w:rsid w:val="00A715A3"/>
    <w:rsid w:val="00A71761"/>
    <w:rsid w:val="00A723F3"/>
    <w:rsid w:val="00A723FE"/>
    <w:rsid w:val="00A7240B"/>
    <w:rsid w:val="00A72575"/>
    <w:rsid w:val="00A726C1"/>
    <w:rsid w:val="00A72A8E"/>
    <w:rsid w:val="00A72C67"/>
    <w:rsid w:val="00A72C7B"/>
    <w:rsid w:val="00A730AE"/>
    <w:rsid w:val="00A7315F"/>
    <w:rsid w:val="00A73437"/>
    <w:rsid w:val="00A735E9"/>
    <w:rsid w:val="00A73909"/>
    <w:rsid w:val="00A73B17"/>
    <w:rsid w:val="00A73B72"/>
    <w:rsid w:val="00A73C48"/>
    <w:rsid w:val="00A73E9A"/>
    <w:rsid w:val="00A73EB2"/>
    <w:rsid w:val="00A73EC9"/>
    <w:rsid w:val="00A73F21"/>
    <w:rsid w:val="00A73F3F"/>
    <w:rsid w:val="00A74017"/>
    <w:rsid w:val="00A74022"/>
    <w:rsid w:val="00A74071"/>
    <w:rsid w:val="00A741A9"/>
    <w:rsid w:val="00A7459C"/>
    <w:rsid w:val="00A74625"/>
    <w:rsid w:val="00A74828"/>
    <w:rsid w:val="00A749FF"/>
    <w:rsid w:val="00A74A4F"/>
    <w:rsid w:val="00A74BB0"/>
    <w:rsid w:val="00A75051"/>
    <w:rsid w:val="00A75072"/>
    <w:rsid w:val="00A7510D"/>
    <w:rsid w:val="00A75278"/>
    <w:rsid w:val="00A75403"/>
    <w:rsid w:val="00A75576"/>
    <w:rsid w:val="00A7558D"/>
    <w:rsid w:val="00A75613"/>
    <w:rsid w:val="00A758AD"/>
    <w:rsid w:val="00A759E1"/>
    <w:rsid w:val="00A75A81"/>
    <w:rsid w:val="00A75C09"/>
    <w:rsid w:val="00A75E44"/>
    <w:rsid w:val="00A75EBA"/>
    <w:rsid w:val="00A760A9"/>
    <w:rsid w:val="00A7655B"/>
    <w:rsid w:val="00A7662D"/>
    <w:rsid w:val="00A766FE"/>
    <w:rsid w:val="00A7671C"/>
    <w:rsid w:val="00A76872"/>
    <w:rsid w:val="00A76B97"/>
    <w:rsid w:val="00A76C08"/>
    <w:rsid w:val="00A76DB2"/>
    <w:rsid w:val="00A76FEF"/>
    <w:rsid w:val="00A77204"/>
    <w:rsid w:val="00A77636"/>
    <w:rsid w:val="00A7778E"/>
    <w:rsid w:val="00A77B90"/>
    <w:rsid w:val="00A77B9C"/>
    <w:rsid w:val="00A77E37"/>
    <w:rsid w:val="00A77F1A"/>
    <w:rsid w:val="00A8001F"/>
    <w:rsid w:val="00A80025"/>
    <w:rsid w:val="00A80086"/>
    <w:rsid w:val="00A801D7"/>
    <w:rsid w:val="00A801E8"/>
    <w:rsid w:val="00A80212"/>
    <w:rsid w:val="00A80301"/>
    <w:rsid w:val="00A80486"/>
    <w:rsid w:val="00A8063E"/>
    <w:rsid w:val="00A80659"/>
    <w:rsid w:val="00A8087C"/>
    <w:rsid w:val="00A808DB"/>
    <w:rsid w:val="00A8096A"/>
    <w:rsid w:val="00A80A30"/>
    <w:rsid w:val="00A80C25"/>
    <w:rsid w:val="00A80C85"/>
    <w:rsid w:val="00A80CD1"/>
    <w:rsid w:val="00A812CA"/>
    <w:rsid w:val="00A8135E"/>
    <w:rsid w:val="00A814AF"/>
    <w:rsid w:val="00A81563"/>
    <w:rsid w:val="00A815F8"/>
    <w:rsid w:val="00A8164A"/>
    <w:rsid w:val="00A8199D"/>
    <w:rsid w:val="00A81AAE"/>
    <w:rsid w:val="00A81AEE"/>
    <w:rsid w:val="00A81B04"/>
    <w:rsid w:val="00A81CEF"/>
    <w:rsid w:val="00A81CFA"/>
    <w:rsid w:val="00A81D52"/>
    <w:rsid w:val="00A81D78"/>
    <w:rsid w:val="00A81FEA"/>
    <w:rsid w:val="00A82112"/>
    <w:rsid w:val="00A821BE"/>
    <w:rsid w:val="00A8226F"/>
    <w:rsid w:val="00A8227C"/>
    <w:rsid w:val="00A822C7"/>
    <w:rsid w:val="00A822DB"/>
    <w:rsid w:val="00A82332"/>
    <w:rsid w:val="00A823D5"/>
    <w:rsid w:val="00A8257C"/>
    <w:rsid w:val="00A826D3"/>
    <w:rsid w:val="00A827D7"/>
    <w:rsid w:val="00A827D8"/>
    <w:rsid w:val="00A8290E"/>
    <w:rsid w:val="00A82915"/>
    <w:rsid w:val="00A82AEE"/>
    <w:rsid w:val="00A82C41"/>
    <w:rsid w:val="00A82CD8"/>
    <w:rsid w:val="00A82D9D"/>
    <w:rsid w:val="00A82E3E"/>
    <w:rsid w:val="00A8301B"/>
    <w:rsid w:val="00A83074"/>
    <w:rsid w:val="00A830BD"/>
    <w:rsid w:val="00A83420"/>
    <w:rsid w:val="00A83718"/>
    <w:rsid w:val="00A837C3"/>
    <w:rsid w:val="00A83A9F"/>
    <w:rsid w:val="00A83BBD"/>
    <w:rsid w:val="00A83C7C"/>
    <w:rsid w:val="00A83CC6"/>
    <w:rsid w:val="00A8413C"/>
    <w:rsid w:val="00A842BA"/>
    <w:rsid w:val="00A84416"/>
    <w:rsid w:val="00A844CB"/>
    <w:rsid w:val="00A8452E"/>
    <w:rsid w:val="00A8462C"/>
    <w:rsid w:val="00A84784"/>
    <w:rsid w:val="00A847F8"/>
    <w:rsid w:val="00A848D7"/>
    <w:rsid w:val="00A84923"/>
    <w:rsid w:val="00A84A87"/>
    <w:rsid w:val="00A84E30"/>
    <w:rsid w:val="00A84F18"/>
    <w:rsid w:val="00A85146"/>
    <w:rsid w:val="00A8545B"/>
    <w:rsid w:val="00A85536"/>
    <w:rsid w:val="00A856EF"/>
    <w:rsid w:val="00A85732"/>
    <w:rsid w:val="00A85810"/>
    <w:rsid w:val="00A85AC8"/>
    <w:rsid w:val="00A85C60"/>
    <w:rsid w:val="00A85D09"/>
    <w:rsid w:val="00A85EC9"/>
    <w:rsid w:val="00A86192"/>
    <w:rsid w:val="00A86527"/>
    <w:rsid w:val="00A868C6"/>
    <w:rsid w:val="00A869B6"/>
    <w:rsid w:val="00A86EF7"/>
    <w:rsid w:val="00A87022"/>
    <w:rsid w:val="00A870F6"/>
    <w:rsid w:val="00A87132"/>
    <w:rsid w:val="00A87239"/>
    <w:rsid w:val="00A872C4"/>
    <w:rsid w:val="00A87398"/>
    <w:rsid w:val="00A875FE"/>
    <w:rsid w:val="00A877CC"/>
    <w:rsid w:val="00A87933"/>
    <w:rsid w:val="00A87A56"/>
    <w:rsid w:val="00A87E77"/>
    <w:rsid w:val="00A87E8D"/>
    <w:rsid w:val="00A9090F"/>
    <w:rsid w:val="00A90923"/>
    <w:rsid w:val="00A909EF"/>
    <w:rsid w:val="00A90A21"/>
    <w:rsid w:val="00A90CCC"/>
    <w:rsid w:val="00A90CD0"/>
    <w:rsid w:val="00A90D1F"/>
    <w:rsid w:val="00A90D92"/>
    <w:rsid w:val="00A910D7"/>
    <w:rsid w:val="00A9116C"/>
    <w:rsid w:val="00A912EF"/>
    <w:rsid w:val="00A9132B"/>
    <w:rsid w:val="00A913AA"/>
    <w:rsid w:val="00A913BF"/>
    <w:rsid w:val="00A913FE"/>
    <w:rsid w:val="00A9152C"/>
    <w:rsid w:val="00A91686"/>
    <w:rsid w:val="00A9174A"/>
    <w:rsid w:val="00A918B3"/>
    <w:rsid w:val="00A919DB"/>
    <w:rsid w:val="00A91B02"/>
    <w:rsid w:val="00A91D18"/>
    <w:rsid w:val="00A91EDD"/>
    <w:rsid w:val="00A920AE"/>
    <w:rsid w:val="00A92123"/>
    <w:rsid w:val="00A921CF"/>
    <w:rsid w:val="00A921ED"/>
    <w:rsid w:val="00A921F6"/>
    <w:rsid w:val="00A9227B"/>
    <w:rsid w:val="00A92408"/>
    <w:rsid w:val="00A92410"/>
    <w:rsid w:val="00A925AB"/>
    <w:rsid w:val="00A925D1"/>
    <w:rsid w:val="00A925F5"/>
    <w:rsid w:val="00A926CE"/>
    <w:rsid w:val="00A9284B"/>
    <w:rsid w:val="00A929A0"/>
    <w:rsid w:val="00A92B91"/>
    <w:rsid w:val="00A92D97"/>
    <w:rsid w:val="00A92FEA"/>
    <w:rsid w:val="00A93043"/>
    <w:rsid w:val="00A931C5"/>
    <w:rsid w:val="00A93236"/>
    <w:rsid w:val="00A93267"/>
    <w:rsid w:val="00A93524"/>
    <w:rsid w:val="00A93724"/>
    <w:rsid w:val="00A93C78"/>
    <w:rsid w:val="00A93EAF"/>
    <w:rsid w:val="00A93F27"/>
    <w:rsid w:val="00A93F37"/>
    <w:rsid w:val="00A9400F"/>
    <w:rsid w:val="00A94056"/>
    <w:rsid w:val="00A94458"/>
    <w:rsid w:val="00A94524"/>
    <w:rsid w:val="00A9461F"/>
    <w:rsid w:val="00A948A8"/>
    <w:rsid w:val="00A948D2"/>
    <w:rsid w:val="00A94DE8"/>
    <w:rsid w:val="00A94ECE"/>
    <w:rsid w:val="00A9506B"/>
    <w:rsid w:val="00A95179"/>
    <w:rsid w:val="00A951CF"/>
    <w:rsid w:val="00A95528"/>
    <w:rsid w:val="00A95562"/>
    <w:rsid w:val="00A956AF"/>
    <w:rsid w:val="00A958F1"/>
    <w:rsid w:val="00A95A29"/>
    <w:rsid w:val="00A95A45"/>
    <w:rsid w:val="00A95C03"/>
    <w:rsid w:val="00A95C46"/>
    <w:rsid w:val="00A95C57"/>
    <w:rsid w:val="00A95D41"/>
    <w:rsid w:val="00A95D7D"/>
    <w:rsid w:val="00A96012"/>
    <w:rsid w:val="00A96028"/>
    <w:rsid w:val="00A9612D"/>
    <w:rsid w:val="00A961CF"/>
    <w:rsid w:val="00A9624B"/>
    <w:rsid w:val="00A9642E"/>
    <w:rsid w:val="00A9646B"/>
    <w:rsid w:val="00A9669A"/>
    <w:rsid w:val="00A966E6"/>
    <w:rsid w:val="00A96877"/>
    <w:rsid w:val="00A968A6"/>
    <w:rsid w:val="00A968BB"/>
    <w:rsid w:val="00A96A69"/>
    <w:rsid w:val="00A96F77"/>
    <w:rsid w:val="00A9708D"/>
    <w:rsid w:val="00A973AD"/>
    <w:rsid w:val="00A97453"/>
    <w:rsid w:val="00A97534"/>
    <w:rsid w:val="00A97539"/>
    <w:rsid w:val="00A97609"/>
    <w:rsid w:val="00A9762F"/>
    <w:rsid w:val="00A9769C"/>
    <w:rsid w:val="00A97775"/>
    <w:rsid w:val="00A97A82"/>
    <w:rsid w:val="00A97C1A"/>
    <w:rsid w:val="00A97CC1"/>
    <w:rsid w:val="00A97D35"/>
    <w:rsid w:val="00A97E05"/>
    <w:rsid w:val="00A97F05"/>
    <w:rsid w:val="00AA0106"/>
    <w:rsid w:val="00AA041D"/>
    <w:rsid w:val="00AA06A3"/>
    <w:rsid w:val="00AA091F"/>
    <w:rsid w:val="00AA0BAB"/>
    <w:rsid w:val="00AA0C20"/>
    <w:rsid w:val="00AA0DC5"/>
    <w:rsid w:val="00AA0EBD"/>
    <w:rsid w:val="00AA0EDA"/>
    <w:rsid w:val="00AA1211"/>
    <w:rsid w:val="00AA1237"/>
    <w:rsid w:val="00AA124A"/>
    <w:rsid w:val="00AA137F"/>
    <w:rsid w:val="00AA1405"/>
    <w:rsid w:val="00AA14CA"/>
    <w:rsid w:val="00AA1524"/>
    <w:rsid w:val="00AA1545"/>
    <w:rsid w:val="00AA1643"/>
    <w:rsid w:val="00AA1830"/>
    <w:rsid w:val="00AA1872"/>
    <w:rsid w:val="00AA18B9"/>
    <w:rsid w:val="00AA18C1"/>
    <w:rsid w:val="00AA195E"/>
    <w:rsid w:val="00AA19D0"/>
    <w:rsid w:val="00AA1A1A"/>
    <w:rsid w:val="00AA1A9B"/>
    <w:rsid w:val="00AA1B04"/>
    <w:rsid w:val="00AA1C75"/>
    <w:rsid w:val="00AA1D55"/>
    <w:rsid w:val="00AA1E82"/>
    <w:rsid w:val="00AA2298"/>
    <w:rsid w:val="00AA23F3"/>
    <w:rsid w:val="00AA265F"/>
    <w:rsid w:val="00AA29A9"/>
    <w:rsid w:val="00AA2A96"/>
    <w:rsid w:val="00AA2B0B"/>
    <w:rsid w:val="00AA2CC8"/>
    <w:rsid w:val="00AA2D13"/>
    <w:rsid w:val="00AA2EA2"/>
    <w:rsid w:val="00AA2F5C"/>
    <w:rsid w:val="00AA3021"/>
    <w:rsid w:val="00AA3037"/>
    <w:rsid w:val="00AA30E7"/>
    <w:rsid w:val="00AA3102"/>
    <w:rsid w:val="00AA315E"/>
    <w:rsid w:val="00AA3603"/>
    <w:rsid w:val="00AA36FF"/>
    <w:rsid w:val="00AA37B9"/>
    <w:rsid w:val="00AA3973"/>
    <w:rsid w:val="00AA397E"/>
    <w:rsid w:val="00AA39F0"/>
    <w:rsid w:val="00AA3BE0"/>
    <w:rsid w:val="00AA3D57"/>
    <w:rsid w:val="00AA3DBA"/>
    <w:rsid w:val="00AA3DC6"/>
    <w:rsid w:val="00AA3FA1"/>
    <w:rsid w:val="00AA4043"/>
    <w:rsid w:val="00AA413D"/>
    <w:rsid w:val="00AA43A6"/>
    <w:rsid w:val="00AA43E8"/>
    <w:rsid w:val="00AA441C"/>
    <w:rsid w:val="00AA4735"/>
    <w:rsid w:val="00AA476F"/>
    <w:rsid w:val="00AA48A1"/>
    <w:rsid w:val="00AA49F6"/>
    <w:rsid w:val="00AA4B1E"/>
    <w:rsid w:val="00AA4B23"/>
    <w:rsid w:val="00AA4C55"/>
    <w:rsid w:val="00AA5401"/>
    <w:rsid w:val="00AA5495"/>
    <w:rsid w:val="00AA5531"/>
    <w:rsid w:val="00AA554F"/>
    <w:rsid w:val="00AA56EE"/>
    <w:rsid w:val="00AA5772"/>
    <w:rsid w:val="00AA57E7"/>
    <w:rsid w:val="00AA5865"/>
    <w:rsid w:val="00AA586D"/>
    <w:rsid w:val="00AA58E4"/>
    <w:rsid w:val="00AA58FB"/>
    <w:rsid w:val="00AA59A9"/>
    <w:rsid w:val="00AA59B6"/>
    <w:rsid w:val="00AA5AC9"/>
    <w:rsid w:val="00AA5BB2"/>
    <w:rsid w:val="00AA5C28"/>
    <w:rsid w:val="00AA5C7F"/>
    <w:rsid w:val="00AA5EB2"/>
    <w:rsid w:val="00AA6012"/>
    <w:rsid w:val="00AA6085"/>
    <w:rsid w:val="00AA6116"/>
    <w:rsid w:val="00AA61A6"/>
    <w:rsid w:val="00AA6227"/>
    <w:rsid w:val="00AA635E"/>
    <w:rsid w:val="00AA6688"/>
    <w:rsid w:val="00AA67B8"/>
    <w:rsid w:val="00AA67F4"/>
    <w:rsid w:val="00AA68D5"/>
    <w:rsid w:val="00AA68E6"/>
    <w:rsid w:val="00AA6A15"/>
    <w:rsid w:val="00AA6A22"/>
    <w:rsid w:val="00AA6D72"/>
    <w:rsid w:val="00AA6FD4"/>
    <w:rsid w:val="00AA7023"/>
    <w:rsid w:val="00AA72B7"/>
    <w:rsid w:val="00AA757F"/>
    <w:rsid w:val="00AA76A1"/>
    <w:rsid w:val="00AA79D1"/>
    <w:rsid w:val="00AA7A67"/>
    <w:rsid w:val="00AA7B22"/>
    <w:rsid w:val="00AA7D03"/>
    <w:rsid w:val="00AA7D56"/>
    <w:rsid w:val="00AB0022"/>
    <w:rsid w:val="00AB0044"/>
    <w:rsid w:val="00AB0231"/>
    <w:rsid w:val="00AB0236"/>
    <w:rsid w:val="00AB025B"/>
    <w:rsid w:val="00AB0266"/>
    <w:rsid w:val="00AB02A6"/>
    <w:rsid w:val="00AB044E"/>
    <w:rsid w:val="00AB0651"/>
    <w:rsid w:val="00AB0661"/>
    <w:rsid w:val="00AB06CC"/>
    <w:rsid w:val="00AB07D4"/>
    <w:rsid w:val="00AB088E"/>
    <w:rsid w:val="00AB09A3"/>
    <w:rsid w:val="00AB0A0B"/>
    <w:rsid w:val="00AB0B51"/>
    <w:rsid w:val="00AB0B60"/>
    <w:rsid w:val="00AB0B62"/>
    <w:rsid w:val="00AB0D02"/>
    <w:rsid w:val="00AB1018"/>
    <w:rsid w:val="00AB13D1"/>
    <w:rsid w:val="00AB1486"/>
    <w:rsid w:val="00AB15B2"/>
    <w:rsid w:val="00AB1948"/>
    <w:rsid w:val="00AB1A49"/>
    <w:rsid w:val="00AB1A6E"/>
    <w:rsid w:val="00AB1EA4"/>
    <w:rsid w:val="00AB203A"/>
    <w:rsid w:val="00AB2096"/>
    <w:rsid w:val="00AB211C"/>
    <w:rsid w:val="00AB221E"/>
    <w:rsid w:val="00AB2478"/>
    <w:rsid w:val="00AB24BB"/>
    <w:rsid w:val="00AB24F3"/>
    <w:rsid w:val="00AB256D"/>
    <w:rsid w:val="00AB26DE"/>
    <w:rsid w:val="00AB270B"/>
    <w:rsid w:val="00AB280F"/>
    <w:rsid w:val="00AB2B01"/>
    <w:rsid w:val="00AB2B3E"/>
    <w:rsid w:val="00AB2BE7"/>
    <w:rsid w:val="00AB2CF0"/>
    <w:rsid w:val="00AB2D03"/>
    <w:rsid w:val="00AB2D29"/>
    <w:rsid w:val="00AB2E07"/>
    <w:rsid w:val="00AB2E87"/>
    <w:rsid w:val="00AB2EBC"/>
    <w:rsid w:val="00AB2FEA"/>
    <w:rsid w:val="00AB30CA"/>
    <w:rsid w:val="00AB310D"/>
    <w:rsid w:val="00AB31CE"/>
    <w:rsid w:val="00AB331A"/>
    <w:rsid w:val="00AB3374"/>
    <w:rsid w:val="00AB341D"/>
    <w:rsid w:val="00AB35E4"/>
    <w:rsid w:val="00AB3621"/>
    <w:rsid w:val="00AB3669"/>
    <w:rsid w:val="00AB3840"/>
    <w:rsid w:val="00AB3E64"/>
    <w:rsid w:val="00AB3E9E"/>
    <w:rsid w:val="00AB407D"/>
    <w:rsid w:val="00AB40EF"/>
    <w:rsid w:val="00AB4212"/>
    <w:rsid w:val="00AB430A"/>
    <w:rsid w:val="00AB43B7"/>
    <w:rsid w:val="00AB467C"/>
    <w:rsid w:val="00AB46F6"/>
    <w:rsid w:val="00AB47A1"/>
    <w:rsid w:val="00AB4C51"/>
    <w:rsid w:val="00AB4E45"/>
    <w:rsid w:val="00AB4F62"/>
    <w:rsid w:val="00AB4F74"/>
    <w:rsid w:val="00AB509D"/>
    <w:rsid w:val="00AB50FB"/>
    <w:rsid w:val="00AB5198"/>
    <w:rsid w:val="00AB5206"/>
    <w:rsid w:val="00AB5323"/>
    <w:rsid w:val="00AB5446"/>
    <w:rsid w:val="00AB5609"/>
    <w:rsid w:val="00AB5692"/>
    <w:rsid w:val="00AB5794"/>
    <w:rsid w:val="00AB58E3"/>
    <w:rsid w:val="00AB59F9"/>
    <w:rsid w:val="00AB5A42"/>
    <w:rsid w:val="00AB5C11"/>
    <w:rsid w:val="00AB5D14"/>
    <w:rsid w:val="00AB5FAC"/>
    <w:rsid w:val="00AB614F"/>
    <w:rsid w:val="00AB6730"/>
    <w:rsid w:val="00AB681D"/>
    <w:rsid w:val="00AB6884"/>
    <w:rsid w:val="00AB69B7"/>
    <w:rsid w:val="00AB6A2A"/>
    <w:rsid w:val="00AB6D7E"/>
    <w:rsid w:val="00AB70B7"/>
    <w:rsid w:val="00AB7237"/>
    <w:rsid w:val="00AB7282"/>
    <w:rsid w:val="00AB72AE"/>
    <w:rsid w:val="00AB74AF"/>
    <w:rsid w:val="00AB754C"/>
    <w:rsid w:val="00AB7757"/>
    <w:rsid w:val="00AB78C1"/>
    <w:rsid w:val="00AB7936"/>
    <w:rsid w:val="00AB7B9F"/>
    <w:rsid w:val="00AB7BE0"/>
    <w:rsid w:val="00AB7D2D"/>
    <w:rsid w:val="00AB7E32"/>
    <w:rsid w:val="00AB7E44"/>
    <w:rsid w:val="00AC019F"/>
    <w:rsid w:val="00AC0204"/>
    <w:rsid w:val="00AC038E"/>
    <w:rsid w:val="00AC03A8"/>
    <w:rsid w:val="00AC03E8"/>
    <w:rsid w:val="00AC0482"/>
    <w:rsid w:val="00AC06AF"/>
    <w:rsid w:val="00AC093F"/>
    <w:rsid w:val="00AC09D9"/>
    <w:rsid w:val="00AC0A3C"/>
    <w:rsid w:val="00AC0C27"/>
    <w:rsid w:val="00AC0C4C"/>
    <w:rsid w:val="00AC0D54"/>
    <w:rsid w:val="00AC1014"/>
    <w:rsid w:val="00AC14F9"/>
    <w:rsid w:val="00AC151F"/>
    <w:rsid w:val="00AC1634"/>
    <w:rsid w:val="00AC175B"/>
    <w:rsid w:val="00AC1989"/>
    <w:rsid w:val="00AC1AB1"/>
    <w:rsid w:val="00AC1C7C"/>
    <w:rsid w:val="00AC1E1E"/>
    <w:rsid w:val="00AC20B2"/>
    <w:rsid w:val="00AC2484"/>
    <w:rsid w:val="00AC25B6"/>
    <w:rsid w:val="00AC25BD"/>
    <w:rsid w:val="00AC26D5"/>
    <w:rsid w:val="00AC2740"/>
    <w:rsid w:val="00AC275D"/>
    <w:rsid w:val="00AC276A"/>
    <w:rsid w:val="00AC27A3"/>
    <w:rsid w:val="00AC27D6"/>
    <w:rsid w:val="00AC282A"/>
    <w:rsid w:val="00AC2CC0"/>
    <w:rsid w:val="00AC2CD8"/>
    <w:rsid w:val="00AC2E4B"/>
    <w:rsid w:val="00AC2EA5"/>
    <w:rsid w:val="00AC32E3"/>
    <w:rsid w:val="00AC3392"/>
    <w:rsid w:val="00AC359E"/>
    <w:rsid w:val="00AC3604"/>
    <w:rsid w:val="00AC3AB9"/>
    <w:rsid w:val="00AC3D0C"/>
    <w:rsid w:val="00AC3F10"/>
    <w:rsid w:val="00AC4028"/>
    <w:rsid w:val="00AC44FC"/>
    <w:rsid w:val="00AC45B8"/>
    <w:rsid w:val="00AC4668"/>
    <w:rsid w:val="00AC48F8"/>
    <w:rsid w:val="00AC49A9"/>
    <w:rsid w:val="00AC4A54"/>
    <w:rsid w:val="00AC4C6B"/>
    <w:rsid w:val="00AC4DAB"/>
    <w:rsid w:val="00AC50E6"/>
    <w:rsid w:val="00AC5117"/>
    <w:rsid w:val="00AC5118"/>
    <w:rsid w:val="00AC53D0"/>
    <w:rsid w:val="00AC53E9"/>
    <w:rsid w:val="00AC53F4"/>
    <w:rsid w:val="00AC54EE"/>
    <w:rsid w:val="00AC5691"/>
    <w:rsid w:val="00AC57C5"/>
    <w:rsid w:val="00AC5903"/>
    <w:rsid w:val="00AC5AC4"/>
    <w:rsid w:val="00AC5C56"/>
    <w:rsid w:val="00AC5F7F"/>
    <w:rsid w:val="00AC6039"/>
    <w:rsid w:val="00AC6092"/>
    <w:rsid w:val="00AC6101"/>
    <w:rsid w:val="00AC63EC"/>
    <w:rsid w:val="00AC6573"/>
    <w:rsid w:val="00AC6621"/>
    <w:rsid w:val="00AC692B"/>
    <w:rsid w:val="00AC6D98"/>
    <w:rsid w:val="00AC6F28"/>
    <w:rsid w:val="00AC6FF5"/>
    <w:rsid w:val="00AC7012"/>
    <w:rsid w:val="00AC707B"/>
    <w:rsid w:val="00AC72B8"/>
    <w:rsid w:val="00AC72FE"/>
    <w:rsid w:val="00AC7330"/>
    <w:rsid w:val="00AC74B5"/>
    <w:rsid w:val="00AC750A"/>
    <w:rsid w:val="00AC76A8"/>
    <w:rsid w:val="00AC76E3"/>
    <w:rsid w:val="00AC7702"/>
    <w:rsid w:val="00AC786C"/>
    <w:rsid w:val="00AC795D"/>
    <w:rsid w:val="00AC799F"/>
    <w:rsid w:val="00AC7A6D"/>
    <w:rsid w:val="00AC7B70"/>
    <w:rsid w:val="00AC7B8A"/>
    <w:rsid w:val="00AC7C7D"/>
    <w:rsid w:val="00AC7CCE"/>
    <w:rsid w:val="00AC7F83"/>
    <w:rsid w:val="00AD00BF"/>
    <w:rsid w:val="00AD00E3"/>
    <w:rsid w:val="00AD0257"/>
    <w:rsid w:val="00AD0527"/>
    <w:rsid w:val="00AD080F"/>
    <w:rsid w:val="00AD0858"/>
    <w:rsid w:val="00AD093D"/>
    <w:rsid w:val="00AD09D4"/>
    <w:rsid w:val="00AD0AEE"/>
    <w:rsid w:val="00AD0B30"/>
    <w:rsid w:val="00AD0DBF"/>
    <w:rsid w:val="00AD0DF7"/>
    <w:rsid w:val="00AD0F2C"/>
    <w:rsid w:val="00AD0F3B"/>
    <w:rsid w:val="00AD0F63"/>
    <w:rsid w:val="00AD102D"/>
    <w:rsid w:val="00AD12ED"/>
    <w:rsid w:val="00AD1319"/>
    <w:rsid w:val="00AD1392"/>
    <w:rsid w:val="00AD144E"/>
    <w:rsid w:val="00AD146C"/>
    <w:rsid w:val="00AD1564"/>
    <w:rsid w:val="00AD160D"/>
    <w:rsid w:val="00AD1692"/>
    <w:rsid w:val="00AD1693"/>
    <w:rsid w:val="00AD16A6"/>
    <w:rsid w:val="00AD17B6"/>
    <w:rsid w:val="00AD1806"/>
    <w:rsid w:val="00AD18CE"/>
    <w:rsid w:val="00AD18E7"/>
    <w:rsid w:val="00AD1A3F"/>
    <w:rsid w:val="00AD1A8D"/>
    <w:rsid w:val="00AD1DE5"/>
    <w:rsid w:val="00AD1E69"/>
    <w:rsid w:val="00AD1FEB"/>
    <w:rsid w:val="00AD203B"/>
    <w:rsid w:val="00AD2127"/>
    <w:rsid w:val="00AD2135"/>
    <w:rsid w:val="00AD2222"/>
    <w:rsid w:val="00AD2258"/>
    <w:rsid w:val="00AD2260"/>
    <w:rsid w:val="00AD257A"/>
    <w:rsid w:val="00AD25EE"/>
    <w:rsid w:val="00AD2677"/>
    <w:rsid w:val="00AD2735"/>
    <w:rsid w:val="00AD2894"/>
    <w:rsid w:val="00AD28EE"/>
    <w:rsid w:val="00AD290A"/>
    <w:rsid w:val="00AD2938"/>
    <w:rsid w:val="00AD2A7D"/>
    <w:rsid w:val="00AD2AFF"/>
    <w:rsid w:val="00AD2B1A"/>
    <w:rsid w:val="00AD2B80"/>
    <w:rsid w:val="00AD2CE1"/>
    <w:rsid w:val="00AD2DFC"/>
    <w:rsid w:val="00AD2E4D"/>
    <w:rsid w:val="00AD2F94"/>
    <w:rsid w:val="00AD2FC3"/>
    <w:rsid w:val="00AD31E6"/>
    <w:rsid w:val="00AD3537"/>
    <w:rsid w:val="00AD3624"/>
    <w:rsid w:val="00AD3816"/>
    <w:rsid w:val="00AD38E8"/>
    <w:rsid w:val="00AD3B41"/>
    <w:rsid w:val="00AD3CD0"/>
    <w:rsid w:val="00AD3D14"/>
    <w:rsid w:val="00AD3D38"/>
    <w:rsid w:val="00AD3D86"/>
    <w:rsid w:val="00AD41EB"/>
    <w:rsid w:val="00AD4473"/>
    <w:rsid w:val="00AD449E"/>
    <w:rsid w:val="00AD44BC"/>
    <w:rsid w:val="00AD4924"/>
    <w:rsid w:val="00AD4D41"/>
    <w:rsid w:val="00AD4EAB"/>
    <w:rsid w:val="00AD4EDC"/>
    <w:rsid w:val="00AD506F"/>
    <w:rsid w:val="00AD518D"/>
    <w:rsid w:val="00AD53E9"/>
    <w:rsid w:val="00AD5698"/>
    <w:rsid w:val="00AD57AC"/>
    <w:rsid w:val="00AD584C"/>
    <w:rsid w:val="00AD5C76"/>
    <w:rsid w:val="00AD5D43"/>
    <w:rsid w:val="00AD5DC8"/>
    <w:rsid w:val="00AD607D"/>
    <w:rsid w:val="00AD610D"/>
    <w:rsid w:val="00AD61C2"/>
    <w:rsid w:val="00AD6218"/>
    <w:rsid w:val="00AD6219"/>
    <w:rsid w:val="00AD6420"/>
    <w:rsid w:val="00AD6468"/>
    <w:rsid w:val="00AD6477"/>
    <w:rsid w:val="00AD6550"/>
    <w:rsid w:val="00AD662D"/>
    <w:rsid w:val="00AD665B"/>
    <w:rsid w:val="00AD68B1"/>
    <w:rsid w:val="00AD6AAE"/>
    <w:rsid w:val="00AD6B8A"/>
    <w:rsid w:val="00AD6B8F"/>
    <w:rsid w:val="00AD6BB0"/>
    <w:rsid w:val="00AD6DBA"/>
    <w:rsid w:val="00AD702B"/>
    <w:rsid w:val="00AD71A7"/>
    <w:rsid w:val="00AD75C3"/>
    <w:rsid w:val="00AD761B"/>
    <w:rsid w:val="00AD7880"/>
    <w:rsid w:val="00AD791E"/>
    <w:rsid w:val="00AD79A1"/>
    <w:rsid w:val="00AD7A04"/>
    <w:rsid w:val="00AD7CB2"/>
    <w:rsid w:val="00AD7D8D"/>
    <w:rsid w:val="00AD7E23"/>
    <w:rsid w:val="00AD7E2C"/>
    <w:rsid w:val="00AD7F2B"/>
    <w:rsid w:val="00AD7F2C"/>
    <w:rsid w:val="00AE0265"/>
    <w:rsid w:val="00AE0435"/>
    <w:rsid w:val="00AE04B2"/>
    <w:rsid w:val="00AE0719"/>
    <w:rsid w:val="00AE07DA"/>
    <w:rsid w:val="00AE0844"/>
    <w:rsid w:val="00AE0BDF"/>
    <w:rsid w:val="00AE0C94"/>
    <w:rsid w:val="00AE0F8B"/>
    <w:rsid w:val="00AE10C5"/>
    <w:rsid w:val="00AE113C"/>
    <w:rsid w:val="00AE12C7"/>
    <w:rsid w:val="00AE13C3"/>
    <w:rsid w:val="00AE1627"/>
    <w:rsid w:val="00AE1681"/>
    <w:rsid w:val="00AE17C5"/>
    <w:rsid w:val="00AE1C60"/>
    <w:rsid w:val="00AE1D18"/>
    <w:rsid w:val="00AE1F1D"/>
    <w:rsid w:val="00AE1F2D"/>
    <w:rsid w:val="00AE1FAE"/>
    <w:rsid w:val="00AE25F8"/>
    <w:rsid w:val="00AE26EE"/>
    <w:rsid w:val="00AE28CC"/>
    <w:rsid w:val="00AE29AF"/>
    <w:rsid w:val="00AE2C0D"/>
    <w:rsid w:val="00AE3089"/>
    <w:rsid w:val="00AE3136"/>
    <w:rsid w:val="00AE3208"/>
    <w:rsid w:val="00AE323E"/>
    <w:rsid w:val="00AE3430"/>
    <w:rsid w:val="00AE3507"/>
    <w:rsid w:val="00AE3514"/>
    <w:rsid w:val="00AE36B3"/>
    <w:rsid w:val="00AE3706"/>
    <w:rsid w:val="00AE3841"/>
    <w:rsid w:val="00AE3CC7"/>
    <w:rsid w:val="00AE3FAE"/>
    <w:rsid w:val="00AE411B"/>
    <w:rsid w:val="00AE41EE"/>
    <w:rsid w:val="00AE449D"/>
    <w:rsid w:val="00AE4731"/>
    <w:rsid w:val="00AE4828"/>
    <w:rsid w:val="00AE490C"/>
    <w:rsid w:val="00AE4A5A"/>
    <w:rsid w:val="00AE4ACA"/>
    <w:rsid w:val="00AE4C32"/>
    <w:rsid w:val="00AE4D5D"/>
    <w:rsid w:val="00AE4EF7"/>
    <w:rsid w:val="00AE4F38"/>
    <w:rsid w:val="00AE53B6"/>
    <w:rsid w:val="00AE56FB"/>
    <w:rsid w:val="00AE5BB8"/>
    <w:rsid w:val="00AE5CA8"/>
    <w:rsid w:val="00AE5FF3"/>
    <w:rsid w:val="00AE6339"/>
    <w:rsid w:val="00AE6753"/>
    <w:rsid w:val="00AE6775"/>
    <w:rsid w:val="00AE67C2"/>
    <w:rsid w:val="00AE6A8E"/>
    <w:rsid w:val="00AE6AFB"/>
    <w:rsid w:val="00AE6BBD"/>
    <w:rsid w:val="00AE6C8E"/>
    <w:rsid w:val="00AE6D5A"/>
    <w:rsid w:val="00AE6FF7"/>
    <w:rsid w:val="00AE70B7"/>
    <w:rsid w:val="00AE7177"/>
    <w:rsid w:val="00AE7422"/>
    <w:rsid w:val="00AE7553"/>
    <w:rsid w:val="00AE767F"/>
    <w:rsid w:val="00AE7739"/>
    <w:rsid w:val="00AE777A"/>
    <w:rsid w:val="00AE77D2"/>
    <w:rsid w:val="00AE7AF2"/>
    <w:rsid w:val="00AE7B20"/>
    <w:rsid w:val="00AE7B98"/>
    <w:rsid w:val="00AE7D0F"/>
    <w:rsid w:val="00AE7D3C"/>
    <w:rsid w:val="00AE7ED3"/>
    <w:rsid w:val="00AF0105"/>
    <w:rsid w:val="00AF03C2"/>
    <w:rsid w:val="00AF03FC"/>
    <w:rsid w:val="00AF0663"/>
    <w:rsid w:val="00AF06FE"/>
    <w:rsid w:val="00AF075C"/>
    <w:rsid w:val="00AF0797"/>
    <w:rsid w:val="00AF07DC"/>
    <w:rsid w:val="00AF08C5"/>
    <w:rsid w:val="00AF0C0E"/>
    <w:rsid w:val="00AF0D36"/>
    <w:rsid w:val="00AF1156"/>
    <w:rsid w:val="00AF120D"/>
    <w:rsid w:val="00AF12E8"/>
    <w:rsid w:val="00AF1370"/>
    <w:rsid w:val="00AF138A"/>
    <w:rsid w:val="00AF14E2"/>
    <w:rsid w:val="00AF1687"/>
    <w:rsid w:val="00AF16E1"/>
    <w:rsid w:val="00AF18D9"/>
    <w:rsid w:val="00AF18E6"/>
    <w:rsid w:val="00AF1AF5"/>
    <w:rsid w:val="00AF1BA1"/>
    <w:rsid w:val="00AF1EF7"/>
    <w:rsid w:val="00AF200C"/>
    <w:rsid w:val="00AF2131"/>
    <w:rsid w:val="00AF2132"/>
    <w:rsid w:val="00AF2146"/>
    <w:rsid w:val="00AF2553"/>
    <w:rsid w:val="00AF2621"/>
    <w:rsid w:val="00AF27F9"/>
    <w:rsid w:val="00AF2BD8"/>
    <w:rsid w:val="00AF2DE6"/>
    <w:rsid w:val="00AF2F35"/>
    <w:rsid w:val="00AF34EB"/>
    <w:rsid w:val="00AF34F7"/>
    <w:rsid w:val="00AF376E"/>
    <w:rsid w:val="00AF3A36"/>
    <w:rsid w:val="00AF3A4F"/>
    <w:rsid w:val="00AF3AE6"/>
    <w:rsid w:val="00AF3B67"/>
    <w:rsid w:val="00AF3F31"/>
    <w:rsid w:val="00AF3F9D"/>
    <w:rsid w:val="00AF3FE3"/>
    <w:rsid w:val="00AF4024"/>
    <w:rsid w:val="00AF40B9"/>
    <w:rsid w:val="00AF41CB"/>
    <w:rsid w:val="00AF4333"/>
    <w:rsid w:val="00AF43BE"/>
    <w:rsid w:val="00AF445F"/>
    <w:rsid w:val="00AF4687"/>
    <w:rsid w:val="00AF4720"/>
    <w:rsid w:val="00AF4725"/>
    <w:rsid w:val="00AF474F"/>
    <w:rsid w:val="00AF4790"/>
    <w:rsid w:val="00AF48E3"/>
    <w:rsid w:val="00AF4960"/>
    <w:rsid w:val="00AF49F3"/>
    <w:rsid w:val="00AF4A8E"/>
    <w:rsid w:val="00AF4AC2"/>
    <w:rsid w:val="00AF4DE5"/>
    <w:rsid w:val="00AF4EAB"/>
    <w:rsid w:val="00AF4F83"/>
    <w:rsid w:val="00AF5086"/>
    <w:rsid w:val="00AF51C4"/>
    <w:rsid w:val="00AF51D6"/>
    <w:rsid w:val="00AF536D"/>
    <w:rsid w:val="00AF54FF"/>
    <w:rsid w:val="00AF56B0"/>
    <w:rsid w:val="00AF5786"/>
    <w:rsid w:val="00AF580E"/>
    <w:rsid w:val="00AF5948"/>
    <w:rsid w:val="00AF59C4"/>
    <w:rsid w:val="00AF5A8E"/>
    <w:rsid w:val="00AF5D1A"/>
    <w:rsid w:val="00AF5D77"/>
    <w:rsid w:val="00AF5DAC"/>
    <w:rsid w:val="00AF5E09"/>
    <w:rsid w:val="00AF5EFF"/>
    <w:rsid w:val="00AF608A"/>
    <w:rsid w:val="00AF6280"/>
    <w:rsid w:val="00AF62B8"/>
    <w:rsid w:val="00AF6446"/>
    <w:rsid w:val="00AF67F5"/>
    <w:rsid w:val="00AF6938"/>
    <w:rsid w:val="00AF69CD"/>
    <w:rsid w:val="00AF6E0C"/>
    <w:rsid w:val="00AF6E37"/>
    <w:rsid w:val="00AF6E97"/>
    <w:rsid w:val="00AF6FAE"/>
    <w:rsid w:val="00AF7004"/>
    <w:rsid w:val="00AF7025"/>
    <w:rsid w:val="00AF7083"/>
    <w:rsid w:val="00AF7085"/>
    <w:rsid w:val="00AF726D"/>
    <w:rsid w:val="00AF7460"/>
    <w:rsid w:val="00AF7488"/>
    <w:rsid w:val="00AF759C"/>
    <w:rsid w:val="00AF7855"/>
    <w:rsid w:val="00AF7882"/>
    <w:rsid w:val="00AF79A0"/>
    <w:rsid w:val="00AF79FC"/>
    <w:rsid w:val="00AF7D27"/>
    <w:rsid w:val="00AF7DE4"/>
    <w:rsid w:val="00AF7EC1"/>
    <w:rsid w:val="00AFC100"/>
    <w:rsid w:val="00B0009A"/>
    <w:rsid w:val="00B00174"/>
    <w:rsid w:val="00B00229"/>
    <w:rsid w:val="00B00286"/>
    <w:rsid w:val="00B00387"/>
    <w:rsid w:val="00B0038D"/>
    <w:rsid w:val="00B003B9"/>
    <w:rsid w:val="00B003F5"/>
    <w:rsid w:val="00B00448"/>
    <w:rsid w:val="00B004C8"/>
    <w:rsid w:val="00B00637"/>
    <w:rsid w:val="00B008F4"/>
    <w:rsid w:val="00B00967"/>
    <w:rsid w:val="00B00A2D"/>
    <w:rsid w:val="00B00BBB"/>
    <w:rsid w:val="00B00E07"/>
    <w:rsid w:val="00B00E9D"/>
    <w:rsid w:val="00B01296"/>
    <w:rsid w:val="00B01399"/>
    <w:rsid w:val="00B0148C"/>
    <w:rsid w:val="00B016A0"/>
    <w:rsid w:val="00B017EE"/>
    <w:rsid w:val="00B01BDE"/>
    <w:rsid w:val="00B01CF4"/>
    <w:rsid w:val="00B01E4B"/>
    <w:rsid w:val="00B020A5"/>
    <w:rsid w:val="00B022CE"/>
    <w:rsid w:val="00B0236D"/>
    <w:rsid w:val="00B024E0"/>
    <w:rsid w:val="00B025D8"/>
    <w:rsid w:val="00B02687"/>
    <w:rsid w:val="00B02754"/>
    <w:rsid w:val="00B029C4"/>
    <w:rsid w:val="00B02AD8"/>
    <w:rsid w:val="00B02B63"/>
    <w:rsid w:val="00B02D64"/>
    <w:rsid w:val="00B02D96"/>
    <w:rsid w:val="00B02EA8"/>
    <w:rsid w:val="00B02F7C"/>
    <w:rsid w:val="00B030A8"/>
    <w:rsid w:val="00B03147"/>
    <w:rsid w:val="00B032A1"/>
    <w:rsid w:val="00B0344F"/>
    <w:rsid w:val="00B03851"/>
    <w:rsid w:val="00B03893"/>
    <w:rsid w:val="00B03956"/>
    <w:rsid w:val="00B03986"/>
    <w:rsid w:val="00B03A10"/>
    <w:rsid w:val="00B03A70"/>
    <w:rsid w:val="00B03B59"/>
    <w:rsid w:val="00B03C03"/>
    <w:rsid w:val="00B03C87"/>
    <w:rsid w:val="00B03E4B"/>
    <w:rsid w:val="00B03F2B"/>
    <w:rsid w:val="00B044C8"/>
    <w:rsid w:val="00B0452B"/>
    <w:rsid w:val="00B04655"/>
    <w:rsid w:val="00B047E7"/>
    <w:rsid w:val="00B04817"/>
    <w:rsid w:val="00B04829"/>
    <w:rsid w:val="00B0490D"/>
    <w:rsid w:val="00B0499D"/>
    <w:rsid w:val="00B04A12"/>
    <w:rsid w:val="00B04A79"/>
    <w:rsid w:val="00B04D84"/>
    <w:rsid w:val="00B04EFA"/>
    <w:rsid w:val="00B04FC5"/>
    <w:rsid w:val="00B0519A"/>
    <w:rsid w:val="00B0519F"/>
    <w:rsid w:val="00B0520A"/>
    <w:rsid w:val="00B0528B"/>
    <w:rsid w:val="00B0528E"/>
    <w:rsid w:val="00B052F3"/>
    <w:rsid w:val="00B0538A"/>
    <w:rsid w:val="00B0548B"/>
    <w:rsid w:val="00B05647"/>
    <w:rsid w:val="00B0564E"/>
    <w:rsid w:val="00B05653"/>
    <w:rsid w:val="00B0568E"/>
    <w:rsid w:val="00B05836"/>
    <w:rsid w:val="00B05962"/>
    <w:rsid w:val="00B059EA"/>
    <w:rsid w:val="00B05A46"/>
    <w:rsid w:val="00B05AD7"/>
    <w:rsid w:val="00B05C0A"/>
    <w:rsid w:val="00B05D3C"/>
    <w:rsid w:val="00B05E30"/>
    <w:rsid w:val="00B05F0E"/>
    <w:rsid w:val="00B0600A"/>
    <w:rsid w:val="00B0612D"/>
    <w:rsid w:val="00B061B1"/>
    <w:rsid w:val="00B06283"/>
    <w:rsid w:val="00B064E4"/>
    <w:rsid w:val="00B06584"/>
    <w:rsid w:val="00B0661B"/>
    <w:rsid w:val="00B0671F"/>
    <w:rsid w:val="00B067BF"/>
    <w:rsid w:val="00B0693B"/>
    <w:rsid w:val="00B06D14"/>
    <w:rsid w:val="00B06D32"/>
    <w:rsid w:val="00B06ED8"/>
    <w:rsid w:val="00B070A9"/>
    <w:rsid w:val="00B072C3"/>
    <w:rsid w:val="00B073AB"/>
    <w:rsid w:val="00B073D4"/>
    <w:rsid w:val="00B074E0"/>
    <w:rsid w:val="00B07509"/>
    <w:rsid w:val="00B07647"/>
    <w:rsid w:val="00B076A0"/>
    <w:rsid w:val="00B07782"/>
    <w:rsid w:val="00B100CC"/>
    <w:rsid w:val="00B10274"/>
    <w:rsid w:val="00B10566"/>
    <w:rsid w:val="00B1079E"/>
    <w:rsid w:val="00B10CC5"/>
    <w:rsid w:val="00B1114F"/>
    <w:rsid w:val="00B112C1"/>
    <w:rsid w:val="00B113D6"/>
    <w:rsid w:val="00B11486"/>
    <w:rsid w:val="00B11588"/>
    <w:rsid w:val="00B115A8"/>
    <w:rsid w:val="00B116E8"/>
    <w:rsid w:val="00B11773"/>
    <w:rsid w:val="00B1186E"/>
    <w:rsid w:val="00B1189A"/>
    <w:rsid w:val="00B11901"/>
    <w:rsid w:val="00B1192F"/>
    <w:rsid w:val="00B119A4"/>
    <w:rsid w:val="00B11AB3"/>
    <w:rsid w:val="00B11C87"/>
    <w:rsid w:val="00B11D67"/>
    <w:rsid w:val="00B11F78"/>
    <w:rsid w:val="00B121E9"/>
    <w:rsid w:val="00B124A7"/>
    <w:rsid w:val="00B12751"/>
    <w:rsid w:val="00B127DA"/>
    <w:rsid w:val="00B12881"/>
    <w:rsid w:val="00B12DB3"/>
    <w:rsid w:val="00B13430"/>
    <w:rsid w:val="00B1374C"/>
    <w:rsid w:val="00B13817"/>
    <w:rsid w:val="00B138DC"/>
    <w:rsid w:val="00B1390E"/>
    <w:rsid w:val="00B13A2B"/>
    <w:rsid w:val="00B13BD1"/>
    <w:rsid w:val="00B13D47"/>
    <w:rsid w:val="00B13E86"/>
    <w:rsid w:val="00B13F47"/>
    <w:rsid w:val="00B149E8"/>
    <w:rsid w:val="00B14B03"/>
    <w:rsid w:val="00B14B2B"/>
    <w:rsid w:val="00B14F5B"/>
    <w:rsid w:val="00B152D1"/>
    <w:rsid w:val="00B15523"/>
    <w:rsid w:val="00B1559B"/>
    <w:rsid w:val="00B15607"/>
    <w:rsid w:val="00B15716"/>
    <w:rsid w:val="00B157BD"/>
    <w:rsid w:val="00B157DB"/>
    <w:rsid w:val="00B15B48"/>
    <w:rsid w:val="00B15C89"/>
    <w:rsid w:val="00B15CD6"/>
    <w:rsid w:val="00B15F02"/>
    <w:rsid w:val="00B15F51"/>
    <w:rsid w:val="00B16084"/>
    <w:rsid w:val="00B1612D"/>
    <w:rsid w:val="00B161A9"/>
    <w:rsid w:val="00B16468"/>
    <w:rsid w:val="00B16508"/>
    <w:rsid w:val="00B16571"/>
    <w:rsid w:val="00B1657D"/>
    <w:rsid w:val="00B1669C"/>
    <w:rsid w:val="00B167BD"/>
    <w:rsid w:val="00B16863"/>
    <w:rsid w:val="00B1686D"/>
    <w:rsid w:val="00B168BC"/>
    <w:rsid w:val="00B168FF"/>
    <w:rsid w:val="00B169D9"/>
    <w:rsid w:val="00B16AC0"/>
    <w:rsid w:val="00B16D9C"/>
    <w:rsid w:val="00B16F30"/>
    <w:rsid w:val="00B172DF"/>
    <w:rsid w:val="00B17AEA"/>
    <w:rsid w:val="00B17B71"/>
    <w:rsid w:val="00B17F50"/>
    <w:rsid w:val="00B20125"/>
    <w:rsid w:val="00B20272"/>
    <w:rsid w:val="00B202E1"/>
    <w:rsid w:val="00B2034F"/>
    <w:rsid w:val="00B204C3"/>
    <w:rsid w:val="00B204C4"/>
    <w:rsid w:val="00B204F7"/>
    <w:rsid w:val="00B20815"/>
    <w:rsid w:val="00B208E5"/>
    <w:rsid w:val="00B208EB"/>
    <w:rsid w:val="00B20921"/>
    <w:rsid w:val="00B20A96"/>
    <w:rsid w:val="00B20B72"/>
    <w:rsid w:val="00B20D5F"/>
    <w:rsid w:val="00B2113A"/>
    <w:rsid w:val="00B2135F"/>
    <w:rsid w:val="00B2144A"/>
    <w:rsid w:val="00B21B34"/>
    <w:rsid w:val="00B21B9D"/>
    <w:rsid w:val="00B21BF4"/>
    <w:rsid w:val="00B21D8C"/>
    <w:rsid w:val="00B21F51"/>
    <w:rsid w:val="00B21FD0"/>
    <w:rsid w:val="00B2229A"/>
    <w:rsid w:val="00B2238A"/>
    <w:rsid w:val="00B223EB"/>
    <w:rsid w:val="00B224B1"/>
    <w:rsid w:val="00B22586"/>
    <w:rsid w:val="00B2279E"/>
    <w:rsid w:val="00B22978"/>
    <w:rsid w:val="00B22980"/>
    <w:rsid w:val="00B229AB"/>
    <w:rsid w:val="00B22CE0"/>
    <w:rsid w:val="00B22DA8"/>
    <w:rsid w:val="00B23131"/>
    <w:rsid w:val="00B23188"/>
    <w:rsid w:val="00B233AC"/>
    <w:rsid w:val="00B23517"/>
    <w:rsid w:val="00B23708"/>
    <w:rsid w:val="00B2381D"/>
    <w:rsid w:val="00B23852"/>
    <w:rsid w:val="00B23990"/>
    <w:rsid w:val="00B23C23"/>
    <w:rsid w:val="00B24061"/>
    <w:rsid w:val="00B2408F"/>
    <w:rsid w:val="00B24140"/>
    <w:rsid w:val="00B242BE"/>
    <w:rsid w:val="00B2430B"/>
    <w:rsid w:val="00B24456"/>
    <w:rsid w:val="00B2451A"/>
    <w:rsid w:val="00B24796"/>
    <w:rsid w:val="00B247BE"/>
    <w:rsid w:val="00B248C6"/>
    <w:rsid w:val="00B249EF"/>
    <w:rsid w:val="00B24B48"/>
    <w:rsid w:val="00B24CCE"/>
    <w:rsid w:val="00B24D8A"/>
    <w:rsid w:val="00B24E64"/>
    <w:rsid w:val="00B24EA0"/>
    <w:rsid w:val="00B24EA2"/>
    <w:rsid w:val="00B24F6A"/>
    <w:rsid w:val="00B251D8"/>
    <w:rsid w:val="00B252BD"/>
    <w:rsid w:val="00B255BC"/>
    <w:rsid w:val="00B25A08"/>
    <w:rsid w:val="00B25B8A"/>
    <w:rsid w:val="00B25EB8"/>
    <w:rsid w:val="00B25F92"/>
    <w:rsid w:val="00B260E3"/>
    <w:rsid w:val="00B2623A"/>
    <w:rsid w:val="00B262A4"/>
    <w:rsid w:val="00B26367"/>
    <w:rsid w:val="00B26AD5"/>
    <w:rsid w:val="00B26CB9"/>
    <w:rsid w:val="00B26D5D"/>
    <w:rsid w:val="00B26ED3"/>
    <w:rsid w:val="00B26EDE"/>
    <w:rsid w:val="00B26EDF"/>
    <w:rsid w:val="00B26F89"/>
    <w:rsid w:val="00B27215"/>
    <w:rsid w:val="00B273DF"/>
    <w:rsid w:val="00B273E7"/>
    <w:rsid w:val="00B27619"/>
    <w:rsid w:val="00B2775A"/>
    <w:rsid w:val="00B27836"/>
    <w:rsid w:val="00B27AED"/>
    <w:rsid w:val="00B27C42"/>
    <w:rsid w:val="00B27D3E"/>
    <w:rsid w:val="00B27E15"/>
    <w:rsid w:val="00B27E95"/>
    <w:rsid w:val="00B27F29"/>
    <w:rsid w:val="00B27FB7"/>
    <w:rsid w:val="00B30073"/>
    <w:rsid w:val="00B30242"/>
    <w:rsid w:val="00B3031C"/>
    <w:rsid w:val="00B304B2"/>
    <w:rsid w:val="00B30660"/>
    <w:rsid w:val="00B308AF"/>
    <w:rsid w:val="00B30924"/>
    <w:rsid w:val="00B309EC"/>
    <w:rsid w:val="00B30A99"/>
    <w:rsid w:val="00B30B30"/>
    <w:rsid w:val="00B30C72"/>
    <w:rsid w:val="00B30D25"/>
    <w:rsid w:val="00B30D61"/>
    <w:rsid w:val="00B30F76"/>
    <w:rsid w:val="00B31124"/>
    <w:rsid w:val="00B312A3"/>
    <w:rsid w:val="00B314A5"/>
    <w:rsid w:val="00B314DB"/>
    <w:rsid w:val="00B3181F"/>
    <w:rsid w:val="00B31913"/>
    <w:rsid w:val="00B31EFB"/>
    <w:rsid w:val="00B31FDB"/>
    <w:rsid w:val="00B3204E"/>
    <w:rsid w:val="00B321FF"/>
    <w:rsid w:val="00B32323"/>
    <w:rsid w:val="00B32582"/>
    <w:rsid w:val="00B32677"/>
    <w:rsid w:val="00B32752"/>
    <w:rsid w:val="00B32942"/>
    <w:rsid w:val="00B32DB4"/>
    <w:rsid w:val="00B3313B"/>
    <w:rsid w:val="00B335A2"/>
    <w:rsid w:val="00B33636"/>
    <w:rsid w:val="00B337DF"/>
    <w:rsid w:val="00B33E59"/>
    <w:rsid w:val="00B340C2"/>
    <w:rsid w:val="00B34122"/>
    <w:rsid w:val="00B342D4"/>
    <w:rsid w:val="00B343D2"/>
    <w:rsid w:val="00B3452B"/>
    <w:rsid w:val="00B345B1"/>
    <w:rsid w:val="00B3496E"/>
    <w:rsid w:val="00B349C5"/>
    <w:rsid w:val="00B349E6"/>
    <w:rsid w:val="00B349F6"/>
    <w:rsid w:val="00B34A3E"/>
    <w:rsid w:val="00B34C0F"/>
    <w:rsid w:val="00B34D39"/>
    <w:rsid w:val="00B34DA3"/>
    <w:rsid w:val="00B34EB7"/>
    <w:rsid w:val="00B34F58"/>
    <w:rsid w:val="00B34FF3"/>
    <w:rsid w:val="00B351A0"/>
    <w:rsid w:val="00B3540C"/>
    <w:rsid w:val="00B35688"/>
    <w:rsid w:val="00B35774"/>
    <w:rsid w:val="00B35803"/>
    <w:rsid w:val="00B358A1"/>
    <w:rsid w:val="00B35B46"/>
    <w:rsid w:val="00B35BE7"/>
    <w:rsid w:val="00B35C2D"/>
    <w:rsid w:val="00B35EA2"/>
    <w:rsid w:val="00B36068"/>
    <w:rsid w:val="00B3611C"/>
    <w:rsid w:val="00B3658C"/>
    <w:rsid w:val="00B366AD"/>
    <w:rsid w:val="00B36959"/>
    <w:rsid w:val="00B3699A"/>
    <w:rsid w:val="00B36A11"/>
    <w:rsid w:val="00B36A28"/>
    <w:rsid w:val="00B36A84"/>
    <w:rsid w:val="00B36B5D"/>
    <w:rsid w:val="00B36C0E"/>
    <w:rsid w:val="00B36CDE"/>
    <w:rsid w:val="00B36DE2"/>
    <w:rsid w:val="00B36E82"/>
    <w:rsid w:val="00B36F3A"/>
    <w:rsid w:val="00B3702E"/>
    <w:rsid w:val="00B370CD"/>
    <w:rsid w:val="00B37413"/>
    <w:rsid w:val="00B3745C"/>
    <w:rsid w:val="00B3745D"/>
    <w:rsid w:val="00B374DF"/>
    <w:rsid w:val="00B37A2C"/>
    <w:rsid w:val="00B37EA9"/>
    <w:rsid w:val="00B3C870"/>
    <w:rsid w:val="00B40108"/>
    <w:rsid w:val="00B4010B"/>
    <w:rsid w:val="00B40152"/>
    <w:rsid w:val="00B40210"/>
    <w:rsid w:val="00B403A0"/>
    <w:rsid w:val="00B403E3"/>
    <w:rsid w:val="00B4053C"/>
    <w:rsid w:val="00B406C3"/>
    <w:rsid w:val="00B4073B"/>
    <w:rsid w:val="00B4096D"/>
    <w:rsid w:val="00B409A7"/>
    <w:rsid w:val="00B40A87"/>
    <w:rsid w:val="00B40F77"/>
    <w:rsid w:val="00B41077"/>
    <w:rsid w:val="00B410C3"/>
    <w:rsid w:val="00B411C3"/>
    <w:rsid w:val="00B41267"/>
    <w:rsid w:val="00B41530"/>
    <w:rsid w:val="00B415AC"/>
    <w:rsid w:val="00B41839"/>
    <w:rsid w:val="00B4197D"/>
    <w:rsid w:val="00B419C8"/>
    <w:rsid w:val="00B41A21"/>
    <w:rsid w:val="00B41AD9"/>
    <w:rsid w:val="00B41BC3"/>
    <w:rsid w:val="00B41C3B"/>
    <w:rsid w:val="00B41C41"/>
    <w:rsid w:val="00B41CA1"/>
    <w:rsid w:val="00B41D05"/>
    <w:rsid w:val="00B41D41"/>
    <w:rsid w:val="00B41EBE"/>
    <w:rsid w:val="00B420B1"/>
    <w:rsid w:val="00B42148"/>
    <w:rsid w:val="00B4214A"/>
    <w:rsid w:val="00B421DD"/>
    <w:rsid w:val="00B422BF"/>
    <w:rsid w:val="00B423B1"/>
    <w:rsid w:val="00B42493"/>
    <w:rsid w:val="00B4267C"/>
    <w:rsid w:val="00B4281E"/>
    <w:rsid w:val="00B429A0"/>
    <w:rsid w:val="00B42BCC"/>
    <w:rsid w:val="00B42F2B"/>
    <w:rsid w:val="00B42F5E"/>
    <w:rsid w:val="00B43134"/>
    <w:rsid w:val="00B4313D"/>
    <w:rsid w:val="00B432CF"/>
    <w:rsid w:val="00B4334C"/>
    <w:rsid w:val="00B43360"/>
    <w:rsid w:val="00B43437"/>
    <w:rsid w:val="00B434A6"/>
    <w:rsid w:val="00B4356C"/>
    <w:rsid w:val="00B437FD"/>
    <w:rsid w:val="00B43819"/>
    <w:rsid w:val="00B43B76"/>
    <w:rsid w:val="00B43C77"/>
    <w:rsid w:val="00B43E1A"/>
    <w:rsid w:val="00B43F7A"/>
    <w:rsid w:val="00B44293"/>
    <w:rsid w:val="00B442A4"/>
    <w:rsid w:val="00B44474"/>
    <w:rsid w:val="00B44592"/>
    <w:rsid w:val="00B4459C"/>
    <w:rsid w:val="00B448BE"/>
    <w:rsid w:val="00B448F7"/>
    <w:rsid w:val="00B44F9D"/>
    <w:rsid w:val="00B45132"/>
    <w:rsid w:val="00B45180"/>
    <w:rsid w:val="00B45245"/>
    <w:rsid w:val="00B452C1"/>
    <w:rsid w:val="00B45394"/>
    <w:rsid w:val="00B45481"/>
    <w:rsid w:val="00B455C0"/>
    <w:rsid w:val="00B45782"/>
    <w:rsid w:val="00B45AAF"/>
    <w:rsid w:val="00B45B28"/>
    <w:rsid w:val="00B45B60"/>
    <w:rsid w:val="00B45D19"/>
    <w:rsid w:val="00B460A5"/>
    <w:rsid w:val="00B46311"/>
    <w:rsid w:val="00B463CC"/>
    <w:rsid w:val="00B46472"/>
    <w:rsid w:val="00B466CA"/>
    <w:rsid w:val="00B4691D"/>
    <w:rsid w:val="00B46929"/>
    <w:rsid w:val="00B469E9"/>
    <w:rsid w:val="00B46BF2"/>
    <w:rsid w:val="00B46CAD"/>
    <w:rsid w:val="00B46CEE"/>
    <w:rsid w:val="00B46E00"/>
    <w:rsid w:val="00B46EF3"/>
    <w:rsid w:val="00B47033"/>
    <w:rsid w:val="00B47155"/>
    <w:rsid w:val="00B47185"/>
    <w:rsid w:val="00B472B5"/>
    <w:rsid w:val="00B472BD"/>
    <w:rsid w:val="00B472D7"/>
    <w:rsid w:val="00B4732B"/>
    <w:rsid w:val="00B473BE"/>
    <w:rsid w:val="00B474A0"/>
    <w:rsid w:val="00B474D5"/>
    <w:rsid w:val="00B474E0"/>
    <w:rsid w:val="00B474EB"/>
    <w:rsid w:val="00B476AD"/>
    <w:rsid w:val="00B47D1B"/>
    <w:rsid w:val="00B47DD0"/>
    <w:rsid w:val="00B47F8A"/>
    <w:rsid w:val="00B47F91"/>
    <w:rsid w:val="00B503DA"/>
    <w:rsid w:val="00B5050A"/>
    <w:rsid w:val="00B50590"/>
    <w:rsid w:val="00B50A7B"/>
    <w:rsid w:val="00B50BB6"/>
    <w:rsid w:val="00B50E83"/>
    <w:rsid w:val="00B50FAA"/>
    <w:rsid w:val="00B511E2"/>
    <w:rsid w:val="00B5127E"/>
    <w:rsid w:val="00B5130C"/>
    <w:rsid w:val="00B5171F"/>
    <w:rsid w:val="00B519B9"/>
    <w:rsid w:val="00B51F69"/>
    <w:rsid w:val="00B52022"/>
    <w:rsid w:val="00B521A7"/>
    <w:rsid w:val="00B52287"/>
    <w:rsid w:val="00B52368"/>
    <w:rsid w:val="00B523B8"/>
    <w:rsid w:val="00B52714"/>
    <w:rsid w:val="00B5293E"/>
    <w:rsid w:val="00B52981"/>
    <w:rsid w:val="00B529C8"/>
    <w:rsid w:val="00B52BE9"/>
    <w:rsid w:val="00B52FDC"/>
    <w:rsid w:val="00B53176"/>
    <w:rsid w:val="00B532E3"/>
    <w:rsid w:val="00B532EF"/>
    <w:rsid w:val="00B5332A"/>
    <w:rsid w:val="00B534DF"/>
    <w:rsid w:val="00B53551"/>
    <w:rsid w:val="00B5365E"/>
    <w:rsid w:val="00B539EF"/>
    <w:rsid w:val="00B53A50"/>
    <w:rsid w:val="00B53B91"/>
    <w:rsid w:val="00B53C89"/>
    <w:rsid w:val="00B53D09"/>
    <w:rsid w:val="00B53EB0"/>
    <w:rsid w:val="00B53F2A"/>
    <w:rsid w:val="00B53FAB"/>
    <w:rsid w:val="00B53FD5"/>
    <w:rsid w:val="00B53FFC"/>
    <w:rsid w:val="00B5400D"/>
    <w:rsid w:val="00B54059"/>
    <w:rsid w:val="00B540DC"/>
    <w:rsid w:val="00B541AD"/>
    <w:rsid w:val="00B5435A"/>
    <w:rsid w:val="00B543D3"/>
    <w:rsid w:val="00B549E7"/>
    <w:rsid w:val="00B54A81"/>
    <w:rsid w:val="00B54B3C"/>
    <w:rsid w:val="00B54D7E"/>
    <w:rsid w:val="00B54E22"/>
    <w:rsid w:val="00B54E64"/>
    <w:rsid w:val="00B54F20"/>
    <w:rsid w:val="00B54FC4"/>
    <w:rsid w:val="00B5528A"/>
    <w:rsid w:val="00B554E6"/>
    <w:rsid w:val="00B555E5"/>
    <w:rsid w:val="00B556F6"/>
    <w:rsid w:val="00B55747"/>
    <w:rsid w:val="00B5583B"/>
    <w:rsid w:val="00B558CF"/>
    <w:rsid w:val="00B55C2E"/>
    <w:rsid w:val="00B560AC"/>
    <w:rsid w:val="00B5639B"/>
    <w:rsid w:val="00B567E6"/>
    <w:rsid w:val="00B56A4C"/>
    <w:rsid w:val="00B56B82"/>
    <w:rsid w:val="00B56C73"/>
    <w:rsid w:val="00B56D23"/>
    <w:rsid w:val="00B5730E"/>
    <w:rsid w:val="00B576D2"/>
    <w:rsid w:val="00B5778B"/>
    <w:rsid w:val="00B577D6"/>
    <w:rsid w:val="00B5781E"/>
    <w:rsid w:val="00B57833"/>
    <w:rsid w:val="00B578BE"/>
    <w:rsid w:val="00B578FC"/>
    <w:rsid w:val="00B57A2B"/>
    <w:rsid w:val="00B57CB2"/>
    <w:rsid w:val="00B57E0B"/>
    <w:rsid w:val="00B57EC1"/>
    <w:rsid w:val="00B60096"/>
    <w:rsid w:val="00B6013B"/>
    <w:rsid w:val="00B602EE"/>
    <w:rsid w:val="00B60581"/>
    <w:rsid w:val="00B60653"/>
    <w:rsid w:val="00B606CD"/>
    <w:rsid w:val="00B607E9"/>
    <w:rsid w:val="00B60A23"/>
    <w:rsid w:val="00B60A78"/>
    <w:rsid w:val="00B60A95"/>
    <w:rsid w:val="00B6125C"/>
    <w:rsid w:val="00B612AD"/>
    <w:rsid w:val="00B61302"/>
    <w:rsid w:val="00B61385"/>
    <w:rsid w:val="00B61534"/>
    <w:rsid w:val="00B61596"/>
    <w:rsid w:val="00B61684"/>
    <w:rsid w:val="00B61801"/>
    <w:rsid w:val="00B61834"/>
    <w:rsid w:val="00B61841"/>
    <w:rsid w:val="00B619DC"/>
    <w:rsid w:val="00B61AC7"/>
    <w:rsid w:val="00B61C0E"/>
    <w:rsid w:val="00B61D53"/>
    <w:rsid w:val="00B61F2A"/>
    <w:rsid w:val="00B61FC9"/>
    <w:rsid w:val="00B62041"/>
    <w:rsid w:val="00B6207E"/>
    <w:rsid w:val="00B6211A"/>
    <w:rsid w:val="00B622B7"/>
    <w:rsid w:val="00B622E7"/>
    <w:rsid w:val="00B624FA"/>
    <w:rsid w:val="00B625F0"/>
    <w:rsid w:val="00B626B8"/>
    <w:rsid w:val="00B6272B"/>
    <w:rsid w:val="00B62783"/>
    <w:rsid w:val="00B62ABB"/>
    <w:rsid w:val="00B62E53"/>
    <w:rsid w:val="00B62F3E"/>
    <w:rsid w:val="00B63292"/>
    <w:rsid w:val="00B632DF"/>
    <w:rsid w:val="00B63773"/>
    <w:rsid w:val="00B63AC8"/>
    <w:rsid w:val="00B63AEB"/>
    <w:rsid w:val="00B63B11"/>
    <w:rsid w:val="00B63BDA"/>
    <w:rsid w:val="00B63BFD"/>
    <w:rsid w:val="00B63D6F"/>
    <w:rsid w:val="00B63F18"/>
    <w:rsid w:val="00B63F27"/>
    <w:rsid w:val="00B64048"/>
    <w:rsid w:val="00B6433B"/>
    <w:rsid w:val="00B6435B"/>
    <w:rsid w:val="00B644F7"/>
    <w:rsid w:val="00B646AD"/>
    <w:rsid w:val="00B646DD"/>
    <w:rsid w:val="00B648AA"/>
    <w:rsid w:val="00B64A5D"/>
    <w:rsid w:val="00B64A6C"/>
    <w:rsid w:val="00B64AE4"/>
    <w:rsid w:val="00B64C29"/>
    <w:rsid w:val="00B64DDB"/>
    <w:rsid w:val="00B65084"/>
    <w:rsid w:val="00B650D3"/>
    <w:rsid w:val="00B65133"/>
    <w:rsid w:val="00B65403"/>
    <w:rsid w:val="00B654CD"/>
    <w:rsid w:val="00B65938"/>
    <w:rsid w:val="00B659B9"/>
    <w:rsid w:val="00B65A5B"/>
    <w:rsid w:val="00B65C02"/>
    <w:rsid w:val="00B65D10"/>
    <w:rsid w:val="00B65D28"/>
    <w:rsid w:val="00B66442"/>
    <w:rsid w:val="00B66567"/>
    <w:rsid w:val="00B66586"/>
    <w:rsid w:val="00B666F3"/>
    <w:rsid w:val="00B66744"/>
    <w:rsid w:val="00B6689D"/>
    <w:rsid w:val="00B668C2"/>
    <w:rsid w:val="00B66BE2"/>
    <w:rsid w:val="00B66CAF"/>
    <w:rsid w:val="00B66D00"/>
    <w:rsid w:val="00B66DDF"/>
    <w:rsid w:val="00B67411"/>
    <w:rsid w:val="00B67656"/>
    <w:rsid w:val="00B67696"/>
    <w:rsid w:val="00B6775B"/>
    <w:rsid w:val="00B677D8"/>
    <w:rsid w:val="00B67D1F"/>
    <w:rsid w:val="00B67D40"/>
    <w:rsid w:val="00B67DC8"/>
    <w:rsid w:val="00B7019F"/>
    <w:rsid w:val="00B70286"/>
    <w:rsid w:val="00B7033C"/>
    <w:rsid w:val="00B703D7"/>
    <w:rsid w:val="00B703DD"/>
    <w:rsid w:val="00B704EC"/>
    <w:rsid w:val="00B7055B"/>
    <w:rsid w:val="00B70834"/>
    <w:rsid w:val="00B70B26"/>
    <w:rsid w:val="00B70C02"/>
    <w:rsid w:val="00B70C5C"/>
    <w:rsid w:val="00B70D8D"/>
    <w:rsid w:val="00B70E0B"/>
    <w:rsid w:val="00B70EAA"/>
    <w:rsid w:val="00B70EB7"/>
    <w:rsid w:val="00B70ECA"/>
    <w:rsid w:val="00B71154"/>
    <w:rsid w:val="00B7132E"/>
    <w:rsid w:val="00B71688"/>
    <w:rsid w:val="00B71A54"/>
    <w:rsid w:val="00B71B67"/>
    <w:rsid w:val="00B71BEB"/>
    <w:rsid w:val="00B71C17"/>
    <w:rsid w:val="00B71FAA"/>
    <w:rsid w:val="00B7202F"/>
    <w:rsid w:val="00B7205E"/>
    <w:rsid w:val="00B72152"/>
    <w:rsid w:val="00B72368"/>
    <w:rsid w:val="00B725C3"/>
    <w:rsid w:val="00B7265B"/>
    <w:rsid w:val="00B726E9"/>
    <w:rsid w:val="00B7271A"/>
    <w:rsid w:val="00B72773"/>
    <w:rsid w:val="00B72863"/>
    <w:rsid w:val="00B72A29"/>
    <w:rsid w:val="00B72B03"/>
    <w:rsid w:val="00B72B46"/>
    <w:rsid w:val="00B72C1D"/>
    <w:rsid w:val="00B72C3E"/>
    <w:rsid w:val="00B72D2C"/>
    <w:rsid w:val="00B72D85"/>
    <w:rsid w:val="00B72E1C"/>
    <w:rsid w:val="00B72EFE"/>
    <w:rsid w:val="00B7307B"/>
    <w:rsid w:val="00B7308E"/>
    <w:rsid w:val="00B7310F"/>
    <w:rsid w:val="00B7319E"/>
    <w:rsid w:val="00B733BE"/>
    <w:rsid w:val="00B7344D"/>
    <w:rsid w:val="00B7344E"/>
    <w:rsid w:val="00B73484"/>
    <w:rsid w:val="00B7357C"/>
    <w:rsid w:val="00B735DE"/>
    <w:rsid w:val="00B73920"/>
    <w:rsid w:val="00B73B06"/>
    <w:rsid w:val="00B73B09"/>
    <w:rsid w:val="00B73B9C"/>
    <w:rsid w:val="00B73D3F"/>
    <w:rsid w:val="00B73EA8"/>
    <w:rsid w:val="00B7416B"/>
    <w:rsid w:val="00B741AA"/>
    <w:rsid w:val="00B74200"/>
    <w:rsid w:val="00B74441"/>
    <w:rsid w:val="00B74768"/>
    <w:rsid w:val="00B7498C"/>
    <w:rsid w:val="00B74AF3"/>
    <w:rsid w:val="00B74B02"/>
    <w:rsid w:val="00B74C01"/>
    <w:rsid w:val="00B74D09"/>
    <w:rsid w:val="00B750E7"/>
    <w:rsid w:val="00B751C8"/>
    <w:rsid w:val="00B7530D"/>
    <w:rsid w:val="00B7540A"/>
    <w:rsid w:val="00B75766"/>
    <w:rsid w:val="00B75A7C"/>
    <w:rsid w:val="00B75CF8"/>
    <w:rsid w:val="00B75E16"/>
    <w:rsid w:val="00B75E1B"/>
    <w:rsid w:val="00B762DB"/>
    <w:rsid w:val="00B766DC"/>
    <w:rsid w:val="00B76729"/>
    <w:rsid w:val="00B76750"/>
    <w:rsid w:val="00B76795"/>
    <w:rsid w:val="00B76A34"/>
    <w:rsid w:val="00B76A3E"/>
    <w:rsid w:val="00B76B8D"/>
    <w:rsid w:val="00B76C2C"/>
    <w:rsid w:val="00B76F5E"/>
    <w:rsid w:val="00B76F68"/>
    <w:rsid w:val="00B770FB"/>
    <w:rsid w:val="00B77141"/>
    <w:rsid w:val="00B7715D"/>
    <w:rsid w:val="00B771B6"/>
    <w:rsid w:val="00B77261"/>
    <w:rsid w:val="00B773F2"/>
    <w:rsid w:val="00B7743E"/>
    <w:rsid w:val="00B776AC"/>
    <w:rsid w:val="00B77D60"/>
    <w:rsid w:val="00B77DBE"/>
    <w:rsid w:val="00B77EBD"/>
    <w:rsid w:val="00B800D5"/>
    <w:rsid w:val="00B801B9"/>
    <w:rsid w:val="00B80294"/>
    <w:rsid w:val="00B80299"/>
    <w:rsid w:val="00B80379"/>
    <w:rsid w:val="00B803D6"/>
    <w:rsid w:val="00B8046B"/>
    <w:rsid w:val="00B80928"/>
    <w:rsid w:val="00B80946"/>
    <w:rsid w:val="00B80A18"/>
    <w:rsid w:val="00B80B2B"/>
    <w:rsid w:val="00B80CE8"/>
    <w:rsid w:val="00B80E9F"/>
    <w:rsid w:val="00B80FA1"/>
    <w:rsid w:val="00B81190"/>
    <w:rsid w:val="00B813C9"/>
    <w:rsid w:val="00B81927"/>
    <w:rsid w:val="00B81E0C"/>
    <w:rsid w:val="00B8200A"/>
    <w:rsid w:val="00B820A9"/>
    <w:rsid w:val="00B822AF"/>
    <w:rsid w:val="00B8255E"/>
    <w:rsid w:val="00B826E6"/>
    <w:rsid w:val="00B82A3E"/>
    <w:rsid w:val="00B82A95"/>
    <w:rsid w:val="00B82E85"/>
    <w:rsid w:val="00B8302E"/>
    <w:rsid w:val="00B83267"/>
    <w:rsid w:val="00B834CF"/>
    <w:rsid w:val="00B834D6"/>
    <w:rsid w:val="00B83501"/>
    <w:rsid w:val="00B835C3"/>
    <w:rsid w:val="00B836BB"/>
    <w:rsid w:val="00B83A7E"/>
    <w:rsid w:val="00B83B5E"/>
    <w:rsid w:val="00B83F74"/>
    <w:rsid w:val="00B83FC8"/>
    <w:rsid w:val="00B83FE1"/>
    <w:rsid w:val="00B8436D"/>
    <w:rsid w:val="00B847BD"/>
    <w:rsid w:val="00B84BA7"/>
    <w:rsid w:val="00B84F44"/>
    <w:rsid w:val="00B85003"/>
    <w:rsid w:val="00B85109"/>
    <w:rsid w:val="00B851C8"/>
    <w:rsid w:val="00B852B4"/>
    <w:rsid w:val="00B852DE"/>
    <w:rsid w:val="00B853DB"/>
    <w:rsid w:val="00B85599"/>
    <w:rsid w:val="00B855D3"/>
    <w:rsid w:val="00B85629"/>
    <w:rsid w:val="00B85800"/>
    <w:rsid w:val="00B8587C"/>
    <w:rsid w:val="00B858D3"/>
    <w:rsid w:val="00B85A34"/>
    <w:rsid w:val="00B85A84"/>
    <w:rsid w:val="00B85B83"/>
    <w:rsid w:val="00B85D5F"/>
    <w:rsid w:val="00B85E8D"/>
    <w:rsid w:val="00B85E9B"/>
    <w:rsid w:val="00B8619A"/>
    <w:rsid w:val="00B8632C"/>
    <w:rsid w:val="00B863C3"/>
    <w:rsid w:val="00B865DD"/>
    <w:rsid w:val="00B866B3"/>
    <w:rsid w:val="00B86A33"/>
    <w:rsid w:val="00B86B2E"/>
    <w:rsid w:val="00B86BD9"/>
    <w:rsid w:val="00B86CA6"/>
    <w:rsid w:val="00B86F7E"/>
    <w:rsid w:val="00B871AA"/>
    <w:rsid w:val="00B8726A"/>
    <w:rsid w:val="00B873FD"/>
    <w:rsid w:val="00B8759A"/>
    <w:rsid w:val="00B876BD"/>
    <w:rsid w:val="00B87744"/>
    <w:rsid w:val="00B87BD7"/>
    <w:rsid w:val="00B87C4A"/>
    <w:rsid w:val="00B87D34"/>
    <w:rsid w:val="00B87D85"/>
    <w:rsid w:val="00B87DC8"/>
    <w:rsid w:val="00B87DE5"/>
    <w:rsid w:val="00B87DE6"/>
    <w:rsid w:val="00B9025D"/>
    <w:rsid w:val="00B904C1"/>
    <w:rsid w:val="00B90844"/>
    <w:rsid w:val="00B9087A"/>
    <w:rsid w:val="00B90B4F"/>
    <w:rsid w:val="00B90C6B"/>
    <w:rsid w:val="00B90D43"/>
    <w:rsid w:val="00B90E6A"/>
    <w:rsid w:val="00B91001"/>
    <w:rsid w:val="00B91061"/>
    <w:rsid w:val="00B91175"/>
    <w:rsid w:val="00B91208"/>
    <w:rsid w:val="00B913D4"/>
    <w:rsid w:val="00B9148F"/>
    <w:rsid w:val="00B915EF"/>
    <w:rsid w:val="00B91645"/>
    <w:rsid w:val="00B917B7"/>
    <w:rsid w:val="00B91AE8"/>
    <w:rsid w:val="00B91BBB"/>
    <w:rsid w:val="00B91CF5"/>
    <w:rsid w:val="00B91E58"/>
    <w:rsid w:val="00B91EB2"/>
    <w:rsid w:val="00B92185"/>
    <w:rsid w:val="00B92235"/>
    <w:rsid w:val="00B92579"/>
    <w:rsid w:val="00B9265D"/>
    <w:rsid w:val="00B9282B"/>
    <w:rsid w:val="00B9292F"/>
    <w:rsid w:val="00B92AEC"/>
    <w:rsid w:val="00B92BAA"/>
    <w:rsid w:val="00B92C30"/>
    <w:rsid w:val="00B92C85"/>
    <w:rsid w:val="00B92CD7"/>
    <w:rsid w:val="00B92D0E"/>
    <w:rsid w:val="00B93084"/>
    <w:rsid w:val="00B930F9"/>
    <w:rsid w:val="00B93111"/>
    <w:rsid w:val="00B93205"/>
    <w:rsid w:val="00B93261"/>
    <w:rsid w:val="00B9339E"/>
    <w:rsid w:val="00B93447"/>
    <w:rsid w:val="00B93602"/>
    <w:rsid w:val="00B93669"/>
    <w:rsid w:val="00B93677"/>
    <w:rsid w:val="00B9378F"/>
    <w:rsid w:val="00B9389C"/>
    <w:rsid w:val="00B93A41"/>
    <w:rsid w:val="00B93A81"/>
    <w:rsid w:val="00B93A98"/>
    <w:rsid w:val="00B93C83"/>
    <w:rsid w:val="00B93E68"/>
    <w:rsid w:val="00B94126"/>
    <w:rsid w:val="00B9416A"/>
    <w:rsid w:val="00B943C5"/>
    <w:rsid w:val="00B94444"/>
    <w:rsid w:val="00B9462A"/>
    <w:rsid w:val="00B949E8"/>
    <w:rsid w:val="00B94B5B"/>
    <w:rsid w:val="00B94ECA"/>
    <w:rsid w:val="00B94F3F"/>
    <w:rsid w:val="00B95192"/>
    <w:rsid w:val="00B95506"/>
    <w:rsid w:val="00B95591"/>
    <w:rsid w:val="00B957CB"/>
    <w:rsid w:val="00B959A0"/>
    <w:rsid w:val="00B95B66"/>
    <w:rsid w:val="00B95BF7"/>
    <w:rsid w:val="00B9601A"/>
    <w:rsid w:val="00B960EC"/>
    <w:rsid w:val="00B962EA"/>
    <w:rsid w:val="00B9635C"/>
    <w:rsid w:val="00B96487"/>
    <w:rsid w:val="00B964F4"/>
    <w:rsid w:val="00B9667D"/>
    <w:rsid w:val="00B967CC"/>
    <w:rsid w:val="00B967DE"/>
    <w:rsid w:val="00B9696C"/>
    <w:rsid w:val="00B96B13"/>
    <w:rsid w:val="00B96B82"/>
    <w:rsid w:val="00B96BBE"/>
    <w:rsid w:val="00B96C46"/>
    <w:rsid w:val="00B97032"/>
    <w:rsid w:val="00B9713B"/>
    <w:rsid w:val="00B9764F"/>
    <w:rsid w:val="00B97A7F"/>
    <w:rsid w:val="00B97F2F"/>
    <w:rsid w:val="00BA01F2"/>
    <w:rsid w:val="00BA0433"/>
    <w:rsid w:val="00BA06F3"/>
    <w:rsid w:val="00BA082D"/>
    <w:rsid w:val="00BA0856"/>
    <w:rsid w:val="00BA0C9C"/>
    <w:rsid w:val="00BA0E33"/>
    <w:rsid w:val="00BA115C"/>
    <w:rsid w:val="00BA1228"/>
    <w:rsid w:val="00BA132C"/>
    <w:rsid w:val="00BA1399"/>
    <w:rsid w:val="00BA1599"/>
    <w:rsid w:val="00BA1704"/>
    <w:rsid w:val="00BA170C"/>
    <w:rsid w:val="00BA1921"/>
    <w:rsid w:val="00BA1ADD"/>
    <w:rsid w:val="00BA1B3A"/>
    <w:rsid w:val="00BA1D65"/>
    <w:rsid w:val="00BA1E20"/>
    <w:rsid w:val="00BA1EFA"/>
    <w:rsid w:val="00BA1FA3"/>
    <w:rsid w:val="00BA1FFD"/>
    <w:rsid w:val="00BA2076"/>
    <w:rsid w:val="00BA258F"/>
    <w:rsid w:val="00BA27B4"/>
    <w:rsid w:val="00BA2A50"/>
    <w:rsid w:val="00BA2B5B"/>
    <w:rsid w:val="00BA2D32"/>
    <w:rsid w:val="00BA30F5"/>
    <w:rsid w:val="00BA3157"/>
    <w:rsid w:val="00BA3283"/>
    <w:rsid w:val="00BA33FC"/>
    <w:rsid w:val="00BA347E"/>
    <w:rsid w:val="00BA34FB"/>
    <w:rsid w:val="00BA35AA"/>
    <w:rsid w:val="00BA36C1"/>
    <w:rsid w:val="00BA3819"/>
    <w:rsid w:val="00BA3C36"/>
    <w:rsid w:val="00BA3C41"/>
    <w:rsid w:val="00BA3DC3"/>
    <w:rsid w:val="00BA3EDB"/>
    <w:rsid w:val="00BA3F49"/>
    <w:rsid w:val="00BA400D"/>
    <w:rsid w:val="00BA4044"/>
    <w:rsid w:val="00BA4170"/>
    <w:rsid w:val="00BA41F2"/>
    <w:rsid w:val="00BA42F3"/>
    <w:rsid w:val="00BA4301"/>
    <w:rsid w:val="00BA4464"/>
    <w:rsid w:val="00BA446D"/>
    <w:rsid w:val="00BA4536"/>
    <w:rsid w:val="00BA456D"/>
    <w:rsid w:val="00BA46DF"/>
    <w:rsid w:val="00BA4A64"/>
    <w:rsid w:val="00BA4D5B"/>
    <w:rsid w:val="00BA4E09"/>
    <w:rsid w:val="00BA4F23"/>
    <w:rsid w:val="00BA5034"/>
    <w:rsid w:val="00BA513C"/>
    <w:rsid w:val="00BA5368"/>
    <w:rsid w:val="00BA562A"/>
    <w:rsid w:val="00BA59BF"/>
    <w:rsid w:val="00BA5EEF"/>
    <w:rsid w:val="00BA60BE"/>
    <w:rsid w:val="00BA6188"/>
    <w:rsid w:val="00BA6202"/>
    <w:rsid w:val="00BA6231"/>
    <w:rsid w:val="00BA6299"/>
    <w:rsid w:val="00BA6346"/>
    <w:rsid w:val="00BA65EC"/>
    <w:rsid w:val="00BA65F0"/>
    <w:rsid w:val="00BA670D"/>
    <w:rsid w:val="00BA68CC"/>
    <w:rsid w:val="00BA691F"/>
    <w:rsid w:val="00BA6A43"/>
    <w:rsid w:val="00BA6D24"/>
    <w:rsid w:val="00BA71CC"/>
    <w:rsid w:val="00BA72B4"/>
    <w:rsid w:val="00BA731E"/>
    <w:rsid w:val="00BA7336"/>
    <w:rsid w:val="00BA7337"/>
    <w:rsid w:val="00BA755D"/>
    <w:rsid w:val="00BA7783"/>
    <w:rsid w:val="00BA7947"/>
    <w:rsid w:val="00BA7ABC"/>
    <w:rsid w:val="00BB008A"/>
    <w:rsid w:val="00BB0098"/>
    <w:rsid w:val="00BB00A2"/>
    <w:rsid w:val="00BB01A2"/>
    <w:rsid w:val="00BB0551"/>
    <w:rsid w:val="00BB05A6"/>
    <w:rsid w:val="00BB092A"/>
    <w:rsid w:val="00BB09AC"/>
    <w:rsid w:val="00BB09F3"/>
    <w:rsid w:val="00BB0B15"/>
    <w:rsid w:val="00BB0B45"/>
    <w:rsid w:val="00BB0E47"/>
    <w:rsid w:val="00BB0E83"/>
    <w:rsid w:val="00BB0F41"/>
    <w:rsid w:val="00BB0F5B"/>
    <w:rsid w:val="00BB0F90"/>
    <w:rsid w:val="00BB10F3"/>
    <w:rsid w:val="00BB121F"/>
    <w:rsid w:val="00BB134A"/>
    <w:rsid w:val="00BB1554"/>
    <w:rsid w:val="00BB16E0"/>
    <w:rsid w:val="00BB18EF"/>
    <w:rsid w:val="00BB1C76"/>
    <w:rsid w:val="00BB1D38"/>
    <w:rsid w:val="00BB1F6D"/>
    <w:rsid w:val="00BB2207"/>
    <w:rsid w:val="00BB22F9"/>
    <w:rsid w:val="00BB23C7"/>
    <w:rsid w:val="00BB249B"/>
    <w:rsid w:val="00BB2547"/>
    <w:rsid w:val="00BB2557"/>
    <w:rsid w:val="00BB2775"/>
    <w:rsid w:val="00BB289F"/>
    <w:rsid w:val="00BB2B5A"/>
    <w:rsid w:val="00BB2B7F"/>
    <w:rsid w:val="00BB2CA1"/>
    <w:rsid w:val="00BB2CD9"/>
    <w:rsid w:val="00BB2DB2"/>
    <w:rsid w:val="00BB2DF8"/>
    <w:rsid w:val="00BB2FA4"/>
    <w:rsid w:val="00BB2FC1"/>
    <w:rsid w:val="00BB2FE8"/>
    <w:rsid w:val="00BB3011"/>
    <w:rsid w:val="00BB3079"/>
    <w:rsid w:val="00BB3149"/>
    <w:rsid w:val="00BB32DF"/>
    <w:rsid w:val="00BB333F"/>
    <w:rsid w:val="00BB3678"/>
    <w:rsid w:val="00BB3C7B"/>
    <w:rsid w:val="00BB426E"/>
    <w:rsid w:val="00BB42D3"/>
    <w:rsid w:val="00BB4408"/>
    <w:rsid w:val="00BB4529"/>
    <w:rsid w:val="00BB4653"/>
    <w:rsid w:val="00BB47D3"/>
    <w:rsid w:val="00BB49AD"/>
    <w:rsid w:val="00BB49B2"/>
    <w:rsid w:val="00BB4A5E"/>
    <w:rsid w:val="00BB4B61"/>
    <w:rsid w:val="00BB4C64"/>
    <w:rsid w:val="00BB4DB2"/>
    <w:rsid w:val="00BB4DDE"/>
    <w:rsid w:val="00BB50A0"/>
    <w:rsid w:val="00BB5125"/>
    <w:rsid w:val="00BB5271"/>
    <w:rsid w:val="00BB5306"/>
    <w:rsid w:val="00BB5452"/>
    <w:rsid w:val="00BB548E"/>
    <w:rsid w:val="00BB54B1"/>
    <w:rsid w:val="00BB54E7"/>
    <w:rsid w:val="00BB5643"/>
    <w:rsid w:val="00BB585F"/>
    <w:rsid w:val="00BB5A5C"/>
    <w:rsid w:val="00BB5C1C"/>
    <w:rsid w:val="00BB5DD1"/>
    <w:rsid w:val="00BB5E29"/>
    <w:rsid w:val="00BB6002"/>
    <w:rsid w:val="00BB6054"/>
    <w:rsid w:val="00BB637D"/>
    <w:rsid w:val="00BB6458"/>
    <w:rsid w:val="00BB647D"/>
    <w:rsid w:val="00BB6583"/>
    <w:rsid w:val="00BB6655"/>
    <w:rsid w:val="00BB68D6"/>
    <w:rsid w:val="00BB694B"/>
    <w:rsid w:val="00BB6B42"/>
    <w:rsid w:val="00BB6BC7"/>
    <w:rsid w:val="00BB6BE1"/>
    <w:rsid w:val="00BB6DF6"/>
    <w:rsid w:val="00BB6E9A"/>
    <w:rsid w:val="00BB6EBE"/>
    <w:rsid w:val="00BB6EC1"/>
    <w:rsid w:val="00BB6ED7"/>
    <w:rsid w:val="00BB6F1F"/>
    <w:rsid w:val="00BB7037"/>
    <w:rsid w:val="00BB7052"/>
    <w:rsid w:val="00BB70DB"/>
    <w:rsid w:val="00BB70E7"/>
    <w:rsid w:val="00BB72B5"/>
    <w:rsid w:val="00BB746E"/>
    <w:rsid w:val="00BB749F"/>
    <w:rsid w:val="00BB75CF"/>
    <w:rsid w:val="00BB7853"/>
    <w:rsid w:val="00BB7BF5"/>
    <w:rsid w:val="00BB7C44"/>
    <w:rsid w:val="00BC01DF"/>
    <w:rsid w:val="00BC08E6"/>
    <w:rsid w:val="00BC09F5"/>
    <w:rsid w:val="00BC09FB"/>
    <w:rsid w:val="00BC0A91"/>
    <w:rsid w:val="00BC0D96"/>
    <w:rsid w:val="00BC0E64"/>
    <w:rsid w:val="00BC0F12"/>
    <w:rsid w:val="00BC0F9E"/>
    <w:rsid w:val="00BC11C3"/>
    <w:rsid w:val="00BC1212"/>
    <w:rsid w:val="00BC1219"/>
    <w:rsid w:val="00BC12E5"/>
    <w:rsid w:val="00BC1371"/>
    <w:rsid w:val="00BC13FB"/>
    <w:rsid w:val="00BC15B1"/>
    <w:rsid w:val="00BC195B"/>
    <w:rsid w:val="00BC1D88"/>
    <w:rsid w:val="00BC1FBD"/>
    <w:rsid w:val="00BC1FCE"/>
    <w:rsid w:val="00BC2033"/>
    <w:rsid w:val="00BC2214"/>
    <w:rsid w:val="00BC2219"/>
    <w:rsid w:val="00BC234E"/>
    <w:rsid w:val="00BC24E0"/>
    <w:rsid w:val="00BC25CC"/>
    <w:rsid w:val="00BC278F"/>
    <w:rsid w:val="00BC2819"/>
    <w:rsid w:val="00BC29B4"/>
    <w:rsid w:val="00BC2B05"/>
    <w:rsid w:val="00BC2D09"/>
    <w:rsid w:val="00BC2D2E"/>
    <w:rsid w:val="00BC2E10"/>
    <w:rsid w:val="00BC2E1D"/>
    <w:rsid w:val="00BC2F27"/>
    <w:rsid w:val="00BC2F6C"/>
    <w:rsid w:val="00BC30E4"/>
    <w:rsid w:val="00BC3133"/>
    <w:rsid w:val="00BC3409"/>
    <w:rsid w:val="00BC3519"/>
    <w:rsid w:val="00BC3741"/>
    <w:rsid w:val="00BC3929"/>
    <w:rsid w:val="00BC3B75"/>
    <w:rsid w:val="00BC3BAC"/>
    <w:rsid w:val="00BC3C47"/>
    <w:rsid w:val="00BC3CEA"/>
    <w:rsid w:val="00BC3F07"/>
    <w:rsid w:val="00BC430A"/>
    <w:rsid w:val="00BC464F"/>
    <w:rsid w:val="00BC4922"/>
    <w:rsid w:val="00BC49D6"/>
    <w:rsid w:val="00BC4E98"/>
    <w:rsid w:val="00BC533F"/>
    <w:rsid w:val="00BC5437"/>
    <w:rsid w:val="00BC54F0"/>
    <w:rsid w:val="00BC5557"/>
    <w:rsid w:val="00BC594B"/>
    <w:rsid w:val="00BC59C6"/>
    <w:rsid w:val="00BC5ACA"/>
    <w:rsid w:val="00BC5F0F"/>
    <w:rsid w:val="00BC5FFD"/>
    <w:rsid w:val="00BC61C3"/>
    <w:rsid w:val="00BC623D"/>
    <w:rsid w:val="00BC63C2"/>
    <w:rsid w:val="00BC66F6"/>
    <w:rsid w:val="00BC673F"/>
    <w:rsid w:val="00BC6D2F"/>
    <w:rsid w:val="00BC6D8F"/>
    <w:rsid w:val="00BC6EF2"/>
    <w:rsid w:val="00BC7111"/>
    <w:rsid w:val="00BC724B"/>
    <w:rsid w:val="00BC7417"/>
    <w:rsid w:val="00BC7542"/>
    <w:rsid w:val="00BC767C"/>
    <w:rsid w:val="00BC7683"/>
    <w:rsid w:val="00BC76B0"/>
    <w:rsid w:val="00BC796B"/>
    <w:rsid w:val="00BC7D30"/>
    <w:rsid w:val="00BC7E11"/>
    <w:rsid w:val="00BC7E18"/>
    <w:rsid w:val="00BD00EF"/>
    <w:rsid w:val="00BD0134"/>
    <w:rsid w:val="00BD0141"/>
    <w:rsid w:val="00BD0143"/>
    <w:rsid w:val="00BD01A4"/>
    <w:rsid w:val="00BD021B"/>
    <w:rsid w:val="00BD0532"/>
    <w:rsid w:val="00BD0582"/>
    <w:rsid w:val="00BD09F6"/>
    <w:rsid w:val="00BD0D10"/>
    <w:rsid w:val="00BD0D13"/>
    <w:rsid w:val="00BD0D38"/>
    <w:rsid w:val="00BD0F98"/>
    <w:rsid w:val="00BD107E"/>
    <w:rsid w:val="00BD1219"/>
    <w:rsid w:val="00BD13F9"/>
    <w:rsid w:val="00BD14CE"/>
    <w:rsid w:val="00BD154D"/>
    <w:rsid w:val="00BD1610"/>
    <w:rsid w:val="00BD16D3"/>
    <w:rsid w:val="00BD16D8"/>
    <w:rsid w:val="00BD17E5"/>
    <w:rsid w:val="00BD190F"/>
    <w:rsid w:val="00BD1C1C"/>
    <w:rsid w:val="00BD1D79"/>
    <w:rsid w:val="00BD1DA1"/>
    <w:rsid w:val="00BD20F1"/>
    <w:rsid w:val="00BD2156"/>
    <w:rsid w:val="00BD217A"/>
    <w:rsid w:val="00BD2405"/>
    <w:rsid w:val="00BD2690"/>
    <w:rsid w:val="00BD26C1"/>
    <w:rsid w:val="00BD2841"/>
    <w:rsid w:val="00BD2A31"/>
    <w:rsid w:val="00BD2A39"/>
    <w:rsid w:val="00BD2F55"/>
    <w:rsid w:val="00BD2FD8"/>
    <w:rsid w:val="00BD318C"/>
    <w:rsid w:val="00BD31A0"/>
    <w:rsid w:val="00BD31E7"/>
    <w:rsid w:val="00BD32B8"/>
    <w:rsid w:val="00BD33AE"/>
    <w:rsid w:val="00BD3814"/>
    <w:rsid w:val="00BD3915"/>
    <w:rsid w:val="00BD3AF7"/>
    <w:rsid w:val="00BD3B0A"/>
    <w:rsid w:val="00BD3D48"/>
    <w:rsid w:val="00BD3DDE"/>
    <w:rsid w:val="00BD3FAD"/>
    <w:rsid w:val="00BD40B3"/>
    <w:rsid w:val="00BD412A"/>
    <w:rsid w:val="00BD4430"/>
    <w:rsid w:val="00BD45C9"/>
    <w:rsid w:val="00BD45D7"/>
    <w:rsid w:val="00BD4643"/>
    <w:rsid w:val="00BD46CF"/>
    <w:rsid w:val="00BD49DE"/>
    <w:rsid w:val="00BD4B15"/>
    <w:rsid w:val="00BD4B18"/>
    <w:rsid w:val="00BD4BF0"/>
    <w:rsid w:val="00BD4C24"/>
    <w:rsid w:val="00BD4C73"/>
    <w:rsid w:val="00BD4C76"/>
    <w:rsid w:val="00BD4CDE"/>
    <w:rsid w:val="00BD5060"/>
    <w:rsid w:val="00BD5677"/>
    <w:rsid w:val="00BD5702"/>
    <w:rsid w:val="00BD578E"/>
    <w:rsid w:val="00BD5BB1"/>
    <w:rsid w:val="00BD5C31"/>
    <w:rsid w:val="00BD5C5A"/>
    <w:rsid w:val="00BD5CD6"/>
    <w:rsid w:val="00BD5CEF"/>
    <w:rsid w:val="00BD5E25"/>
    <w:rsid w:val="00BD5EE6"/>
    <w:rsid w:val="00BD60D7"/>
    <w:rsid w:val="00BD617C"/>
    <w:rsid w:val="00BD61D9"/>
    <w:rsid w:val="00BD6287"/>
    <w:rsid w:val="00BD62D4"/>
    <w:rsid w:val="00BD63BD"/>
    <w:rsid w:val="00BD64F1"/>
    <w:rsid w:val="00BD676F"/>
    <w:rsid w:val="00BD6941"/>
    <w:rsid w:val="00BD6A3B"/>
    <w:rsid w:val="00BD6A65"/>
    <w:rsid w:val="00BD6AE2"/>
    <w:rsid w:val="00BD6B7E"/>
    <w:rsid w:val="00BD71E1"/>
    <w:rsid w:val="00BD7232"/>
    <w:rsid w:val="00BD7420"/>
    <w:rsid w:val="00BD755A"/>
    <w:rsid w:val="00BD770D"/>
    <w:rsid w:val="00BD7846"/>
    <w:rsid w:val="00BD7879"/>
    <w:rsid w:val="00BD78E3"/>
    <w:rsid w:val="00BD78E5"/>
    <w:rsid w:val="00BD7AE6"/>
    <w:rsid w:val="00BD7C26"/>
    <w:rsid w:val="00BD7CBF"/>
    <w:rsid w:val="00BD7D17"/>
    <w:rsid w:val="00BD7D66"/>
    <w:rsid w:val="00BE003E"/>
    <w:rsid w:val="00BE003F"/>
    <w:rsid w:val="00BE0432"/>
    <w:rsid w:val="00BE053F"/>
    <w:rsid w:val="00BE07C4"/>
    <w:rsid w:val="00BE096B"/>
    <w:rsid w:val="00BE0BF5"/>
    <w:rsid w:val="00BE0CFC"/>
    <w:rsid w:val="00BE0EE4"/>
    <w:rsid w:val="00BE10A0"/>
    <w:rsid w:val="00BE12D6"/>
    <w:rsid w:val="00BE130F"/>
    <w:rsid w:val="00BE1406"/>
    <w:rsid w:val="00BE1745"/>
    <w:rsid w:val="00BE17E3"/>
    <w:rsid w:val="00BE1824"/>
    <w:rsid w:val="00BE190D"/>
    <w:rsid w:val="00BE1921"/>
    <w:rsid w:val="00BE1963"/>
    <w:rsid w:val="00BE1AC2"/>
    <w:rsid w:val="00BE1AFE"/>
    <w:rsid w:val="00BE1C10"/>
    <w:rsid w:val="00BE1C63"/>
    <w:rsid w:val="00BE1D85"/>
    <w:rsid w:val="00BE1DA5"/>
    <w:rsid w:val="00BE1E8D"/>
    <w:rsid w:val="00BE200A"/>
    <w:rsid w:val="00BE210C"/>
    <w:rsid w:val="00BE2197"/>
    <w:rsid w:val="00BE2253"/>
    <w:rsid w:val="00BE22B9"/>
    <w:rsid w:val="00BE256B"/>
    <w:rsid w:val="00BE268E"/>
    <w:rsid w:val="00BE2713"/>
    <w:rsid w:val="00BE2867"/>
    <w:rsid w:val="00BE28D7"/>
    <w:rsid w:val="00BE297E"/>
    <w:rsid w:val="00BE2A8D"/>
    <w:rsid w:val="00BE2B85"/>
    <w:rsid w:val="00BE2CB3"/>
    <w:rsid w:val="00BE2CC8"/>
    <w:rsid w:val="00BE2D82"/>
    <w:rsid w:val="00BE3271"/>
    <w:rsid w:val="00BE32E4"/>
    <w:rsid w:val="00BE3308"/>
    <w:rsid w:val="00BE381D"/>
    <w:rsid w:val="00BE38DE"/>
    <w:rsid w:val="00BE39CC"/>
    <w:rsid w:val="00BE3C89"/>
    <w:rsid w:val="00BE3CAC"/>
    <w:rsid w:val="00BE3CB1"/>
    <w:rsid w:val="00BE4285"/>
    <w:rsid w:val="00BE43B9"/>
    <w:rsid w:val="00BE4423"/>
    <w:rsid w:val="00BE44D9"/>
    <w:rsid w:val="00BE462E"/>
    <w:rsid w:val="00BE485D"/>
    <w:rsid w:val="00BE49F7"/>
    <w:rsid w:val="00BE4A6C"/>
    <w:rsid w:val="00BE4B99"/>
    <w:rsid w:val="00BE5204"/>
    <w:rsid w:val="00BE525B"/>
    <w:rsid w:val="00BE55C3"/>
    <w:rsid w:val="00BE56DB"/>
    <w:rsid w:val="00BE57A0"/>
    <w:rsid w:val="00BE5816"/>
    <w:rsid w:val="00BE5912"/>
    <w:rsid w:val="00BE5A0C"/>
    <w:rsid w:val="00BE5A6E"/>
    <w:rsid w:val="00BE5BB9"/>
    <w:rsid w:val="00BE60DF"/>
    <w:rsid w:val="00BE614B"/>
    <w:rsid w:val="00BE642E"/>
    <w:rsid w:val="00BE643B"/>
    <w:rsid w:val="00BE666A"/>
    <w:rsid w:val="00BE6725"/>
    <w:rsid w:val="00BE677C"/>
    <w:rsid w:val="00BE6903"/>
    <w:rsid w:val="00BE6A1E"/>
    <w:rsid w:val="00BE6B24"/>
    <w:rsid w:val="00BE6CAE"/>
    <w:rsid w:val="00BE6FAA"/>
    <w:rsid w:val="00BE703F"/>
    <w:rsid w:val="00BE715A"/>
    <w:rsid w:val="00BE71F1"/>
    <w:rsid w:val="00BE737E"/>
    <w:rsid w:val="00BE7488"/>
    <w:rsid w:val="00BE760E"/>
    <w:rsid w:val="00BE7951"/>
    <w:rsid w:val="00BE7A59"/>
    <w:rsid w:val="00BE7C00"/>
    <w:rsid w:val="00BE7EEA"/>
    <w:rsid w:val="00BF01C1"/>
    <w:rsid w:val="00BF02FF"/>
    <w:rsid w:val="00BF0362"/>
    <w:rsid w:val="00BF048E"/>
    <w:rsid w:val="00BF0555"/>
    <w:rsid w:val="00BF058B"/>
    <w:rsid w:val="00BF06BB"/>
    <w:rsid w:val="00BF06CD"/>
    <w:rsid w:val="00BF075B"/>
    <w:rsid w:val="00BF085C"/>
    <w:rsid w:val="00BF094B"/>
    <w:rsid w:val="00BF0986"/>
    <w:rsid w:val="00BF0C0D"/>
    <w:rsid w:val="00BF0F45"/>
    <w:rsid w:val="00BF0F5B"/>
    <w:rsid w:val="00BF1004"/>
    <w:rsid w:val="00BF10AE"/>
    <w:rsid w:val="00BF142B"/>
    <w:rsid w:val="00BF177A"/>
    <w:rsid w:val="00BF185C"/>
    <w:rsid w:val="00BF1920"/>
    <w:rsid w:val="00BF19D7"/>
    <w:rsid w:val="00BF1B3B"/>
    <w:rsid w:val="00BF1CCB"/>
    <w:rsid w:val="00BF1CF2"/>
    <w:rsid w:val="00BF1EFD"/>
    <w:rsid w:val="00BF218C"/>
    <w:rsid w:val="00BF21E2"/>
    <w:rsid w:val="00BF2280"/>
    <w:rsid w:val="00BF23F2"/>
    <w:rsid w:val="00BF26FC"/>
    <w:rsid w:val="00BF29C3"/>
    <w:rsid w:val="00BF29D8"/>
    <w:rsid w:val="00BF2A82"/>
    <w:rsid w:val="00BF2ACC"/>
    <w:rsid w:val="00BF2B68"/>
    <w:rsid w:val="00BF2B6D"/>
    <w:rsid w:val="00BF2B8A"/>
    <w:rsid w:val="00BF2C10"/>
    <w:rsid w:val="00BF2D3B"/>
    <w:rsid w:val="00BF2E0F"/>
    <w:rsid w:val="00BF2F39"/>
    <w:rsid w:val="00BF2F49"/>
    <w:rsid w:val="00BF3468"/>
    <w:rsid w:val="00BF3555"/>
    <w:rsid w:val="00BF35D6"/>
    <w:rsid w:val="00BF3803"/>
    <w:rsid w:val="00BF3A83"/>
    <w:rsid w:val="00BF3B14"/>
    <w:rsid w:val="00BF3C78"/>
    <w:rsid w:val="00BF3E8B"/>
    <w:rsid w:val="00BF3FF2"/>
    <w:rsid w:val="00BF400C"/>
    <w:rsid w:val="00BF4048"/>
    <w:rsid w:val="00BF41C0"/>
    <w:rsid w:val="00BF41C6"/>
    <w:rsid w:val="00BF423D"/>
    <w:rsid w:val="00BF42DF"/>
    <w:rsid w:val="00BF43FD"/>
    <w:rsid w:val="00BF44B4"/>
    <w:rsid w:val="00BF46A9"/>
    <w:rsid w:val="00BF472F"/>
    <w:rsid w:val="00BF4820"/>
    <w:rsid w:val="00BF48E3"/>
    <w:rsid w:val="00BF4914"/>
    <w:rsid w:val="00BF494F"/>
    <w:rsid w:val="00BF4C95"/>
    <w:rsid w:val="00BF4D43"/>
    <w:rsid w:val="00BF4DDE"/>
    <w:rsid w:val="00BF4E0A"/>
    <w:rsid w:val="00BF4EB0"/>
    <w:rsid w:val="00BF507C"/>
    <w:rsid w:val="00BF524A"/>
    <w:rsid w:val="00BF5292"/>
    <w:rsid w:val="00BF546B"/>
    <w:rsid w:val="00BF571B"/>
    <w:rsid w:val="00BF5819"/>
    <w:rsid w:val="00BF5A58"/>
    <w:rsid w:val="00BF5AAA"/>
    <w:rsid w:val="00BF5AF7"/>
    <w:rsid w:val="00BF5CC2"/>
    <w:rsid w:val="00BF5DC1"/>
    <w:rsid w:val="00BF5FB1"/>
    <w:rsid w:val="00BF61D7"/>
    <w:rsid w:val="00BF64DB"/>
    <w:rsid w:val="00BF6691"/>
    <w:rsid w:val="00BF6736"/>
    <w:rsid w:val="00BF68F3"/>
    <w:rsid w:val="00BF6A0C"/>
    <w:rsid w:val="00BF6C2A"/>
    <w:rsid w:val="00BF6C30"/>
    <w:rsid w:val="00BF6CE0"/>
    <w:rsid w:val="00BF6D30"/>
    <w:rsid w:val="00BF6E20"/>
    <w:rsid w:val="00BF6ED0"/>
    <w:rsid w:val="00BF6F43"/>
    <w:rsid w:val="00BF716D"/>
    <w:rsid w:val="00BF7464"/>
    <w:rsid w:val="00BF74DB"/>
    <w:rsid w:val="00BF758E"/>
    <w:rsid w:val="00BF76DD"/>
    <w:rsid w:val="00BF7770"/>
    <w:rsid w:val="00BF7F65"/>
    <w:rsid w:val="00C00217"/>
    <w:rsid w:val="00C00292"/>
    <w:rsid w:val="00C00321"/>
    <w:rsid w:val="00C00586"/>
    <w:rsid w:val="00C0073D"/>
    <w:rsid w:val="00C00897"/>
    <w:rsid w:val="00C00BD2"/>
    <w:rsid w:val="00C00E1E"/>
    <w:rsid w:val="00C00E28"/>
    <w:rsid w:val="00C010D2"/>
    <w:rsid w:val="00C0131B"/>
    <w:rsid w:val="00C0132F"/>
    <w:rsid w:val="00C015BA"/>
    <w:rsid w:val="00C0166F"/>
    <w:rsid w:val="00C0194C"/>
    <w:rsid w:val="00C01C9B"/>
    <w:rsid w:val="00C01CA3"/>
    <w:rsid w:val="00C01D6E"/>
    <w:rsid w:val="00C01FFE"/>
    <w:rsid w:val="00C02216"/>
    <w:rsid w:val="00C0227C"/>
    <w:rsid w:val="00C0228A"/>
    <w:rsid w:val="00C02523"/>
    <w:rsid w:val="00C0274F"/>
    <w:rsid w:val="00C02999"/>
    <w:rsid w:val="00C0299F"/>
    <w:rsid w:val="00C02A65"/>
    <w:rsid w:val="00C02D99"/>
    <w:rsid w:val="00C02DDC"/>
    <w:rsid w:val="00C02FF1"/>
    <w:rsid w:val="00C0308A"/>
    <w:rsid w:val="00C0323D"/>
    <w:rsid w:val="00C03270"/>
    <w:rsid w:val="00C0327F"/>
    <w:rsid w:val="00C0363E"/>
    <w:rsid w:val="00C036B2"/>
    <w:rsid w:val="00C036EC"/>
    <w:rsid w:val="00C038B1"/>
    <w:rsid w:val="00C03968"/>
    <w:rsid w:val="00C039A6"/>
    <w:rsid w:val="00C03B1C"/>
    <w:rsid w:val="00C03F1D"/>
    <w:rsid w:val="00C04053"/>
    <w:rsid w:val="00C04059"/>
    <w:rsid w:val="00C04351"/>
    <w:rsid w:val="00C0472A"/>
    <w:rsid w:val="00C04B36"/>
    <w:rsid w:val="00C04BEA"/>
    <w:rsid w:val="00C04C5C"/>
    <w:rsid w:val="00C04C7D"/>
    <w:rsid w:val="00C050DE"/>
    <w:rsid w:val="00C052C4"/>
    <w:rsid w:val="00C054EA"/>
    <w:rsid w:val="00C056EB"/>
    <w:rsid w:val="00C05744"/>
    <w:rsid w:val="00C05760"/>
    <w:rsid w:val="00C057E5"/>
    <w:rsid w:val="00C05996"/>
    <w:rsid w:val="00C05CB7"/>
    <w:rsid w:val="00C060ED"/>
    <w:rsid w:val="00C064CF"/>
    <w:rsid w:val="00C064F3"/>
    <w:rsid w:val="00C06543"/>
    <w:rsid w:val="00C0661B"/>
    <w:rsid w:val="00C06670"/>
    <w:rsid w:val="00C06692"/>
    <w:rsid w:val="00C06839"/>
    <w:rsid w:val="00C06AF8"/>
    <w:rsid w:val="00C06C12"/>
    <w:rsid w:val="00C06CBD"/>
    <w:rsid w:val="00C06CF7"/>
    <w:rsid w:val="00C06FD5"/>
    <w:rsid w:val="00C07304"/>
    <w:rsid w:val="00C073B2"/>
    <w:rsid w:val="00C076CA"/>
    <w:rsid w:val="00C078DC"/>
    <w:rsid w:val="00C0795A"/>
    <w:rsid w:val="00C0797B"/>
    <w:rsid w:val="00C079D0"/>
    <w:rsid w:val="00C07A1C"/>
    <w:rsid w:val="00C07AB8"/>
    <w:rsid w:val="00C07BC5"/>
    <w:rsid w:val="00C07BFC"/>
    <w:rsid w:val="00C07DC2"/>
    <w:rsid w:val="00C07F25"/>
    <w:rsid w:val="00C07F98"/>
    <w:rsid w:val="00C10248"/>
    <w:rsid w:val="00C10432"/>
    <w:rsid w:val="00C1084F"/>
    <w:rsid w:val="00C1096A"/>
    <w:rsid w:val="00C10A00"/>
    <w:rsid w:val="00C10B4B"/>
    <w:rsid w:val="00C10BB8"/>
    <w:rsid w:val="00C111B4"/>
    <w:rsid w:val="00C11207"/>
    <w:rsid w:val="00C112AA"/>
    <w:rsid w:val="00C112CE"/>
    <w:rsid w:val="00C115E6"/>
    <w:rsid w:val="00C11609"/>
    <w:rsid w:val="00C11654"/>
    <w:rsid w:val="00C11655"/>
    <w:rsid w:val="00C11B5D"/>
    <w:rsid w:val="00C11C10"/>
    <w:rsid w:val="00C12358"/>
    <w:rsid w:val="00C12437"/>
    <w:rsid w:val="00C124C2"/>
    <w:rsid w:val="00C12739"/>
    <w:rsid w:val="00C12A29"/>
    <w:rsid w:val="00C12C32"/>
    <w:rsid w:val="00C12D4E"/>
    <w:rsid w:val="00C12E5C"/>
    <w:rsid w:val="00C12F07"/>
    <w:rsid w:val="00C130F8"/>
    <w:rsid w:val="00C132D4"/>
    <w:rsid w:val="00C133E8"/>
    <w:rsid w:val="00C13566"/>
    <w:rsid w:val="00C13628"/>
    <w:rsid w:val="00C1370B"/>
    <w:rsid w:val="00C13734"/>
    <w:rsid w:val="00C1378A"/>
    <w:rsid w:val="00C13824"/>
    <w:rsid w:val="00C13947"/>
    <w:rsid w:val="00C13986"/>
    <w:rsid w:val="00C139BE"/>
    <w:rsid w:val="00C13BF9"/>
    <w:rsid w:val="00C13CB1"/>
    <w:rsid w:val="00C13F1F"/>
    <w:rsid w:val="00C14099"/>
    <w:rsid w:val="00C1416C"/>
    <w:rsid w:val="00C14264"/>
    <w:rsid w:val="00C14319"/>
    <w:rsid w:val="00C1450B"/>
    <w:rsid w:val="00C1479B"/>
    <w:rsid w:val="00C148E7"/>
    <w:rsid w:val="00C148F4"/>
    <w:rsid w:val="00C14F1C"/>
    <w:rsid w:val="00C1501F"/>
    <w:rsid w:val="00C150C7"/>
    <w:rsid w:val="00C15104"/>
    <w:rsid w:val="00C151CF"/>
    <w:rsid w:val="00C15235"/>
    <w:rsid w:val="00C15495"/>
    <w:rsid w:val="00C154D2"/>
    <w:rsid w:val="00C155C8"/>
    <w:rsid w:val="00C155F3"/>
    <w:rsid w:val="00C156ED"/>
    <w:rsid w:val="00C157AE"/>
    <w:rsid w:val="00C15A19"/>
    <w:rsid w:val="00C15E8D"/>
    <w:rsid w:val="00C15F2F"/>
    <w:rsid w:val="00C15F3C"/>
    <w:rsid w:val="00C1602C"/>
    <w:rsid w:val="00C160A2"/>
    <w:rsid w:val="00C16157"/>
    <w:rsid w:val="00C163D9"/>
    <w:rsid w:val="00C16512"/>
    <w:rsid w:val="00C16585"/>
    <w:rsid w:val="00C165DD"/>
    <w:rsid w:val="00C1668E"/>
    <w:rsid w:val="00C166F8"/>
    <w:rsid w:val="00C1675E"/>
    <w:rsid w:val="00C16960"/>
    <w:rsid w:val="00C169A5"/>
    <w:rsid w:val="00C16A07"/>
    <w:rsid w:val="00C16B13"/>
    <w:rsid w:val="00C16CE1"/>
    <w:rsid w:val="00C16D03"/>
    <w:rsid w:val="00C17228"/>
    <w:rsid w:val="00C1736A"/>
    <w:rsid w:val="00C17466"/>
    <w:rsid w:val="00C1753B"/>
    <w:rsid w:val="00C175C7"/>
    <w:rsid w:val="00C1767B"/>
    <w:rsid w:val="00C17F63"/>
    <w:rsid w:val="00C20026"/>
    <w:rsid w:val="00C20518"/>
    <w:rsid w:val="00C206AE"/>
    <w:rsid w:val="00C206AF"/>
    <w:rsid w:val="00C207DA"/>
    <w:rsid w:val="00C208A2"/>
    <w:rsid w:val="00C208B9"/>
    <w:rsid w:val="00C208FB"/>
    <w:rsid w:val="00C20AC8"/>
    <w:rsid w:val="00C20BDB"/>
    <w:rsid w:val="00C20BFD"/>
    <w:rsid w:val="00C20DA7"/>
    <w:rsid w:val="00C210D2"/>
    <w:rsid w:val="00C212ED"/>
    <w:rsid w:val="00C21507"/>
    <w:rsid w:val="00C217D8"/>
    <w:rsid w:val="00C21971"/>
    <w:rsid w:val="00C21B15"/>
    <w:rsid w:val="00C21D40"/>
    <w:rsid w:val="00C21DFA"/>
    <w:rsid w:val="00C21E56"/>
    <w:rsid w:val="00C2206C"/>
    <w:rsid w:val="00C22175"/>
    <w:rsid w:val="00C221AA"/>
    <w:rsid w:val="00C221B9"/>
    <w:rsid w:val="00C2225A"/>
    <w:rsid w:val="00C223CF"/>
    <w:rsid w:val="00C22439"/>
    <w:rsid w:val="00C226D8"/>
    <w:rsid w:val="00C22C05"/>
    <w:rsid w:val="00C22C8E"/>
    <w:rsid w:val="00C22CF1"/>
    <w:rsid w:val="00C22D1D"/>
    <w:rsid w:val="00C22F15"/>
    <w:rsid w:val="00C22FA8"/>
    <w:rsid w:val="00C22FCB"/>
    <w:rsid w:val="00C230FD"/>
    <w:rsid w:val="00C231B0"/>
    <w:rsid w:val="00C231DC"/>
    <w:rsid w:val="00C23214"/>
    <w:rsid w:val="00C23368"/>
    <w:rsid w:val="00C23403"/>
    <w:rsid w:val="00C23540"/>
    <w:rsid w:val="00C23767"/>
    <w:rsid w:val="00C237ED"/>
    <w:rsid w:val="00C238E0"/>
    <w:rsid w:val="00C2397A"/>
    <w:rsid w:val="00C23A3B"/>
    <w:rsid w:val="00C23B1E"/>
    <w:rsid w:val="00C23D48"/>
    <w:rsid w:val="00C23DB6"/>
    <w:rsid w:val="00C23F0B"/>
    <w:rsid w:val="00C24021"/>
    <w:rsid w:val="00C2439A"/>
    <w:rsid w:val="00C24623"/>
    <w:rsid w:val="00C24631"/>
    <w:rsid w:val="00C24A02"/>
    <w:rsid w:val="00C24A0C"/>
    <w:rsid w:val="00C24B3B"/>
    <w:rsid w:val="00C24B5F"/>
    <w:rsid w:val="00C24C21"/>
    <w:rsid w:val="00C24CD7"/>
    <w:rsid w:val="00C24D31"/>
    <w:rsid w:val="00C24F04"/>
    <w:rsid w:val="00C2504D"/>
    <w:rsid w:val="00C250DE"/>
    <w:rsid w:val="00C25109"/>
    <w:rsid w:val="00C2534F"/>
    <w:rsid w:val="00C253C4"/>
    <w:rsid w:val="00C253FE"/>
    <w:rsid w:val="00C25809"/>
    <w:rsid w:val="00C25B64"/>
    <w:rsid w:val="00C25B8D"/>
    <w:rsid w:val="00C25D10"/>
    <w:rsid w:val="00C25E81"/>
    <w:rsid w:val="00C25F12"/>
    <w:rsid w:val="00C2609F"/>
    <w:rsid w:val="00C26150"/>
    <w:rsid w:val="00C26329"/>
    <w:rsid w:val="00C26775"/>
    <w:rsid w:val="00C2683A"/>
    <w:rsid w:val="00C26BA8"/>
    <w:rsid w:val="00C26DD7"/>
    <w:rsid w:val="00C26F3C"/>
    <w:rsid w:val="00C272BB"/>
    <w:rsid w:val="00C2746A"/>
    <w:rsid w:val="00C2754C"/>
    <w:rsid w:val="00C27699"/>
    <w:rsid w:val="00C27736"/>
    <w:rsid w:val="00C27865"/>
    <w:rsid w:val="00C30071"/>
    <w:rsid w:val="00C30203"/>
    <w:rsid w:val="00C3028E"/>
    <w:rsid w:val="00C30398"/>
    <w:rsid w:val="00C303E4"/>
    <w:rsid w:val="00C305F8"/>
    <w:rsid w:val="00C3074F"/>
    <w:rsid w:val="00C3084B"/>
    <w:rsid w:val="00C308F7"/>
    <w:rsid w:val="00C3096F"/>
    <w:rsid w:val="00C309FA"/>
    <w:rsid w:val="00C30DA9"/>
    <w:rsid w:val="00C30F55"/>
    <w:rsid w:val="00C30F85"/>
    <w:rsid w:val="00C312CF"/>
    <w:rsid w:val="00C312F6"/>
    <w:rsid w:val="00C315DB"/>
    <w:rsid w:val="00C316BD"/>
    <w:rsid w:val="00C317FE"/>
    <w:rsid w:val="00C31921"/>
    <w:rsid w:val="00C31945"/>
    <w:rsid w:val="00C32152"/>
    <w:rsid w:val="00C3237E"/>
    <w:rsid w:val="00C32460"/>
    <w:rsid w:val="00C324C2"/>
    <w:rsid w:val="00C32642"/>
    <w:rsid w:val="00C32887"/>
    <w:rsid w:val="00C32CD7"/>
    <w:rsid w:val="00C32F7B"/>
    <w:rsid w:val="00C32FAA"/>
    <w:rsid w:val="00C331D5"/>
    <w:rsid w:val="00C33272"/>
    <w:rsid w:val="00C3339F"/>
    <w:rsid w:val="00C33524"/>
    <w:rsid w:val="00C335C0"/>
    <w:rsid w:val="00C336E0"/>
    <w:rsid w:val="00C33732"/>
    <w:rsid w:val="00C33837"/>
    <w:rsid w:val="00C33859"/>
    <w:rsid w:val="00C33A12"/>
    <w:rsid w:val="00C33F30"/>
    <w:rsid w:val="00C340A3"/>
    <w:rsid w:val="00C341AC"/>
    <w:rsid w:val="00C3428C"/>
    <w:rsid w:val="00C34597"/>
    <w:rsid w:val="00C34ACF"/>
    <w:rsid w:val="00C34B27"/>
    <w:rsid w:val="00C34D83"/>
    <w:rsid w:val="00C34E6E"/>
    <w:rsid w:val="00C34ED6"/>
    <w:rsid w:val="00C35170"/>
    <w:rsid w:val="00C35224"/>
    <w:rsid w:val="00C3524B"/>
    <w:rsid w:val="00C353E2"/>
    <w:rsid w:val="00C35588"/>
    <w:rsid w:val="00C35692"/>
    <w:rsid w:val="00C35897"/>
    <w:rsid w:val="00C35A60"/>
    <w:rsid w:val="00C35CC3"/>
    <w:rsid w:val="00C35CDA"/>
    <w:rsid w:val="00C35E55"/>
    <w:rsid w:val="00C35F90"/>
    <w:rsid w:val="00C3605B"/>
    <w:rsid w:val="00C36202"/>
    <w:rsid w:val="00C3627B"/>
    <w:rsid w:val="00C36552"/>
    <w:rsid w:val="00C36629"/>
    <w:rsid w:val="00C36643"/>
    <w:rsid w:val="00C3669F"/>
    <w:rsid w:val="00C366BF"/>
    <w:rsid w:val="00C367A5"/>
    <w:rsid w:val="00C368AE"/>
    <w:rsid w:val="00C36B1D"/>
    <w:rsid w:val="00C36B79"/>
    <w:rsid w:val="00C36DDC"/>
    <w:rsid w:val="00C36F81"/>
    <w:rsid w:val="00C3713E"/>
    <w:rsid w:val="00C3716A"/>
    <w:rsid w:val="00C3716C"/>
    <w:rsid w:val="00C37349"/>
    <w:rsid w:val="00C374D1"/>
    <w:rsid w:val="00C37577"/>
    <w:rsid w:val="00C375F8"/>
    <w:rsid w:val="00C377F5"/>
    <w:rsid w:val="00C37BA3"/>
    <w:rsid w:val="00C37BB9"/>
    <w:rsid w:val="00C37C4A"/>
    <w:rsid w:val="00C37CD1"/>
    <w:rsid w:val="00C37E36"/>
    <w:rsid w:val="00C37EFF"/>
    <w:rsid w:val="00C37F2C"/>
    <w:rsid w:val="00C3D232"/>
    <w:rsid w:val="00C40183"/>
    <w:rsid w:val="00C4025D"/>
    <w:rsid w:val="00C402F3"/>
    <w:rsid w:val="00C40408"/>
    <w:rsid w:val="00C40543"/>
    <w:rsid w:val="00C40668"/>
    <w:rsid w:val="00C40762"/>
    <w:rsid w:val="00C40825"/>
    <w:rsid w:val="00C4095E"/>
    <w:rsid w:val="00C40A8A"/>
    <w:rsid w:val="00C40A9C"/>
    <w:rsid w:val="00C40CF0"/>
    <w:rsid w:val="00C40D1D"/>
    <w:rsid w:val="00C40EDC"/>
    <w:rsid w:val="00C40F5B"/>
    <w:rsid w:val="00C410A4"/>
    <w:rsid w:val="00C41396"/>
    <w:rsid w:val="00C414DC"/>
    <w:rsid w:val="00C4153B"/>
    <w:rsid w:val="00C41758"/>
    <w:rsid w:val="00C417B7"/>
    <w:rsid w:val="00C417CA"/>
    <w:rsid w:val="00C4182A"/>
    <w:rsid w:val="00C41836"/>
    <w:rsid w:val="00C41A23"/>
    <w:rsid w:val="00C41AA6"/>
    <w:rsid w:val="00C41C02"/>
    <w:rsid w:val="00C41F28"/>
    <w:rsid w:val="00C41F7C"/>
    <w:rsid w:val="00C41F9E"/>
    <w:rsid w:val="00C421BB"/>
    <w:rsid w:val="00C424E8"/>
    <w:rsid w:val="00C42C01"/>
    <w:rsid w:val="00C42C37"/>
    <w:rsid w:val="00C42F71"/>
    <w:rsid w:val="00C43013"/>
    <w:rsid w:val="00C431CB"/>
    <w:rsid w:val="00C431DC"/>
    <w:rsid w:val="00C436A2"/>
    <w:rsid w:val="00C4370C"/>
    <w:rsid w:val="00C43A2F"/>
    <w:rsid w:val="00C43ABA"/>
    <w:rsid w:val="00C43D34"/>
    <w:rsid w:val="00C43D83"/>
    <w:rsid w:val="00C43DCE"/>
    <w:rsid w:val="00C43EC6"/>
    <w:rsid w:val="00C4430E"/>
    <w:rsid w:val="00C443E1"/>
    <w:rsid w:val="00C44676"/>
    <w:rsid w:val="00C44A95"/>
    <w:rsid w:val="00C44B24"/>
    <w:rsid w:val="00C44E25"/>
    <w:rsid w:val="00C452FF"/>
    <w:rsid w:val="00C453F0"/>
    <w:rsid w:val="00C45508"/>
    <w:rsid w:val="00C4563A"/>
    <w:rsid w:val="00C457E1"/>
    <w:rsid w:val="00C45A6E"/>
    <w:rsid w:val="00C45A77"/>
    <w:rsid w:val="00C45CB7"/>
    <w:rsid w:val="00C45D76"/>
    <w:rsid w:val="00C45EA2"/>
    <w:rsid w:val="00C46117"/>
    <w:rsid w:val="00C461DC"/>
    <w:rsid w:val="00C462F9"/>
    <w:rsid w:val="00C463D8"/>
    <w:rsid w:val="00C46725"/>
    <w:rsid w:val="00C468E3"/>
    <w:rsid w:val="00C46A1D"/>
    <w:rsid w:val="00C46AA0"/>
    <w:rsid w:val="00C46C31"/>
    <w:rsid w:val="00C46C97"/>
    <w:rsid w:val="00C46E22"/>
    <w:rsid w:val="00C47146"/>
    <w:rsid w:val="00C47407"/>
    <w:rsid w:val="00C4762D"/>
    <w:rsid w:val="00C47645"/>
    <w:rsid w:val="00C4798D"/>
    <w:rsid w:val="00C47C19"/>
    <w:rsid w:val="00C47D9E"/>
    <w:rsid w:val="00C47DE5"/>
    <w:rsid w:val="00C47F20"/>
    <w:rsid w:val="00C47F48"/>
    <w:rsid w:val="00C5051F"/>
    <w:rsid w:val="00C50887"/>
    <w:rsid w:val="00C50942"/>
    <w:rsid w:val="00C50A20"/>
    <w:rsid w:val="00C50BF9"/>
    <w:rsid w:val="00C50C72"/>
    <w:rsid w:val="00C5101B"/>
    <w:rsid w:val="00C510F5"/>
    <w:rsid w:val="00C510FE"/>
    <w:rsid w:val="00C5113D"/>
    <w:rsid w:val="00C5124E"/>
    <w:rsid w:val="00C5125D"/>
    <w:rsid w:val="00C512D6"/>
    <w:rsid w:val="00C513ED"/>
    <w:rsid w:val="00C515F6"/>
    <w:rsid w:val="00C5182C"/>
    <w:rsid w:val="00C5187F"/>
    <w:rsid w:val="00C51931"/>
    <w:rsid w:val="00C519A5"/>
    <w:rsid w:val="00C519BA"/>
    <w:rsid w:val="00C51A63"/>
    <w:rsid w:val="00C51C1B"/>
    <w:rsid w:val="00C51C68"/>
    <w:rsid w:val="00C51E15"/>
    <w:rsid w:val="00C52535"/>
    <w:rsid w:val="00C525CC"/>
    <w:rsid w:val="00C52681"/>
    <w:rsid w:val="00C526E8"/>
    <w:rsid w:val="00C52843"/>
    <w:rsid w:val="00C52A80"/>
    <w:rsid w:val="00C52CB9"/>
    <w:rsid w:val="00C52CCD"/>
    <w:rsid w:val="00C52E62"/>
    <w:rsid w:val="00C52EAC"/>
    <w:rsid w:val="00C53399"/>
    <w:rsid w:val="00C5346F"/>
    <w:rsid w:val="00C534F9"/>
    <w:rsid w:val="00C5383C"/>
    <w:rsid w:val="00C53870"/>
    <w:rsid w:val="00C5397C"/>
    <w:rsid w:val="00C53AD3"/>
    <w:rsid w:val="00C53CD1"/>
    <w:rsid w:val="00C53DA0"/>
    <w:rsid w:val="00C53DC0"/>
    <w:rsid w:val="00C53F7E"/>
    <w:rsid w:val="00C54218"/>
    <w:rsid w:val="00C5426F"/>
    <w:rsid w:val="00C543B1"/>
    <w:rsid w:val="00C543DB"/>
    <w:rsid w:val="00C5449F"/>
    <w:rsid w:val="00C54709"/>
    <w:rsid w:val="00C54714"/>
    <w:rsid w:val="00C54ACD"/>
    <w:rsid w:val="00C54C47"/>
    <w:rsid w:val="00C54CE1"/>
    <w:rsid w:val="00C54D58"/>
    <w:rsid w:val="00C550EA"/>
    <w:rsid w:val="00C55139"/>
    <w:rsid w:val="00C551CF"/>
    <w:rsid w:val="00C55460"/>
    <w:rsid w:val="00C555E7"/>
    <w:rsid w:val="00C555EA"/>
    <w:rsid w:val="00C5575A"/>
    <w:rsid w:val="00C55916"/>
    <w:rsid w:val="00C55994"/>
    <w:rsid w:val="00C55C0C"/>
    <w:rsid w:val="00C55D13"/>
    <w:rsid w:val="00C55DC9"/>
    <w:rsid w:val="00C55E3D"/>
    <w:rsid w:val="00C55F5C"/>
    <w:rsid w:val="00C56326"/>
    <w:rsid w:val="00C5656E"/>
    <w:rsid w:val="00C56579"/>
    <w:rsid w:val="00C56726"/>
    <w:rsid w:val="00C568A8"/>
    <w:rsid w:val="00C568CD"/>
    <w:rsid w:val="00C56AD6"/>
    <w:rsid w:val="00C56CBB"/>
    <w:rsid w:val="00C56E30"/>
    <w:rsid w:val="00C56E8D"/>
    <w:rsid w:val="00C5705B"/>
    <w:rsid w:val="00C57100"/>
    <w:rsid w:val="00C571AA"/>
    <w:rsid w:val="00C572FA"/>
    <w:rsid w:val="00C573E1"/>
    <w:rsid w:val="00C57422"/>
    <w:rsid w:val="00C5742C"/>
    <w:rsid w:val="00C57431"/>
    <w:rsid w:val="00C5747F"/>
    <w:rsid w:val="00C5757C"/>
    <w:rsid w:val="00C578D5"/>
    <w:rsid w:val="00C57927"/>
    <w:rsid w:val="00C57955"/>
    <w:rsid w:val="00C57968"/>
    <w:rsid w:val="00C579E2"/>
    <w:rsid w:val="00C57BA2"/>
    <w:rsid w:val="00C57BA4"/>
    <w:rsid w:val="00C57CF8"/>
    <w:rsid w:val="00C57ECC"/>
    <w:rsid w:val="00C57FBF"/>
    <w:rsid w:val="00C57FC4"/>
    <w:rsid w:val="00C60187"/>
    <w:rsid w:val="00C60218"/>
    <w:rsid w:val="00C604C7"/>
    <w:rsid w:val="00C604CF"/>
    <w:rsid w:val="00C60575"/>
    <w:rsid w:val="00C60900"/>
    <w:rsid w:val="00C609C2"/>
    <w:rsid w:val="00C60A4F"/>
    <w:rsid w:val="00C60A8B"/>
    <w:rsid w:val="00C60B54"/>
    <w:rsid w:val="00C60BF4"/>
    <w:rsid w:val="00C60C72"/>
    <w:rsid w:val="00C60C88"/>
    <w:rsid w:val="00C60D9A"/>
    <w:rsid w:val="00C60EF6"/>
    <w:rsid w:val="00C6106B"/>
    <w:rsid w:val="00C610A8"/>
    <w:rsid w:val="00C610C3"/>
    <w:rsid w:val="00C61269"/>
    <w:rsid w:val="00C61383"/>
    <w:rsid w:val="00C61401"/>
    <w:rsid w:val="00C61468"/>
    <w:rsid w:val="00C614F8"/>
    <w:rsid w:val="00C6158B"/>
    <w:rsid w:val="00C61703"/>
    <w:rsid w:val="00C61868"/>
    <w:rsid w:val="00C6188F"/>
    <w:rsid w:val="00C619BC"/>
    <w:rsid w:val="00C61A00"/>
    <w:rsid w:val="00C61B15"/>
    <w:rsid w:val="00C61BCC"/>
    <w:rsid w:val="00C61C28"/>
    <w:rsid w:val="00C61E7E"/>
    <w:rsid w:val="00C61E83"/>
    <w:rsid w:val="00C6208C"/>
    <w:rsid w:val="00C6209A"/>
    <w:rsid w:val="00C62102"/>
    <w:rsid w:val="00C62230"/>
    <w:rsid w:val="00C6237C"/>
    <w:rsid w:val="00C62599"/>
    <w:rsid w:val="00C6281A"/>
    <w:rsid w:val="00C62908"/>
    <w:rsid w:val="00C62B2F"/>
    <w:rsid w:val="00C62B7A"/>
    <w:rsid w:val="00C62C78"/>
    <w:rsid w:val="00C62E3D"/>
    <w:rsid w:val="00C62E52"/>
    <w:rsid w:val="00C634B6"/>
    <w:rsid w:val="00C63799"/>
    <w:rsid w:val="00C63B9B"/>
    <w:rsid w:val="00C63BB3"/>
    <w:rsid w:val="00C63C67"/>
    <w:rsid w:val="00C63CC6"/>
    <w:rsid w:val="00C63DFF"/>
    <w:rsid w:val="00C63E25"/>
    <w:rsid w:val="00C63E41"/>
    <w:rsid w:val="00C63EE9"/>
    <w:rsid w:val="00C63F70"/>
    <w:rsid w:val="00C64022"/>
    <w:rsid w:val="00C64034"/>
    <w:rsid w:val="00C64056"/>
    <w:rsid w:val="00C640AC"/>
    <w:rsid w:val="00C642B3"/>
    <w:rsid w:val="00C64634"/>
    <w:rsid w:val="00C64816"/>
    <w:rsid w:val="00C64920"/>
    <w:rsid w:val="00C64993"/>
    <w:rsid w:val="00C64A58"/>
    <w:rsid w:val="00C64C22"/>
    <w:rsid w:val="00C64C83"/>
    <w:rsid w:val="00C64CC8"/>
    <w:rsid w:val="00C64E92"/>
    <w:rsid w:val="00C64F4B"/>
    <w:rsid w:val="00C64F61"/>
    <w:rsid w:val="00C64F74"/>
    <w:rsid w:val="00C65251"/>
    <w:rsid w:val="00C652BA"/>
    <w:rsid w:val="00C65308"/>
    <w:rsid w:val="00C6550B"/>
    <w:rsid w:val="00C65533"/>
    <w:rsid w:val="00C65536"/>
    <w:rsid w:val="00C6558D"/>
    <w:rsid w:val="00C655AC"/>
    <w:rsid w:val="00C655FF"/>
    <w:rsid w:val="00C6570C"/>
    <w:rsid w:val="00C657B3"/>
    <w:rsid w:val="00C65917"/>
    <w:rsid w:val="00C65A7D"/>
    <w:rsid w:val="00C65C0D"/>
    <w:rsid w:val="00C65E5A"/>
    <w:rsid w:val="00C65EEC"/>
    <w:rsid w:val="00C65F04"/>
    <w:rsid w:val="00C66185"/>
    <w:rsid w:val="00C6643E"/>
    <w:rsid w:val="00C665CA"/>
    <w:rsid w:val="00C666E6"/>
    <w:rsid w:val="00C66A3C"/>
    <w:rsid w:val="00C66BEB"/>
    <w:rsid w:val="00C66F5B"/>
    <w:rsid w:val="00C670AC"/>
    <w:rsid w:val="00C671A3"/>
    <w:rsid w:val="00C671C8"/>
    <w:rsid w:val="00C6742E"/>
    <w:rsid w:val="00C67697"/>
    <w:rsid w:val="00C67C03"/>
    <w:rsid w:val="00C6F904"/>
    <w:rsid w:val="00C70225"/>
    <w:rsid w:val="00C703B3"/>
    <w:rsid w:val="00C704E1"/>
    <w:rsid w:val="00C70583"/>
    <w:rsid w:val="00C706FD"/>
    <w:rsid w:val="00C707FD"/>
    <w:rsid w:val="00C708E0"/>
    <w:rsid w:val="00C709DF"/>
    <w:rsid w:val="00C70A94"/>
    <w:rsid w:val="00C70B90"/>
    <w:rsid w:val="00C70C18"/>
    <w:rsid w:val="00C70C9F"/>
    <w:rsid w:val="00C70CAA"/>
    <w:rsid w:val="00C70D1A"/>
    <w:rsid w:val="00C70E28"/>
    <w:rsid w:val="00C70E4C"/>
    <w:rsid w:val="00C7119B"/>
    <w:rsid w:val="00C71389"/>
    <w:rsid w:val="00C714C7"/>
    <w:rsid w:val="00C714E6"/>
    <w:rsid w:val="00C71692"/>
    <w:rsid w:val="00C718A8"/>
    <w:rsid w:val="00C718E0"/>
    <w:rsid w:val="00C7197E"/>
    <w:rsid w:val="00C71B1D"/>
    <w:rsid w:val="00C71C8D"/>
    <w:rsid w:val="00C71E21"/>
    <w:rsid w:val="00C71E80"/>
    <w:rsid w:val="00C71FB6"/>
    <w:rsid w:val="00C72090"/>
    <w:rsid w:val="00C7230E"/>
    <w:rsid w:val="00C7259C"/>
    <w:rsid w:val="00C726BC"/>
    <w:rsid w:val="00C7290D"/>
    <w:rsid w:val="00C72938"/>
    <w:rsid w:val="00C72967"/>
    <w:rsid w:val="00C72CF9"/>
    <w:rsid w:val="00C72DEB"/>
    <w:rsid w:val="00C73008"/>
    <w:rsid w:val="00C73050"/>
    <w:rsid w:val="00C734C8"/>
    <w:rsid w:val="00C73738"/>
    <w:rsid w:val="00C738B1"/>
    <w:rsid w:val="00C7395B"/>
    <w:rsid w:val="00C739B1"/>
    <w:rsid w:val="00C73AFB"/>
    <w:rsid w:val="00C73B4F"/>
    <w:rsid w:val="00C73EDA"/>
    <w:rsid w:val="00C73FCD"/>
    <w:rsid w:val="00C74392"/>
    <w:rsid w:val="00C7453E"/>
    <w:rsid w:val="00C745E2"/>
    <w:rsid w:val="00C7467E"/>
    <w:rsid w:val="00C7490B"/>
    <w:rsid w:val="00C74914"/>
    <w:rsid w:val="00C7496D"/>
    <w:rsid w:val="00C74A98"/>
    <w:rsid w:val="00C74BCC"/>
    <w:rsid w:val="00C74C77"/>
    <w:rsid w:val="00C74F46"/>
    <w:rsid w:val="00C74F7D"/>
    <w:rsid w:val="00C75041"/>
    <w:rsid w:val="00C753D2"/>
    <w:rsid w:val="00C753E3"/>
    <w:rsid w:val="00C7560D"/>
    <w:rsid w:val="00C756F5"/>
    <w:rsid w:val="00C758FF"/>
    <w:rsid w:val="00C75AFF"/>
    <w:rsid w:val="00C75E2E"/>
    <w:rsid w:val="00C75FD4"/>
    <w:rsid w:val="00C7622D"/>
    <w:rsid w:val="00C76296"/>
    <w:rsid w:val="00C762EE"/>
    <w:rsid w:val="00C76597"/>
    <w:rsid w:val="00C76699"/>
    <w:rsid w:val="00C767DC"/>
    <w:rsid w:val="00C76897"/>
    <w:rsid w:val="00C7689C"/>
    <w:rsid w:val="00C76991"/>
    <w:rsid w:val="00C76AD2"/>
    <w:rsid w:val="00C76B7E"/>
    <w:rsid w:val="00C76D3C"/>
    <w:rsid w:val="00C76DFA"/>
    <w:rsid w:val="00C770A8"/>
    <w:rsid w:val="00C7726E"/>
    <w:rsid w:val="00C77344"/>
    <w:rsid w:val="00C7739D"/>
    <w:rsid w:val="00C7755F"/>
    <w:rsid w:val="00C77563"/>
    <w:rsid w:val="00C775BC"/>
    <w:rsid w:val="00C77639"/>
    <w:rsid w:val="00C77727"/>
    <w:rsid w:val="00C778AA"/>
    <w:rsid w:val="00C77AA4"/>
    <w:rsid w:val="00C77CB8"/>
    <w:rsid w:val="00C77D07"/>
    <w:rsid w:val="00C77F66"/>
    <w:rsid w:val="00C77FB9"/>
    <w:rsid w:val="00C801A0"/>
    <w:rsid w:val="00C8045B"/>
    <w:rsid w:val="00C8046B"/>
    <w:rsid w:val="00C80A10"/>
    <w:rsid w:val="00C80ADC"/>
    <w:rsid w:val="00C80B20"/>
    <w:rsid w:val="00C80C75"/>
    <w:rsid w:val="00C8131B"/>
    <w:rsid w:val="00C81426"/>
    <w:rsid w:val="00C817C8"/>
    <w:rsid w:val="00C81A20"/>
    <w:rsid w:val="00C81AE2"/>
    <w:rsid w:val="00C81D47"/>
    <w:rsid w:val="00C81E84"/>
    <w:rsid w:val="00C81F83"/>
    <w:rsid w:val="00C8200A"/>
    <w:rsid w:val="00C8223A"/>
    <w:rsid w:val="00C82382"/>
    <w:rsid w:val="00C824F9"/>
    <w:rsid w:val="00C82605"/>
    <w:rsid w:val="00C827DA"/>
    <w:rsid w:val="00C827F5"/>
    <w:rsid w:val="00C82A12"/>
    <w:rsid w:val="00C82BCB"/>
    <w:rsid w:val="00C82C50"/>
    <w:rsid w:val="00C82CA8"/>
    <w:rsid w:val="00C82E15"/>
    <w:rsid w:val="00C82E8D"/>
    <w:rsid w:val="00C82F0B"/>
    <w:rsid w:val="00C82FBD"/>
    <w:rsid w:val="00C832CF"/>
    <w:rsid w:val="00C83510"/>
    <w:rsid w:val="00C83553"/>
    <w:rsid w:val="00C83584"/>
    <w:rsid w:val="00C835FE"/>
    <w:rsid w:val="00C83673"/>
    <w:rsid w:val="00C83685"/>
    <w:rsid w:val="00C83749"/>
    <w:rsid w:val="00C8374D"/>
    <w:rsid w:val="00C83FC8"/>
    <w:rsid w:val="00C84049"/>
    <w:rsid w:val="00C84346"/>
    <w:rsid w:val="00C849B0"/>
    <w:rsid w:val="00C84D3D"/>
    <w:rsid w:val="00C85035"/>
    <w:rsid w:val="00C850C8"/>
    <w:rsid w:val="00C850DD"/>
    <w:rsid w:val="00C8523F"/>
    <w:rsid w:val="00C85273"/>
    <w:rsid w:val="00C854E9"/>
    <w:rsid w:val="00C85533"/>
    <w:rsid w:val="00C85700"/>
    <w:rsid w:val="00C85916"/>
    <w:rsid w:val="00C85ADF"/>
    <w:rsid w:val="00C85C28"/>
    <w:rsid w:val="00C85DB8"/>
    <w:rsid w:val="00C85E61"/>
    <w:rsid w:val="00C85EAC"/>
    <w:rsid w:val="00C85F9F"/>
    <w:rsid w:val="00C8605C"/>
    <w:rsid w:val="00C86154"/>
    <w:rsid w:val="00C861CF"/>
    <w:rsid w:val="00C86446"/>
    <w:rsid w:val="00C864DC"/>
    <w:rsid w:val="00C86650"/>
    <w:rsid w:val="00C866E1"/>
    <w:rsid w:val="00C8673A"/>
    <w:rsid w:val="00C867B9"/>
    <w:rsid w:val="00C86981"/>
    <w:rsid w:val="00C86A12"/>
    <w:rsid w:val="00C86AAC"/>
    <w:rsid w:val="00C86AB3"/>
    <w:rsid w:val="00C86B80"/>
    <w:rsid w:val="00C86C0E"/>
    <w:rsid w:val="00C86C52"/>
    <w:rsid w:val="00C86DD8"/>
    <w:rsid w:val="00C86F23"/>
    <w:rsid w:val="00C87046"/>
    <w:rsid w:val="00C870AE"/>
    <w:rsid w:val="00C87173"/>
    <w:rsid w:val="00C87764"/>
    <w:rsid w:val="00C87795"/>
    <w:rsid w:val="00C877A8"/>
    <w:rsid w:val="00C877B4"/>
    <w:rsid w:val="00C87C85"/>
    <w:rsid w:val="00C87C9C"/>
    <w:rsid w:val="00C87CE9"/>
    <w:rsid w:val="00C87D0C"/>
    <w:rsid w:val="00C87D79"/>
    <w:rsid w:val="00C87D81"/>
    <w:rsid w:val="00C87DB8"/>
    <w:rsid w:val="00C87ECA"/>
    <w:rsid w:val="00C87F97"/>
    <w:rsid w:val="00C87FF4"/>
    <w:rsid w:val="00C9005C"/>
    <w:rsid w:val="00C90213"/>
    <w:rsid w:val="00C90260"/>
    <w:rsid w:val="00C90377"/>
    <w:rsid w:val="00C9054C"/>
    <w:rsid w:val="00C905B7"/>
    <w:rsid w:val="00C907AB"/>
    <w:rsid w:val="00C90AB3"/>
    <w:rsid w:val="00C90AED"/>
    <w:rsid w:val="00C90C93"/>
    <w:rsid w:val="00C90E7F"/>
    <w:rsid w:val="00C90E85"/>
    <w:rsid w:val="00C911FA"/>
    <w:rsid w:val="00C9158C"/>
    <w:rsid w:val="00C915B0"/>
    <w:rsid w:val="00C9188C"/>
    <w:rsid w:val="00C91966"/>
    <w:rsid w:val="00C919CA"/>
    <w:rsid w:val="00C91A03"/>
    <w:rsid w:val="00C91A38"/>
    <w:rsid w:val="00C91D2F"/>
    <w:rsid w:val="00C91E76"/>
    <w:rsid w:val="00C91FD8"/>
    <w:rsid w:val="00C92006"/>
    <w:rsid w:val="00C92278"/>
    <w:rsid w:val="00C922D7"/>
    <w:rsid w:val="00C922E1"/>
    <w:rsid w:val="00C92319"/>
    <w:rsid w:val="00C924C0"/>
    <w:rsid w:val="00C925E2"/>
    <w:rsid w:val="00C9268E"/>
    <w:rsid w:val="00C926A7"/>
    <w:rsid w:val="00C928FD"/>
    <w:rsid w:val="00C92942"/>
    <w:rsid w:val="00C92D4D"/>
    <w:rsid w:val="00C92DA5"/>
    <w:rsid w:val="00C92FCC"/>
    <w:rsid w:val="00C9305F"/>
    <w:rsid w:val="00C9306F"/>
    <w:rsid w:val="00C93246"/>
    <w:rsid w:val="00C933A9"/>
    <w:rsid w:val="00C9357A"/>
    <w:rsid w:val="00C935D0"/>
    <w:rsid w:val="00C9362C"/>
    <w:rsid w:val="00C93730"/>
    <w:rsid w:val="00C93847"/>
    <w:rsid w:val="00C93890"/>
    <w:rsid w:val="00C93B1E"/>
    <w:rsid w:val="00C93C12"/>
    <w:rsid w:val="00C93C14"/>
    <w:rsid w:val="00C93C72"/>
    <w:rsid w:val="00C93CB5"/>
    <w:rsid w:val="00C9428E"/>
    <w:rsid w:val="00C942CF"/>
    <w:rsid w:val="00C94302"/>
    <w:rsid w:val="00C94474"/>
    <w:rsid w:val="00C94488"/>
    <w:rsid w:val="00C944AC"/>
    <w:rsid w:val="00C9452B"/>
    <w:rsid w:val="00C9459D"/>
    <w:rsid w:val="00C94786"/>
    <w:rsid w:val="00C9478E"/>
    <w:rsid w:val="00C94979"/>
    <w:rsid w:val="00C949FC"/>
    <w:rsid w:val="00C94A38"/>
    <w:rsid w:val="00C94DAF"/>
    <w:rsid w:val="00C94DD4"/>
    <w:rsid w:val="00C94EAE"/>
    <w:rsid w:val="00C9500B"/>
    <w:rsid w:val="00C9507A"/>
    <w:rsid w:val="00C95151"/>
    <w:rsid w:val="00C95198"/>
    <w:rsid w:val="00C951DD"/>
    <w:rsid w:val="00C95257"/>
    <w:rsid w:val="00C954B3"/>
    <w:rsid w:val="00C954C0"/>
    <w:rsid w:val="00C954DE"/>
    <w:rsid w:val="00C95550"/>
    <w:rsid w:val="00C95854"/>
    <w:rsid w:val="00C95B26"/>
    <w:rsid w:val="00C95BEF"/>
    <w:rsid w:val="00C95DCA"/>
    <w:rsid w:val="00C95DF6"/>
    <w:rsid w:val="00C95F78"/>
    <w:rsid w:val="00C967EC"/>
    <w:rsid w:val="00C9691B"/>
    <w:rsid w:val="00C96934"/>
    <w:rsid w:val="00C96999"/>
    <w:rsid w:val="00C96F3E"/>
    <w:rsid w:val="00C97037"/>
    <w:rsid w:val="00C9708C"/>
    <w:rsid w:val="00C971C5"/>
    <w:rsid w:val="00C974DB"/>
    <w:rsid w:val="00C97565"/>
    <w:rsid w:val="00C97675"/>
    <w:rsid w:val="00C97860"/>
    <w:rsid w:val="00C97CE4"/>
    <w:rsid w:val="00C97DB5"/>
    <w:rsid w:val="00C97DB8"/>
    <w:rsid w:val="00CA0087"/>
    <w:rsid w:val="00CA0159"/>
    <w:rsid w:val="00CA02AD"/>
    <w:rsid w:val="00CA035C"/>
    <w:rsid w:val="00CA054D"/>
    <w:rsid w:val="00CA05E1"/>
    <w:rsid w:val="00CA0612"/>
    <w:rsid w:val="00CA065C"/>
    <w:rsid w:val="00CA068A"/>
    <w:rsid w:val="00CA06B4"/>
    <w:rsid w:val="00CA06CD"/>
    <w:rsid w:val="00CA0880"/>
    <w:rsid w:val="00CA0AD9"/>
    <w:rsid w:val="00CA0C5A"/>
    <w:rsid w:val="00CA0C73"/>
    <w:rsid w:val="00CA0F9F"/>
    <w:rsid w:val="00CA1029"/>
    <w:rsid w:val="00CA1208"/>
    <w:rsid w:val="00CA182E"/>
    <w:rsid w:val="00CA1EB9"/>
    <w:rsid w:val="00CA1EE5"/>
    <w:rsid w:val="00CA1FFB"/>
    <w:rsid w:val="00CA1FFD"/>
    <w:rsid w:val="00CA209D"/>
    <w:rsid w:val="00CA20A0"/>
    <w:rsid w:val="00CA25A1"/>
    <w:rsid w:val="00CA286E"/>
    <w:rsid w:val="00CA2975"/>
    <w:rsid w:val="00CA297A"/>
    <w:rsid w:val="00CA298D"/>
    <w:rsid w:val="00CA2CD7"/>
    <w:rsid w:val="00CA3155"/>
    <w:rsid w:val="00CA3527"/>
    <w:rsid w:val="00CA360A"/>
    <w:rsid w:val="00CA3624"/>
    <w:rsid w:val="00CA36E1"/>
    <w:rsid w:val="00CA38E6"/>
    <w:rsid w:val="00CA3BE9"/>
    <w:rsid w:val="00CA3C26"/>
    <w:rsid w:val="00CA3CBF"/>
    <w:rsid w:val="00CA3D6A"/>
    <w:rsid w:val="00CA3EDD"/>
    <w:rsid w:val="00CA411F"/>
    <w:rsid w:val="00CA427E"/>
    <w:rsid w:val="00CA42FC"/>
    <w:rsid w:val="00CA4311"/>
    <w:rsid w:val="00CA43BD"/>
    <w:rsid w:val="00CA44B1"/>
    <w:rsid w:val="00CA4A40"/>
    <w:rsid w:val="00CA4A46"/>
    <w:rsid w:val="00CA4CC9"/>
    <w:rsid w:val="00CA4D3D"/>
    <w:rsid w:val="00CA5076"/>
    <w:rsid w:val="00CA509C"/>
    <w:rsid w:val="00CA5215"/>
    <w:rsid w:val="00CA5254"/>
    <w:rsid w:val="00CA531B"/>
    <w:rsid w:val="00CA53B3"/>
    <w:rsid w:val="00CA5578"/>
    <w:rsid w:val="00CA55E9"/>
    <w:rsid w:val="00CA5701"/>
    <w:rsid w:val="00CA57DA"/>
    <w:rsid w:val="00CA58CF"/>
    <w:rsid w:val="00CA5C58"/>
    <w:rsid w:val="00CA5CC3"/>
    <w:rsid w:val="00CA5D07"/>
    <w:rsid w:val="00CA5E47"/>
    <w:rsid w:val="00CA5F6A"/>
    <w:rsid w:val="00CA60C2"/>
    <w:rsid w:val="00CA6328"/>
    <w:rsid w:val="00CA63C7"/>
    <w:rsid w:val="00CA66F0"/>
    <w:rsid w:val="00CA670C"/>
    <w:rsid w:val="00CA67D9"/>
    <w:rsid w:val="00CA6997"/>
    <w:rsid w:val="00CA6AB6"/>
    <w:rsid w:val="00CA6C79"/>
    <w:rsid w:val="00CA7016"/>
    <w:rsid w:val="00CA70DC"/>
    <w:rsid w:val="00CA75F1"/>
    <w:rsid w:val="00CA75FC"/>
    <w:rsid w:val="00CA7698"/>
    <w:rsid w:val="00CA769B"/>
    <w:rsid w:val="00CA77F5"/>
    <w:rsid w:val="00CA795D"/>
    <w:rsid w:val="00CA7B57"/>
    <w:rsid w:val="00CA7CC5"/>
    <w:rsid w:val="00CA7CD9"/>
    <w:rsid w:val="00CA7CDB"/>
    <w:rsid w:val="00CA7D5D"/>
    <w:rsid w:val="00CA7E2A"/>
    <w:rsid w:val="00CA7F5B"/>
    <w:rsid w:val="00CA7FE4"/>
    <w:rsid w:val="00CAC5C2"/>
    <w:rsid w:val="00CB0042"/>
    <w:rsid w:val="00CB0047"/>
    <w:rsid w:val="00CB006C"/>
    <w:rsid w:val="00CB00FC"/>
    <w:rsid w:val="00CB044D"/>
    <w:rsid w:val="00CB0671"/>
    <w:rsid w:val="00CB0746"/>
    <w:rsid w:val="00CB088F"/>
    <w:rsid w:val="00CB097F"/>
    <w:rsid w:val="00CB09C6"/>
    <w:rsid w:val="00CB09D8"/>
    <w:rsid w:val="00CB09DE"/>
    <w:rsid w:val="00CB0B8A"/>
    <w:rsid w:val="00CB0F43"/>
    <w:rsid w:val="00CB10CA"/>
    <w:rsid w:val="00CB121D"/>
    <w:rsid w:val="00CB12F4"/>
    <w:rsid w:val="00CB1588"/>
    <w:rsid w:val="00CB16AE"/>
    <w:rsid w:val="00CB18F7"/>
    <w:rsid w:val="00CB1B61"/>
    <w:rsid w:val="00CB1D76"/>
    <w:rsid w:val="00CB1FB2"/>
    <w:rsid w:val="00CB201C"/>
    <w:rsid w:val="00CB2083"/>
    <w:rsid w:val="00CB2154"/>
    <w:rsid w:val="00CB220B"/>
    <w:rsid w:val="00CB2418"/>
    <w:rsid w:val="00CB243B"/>
    <w:rsid w:val="00CB24F7"/>
    <w:rsid w:val="00CB269E"/>
    <w:rsid w:val="00CB27B6"/>
    <w:rsid w:val="00CB27FB"/>
    <w:rsid w:val="00CB289C"/>
    <w:rsid w:val="00CB28F9"/>
    <w:rsid w:val="00CB2A75"/>
    <w:rsid w:val="00CB2AE0"/>
    <w:rsid w:val="00CB2D08"/>
    <w:rsid w:val="00CB2D51"/>
    <w:rsid w:val="00CB30A8"/>
    <w:rsid w:val="00CB3196"/>
    <w:rsid w:val="00CB3237"/>
    <w:rsid w:val="00CB3243"/>
    <w:rsid w:val="00CB33AD"/>
    <w:rsid w:val="00CB3476"/>
    <w:rsid w:val="00CB34D3"/>
    <w:rsid w:val="00CB350F"/>
    <w:rsid w:val="00CB3516"/>
    <w:rsid w:val="00CB362E"/>
    <w:rsid w:val="00CB39DD"/>
    <w:rsid w:val="00CB3B57"/>
    <w:rsid w:val="00CB3BD1"/>
    <w:rsid w:val="00CB3BF9"/>
    <w:rsid w:val="00CB3E08"/>
    <w:rsid w:val="00CB3E1F"/>
    <w:rsid w:val="00CB3F59"/>
    <w:rsid w:val="00CB3FE4"/>
    <w:rsid w:val="00CB404F"/>
    <w:rsid w:val="00CB40C4"/>
    <w:rsid w:val="00CB41FF"/>
    <w:rsid w:val="00CB432E"/>
    <w:rsid w:val="00CB441A"/>
    <w:rsid w:val="00CB453C"/>
    <w:rsid w:val="00CB477F"/>
    <w:rsid w:val="00CB483A"/>
    <w:rsid w:val="00CB4974"/>
    <w:rsid w:val="00CB4AEE"/>
    <w:rsid w:val="00CB4D8F"/>
    <w:rsid w:val="00CB4E01"/>
    <w:rsid w:val="00CB5017"/>
    <w:rsid w:val="00CB50C8"/>
    <w:rsid w:val="00CB52D3"/>
    <w:rsid w:val="00CB52E6"/>
    <w:rsid w:val="00CB533D"/>
    <w:rsid w:val="00CB536B"/>
    <w:rsid w:val="00CB5568"/>
    <w:rsid w:val="00CB55BC"/>
    <w:rsid w:val="00CB5612"/>
    <w:rsid w:val="00CB58A9"/>
    <w:rsid w:val="00CB594E"/>
    <w:rsid w:val="00CB5959"/>
    <w:rsid w:val="00CB5BB6"/>
    <w:rsid w:val="00CB5BDE"/>
    <w:rsid w:val="00CB5E04"/>
    <w:rsid w:val="00CB5F31"/>
    <w:rsid w:val="00CB5F6E"/>
    <w:rsid w:val="00CB5FE7"/>
    <w:rsid w:val="00CB60AB"/>
    <w:rsid w:val="00CB60CC"/>
    <w:rsid w:val="00CB6157"/>
    <w:rsid w:val="00CB618D"/>
    <w:rsid w:val="00CB6378"/>
    <w:rsid w:val="00CB6390"/>
    <w:rsid w:val="00CB63A1"/>
    <w:rsid w:val="00CB647A"/>
    <w:rsid w:val="00CB6487"/>
    <w:rsid w:val="00CB6675"/>
    <w:rsid w:val="00CB6A33"/>
    <w:rsid w:val="00CB6B8A"/>
    <w:rsid w:val="00CB6C84"/>
    <w:rsid w:val="00CB6C95"/>
    <w:rsid w:val="00CB6ED0"/>
    <w:rsid w:val="00CB6FC5"/>
    <w:rsid w:val="00CB704E"/>
    <w:rsid w:val="00CB70AC"/>
    <w:rsid w:val="00CB7162"/>
    <w:rsid w:val="00CB71F3"/>
    <w:rsid w:val="00CB7598"/>
    <w:rsid w:val="00CB7685"/>
    <w:rsid w:val="00CB76CB"/>
    <w:rsid w:val="00CB7713"/>
    <w:rsid w:val="00CB7748"/>
    <w:rsid w:val="00CB776D"/>
    <w:rsid w:val="00CB7864"/>
    <w:rsid w:val="00CB7930"/>
    <w:rsid w:val="00CB7BE2"/>
    <w:rsid w:val="00CB7EEC"/>
    <w:rsid w:val="00CC01B4"/>
    <w:rsid w:val="00CC031D"/>
    <w:rsid w:val="00CC03BF"/>
    <w:rsid w:val="00CC0457"/>
    <w:rsid w:val="00CC056B"/>
    <w:rsid w:val="00CC056F"/>
    <w:rsid w:val="00CC0667"/>
    <w:rsid w:val="00CC081F"/>
    <w:rsid w:val="00CC0841"/>
    <w:rsid w:val="00CC08C4"/>
    <w:rsid w:val="00CC094C"/>
    <w:rsid w:val="00CC09F5"/>
    <w:rsid w:val="00CC0B44"/>
    <w:rsid w:val="00CC0D0F"/>
    <w:rsid w:val="00CC0E70"/>
    <w:rsid w:val="00CC0E9C"/>
    <w:rsid w:val="00CC11A2"/>
    <w:rsid w:val="00CC1405"/>
    <w:rsid w:val="00CC155C"/>
    <w:rsid w:val="00CC15FF"/>
    <w:rsid w:val="00CC1817"/>
    <w:rsid w:val="00CC195A"/>
    <w:rsid w:val="00CC198B"/>
    <w:rsid w:val="00CC19DC"/>
    <w:rsid w:val="00CC1B8F"/>
    <w:rsid w:val="00CC1CAF"/>
    <w:rsid w:val="00CC1D6D"/>
    <w:rsid w:val="00CC2075"/>
    <w:rsid w:val="00CC21B2"/>
    <w:rsid w:val="00CC223A"/>
    <w:rsid w:val="00CC23AC"/>
    <w:rsid w:val="00CC24D4"/>
    <w:rsid w:val="00CC2745"/>
    <w:rsid w:val="00CC28B6"/>
    <w:rsid w:val="00CC2B16"/>
    <w:rsid w:val="00CC2BED"/>
    <w:rsid w:val="00CC2D3E"/>
    <w:rsid w:val="00CC2D7B"/>
    <w:rsid w:val="00CC2DBE"/>
    <w:rsid w:val="00CC2E4E"/>
    <w:rsid w:val="00CC2EAB"/>
    <w:rsid w:val="00CC2EEA"/>
    <w:rsid w:val="00CC3020"/>
    <w:rsid w:val="00CC30B7"/>
    <w:rsid w:val="00CC30C3"/>
    <w:rsid w:val="00CC3270"/>
    <w:rsid w:val="00CC3277"/>
    <w:rsid w:val="00CC3334"/>
    <w:rsid w:val="00CC3382"/>
    <w:rsid w:val="00CC35AF"/>
    <w:rsid w:val="00CC38B8"/>
    <w:rsid w:val="00CC390D"/>
    <w:rsid w:val="00CC397B"/>
    <w:rsid w:val="00CC3A3F"/>
    <w:rsid w:val="00CC3DEB"/>
    <w:rsid w:val="00CC3E25"/>
    <w:rsid w:val="00CC3F14"/>
    <w:rsid w:val="00CC4333"/>
    <w:rsid w:val="00CC45FA"/>
    <w:rsid w:val="00CC4610"/>
    <w:rsid w:val="00CC4832"/>
    <w:rsid w:val="00CC4AC4"/>
    <w:rsid w:val="00CC4BD7"/>
    <w:rsid w:val="00CC4CA4"/>
    <w:rsid w:val="00CC4DE4"/>
    <w:rsid w:val="00CC4E44"/>
    <w:rsid w:val="00CC4E79"/>
    <w:rsid w:val="00CC4ED4"/>
    <w:rsid w:val="00CC4F37"/>
    <w:rsid w:val="00CC5144"/>
    <w:rsid w:val="00CC5253"/>
    <w:rsid w:val="00CC5319"/>
    <w:rsid w:val="00CC53AE"/>
    <w:rsid w:val="00CC5AFF"/>
    <w:rsid w:val="00CC5BD1"/>
    <w:rsid w:val="00CC5CD4"/>
    <w:rsid w:val="00CC5D8F"/>
    <w:rsid w:val="00CC5F86"/>
    <w:rsid w:val="00CC64DB"/>
    <w:rsid w:val="00CC67B4"/>
    <w:rsid w:val="00CC68BB"/>
    <w:rsid w:val="00CC68BF"/>
    <w:rsid w:val="00CC6C4C"/>
    <w:rsid w:val="00CC6D13"/>
    <w:rsid w:val="00CC6E80"/>
    <w:rsid w:val="00CC6FB5"/>
    <w:rsid w:val="00CC70E0"/>
    <w:rsid w:val="00CC7111"/>
    <w:rsid w:val="00CC739A"/>
    <w:rsid w:val="00CC7443"/>
    <w:rsid w:val="00CC7491"/>
    <w:rsid w:val="00CC763D"/>
    <w:rsid w:val="00CC7732"/>
    <w:rsid w:val="00CC78D9"/>
    <w:rsid w:val="00CC79CB"/>
    <w:rsid w:val="00CC7A4A"/>
    <w:rsid w:val="00CC7E9A"/>
    <w:rsid w:val="00CC7F3E"/>
    <w:rsid w:val="00CC7FAC"/>
    <w:rsid w:val="00CD001E"/>
    <w:rsid w:val="00CD0536"/>
    <w:rsid w:val="00CD05AE"/>
    <w:rsid w:val="00CD0658"/>
    <w:rsid w:val="00CD072D"/>
    <w:rsid w:val="00CD07F3"/>
    <w:rsid w:val="00CD0866"/>
    <w:rsid w:val="00CD0896"/>
    <w:rsid w:val="00CD0A30"/>
    <w:rsid w:val="00CD0B23"/>
    <w:rsid w:val="00CD0C69"/>
    <w:rsid w:val="00CD0D82"/>
    <w:rsid w:val="00CD0F62"/>
    <w:rsid w:val="00CD1004"/>
    <w:rsid w:val="00CD10D4"/>
    <w:rsid w:val="00CD12E2"/>
    <w:rsid w:val="00CD12FA"/>
    <w:rsid w:val="00CD1324"/>
    <w:rsid w:val="00CD1505"/>
    <w:rsid w:val="00CD15F3"/>
    <w:rsid w:val="00CD1696"/>
    <w:rsid w:val="00CD1825"/>
    <w:rsid w:val="00CD19AA"/>
    <w:rsid w:val="00CD19BF"/>
    <w:rsid w:val="00CD1D5B"/>
    <w:rsid w:val="00CD1F3F"/>
    <w:rsid w:val="00CD1FF1"/>
    <w:rsid w:val="00CD20E8"/>
    <w:rsid w:val="00CD224A"/>
    <w:rsid w:val="00CD231A"/>
    <w:rsid w:val="00CD2390"/>
    <w:rsid w:val="00CD2429"/>
    <w:rsid w:val="00CD24BF"/>
    <w:rsid w:val="00CD25F5"/>
    <w:rsid w:val="00CD26CF"/>
    <w:rsid w:val="00CD29BA"/>
    <w:rsid w:val="00CD2AEF"/>
    <w:rsid w:val="00CD2BF4"/>
    <w:rsid w:val="00CD307B"/>
    <w:rsid w:val="00CD31D4"/>
    <w:rsid w:val="00CD3235"/>
    <w:rsid w:val="00CD3554"/>
    <w:rsid w:val="00CD36B3"/>
    <w:rsid w:val="00CD3869"/>
    <w:rsid w:val="00CD3A57"/>
    <w:rsid w:val="00CD3EC0"/>
    <w:rsid w:val="00CD3EFB"/>
    <w:rsid w:val="00CD3F02"/>
    <w:rsid w:val="00CD3F62"/>
    <w:rsid w:val="00CD3F73"/>
    <w:rsid w:val="00CD4248"/>
    <w:rsid w:val="00CD433D"/>
    <w:rsid w:val="00CD44AE"/>
    <w:rsid w:val="00CD45DA"/>
    <w:rsid w:val="00CD479D"/>
    <w:rsid w:val="00CD4B2E"/>
    <w:rsid w:val="00CD4BF3"/>
    <w:rsid w:val="00CD4D47"/>
    <w:rsid w:val="00CD4DF5"/>
    <w:rsid w:val="00CD520E"/>
    <w:rsid w:val="00CD5407"/>
    <w:rsid w:val="00CD5440"/>
    <w:rsid w:val="00CD5567"/>
    <w:rsid w:val="00CD57E4"/>
    <w:rsid w:val="00CD5B93"/>
    <w:rsid w:val="00CD5CAD"/>
    <w:rsid w:val="00CD5E00"/>
    <w:rsid w:val="00CD5ECC"/>
    <w:rsid w:val="00CD5F73"/>
    <w:rsid w:val="00CD6007"/>
    <w:rsid w:val="00CD610C"/>
    <w:rsid w:val="00CD62DB"/>
    <w:rsid w:val="00CD6304"/>
    <w:rsid w:val="00CD6345"/>
    <w:rsid w:val="00CD6422"/>
    <w:rsid w:val="00CD64B0"/>
    <w:rsid w:val="00CD6620"/>
    <w:rsid w:val="00CD684F"/>
    <w:rsid w:val="00CD6A36"/>
    <w:rsid w:val="00CD6ABC"/>
    <w:rsid w:val="00CD6B68"/>
    <w:rsid w:val="00CD6C70"/>
    <w:rsid w:val="00CD6E02"/>
    <w:rsid w:val="00CD6F26"/>
    <w:rsid w:val="00CD70C0"/>
    <w:rsid w:val="00CD7200"/>
    <w:rsid w:val="00CD7274"/>
    <w:rsid w:val="00CD72EB"/>
    <w:rsid w:val="00CD7375"/>
    <w:rsid w:val="00CD7388"/>
    <w:rsid w:val="00CD7486"/>
    <w:rsid w:val="00CD7491"/>
    <w:rsid w:val="00CD75B7"/>
    <w:rsid w:val="00CD75E2"/>
    <w:rsid w:val="00CD78B8"/>
    <w:rsid w:val="00CD7A73"/>
    <w:rsid w:val="00CD7CAD"/>
    <w:rsid w:val="00CD7D7C"/>
    <w:rsid w:val="00CD7E72"/>
    <w:rsid w:val="00CE00D0"/>
    <w:rsid w:val="00CE022C"/>
    <w:rsid w:val="00CE0290"/>
    <w:rsid w:val="00CE02CD"/>
    <w:rsid w:val="00CE03AA"/>
    <w:rsid w:val="00CE0515"/>
    <w:rsid w:val="00CE059E"/>
    <w:rsid w:val="00CE0636"/>
    <w:rsid w:val="00CE068B"/>
    <w:rsid w:val="00CE081B"/>
    <w:rsid w:val="00CE0B93"/>
    <w:rsid w:val="00CE1068"/>
    <w:rsid w:val="00CE14AA"/>
    <w:rsid w:val="00CE15E6"/>
    <w:rsid w:val="00CE1669"/>
    <w:rsid w:val="00CE16C9"/>
    <w:rsid w:val="00CE16E8"/>
    <w:rsid w:val="00CE18F6"/>
    <w:rsid w:val="00CE19BF"/>
    <w:rsid w:val="00CE1B8A"/>
    <w:rsid w:val="00CE1DAC"/>
    <w:rsid w:val="00CE1F0C"/>
    <w:rsid w:val="00CE1F16"/>
    <w:rsid w:val="00CE21F1"/>
    <w:rsid w:val="00CE22C6"/>
    <w:rsid w:val="00CE2652"/>
    <w:rsid w:val="00CE27E6"/>
    <w:rsid w:val="00CE2851"/>
    <w:rsid w:val="00CE2932"/>
    <w:rsid w:val="00CE2C30"/>
    <w:rsid w:val="00CE2C34"/>
    <w:rsid w:val="00CE2CC6"/>
    <w:rsid w:val="00CE2DC8"/>
    <w:rsid w:val="00CE2DFE"/>
    <w:rsid w:val="00CE2FCD"/>
    <w:rsid w:val="00CE30ED"/>
    <w:rsid w:val="00CE3481"/>
    <w:rsid w:val="00CE3495"/>
    <w:rsid w:val="00CE3515"/>
    <w:rsid w:val="00CE36F4"/>
    <w:rsid w:val="00CE3835"/>
    <w:rsid w:val="00CE3916"/>
    <w:rsid w:val="00CE39E4"/>
    <w:rsid w:val="00CE3A75"/>
    <w:rsid w:val="00CE3AA8"/>
    <w:rsid w:val="00CE3BB1"/>
    <w:rsid w:val="00CE3BB5"/>
    <w:rsid w:val="00CE41A4"/>
    <w:rsid w:val="00CE4255"/>
    <w:rsid w:val="00CE42BF"/>
    <w:rsid w:val="00CE4310"/>
    <w:rsid w:val="00CE478D"/>
    <w:rsid w:val="00CE4B9D"/>
    <w:rsid w:val="00CE4C20"/>
    <w:rsid w:val="00CE4DB6"/>
    <w:rsid w:val="00CE5237"/>
    <w:rsid w:val="00CE56FD"/>
    <w:rsid w:val="00CE5795"/>
    <w:rsid w:val="00CE59AB"/>
    <w:rsid w:val="00CE5A2A"/>
    <w:rsid w:val="00CE5BBB"/>
    <w:rsid w:val="00CE5BE2"/>
    <w:rsid w:val="00CE5C88"/>
    <w:rsid w:val="00CE5D3E"/>
    <w:rsid w:val="00CE61B8"/>
    <w:rsid w:val="00CE64B6"/>
    <w:rsid w:val="00CE64E5"/>
    <w:rsid w:val="00CE64F8"/>
    <w:rsid w:val="00CE6657"/>
    <w:rsid w:val="00CE679F"/>
    <w:rsid w:val="00CE6C4E"/>
    <w:rsid w:val="00CE70B7"/>
    <w:rsid w:val="00CE70ED"/>
    <w:rsid w:val="00CE7210"/>
    <w:rsid w:val="00CE7598"/>
    <w:rsid w:val="00CE761D"/>
    <w:rsid w:val="00CE7639"/>
    <w:rsid w:val="00CE76DF"/>
    <w:rsid w:val="00CE7984"/>
    <w:rsid w:val="00CE7A1C"/>
    <w:rsid w:val="00CE7AE0"/>
    <w:rsid w:val="00CE7C8F"/>
    <w:rsid w:val="00CE7E3D"/>
    <w:rsid w:val="00CE7EC3"/>
    <w:rsid w:val="00CF0023"/>
    <w:rsid w:val="00CF0029"/>
    <w:rsid w:val="00CF00DC"/>
    <w:rsid w:val="00CF016B"/>
    <w:rsid w:val="00CF027D"/>
    <w:rsid w:val="00CF04D5"/>
    <w:rsid w:val="00CF053D"/>
    <w:rsid w:val="00CF0552"/>
    <w:rsid w:val="00CF0668"/>
    <w:rsid w:val="00CF0935"/>
    <w:rsid w:val="00CF0966"/>
    <w:rsid w:val="00CF0D85"/>
    <w:rsid w:val="00CF0EC7"/>
    <w:rsid w:val="00CF0F2A"/>
    <w:rsid w:val="00CF0FE6"/>
    <w:rsid w:val="00CF1115"/>
    <w:rsid w:val="00CF16A2"/>
    <w:rsid w:val="00CF16FC"/>
    <w:rsid w:val="00CF1770"/>
    <w:rsid w:val="00CF186A"/>
    <w:rsid w:val="00CF18FF"/>
    <w:rsid w:val="00CF192E"/>
    <w:rsid w:val="00CF19B8"/>
    <w:rsid w:val="00CF1A85"/>
    <w:rsid w:val="00CF1B86"/>
    <w:rsid w:val="00CF1E1E"/>
    <w:rsid w:val="00CF1E84"/>
    <w:rsid w:val="00CF1E95"/>
    <w:rsid w:val="00CF20DF"/>
    <w:rsid w:val="00CF245B"/>
    <w:rsid w:val="00CF2626"/>
    <w:rsid w:val="00CF2670"/>
    <w:rsid w:val="00CF2D68"/>
    <w:rsid w:val="00CF2F87"/>
    <w:rsid w:val="00CF2FD3"/>
    <w:rsid w:val="00CF30E8"/>
    <w:rsid w:val="00CF31B8"/>
    <w:rsid w:val="00CF34A2"/>
    <w:rsid w:val="00CF365A"/>
    <w:rsid w:val="00CF3678"/>
    <w:rsid w:val="00CF3A0C"/>
    <w:rsid w:val="00CF3A0F"/>
    <w:rsid w:val="00CF3B4D"/>
    <w:rsid w:val="00CF3C22"/>
    <w:rsid w:val="00CF40FF"/>
    <w:rsid w:val="00CF41D6"/>
    <w:rsid w:val="00CF4374"/>
    <w:rsid w:val="00CF43EF"/>
    <w:rsid w:val="00CF4457"/>
    <w:rsid w:val="00CF45EC"/>
    <w:rsid w:val="00CF46BC"/>
    <w:rsid w:val="00CF4857"/>
    <w:rsid w:val="00CF48F5"/>
    <w:rsid w:val="00CF4BFE"/>
    <w:rsid w:val="00CF4C10"/>
    <w:rsid w:val="00CF4DBE"/>
    <w:rsid w:val="00CF4E0E"/>
    <w:rsid w:val="00CF5049"/>
    <w:rsid w:val="00CF511B"/>
    <w:rsid w:val="00CF51C2"/>
    <w:rsid w:val="00CF53B8"/>
    <w:rsid w:val="00CF53EE"/>
    <w:rsid w:val="00CF583E"/>
    <w:rsid w:val="00CF5A9E"/>
    <w:rsid w:val="00CF5C00"/>
    <w:rsid w:val="00CF5D4D"/>
    <w:rsid w:val="00CF5E72"/>
    <w:rsid w:val="00CF5E93"/>
    <w:rsid w:val="00CF6039"/>
    <w:rsid w:val="00CF61B8"/>
    <w:rsid w:val="00CF6284"/>
    <w:rsid w:val="00CF63A6"/>
    <w:rsid w:val="00CF6448"/>
    <w:rsid w:val="00CF6655"/>
    <w:rsid w:val="00CF66B3"/>
    <w:rsid w:val="00CF6834"/>
    <w:rsid w:val="00CF6950"/>
    <w:rsid w:val="00CF69D5"/>
    <w:rsid w:val="00CF6DCB"/>
    <w:rsid w:val="00CF6E59"/>
    <w:rsid w:val="00CF6EB2"/>
    <w:rsid w:val="00CF7336"/>
    <w:rsid w:val="00CF7405"/>
    <w:rsid w:val="00CF7426"/>
    <w:rsid w:val="00CF75FD"/>
    <w:rsid w:val="00CF7B8D"/>
    <w:rsid w:val="00CF7DAC"/>
    <w:rsid w:val="00CF7EC1"/>
    <w:rsid w:val="00D0037B"/>
    <w:rsid w:val="00D00724"/>
    <w:rsid w:val="00D00990"/>
    <w:rsid w:val="00D00C01"/>
    <w:rsid w:val="00D00C29"/>
    <w:rsid w:val="00D00D4A"/>
    <w:rsid w:val="00D00FE7"/>
    <w:rsid w:val="00D0102A"/>
    <w:rsid w:val="00D0102E"/>
    <w:rsid w:val="00D010C2"/>
    <w:rsid w:val="00D01129"/>
    <w:rsid w:val="00D01414"/>
    <w:rsid w:val="00D01495"/>
    <w:rsid w:val="00D01498"/>
    <w:rsid w:val="00D015E7"/>
    <w:rsid w:val="00D016D3"/>
    <w:rsid w:val="00D0186B"/>
    <w:rsid w:val="00D018A2"/>
    <w:rsid w:val="00D01A05"/>
    <w:rsid w:val="00D01B56"/>
    <w:rsid w:val="00D01B63"/>
    <w:rsid w:val="00D01B90"/>
    <w:rsid w:val="00D01BA0"/>
    <w:rsid w:val="00D01D39"/>
    <w:rsid w:val="00D01EB2"/>
    <w:rsid w:val="00D02087"/>
    <w:rsid w:val="00D02145"/>
    <w:rsid w:val="00D022E3"/>
    <w:rsid w:val="00D02538"/>
    <w:rsid w:val="00D02684"/>
    <w:rsid w:val="00D02725"/>
    <w:rsid w:val="00D02807"/>
    <w:rsid w:val="00D02834"/>
    <w:rsid w:val="00D02919"/>
    <w:rsid w:val="00D02E90"/>
    <w:rsid w:val="00D031F7"/>
    <w:rsid w:val="00D03315"/>
    <w:rsid w:val="00D035B8"/>
    <w:rsid w:val="00D0364F"/>
    <w:rsid w:val="00D03846"/>
    <w:rsid w:val="00D03884"/>
    <w:rsid w:val="00D038BD"/>
    <w:rsid w:val="00D03990"/>
    <w:rsid w:val="00D039B4"/>
    <w:rsid w:val="00D03DAC"/>
    <w:rsid w:val="00D040ED"/>
    <w:rsid w:val="00D042FB"/>
    <w:rsid w:val="00D04322"/>
    <w:rsid w:val="00D0439E"/>
    <w:rsid w:val="00D043EE"/>
    <w:rsid w:val="00D04774"/>
    <w:rsid w:val="00D04812"/>
    <w:rsid w:val="00D04A1C"/>
    <w:rsid w:val="00D04A6A"/>
    <w:rsid w:val="00D04B7A"/>
    <w:rsid w:val="00D04DCC"/>
    <w:rsid w:val="00D04E4B"/>
    <w:rsid w:val="00D04F18"/>
    <w:rsid w:val="00D0505C"/>
    <w:rsid w:val="00D051BB"/>
    <w:rsid w:val="00D05437"/>
    <w:rsid w:val="00D055B7"/>
    <w:rsid w:val="00D05826"/>
    <w:rsid w:val="00D058D4"/>
    <w:rsid w:val="00D05910"/>
    <w:rsid w:val="00D05B79"/>
    <w:rsid w:val="00D05D57"/>
    <w:rsid w:val="00D05F0D"/>
    <w:rsid w:val="00D06149"/>
    <w:rsid w:val="00D06225"/>
    <w:rsid w:val="00D06421"/>
    <w:rsid w:val="00D0652B"/>
    <w:rsid w:val="00D06559"/>
    <w:rsid w:val="00D06A43"/>
    <w:rsid w:val="00D06B59"/>
    <w:rsid w:val="00D06CE5"/>
    <w:rsid w:val="00D06DA0"/>
    <w:rsid w:val="00D06DBC"/>
    <w:rsid w:val="00D06F39"/>
    <w:rsid w:val="00D06F5E"/>
    <w:rsid w:val="00D06F7A"/>
    <w:rsid w:val="00D0709A"/>
    <w:rsid w:val="00D0739F"/>
    <w:rsid w:val="00D07620"/>
    <w:rsid w:val="00D0765C"/>
    <w:rsid w:val="00D07755"/>
    <w:rsid w:val="00D07854"/>
    <w:rsid w:val="00D07946"/>
    <w:rsid w:val="00D07A1F"/>
    <w:rsid w:val="00D07CDF"/>
    <w:rsid w:val="00D07D90"/>
    <w:rsid w:val="00D07F1B"/>
    <w:rsid w:val="00D07F62"/>
    <w:rsid w:val="00D10069"/>
    <w:rsid w:val="00D10267"/>
    <w:rsid w:val="00D107B7"/>
    <w:rsid w:val="00D107F9"/>
    <w:rsid w:val="00D10A97"/>
    <w:rsid w:val="00D10B50"/>
    <w:rsid w:val="00D10CB7"/>
    <w:rsid w:val="00D10CC7"/>
    <w:rsid w:val="00D11366"/>
    <w:rsid w:val="00D113D6"/>
    <w:rsid w:val="00D113F1"/>
    <w:rsid w:val="00D1140E"/>
    <w:rsid w:val="00D1148D"/>
    <w:rsid w:val="00D11578"/>
    <w:rsid w:val="00D11670"/>
    <w:rsid w:val="00D116B8"/>
    <w:rsid w:val="00D116C0"/>
    <w:rsid w:val="00D117E8"/>
    <w:rsid w:val="00D118D2"/>
    <w:rsid w:val="00D1197B"/>
    <w:rsid w:val="00D11B69"/>
    <w:rsid w:val="00D11C27"/>
    <w:rsid w:val="00D11D91"/>
    <w:rsid w:val="00D11FD8"/>
    <w:rsid w:val="00D1200E"/>
    <w:rsid w:val="00D122E9"/>
    <w:rsid w:val="00D123D3"/>
    <w:rsid w:val="00D123F3"/>
    <w:rsid w:val="00D12676"/>
    <w:rsid w:val="00D128D6"/>
    <w:rsid w:val="00D12903"/>
    <w:rsid w:val="00D129ED"/>
    <w:rsid w:val="00D12AA5"/>
    <w:rsid w:val="00D12D2B"/>
    <w:rsid w:val="00D12E27"/>
    <w:rsid w:val="00D12E6A"/>
    <w:rsid w:val="00D12E9F"/>
    <w:rsid w:val="00D12EC7"/>
    <w:rsid w:val="00D130C3"/>
    <w:rsid w:val="00D13120"/>
    <w:rsid w:val="00D13124"/>
    <w:rsid w:val="00D1343E"/>
    <w:rsid w:val="00D1365A"/>
    <w:rsid w:val="00D13A8C"/>
    <w:rsid w:val="00D13B4E"/>
    <w:rsid w:val="00D13B95"/>
    <w:rsid w:val="00D1410A"/>
    <w:rsid w:val="00D1421C"/>
    <w:rsid w:val="00D142EE"/>
    <w:rsid w:val="00D14307"/>
    <w:rsid w:val="00D1450D"/>
    <w:rsid w:val="00D14640"/>
    <w:rsid w:val="00D14717"/>
    <w:rsid w:val="00D14727"/>
    <w:rsid w:val="00D14862"/>
    <w:rsid w:val="00D14C1A"/>
    <w:rsid w:val="00D14D3E"/>
    <w:rsid w:val="00D14EAD"/>
    <w:rsid w:val="00D14FDF"/>
    <w:rsid w:val="00D15041"/>
    <w:rsid w:val="00D150EF"/>
    <w:rsid w:val="00D151DF"/>
    <w:rsid w:val="00D15256"/>
    <w:rsid w:val="00D1543D"/>
    <w:rsid w:val="00D15508"/>
    <w:rsid w:val="00D156F7"/>
    <w:rsid w:val="00D15BD5"/>
    <w:rsid w:val="00D15F99"/>
    <w:rsid w:val="00D1609C"/>
    <w:rsid w:val="00D1613E"/>
    <w:rsid w:val="00D16173"/>
    <w:rsid w:val="00D16269"/>
    <w:rsid w:val="00D16434"/>
    <w:rsid w:val="00D1657B"/>
    <w:rsid w:val="00D166C6"/>
    <w:rsid w:val="00D16B13"/>
    <w:rsid w:val="00D16BCC"/>
    <w:rsid w:val="00D16C01"/>
    <w:rsid w:val="00D16F00"/>
    <w:rsid w:val="00D16F26"/>
    <w:rsid w:val="00D17084"/>
    <w:rsid w:val="00D171EB"/>
    <w:rsid w:val="00D1722E"/>
    <w:rsid w:val="00D173F5"/>
    <w:rsid w:val="00D173F7"/>
    <w:rsid w:val="00D17429"/>
    <w:rsid w:val="00D1766B"/>
    <w:rsid w:val="00D177A6"/>
    <w:rsid w:val="00D17A14"/>
    <w:rsid w:val="00D17A4E"/>
    <w:rsid w:val="00D2021D"/>
    <w:rsid w:val="00D20311"/>
    <w:rsid w:val="00D2046D"/>
    <w:rsid w:val="00D204D1"/>
    <w:rsid w:val="00D20761"/>
    <w:rsid w:val="00D20932"/>
    <w:rsid w:val="00D209DB"/>
    <w:rsid w:val="00D20A97"/>
    <w:rsid w:val="00D20B28"/>
    <w:rsid w:val="00D20B66"/>
    <w:rsid w:val="00D20BD1"/>
    <w:rsid w:val="00D20BE8"/>
    <w:rsid w:val="00D20C28"/>
    <w:rsid w:val="00D20ECC"/>
    <w:rsid w:val="00D20F7F"/>
    <w:rsid w:val="00D20FC7"/>
    <w:rsid w:val="00D210AB"/>
    <w:rsid w:val="00D211F7"/>
    <w:rsid w:val="00D21280"/>
    <w:rsid w:val="00D2130A"/>
    <w:rsid w:val="00D21417"/>
    <w:rsid w:val="00D2146D"/>
    <w:rsid w:val="00D2182E"/>
    <w:rsid w:val="00D21934"/>
    <w:rsid w:val="00D21C9E"/>
    <w:rsid w:val="00D21D55"/>
    <w:rsid w:val="00D21E45"/>
    <w:rsid w:val="00D21EE8"/>
    <w:rsid w:val="00D220BC"/>
    <w:rsid w:val="00D22273"/>
    <w:rsid w:val="00D22420"/>
    <w:rsid w:val="00D22442"/>
    <w:rsid w:val="00D2255C"/>
    <w:rsid w:val="00D2287A"/>
    <w:rsid w:val="00D2296C"/>
    <w:rsid w:val="00D22AC6"/>
    <w:rsid w:val="00D22B7B"/>
    <w:rsid w:val="00D22B93"/>
    <w:rsid w:val="00D22D17"/>
    <w:rsid w:val="00D2314D"/>
    <w:rsid w:val="00D23198"/>
    <w:rsid w:val="00D232E1"/>
    <w:rsid w:val="00D232E3"/>
    <w:rsid w:val="00D23462"/>
    <w:rsid w:val="00D2347B"/>
    <w:rsid w:val="00D23553"/>
    <w:rsid w:val="00D235BA"/>
    <w:rsid w:val="00D237B2"/>
    <w:rsid w:val="00D23925"/>
    <w:rsid w:val="00D23A77"/>
    <w:rsid w:val="00D241D4"/>
    <w:rsid w:val="00D24238"/>
    <w:rsid w:val="00D24298"/>
    <w:rsid w:val="00D242B6"/>
    <w:rsid w:val="00D242B9"/>
    <w:rsid w:val="00D243B8"/>
    <w:rsid w:val="00D245C9"/>
    <w:rsid w:val="00D24691"/>
    <w:rsid w:val="00D246A2"/>
    <w:rsid w:val="00D24966"/>
    <w:rsid w:val="00D24B1B"/>
    <w:rsid w:val="00D24BBC"/>
    <w:rsid w:val="00D24E2E"/>
    <w:rsid w:val="00D24EE2"/>
    <w:rsid w:val="00D24F05"/>
    <w:rsid w:val="00D24F0F"/>
    <w:rsid w:val="00D24F86"/>
    <w:rsid w:val="00D25079"/>
    <w:rsid w:val="00D25316"/>
    <w:rsid w:val="00D25432"/>
    <w:rsid w:val="00D2544D"/>
    <w:rsid w:val="00D254EE"/>
    <w:rsid w:val="00D25669"/>
    <w:rsid w:val="00D2578E"/>
    <w:rsid w:val="00D25899"/>
    <w:rsid w:val="00D25966"/>
    <w:rsid w:val="00D25B4D"/>
    <w:rsid w:val="00D25BB1"/>
    <w:rsid w:val="00D26159"/>
    <w:rsid w:val="00D265F6"/>
    <w:rsid w:val="00D26731"/>
    <w:rsid w:val="00D267B2"/>
    <w:rsid w:val="00D268BB"/>
    <w:rsid w:val="00D2695F"/>
    <w:rsid w:val="00D26C88"/>
    <w:rsid w:val="00D26E15"/>
    <w:rsid w:val="00D26E46"/>
    <w:rsid w:val="00D26E92"/>
    <w:rsid w:val="00D26F0E"/>
    <w:rsid w:val="00D27039"/>
    <w:rsid w:val="00D27174"/>
    <w:rsid w:val="00D27293"/>
    <w:rsid w:val="00D272E8"/>
    <w:rsid w:val="00D2745B"/>
    <w:rsid w:val="00D277CA"/>
    <w:rsid w:val="00D277E5"/>
    <w:rsid w:val="00D27804"/>
    <w:rsid w:val="00D27A29"/>
    <w:rsid w:val="00D27A78"/>
    <w:rsid w:val="00D27B60"/>
    <w:rsid w:val="00D27E9F"/>
    <w:rsid w:val="00D27F3B"/>
    <w:rsid w:val="00D3005A"/>
    <w:rsid w:val="00D30295"/>
    <w:rsid w:val="00D3037A"/>
    <w:rsid w:val="00D30979"/>
    <w:rsid w:val="00D3097C"/>
    <w:rsid w:val="00D30AF3"/>
    <w:rsid w:val="00D30B40"/>
    <w:rsid w:val="00D30C96"/>
    <w:rsid w:val="00D30DFC"/>
    <w:rsid w:val="00D31075"/>
    <w:rsid w:val="00D3114E"/>
    <w:rsid w:val="00D311AB"/>
    <w:rsid w:val="00D3140E"/>
    <w:rsid w:val="00D3146E"/>
    <w:rsid w:val="00D31564"/>
    <w:rsid w:val="00D315CB"/>
    <w:rsid w:val="00D316F9"/>
    <w:rsid w:val="00D3171D"/>
    <w:rsid w:val="00D31777"/>
    <w:rsid w:val="00D31AE6"/>
    <w:rsid w:val="00D31B7C"/>
    <w:rsid w:val="00D31FCC"/>
    <w:rsid w:val="00D320E2"/>
    <w:rsid w:val="00D32147"/>
    <w:rsid w:val="00D322F0"/>
    <w:rsid w:val="00D322FA"/>
    <w:rsid w:val="00D32458"/>
    <w:rsid w:val="00D32473"/>
    <w:rsid w:val="00D32B13"/>
    <w:rsid w:val="00D32CB7"/>
    <w:rsid w:val="00D32D66"/>
    <w:rsid w:val="00D32DBC"/>
    <w:rsid w:val="00D32DEF"/>
    <w:rsid w:val="00D32FF4"/>
    <w:rsid w:val="00D330B1"/>
    <w:rsid w:val="00D330C5"/>
    <w:rsid w:val="00D33150"/>
    <w:rsid w:val="00D331CD"/>
    <w:rsid w:val="00D332DA"/>
    <w:rsid w:val="00D33437"/>
    <w:rsid w:val="00D33528"/>
    <w:rsid w:val="00D336BE"/>
    <w:rsid w:val="00D337F0"/>
    <w:rsid w:val="00D33AA8"/>
    <w:rsid w:val="00D33D47"/>
    <w:rsid w:val="00D33F91"/>
    <w:rsid w:val="00D3400D"/>
    <w:rsid w:val="00D34446"/>
    <w:rsid w:val="00D34472"/>
    <w:rsid w:val="00D345A1"/>
    <w:rsid w:val="00D345AF"/>
    <w:rsid w:val="00D345B7"/>
    <w:rsid w:val="00D34699"/>
    <w:rsid w:val="00D34736"/>
    <w:rsid w:val="00D349C6"/>
    <w:rsid w:val="00D34D21"/>
    <w:rsid w:val="00D34D81"/>
    <w:rsid w:val="00D34DD4"/>
    <w:rsid w:val="00D34FB8"/>
    <w:rsid w:val="00D35018"/>
    <w:rsid w:val="00D3525C"/>
    <w:rsid w:val="00D35260"/>
    <w:rsid w:val="00D35342"/>
    <w:rsid w:val="00D3569E"/>
    <w:rsid w:val="00D356D6"/>
    <w:rsid w:val="00D357E7"/>
    <w:rsid w:val="00D35856"/>
    <w:rsid w:val="00D359AB"/>
    <w:rsid w:val="00D35A76"/>
    <w:rsid w:val="00D35C95"/>
    <w:rsid w:val="00D35F9B"/>
    <w:rsid w:val="00D3622A"/>
    <w:rsid w:val="00D365C9"/>
    <w:rsid w:val="00D36614"/>
    <w:rsid w:val="00D36649"/>
    <w:rsid w:val="00D367F4"/>
    <w:rsid w:val="00D36854"/>
    <w:rsid w:val="00D368DE"/>
    <w:rsid w:val="00D369E4"/>
    <w:rsid w:val="00D36A23"/>
    <w:rsid w:val="00D36A6E"/>
    <w:rsid w:val="00D36AD7"/>
    <w:rsid w:val="00D36B76"/>
    <w:rsid w:val="00D36D7D"/>
    <w:rsid w:val="00D36DBA"/>
    <w:rsid w:val="00D36E0A"/>
    <w:rsid w:val="00D3700E"/>
    <w:rsid w:val="00D3705D"/>
    <w:rsid w:val="00D37079"/>
    <w:rsid w:val="00D372F5"/>
    <w:rsid w:val="00D3751C"/>
    <w:rsid w:val="00D37521"/>
    <w:rsid w:val="00D376E5"/>
    <w:rsid w:val="00D376EA"/>
    <w:rsid w:val="00D37E5E"/>
    <w:rsid w:val="00D37EA4"/>
    <w:rsid w:val="00D37EE1"/>
    <w:rsid w:val="00D37F0F"/>
    <w:rsid w:val="00D37F37"/>
    <w:rsid w:val="00D40025"/>
    <w:rsid w:val="00D401DF"/>
    <w:rsid w:val="00D40346"/>
    <w:rsid w:val="00D40544"/>
    <w:rsid w:val="00D4058B"/>
    <w:rsid w:val="00D406C7"/>
    <w:rsid w:val="00D40752"/>
    <w:rsid w:val="00D407A6"/>
    <w:rsid w:val="00D407A7"/>
    <w:rsid w:val="00D40886"/>
    <w:rsid w:val="00D40A3A"/>
    <w:rsid w:val="00D40AE8"/>
    <w:rsid w:val="00D40EB9"/>
    <w:rsid w:val="00D41059"/>
    <w:rsid w:val="00D41098"/>
    <w:rsid w:val="00D41124"/>
    <w:rsid w:val="00D4130F"/>
    <w:rsid w:val="00D41358"/>
    <w:rsid w:val="00D413AE"/>
    <w:rsid w:val="00D413BF"/>
    <w:rsid w:val="00D4141D"/>
    <w:rsid w:val="00D41426"/>
    <w:rsid w:val="00D41459"/>
    <w:rsid w:val="00D414F4"/>
    <w:rsid w:val="00D41510"/>
    <w:rsid w:val="00D41744"/>
    <w:rsid w:val="00D41AF3"/>
    <w:rsid w:val="00D41DFA"/>
    <w:rsid w:val="00D41E0D"/>
    <w:rsid w:val="00D4204E"/>
    <w:rsid w:val="00D4238E"/>
    <w:rsid w:val="00D423C2"/>
    <w:rsid w:val="00D423E6"/>
    <w:rsid w:val="00D424BA"/>
    <w:rsid w:val="00D4269D"/>
    <w:rsid w:val="00D42772"/>
    <w:rsid w:val="00D42936"/>
    <w:rsid w:val="00D42AD5"/>
    <w:rsid w:val="00D42CBF"/>
    <w:rsid w:val="00D43090"/>
    <w:rsid w:val="00D431ED"/>
    <w:rsid w:val="00D43269"/>
    <w:rsid w:val="00D4327C"/>
    <w:rsid w:val="00D4340A"/>
    <w:rsid w:val="00D43519"/>
    <w:rsid w:val="00D435AE"/>
    <w:rsid w:val="00D43946"/>
    <w:rsid w:val="00D43E8A"/>
    <w:rsid w:val="00D4490A"/>
    <w:rsid w:val="00D44AA3"/>
    <w:rsid w:val="00D44C15"/>
    <w:rsid w:val="00D44D81"/>
    <w:rsid w:val="00D44DE6"/>
    <w:rsid w:val="00D44F27"/>
    <w:rsid w:val="00D45282"/>
    <w:rsid w:val="00D452B2"/>
    <w:rsid w:val="00D4535C"/>
    <w:rsid w:val="00D4546B"/>
    <w:rsid w:val="00D454D4"/>
    <w:rsid w:val="00D455A2"/>
    <w:rsid w:val="00D456E6"/>
    <w:rsid w:val="00D4572B"/>
    <w:rsid w:val="00D45898"/>
    <w:rsid w:val="00D458B9"/>
    <w:rsid w:val="00D459EA"/>
    <w:rsid w:val="00D45A40"/>
    <w:rsid w:val="00D45B33"/>
    <w:rsid w:val="00D45B6B"/>
    <w:rsid w:val="00D45D6B"/>
    <w:rsid w:val="00D45EB7"/>
    <w:rsid w:val="00D45EEB"/>
    <w:rsid w:val="00D45F74"/>
    <w:rsid w:val="00D46037"/>
    <w:rsid w:val="00D4614E"/>
    <w:rsid w:val="00D461B5"/>
    <w:rsid w:val="00D46287"/>
    <w:rsid w:val="00D464F7"/>
    <w:rsid w:val="00D46575"/>
    <w:rsid w:val="00D465DF"/>
    <w:rsid w:val="00D4661A"/>
    <w:rsid w:val="00D4661F"/>
    <w:rsid w:val="00D46628"/>
    <w:rsid w:val="00D4663D"/>
    <w:rsid w:val="00D466B3"/>
    <w:rsid w:val="00D4685E"/>
    <w:rsid w:val="00D469C9"/>
    <w:rsid w:val="00D46C60"/>
    <w:rsid w:val="00D47074"/>
    <w:rsid w:val="00D47367"/>
    <w:rsid w:val="00D475B2"/>
    <w:rsid w:val="00D47613"/>
    <w:rsid w:val="00D47653"/>
    <w:rsid w:val="00D477B7"/>
    <w:rsid w:val="00D47B25"/>
    <w:rsid w:val="00D47BA4"/>
    <w:rsid w:val="00D47C3F"/>
    <w:rsid w:val="00D47DE2"/>
    <w:rsid w:val="00D47E0B"/>
    <w:rsid w:val="00D50180"/>
    <w:rsid w:val="00D502D5"/>
    <w:rsid w:val="00D50656"/>
    <w:rsid w:val="00D506C3"/>
    <w:rsid w:val="00D507CD"/>
    <w:rsid w:val="00D50878"/>
    <w:rsid w:val="00D50990"/>
    <w:rsid w:val="00D509FA"/>
    <w:rsid w:val="00D50A96"/>
    <w:rsid w:val="00D50AFE"/>
    <w:rsid w:val="00D50B64"/>
    <w:rsid w:val="00D50EDD"/>
    <w:rsid w:val="00D510A6"/>
    <w:rsid w:val="00D5113B"/>
    <w:rsid w:val="00D5114E"/>
    <w:rsid w:val="00D514F0"/>
    <w:rsid w:val="00D5161B"/>
    <w:rsid w:val="00D5170B"/>
    <w:rsid w:val="00D51721"/>
    <w:rsid w:val="00D519EE"/>
    <w:rsid w:val="00D51DD9"/>
    <w:rsid w:val="00D51E4E"/>
    <w:rsid w:val="00D51FA3"/>
    <w:rsid w:val="00D52106"/>
    <w:rsid w:val="00D522FE"/>
    <w:rsid w:val="00D523E8"/>
    <w:rsid w:val="00D52445"/>
    <w:rsid w:val="00D52452"/>
    <w:rsid w:val="00D525E7"/>
    <w:rsid w:val="00D52924"/>
    <w:rsid w:val="00D52BB5"/>
    <w:rsid w:val="00D52BC8"/>
    <w:rsid w:val="00D52C3B"/>
    <w:rsid w:val="00D52C40"/>
    <w:rsid w:val="00D52C63"/>
    <w:rsid w:val="00D52D40"/>
    <w:rsid w:val="00D52E43"/>
    <w:rsid w:val="00D52FB4"/>
    <w:rsid w:val="00D531B3"/>
    <w:rsid w:val="00D53210"/>
    <w:rsid w:val="00D5335F"/>
    <w:rsid w:val="00D53629"/>
    <w:rsid w:val="00D536E0"/>
    <w:rsid w:val="00D53B72"/>
    <w:rsid w:val="00D53BB4"/>
    <w:rsid w:val="00D53C81"/>
    <w:rsid w:val="00D53C8D"/>
    <w:rsid w:val="00D53DC7"/>
    <w:rsid w:val="00D53E89"/>
    <w:rsid w:val="00D53EBA"/>
    <w:rsid w:val="00D53F80"/>
    <w:rsid w:val="00D53FD0"/>
    <w:rsid w:val="00D54187"/>
    <w:rsid w:val="00D543BB"/>
    <w:rsid w:val="00D5449D"/>
    <w:rsid w:val="00D544E8"/>
    <w:rsid w:val="00D545F6"/>
    <w:rsid w:val="00D54753"/>
    <w:rsid w:val="00D5481E"/>
    <w:rsid w:val="00D5486D"/>
    <w:rsid w:val="00D54A16"/>
    <w:rsid w:val="00D54B42"/>
    <w:rsid w:val="00D54C5C"/>
    <w:rsid w:val="00D54C9F"/>
    <w:rsid w:val="00D54D50"/>
    <w:rsid w:val="00D54D9D"/>
    <w:rsid w:val="00D54DE4"/>
    <w:rsid w:val="00D5518C"/>
    <w:rsid w:val="00D551BB"/>
    <w:rsid w:val="00D5526C"/>
    <w:rsid w:val="00D55748"/>
    <w:rsid w:val="00D55CF1"/>
    <w:rsid w:val="00D55D70"/>
    <w:rsid w:val="00D560E0"/>
    <w:rsid w:val="00D5620C"/>
    <w:rsid w:val="00D56442"/>
    <w:rsid w:val="00D564E2"/>
    <w:rsid w:val="00D565D1"/>
    <w:rsid w:val="00D56A3E"/>
    <w:rsid w:val="00D56AE6"/>
    <w:rsid w:val="00D56C08"/>
    <w:rsid w:val="00D56F7B"/>
    <w:rsid w:val="00D57143"/>
    <w:rsid w:val="00D572EF"/>
    <w:rsid w:val="00D5748B"/>
    <w:rsid w:val="00D574F9"/>
    <w:rsid w:val="00D574FD"/>
    <w:rsid w:val="00D575D2"/>
    <w:rsid w:val="00D575DC"/>
    <w:rsid w:val="00D5763A"/>
    <w:rsid w:val="00D576A6"/>
    <w:rsid w:val="00D578FA"/>
    <w:rsid w:val="00D57A2A"/>
    <w:rsid w:val="00D57A5D"/>
    <w:rsid w:val="00D57DFB"/>
    <w:rsid w:val="00D57E70"/>
    <w:rsid w:val="00D60149"/>
    <w:rsid w:val="00D60276"/>
    <w:rsid w:val="00D605E8"/>
    <w:rsid w:val="00D60615"/>
    <w:rsid w:val="00D606BB"/>
    <w:rsid w:val="00D608B3"/>
    <w:rsid w:val="00D60C62"/>
    <w:rsid w:val="00D60C68"/>
    <w:rsid w:val="00D60CA9"/>
    <w:rsid w:val="00D60E15"/>
    <w:rsid w:val="00D60EC4"/>
    <w:rsid w:val="00D6104D"/>
    <w:rsid w:val="00D610E9"/>
    <w:rsid w:val="00D6121E"/>
    <w:rsid w:val="00D61344"/>
    <w:rsid w:val="00D61766"/>
    <w:rsid w:val="00D6184C"/>
    <w:rsid w:val="00D61A0B"/>
    <w:rsid w:val="00D61AF2"/>
    <w:rsid w:val="00D61DE3"/>
    <w:rsid w:val="00D61E78"/>
    <w:rsid w:val="00D61E83"/>
    <w:rsid w:val="00D61F96"/>
    <w:rsid w:val="00D61FF8"/>
    <w:rsid w:val="00D6203F"/>
    <w:rsid w:val="00D620E6"/>
    <w:rsid w:val="00D62135"/>
    <w:rsid w:val="00D6214B"/>
    <w:rsid w:val="00D622B8"/>
    <w:rsid w:val="00D622CC"/>
    <w:rsid w:val="00D622D5"/>
    <w:rsid w:val="00D62444"/>
    <w:rsid w:val="00D6292E"/>
    <w:rsid w:val="00D629CC"/>
    <w:rsid w:val="00D62BA5"/>
    <w:rsid w:val="00D62BE7"/>
    <w:rsid w:val="00D62EB4"/>
    <w:rsid w:val="00D630A3"/>
    <w:rsid w:val="00D6310F"/>
    <w:rsid w:val="00D631C3"/>
    <w:rsid w:val="00D633FA"/>
    <w:rsid w:val="00D634FD"/>
    <w:rsid w:val="00D63539"/>
    <w:rsid w:val="00D63610"/>
    <w:rsid w:val="00D63751"/>
    <w:rsid w:val="00D639FD"/>
    <w:rsid w:val="00D63AC5"/>
    <w:rsid w:val="00D63BED"/>
    <w:rsid w:val="00D63C88"/>
    <w:rsid w:val="00D63D42"/>
    <w:rsid w:val="00D63F69"/>
    <w:rsid w:val="00D63F9A"/>
    <w:rsid w:val="00D641AC"/>
    <w:rsid w:val="00D64295"/>
    <w:rsid w:val="00D642D5"/>
    <w:rsid w:val="00D642E1"/>
    <w:rsid w:val="00D643C8"/>
    <w:rsid w:val="00D64439"/>
    <w:rsid w:val="00D64498"/>
    <w:rsid w:val="00D6453E"/>
    <w:rsid w:val="00D646AE"/>
    <w:rsid w:val="00D64911"/>
    <w:rsid w:val="00D64AFA"/>
    <w:rsid w:val="00D64AFD"/>
    <w:rsid w:val="00D64CE3"/>
    <w:rsid w:val="00D64D74"/>
    <w:rsid w:val="00D64E50"/>
    <w:rsid w:val="00D64EE7"/>
    <w:rsid w:val="00D64FAC"/>
    <w:rsid w:val="00D65087"/>
    <w:rsid w:val="00D65165"/>
    <w:rsid w:val="00D653C7"/>
    <w:rsid w:val="00D65435"/>
    <w:rsid w:val="00D65621"/>
    <w:rsid w:val="00D65778"/>
    <w:rsid w:val="00D6590F"/>
    <w:rsid w:val="00D6599D"/>
    <w:rsid w:val="00D65AFB"/>
    <w:rsid w:val="00D65D4C"/>
    <w:rsid w:val="00D65E5A"/>
    <w:rsid w:val="00D65F25"/>
    <w:rsid w:val="00D66330"/>
    <w:rsid w:val="00D66342"/>
    <w:rsid w:val="00D66388"/>
    <w:rsid w:val="00D66752"/>
    <w:rsid w:val="00D66AC9"/>
    <w:rsid w:val="00D66AF8"/>
    <w:rsid w:val="00D66BB9"/>
    <w:rsid w:val="00D671B1"/>
    <w:rsid w:val="00D673F4"/>
    <w:rsid w:val="00D6748F"/>
    <w:rsid w:val="00D67583"/>
    <w:rsid w:val="00D677A7"/>
    <w:rsid w:val="00D677E0"/>
    <w:rsid w:val="00D678FF"/>
    <w:rsid w:val="00D67941"/>
    <w:rsid w:val="00D67AF5"/>
    <w:rsid w:val="00D67B84"/>
    <w:rsid w:val="00D67CFA"/>
    <w:rsid w:val="00D67E88"/>
    <w:rsid w:val="00D67EC5"/>
    <w:rsid w:val="00D67ED0"/>
    <w:rsid w:val="00D6E411"/>
    <w:rsid w:val="00D70157"/>
    <w:rsid w:val="00D706D3"/>
    <w:rsid w:val="00D707E6"/>
    <w:rsid w:val="00D70C60"/>
    <w:rsid w:val="00D70DEC"/>
    <w:rsid w:val="00D70E3D"/>
    <w:rsid w:val="00D7100B"/>
    <w:rsid w:val="00D710B3"/>
    <w:rsid w:val="00D711ED"/>
    <w:rsid w:val="00D713ED"/>
    <w:rsid w:val="00D71592"/>
    <w:rsid w:val="00D715FF"/>
    <w:rsid w:val="00D71637"/>
    <w:rsid w:val="00D71ACA"/>
    <w:rsid w:val="00D71B8F"/>
    <w:rsid w:val="00D71F0D"/>
    <w:rsid w:val="00D71F95"/>
    <w:rsid w:val="00D72089"/>
    <w:rsid w:val="00D72151"/>
    <w:rsid w:val="00D7216D"/>
    <w:rsid w:val="00D7227E"/>
    <w:rsid w:val="00D7295A"/>
    <w:rsid w:val="00D72A94"/>
    <w:rsid w:val="00D72AA0"/>
    <w:rsid w:val="00D72BFB"/>
    <w:rsid w:val="00D72C0D"/>
    <w:rsid w:val="00D72C46"/>
    <w:rsid w:val="00D72D7F"/>
    <w:rsid w:val="00D72DDA"/>
    <w:rsid w:val="00D72EE8"/>
    <w:rsid w:val="00D72F0B"/>
    <w:rsid w:val="00D7318B"/>
    <w:rsid w:val="00D732A0"/>
    <w:rsid w:val="00D73335"/>
    <w:rsid w:val="00D73515"/>
    <w:rsid w:val="00D73589"/>
    <w:rsid w:val="00D73976"/>
    <w:rsid w:val="00D73996"/>
    <w:rsid w:val="00D739E9"/>
    <w:rsid w:val="00D73AC8"/>
    <w:rsid w:val="00D73B8F"/>
    <w:rsid w:val="00D73BD8"/>
    <w:rsid w:val="00D73C77"/>
    <w:rsid w:val="00D73D8A"/>
    <w:rsid w:val="00D73E09"/>
    <w:rsid w:val="00D73E60"/>
    <w:rsid w:val="00D73E9D"/>
    <w:rsid w:val="00D740DD"/>
    <w:rsid w:val="00D74247"/>
    <w:rsid w:val="00D7447A"/>
    <w:rsid w:val="00D7456B"/>
    <w:rsid w:val="00D747CF"/>
    <w:rsid w:val="00D74A2F"/>
    <w:rsid w:val="00D74B97"/>
    <w:rsid w:val="00D74BAF"/>
    <w:rsid w:val="00D74C2D"/>
    <w:rsid w:val="00D74D10"/>
    <w:rsid w:val="00D74E7A"/>
    <w:rsid w:val="00D75160"/>
    <w:rsid w:val="00D75167"/>
    <w:rsid w:val="00D752A5"/>
    <w:rsid w:val="00D752C5"/>
    <w:rsid w:val="00D752DA"/>
    <w:rsid w:val="00D7578F"/>
    <w:rsid w:val="00D75807"/>
    <w:rsid w:val="00D75900"/>
    <w:rsid w:val="00D75A0F"/>
    <w:rsid w:val="00D75A77"/>
    <w:rsid w:val="00D75B91"/>
    <w:rsid w:val="00D75C1F"/>
    <w:rsid w:val="00D75DF2"/>
    <w:rsid w:val="00D75EDA"/>
    <w:rsid w:val="00D75F4D"/>
    <w:rsid w:val="00D75FAC"/>
    <w:rsid w:val="00D76336"/>
    <w:rsid w:val="00D764EE"/>
    <w:rsid w:val="00D76699"/>
    <w:rsid w:val="00D76921"/>
    <w:rsid w:val="00D7695E"/>
    <w:rsid w:val="00D76B33"/>
    <w:rsid w:val="00D76F07"/>
    <w:rsid w:val="00D770A6"/>
    <w:rsid w:val="00D771A3"/>
    <w:rsid w:val="00D771F9"/>
    <w:rsid w:val="00D775AB"/>
    <w:rsid w:val="00D776CB"/>
    <w:rsid w:val="00D77A35"/>
    <w:rsid w:val="00D77CEB"/>
    <w:rsid w:val="00D77F67"/>
    <w:rsid w:val="00D77F6E"/>
    <w:rsid w:val="00D8018A"/>
    <w:rsid w:val="00D80312"/>
    <w:rsid w:val="00D803B8"/>
    <w:rsid w:val="00D8044D"/>
    <w:rsid w:val="00D80570"/>
    <w:rsid w:val="00D806BA"/>
    <w:rsid w:val="00D806CD"/>
    <w:rsid w:val="00D807BF"/>
    <w:rsid w:val="00D807E8"/>
    <w:rsid w:val="00D807F4"/>
    <w:rsid w:val="00D808A0"/>
    <w:rsid w:val="00D808E5"/>
    <w:rsid w:val="00D80A92"/>
    <w:rsid w:val="00D80AA2"/>
    <w:rsid w:val="00D80AFF"/>
    <w:rsid w:val="00D80BA4"/>
    <w:rsid w:val="00D80D09"/>
    <w:rsid w:val="00D80FA5"/>
    <w:rsid w:val="00D81010"/>
    <w:rsid w:val="00D81147"/>
    <w:rsid w:val="00D812C1"/>
    <w:rsid w:val="00D81302"/>
    <w:rsid w:val="00D81391"/>
    <w:rsid w:val="00D813B7"/>
    <w:rsid w:val="00D81426"/>
    <w:rsid w:val="00D81465"/>
    <w:rsid w:val="00D815BF"/>
    <w:rsid w:val="00D815C1"/>
    <w:rsid w:val="00D81862"/>
    <w:rsid w:val="00D81884"/>
    <w:rsid w:val="00D818B4"/>
    <w:rsid w:val="00D818D5"/>
    <w:rsid w:val="00D819AF"/>
    <w:rsid w:val="00D81A23"/>
    <w:rsid w:val="00D81BC9"/>
    <w:rsid w:val="00D81CC6"/>
    <w:rsid w:val="00D81DD0"/>
    <w:rsid w:val="00D81EE1"/>
    <w:rsid w:val="00D822D8"/>
    <w:rsid w:val="00D82454"/>
    <w:rsid w:val="00D824CF"/>
    <w:rsid w:val="00D82B2D"/>
    <w:rsid w:val="00D82B39"/>
    <w:rsid w:val="00D82C6C"/>
    <w:rsid w:val="00D82C81"/>
    <w:rsid w:val="00D82CBC"/>
    <w:rsid w:val="00D82D22"/>
    <w:rsid w:val="00D82F7E"/>
    <w:rsid w:val="00D82FB3"/>
    <w:rsid w:val="00D8317B"/>
    <w:rsid w:val="00D83367"/>
    <w:rsid w:val="00D8342F"/>
    <w:rsid w:val="00D834D7"/>
    <w:rsid w:val="00D834F5"/>
    <w:rsid w:val="00D837A2"/>
    <w:rsid w:val="00D837E6"/>
    <w:rsid w:val="00D8382F"/>
    <w:rsid w:val="00D8384C"/>
    <w:rsid w:val="00D839DE"/>
    <w:rsid w:val="00D83B8C"/>
    <w:rsid w:val="00D83C3F"/>
    <w:rsid w:val="00D83E59"/>
    <w:rsid w:val="00D83EE6"/>
    <w:rsid w:val="00D83FCB"/>
    <w:rsid w:val="00D83FEB"/>
    <w:rsid w:val="00D840F3"/>
    <w:rsid w:val="00D84324"/>
    <w:rsid w:val="00D84481"/>
    <w:rsid w:val="00D844B8"/>
    <w:rsid w:val="00D844E8"/>
    <w:rsid w:val="00D84592"/>
    <w:rsid w:val="00D848CC"/>
    <w:rsid w:val="00D848D0"/>
    <w:rsid w:val="00D84979"/>
    <w:rsid w:val="00D84AC0"/>
    <w:rsid w:val="00D84AFF"/>
    <w:rsid w:val="00D84EDF"/>
    <w:rsid w:val="00D84F04"/>
    <w:rsid w:val="00D84FC7"/>
    <w:rsid w:val="00D84FDF"/>
    <w:rsid w:val="00D84FE2"/>
    <w:rsid w:val="00D851A8"/>
    <w:rsid w:val="00D85233"/>
    <w:rsid w:val="00D852AB"/>
    <w:rsid w:val="00D85570"/>
    <w:rsid w:val="00D857CB"/>
    <w:rsid w:val="00D85938"/>
    <w:rsid w:val="00D85E2F"/>
    <w:rsid w:val="00D86170"/>
    <w:rsid w:val="00D861D6"/>
    <w:rsid w:val="00D86242"/>
    <w:rsid w:val="00D864EA"/>
    <w:rsid w:val="00D86533"/>
    <w:rsid w:val="00D86ACE"/>
    <w:rsid w:val="00D86BA6"/>
    <w:rsid w:val="00D86C7F"/>
    <w:rsid w:val="00D87198"/>
    <w:rsid w:val="00D871C6"/>
    <w:rsid w:val="00D874BA"/>
    <w:rsid w:val="00D87A00"/>
    <w:rsid w:val="00D87BBF"/>
    <w:rsid w:val="00D87BC8"/>
    <w:rsid w:val="00D87D30"/>
    <w:rsid w:val="00D87F70"/>
    <w:rsid w:val="00D87FFE"/>
    <w:rsid w:val="00D900A8"/>
    <w:rsid w:val="00D900F9"/>
    <w:rsid w:val="00D90271"/>
    <w:rsid w:val="00D90480"/>
    <w:rsid w:val="00D905E6"/>
    <w:rsid w:val="00D90633"/>
    <w:rsid w:val="00D906B0"/>
    <w:rsid w:val="00D9081D"/>
    <w:rsid w:val="00D90BB8"/>
    <w:rsid w:val="00D90D3D"/>
    <w:rsid w:val="00D90E7A"/>
    <w:rsid w:val="00D91212"/>
    <w:rsid w:val="00D9129E"/>
    <w:rsid w:val="00D913AD"/>
    <w:rsid w:val="00D91576"/>
    <w:rsid w:val="00D9157E"/>
    <w:rsid w:val="00D916A5"/>
    <w:rsid w:val="00D91764"/>
    <w:rsid w:val="00D91A2F"/>
    <w:rsid w:val="00D91BB7"/>
    <w:rsid w:val="00D91D10"/>
    <w:rsid w:val="00D9221A"/>
    <w:rsid w:val="00D9225B"/>
    <w:rsid w:val="00D92359"/>
    <w:rsid w:val="00D926B3"/>
    <w:rsid w:val="00D927D2"/>
    <w:rsid w:val="00D92DE1"/>
    <w:rsid w:val="00D931B9"/>
    <w:rsid w:val="00D932BB"/>
    <w:rsid w:val="00D93514"/>
    <w:rsid w:val="00D93551"/>
    <w:rsid w:val="00D93604"/>
    <w:rsid w:val="00D938C4"/>
    <w:rsid w:val="00D93A04"/>
    <w:rsid w:val="00D93B3D"/>
    <w:rsid w:val="00D93B7C"/>
    <w:rsid w:val="00D93D6E"/>
    <w:rsid w:val="00D93F46"/>
    <w:rsid w:val="00D941BE"/>
    <w:rsid w:val="00D94672"/>
    <w:rsid w:val="00D9467D"/>
    <w:rsid w:val="00D9487F"/>
    <w:rsid w:val="00D949D0"/>
    <w:rsid w:val="00D94B0E"/>
    <w:rsid w:val="00D94C65"/>
    <w:rsid w:val="00D94C85"/>
    <w:rsid w:val="00D94D5C"/>
    <w:rsid w:val="00D94E66"/>
    <w:rsid w:val="00D94FAA"/>
    <w:rsid w:val="00D94FCE"/>
    <w:rsid w:val="00D951E6"/>
    <w:rsid w:val="00D951EE"/>
    <w:rsid w:val="00D9531C"/>
    <w:rsid w:val="00D953CB"/>
    <w:rsid w:val="00D95459"/>
    <w:rsid w:val="00D9557F"/>
    <w:rsid w:val="00D9563E"/>
    <w:rsid w:val="00D95DF1"/>
    <w:rsid w:val="00D95F5F"/>
    <w:rsid w:val="00D960B5"/>
    <w:rsid w:val="00D96134"/>
    <w:rsid w:val="00D962E7"/>
    <w:rsid w:val="00D96503"/>
    <w:rsid w:val="00D96521"/>
    <w:rsid w:val="00D9666A"/>
    <w:rsid w:val="00D96A06"/>
    <w:rsid w:val="00D96B71"/>
    <w:rsid w:val="00D971E7"/>
    <w:rsid w:val="00D972DC"/>
    <w:rsid w:val="00D9740E"/>
    <w:rsid w:val="00D97437"/>
    <w:rsid w:val="00D97464"/>
    <w:rsid w:val="00D974D2"/>
    <w:rsid w:val="00D97545"/>
    <w:rsid w:val="00D9783C"/>
    <w:rsid w:val="00D97986"/>
    <w:rsid w:val="00D9799F"/>
    <w:rsid w:val="00D979CE"/>
    <w:rsid w:val="00D97A7E"/>
    <w:rsid w:val="00D97B17"/>
    <w:rsid w:val="00D97C2D"/>
    <w:rsid w:val="00D97CB8"/>
    <w:rsid w:val="00D97E56"/>
    <w:rsid w:val="00D97E58"/>
    <w:rsid w:val="00D97F85"/>
    <w:rsid w:val="00DA00DD"/>
    <w:rsid w:val="00DA017E"/>
    <w:rsid w:val="00DA03FA"/>
    <w:rsid w:val="00DA0465"/>
    <w:rsid w:val="00DA056A"/>
    <w:rsid w:val="00DA0584"/>
    <w:rsid w:val="00DA0588"/>
    <w:rsid w:val="00DA0648"/>
    <w:rsid w:val="00DA083B"/>
    <w:rsid w:val="00DA0966"/>
    <w:rsid w:val="00DA0A98"/>
    <w:rsid w:val="00DA0E46"/>
    <w:rsid w:val="00DA0EC2"/>
    <w:rsid w:val="00DA10CE"/>
    <w:rsid w:val="00DA10FD"/>
    <w:rsid w:val="00DA132A"/>
    <w:rsid w:val="00DA14CB"/>
    <w:rsid w:val="00DA154B"/>
    <w:rsid w:val="00DA16A7"/>
    <w:rsid w:val="00DA18E2"/>
    <w:rsid w:val="00DA19F7"/>
    <w:rsid w:val="00DA1B7B"/>
    <w:rsid w:val="00DA1BA3"/>
    <w:rsid w:val="00DA1FBB"/>
    <w:rsid w:val="00DA20D6"/>
    <w:rsid w:val="00DA21A4"/>
    <w:rsid w:val="00DA2381"/>
    <w:rsid w:val="00DA23CD"/>
    <w:rsid w:val="00DA241F"/>
    <w:rsid w:val="00DA259A"/>
    <w:rsid w:val="00DA26D9"/>
    <w:rsid w:val="00DA270F"/>
    <w:rsid w:val="00DA2811"/>
    <w:rsid w:val="00DA2815"/>
    <w:rsid w:val="00DA2821"/>
    <w:rsid w:val="00DA28A0"/>
    <w:rsid w:val="00DA28E0"/>
    <w:rsid w:val="00DA29A3"/>
    <w:rsid w:val="00DA2A37"/>
    <w:rsid w:val="00DA2A47"/>
    <w:rsid w:val="00DA2A9B"/>
    <w:rsid w:val="00DA3081"/>
    <w:rsid w:val="00DA3119"/>
    <w:rsid w:val="00DA3131"/>
    <w:rsid w:val="00DA322E"/>
    <w:rsid w:val="00DA3259"/>
    <w:rsid w:val="00DA33C4"/>
    <w:rsid w:val="00DA34A2"/>
    <w:rsid w:val="00DA3512"/>
    <w:rsid w:val="00DA3526"/>
    <w:rsid w:val="00DA363F"/>
    <w:rsid w:val="00DA36CE"/>
    <w:rsid w:val="00DA3838"/>
    <w:rsid w:val="00DA39B4"/>
    <w:rsid w:val="00DA3A88"/>
    <w:rsid w:val="00DA3AA8"/>
    <w:rsid w:val="00DA3C55"/>
    <w:rsid w:val="00DA3E6D"/>
    <w:rsid w:val="00DA4082"/>
    <w:rsid w:val="00DA4122"/>
    <w:rsid w:val="00DA42FE"/>
    <w:rsid w:val="00DA44DB"/>
    <w:rsid w:val="00DA451A"/>
    <w:rsid w:val="00DA4580"/>
    <w:rsid w:val="00DA463E"/>
    <w:rsid w:val="00DA4792"/>
    <w:rsid w:val="00DA4AC3"/>
    <w:rsid w:val="00DA4D77"/>
    <w:rsid w:val="00DA4DE0"/>
    <w:rsid w:val="00DA4F1A"/>
    <w:rsid w:val="00DA50AE"/>
    <w:rsid w:val="00DA55C6"/>
    <w:rsid w:val="00DA55E6"/>
    <w:rsid w:val="00DA55EF"/>
    <w:rsid w:val="00DA56A8"/>
    <w:rsid w:val="00DA56E8"/>
    <w:rsid w:val="00DA570F"/>
    <w:rsid w:val="00DA583F"/>
    <w:rsid w:val="00DA5B1B"/>
    <w:rsid w:val="00DA612E"/>
    <w:rsid w:val="00DA614D"/>
    <w:rsid w:val="00DA61E6"/>
    <w:rsid w:val="00DA6295"/>
    <w:rsid w:val="00DA64E6"/>
    <w:rsid w:val="00DA6DFC"/>
    <w:rsid w:val="00DA6EA8"/>
    <w:rsid w:val="00DA6ED9"/>
    <w:rsid w:val="00DA6F04"/>
    <w:rsid w:val="00DA6F33"/>
    <w:rsid w:val="00DA706F"/>
    <w:rsid w:val="00DA71F4"/>
    <w:rsid w:val="00DA73DA"/>
    <w:rsid w:val="00DA7449"/>
    <w:rsid w:val="00DA7507"/>
    <w:rsid w:val="00DA75C3"/>
    <w:rsid w:val="00DA76C7"/>
    <w:rsid w:val="00DA7747"/>
    <w:rsid w:val="00DA79FD"/>
    <w:rsid w:val="00DA7B1D"/>
    <w:rsid w:val="00DA7B36"/>
    <w:rsid w:val="00DA7EC4"/>
    <w:rsid w:val="00DA7F95"/>
    <w:rsid w:val="00DB00DF"/>
    <w:rsid w:val="00DB0256"/>
    <w:rsid w:val="00DB02C2"/>
    <w:rsid w:val="00DB038F"/>
    <w:rsid w:val="00DB0403"/>
    <w:rsid w:val="00DB05BB"/>
    <w:rsid w:val="00DB071A"/>
    <w:rsid w:val="00DB071F"/>
    <w:rsid w:val="00DB075D"/>
    <w:rsid w:val="00DB0806"/>
    <w:rsid w:val="00DB0855"/>
    <w:rsid w:val="00DB09DB"/>
    <w:rsid w:val="00DB0A45"/>
    <w:rsid w:val="00DB0A8D"/>
    <w:rsid w:val="00DB0D12"/>
    <w:rsid w:val="00DB1068"/>
    <w:rsid w:val="00DB1371"/>
    <w:rsid w:val="00DB13E0"/>
    <w:rsid w:val="00DB14F4"/>
    <w:rsid w:val="00DB1577"/>
    <w:rsid w:val="00DB18BD"/>
    <w:rsid w:val="00DB18E7"/>
    <w:rsid w:val="00DB1B51"/>
    <w:rsid w:val="00DB1DC8"/>
    <w:rsid w:val="00DB1DD6"/>
    <w:rsid w:val="00DB1EB4"/>
    <w:rsid w:val="00DB20B7"/>
    <w:rsid w:val="00DB21B4"/>
    <w:rsid w:val="00DB22F3"/>
    <w:rsid w:val="00DB2350"/>
    <w:rsid w:val="00DB23C4"/>
    <w:rsid w:val="00DB25D7"/>
    <w:rsid w:val="00DB2665"/>
    <w:rsid w:val="00DB2823"/>
    <w:rsid w:val="00DB28C0"/>
    <w:rsid w:val="00DB2AD0"/>
    <w:rsid w:val="00DB2BC3"/>
    <w:rsid w:val="00DB2D0F"/>
    <w:rsid w:val="00DB2D4C"/>
    <w:rsid w:val="00DB2F3A"/>
    <w:rsid w:val="00DB30A3"/>
    <w:rsid w:val="00DB31FC"/>
    <w:rsid w:val="00DB32A2"/>
    <w:rsid w:val="00DB3302"/>
    <w:rsid w:val="00DB34B1"/>
    <w:rsid w:val="00DB34CA"/>
    <w:rsid w:val="00DB3808"/>
    <w:rsid w:val="00DB395D"/>
    <w:rsid w:val="00DB3A51"/>
    <w:rsid w:val="00DB3D08"/>
    <w:rsid w:val="00DB4033"/>
    <w:rsid w:val="00DB42D6"/>
    <w:rsid w:val="00DB44D3"/>
    <w:rsid w:val="00DB457A"/>
    <w:rsid w:val="00DB4687"/>
    <w:rsid w:val="00DB4698"/>
    <w:rsid w:val="00DB4A1F"/>
    <w:rsid w:val="00DB4CEB"/>
    <w:rsid w:val="00DB4D32"/>
    <w:rsid w:val="00DB4D3B"/>
    <w:rsid w:val="00DB5023"/>
    <w:rsid w:val="00DB50F1"/>
    <w:rsid w:val="00DB5105"/>
    <w:rsid w:val="00DB54B9"/>
    <w:rsid w:val="00DB578E"/>
    <w:rsid w:val="00DB57C4"/>
    <w:rsid w:val="00DB5816"/>
    <w:rsid w:val="00DB5D31"/>
    <w:rsid w:val="00DB5DC7"/>
    <w:rsid w:val="00DB5E2D"/>
    <w:rsid w:val="00DB6054"/>
    <w:rsid w:val="00DB6060"/>
    <w:rsid w:val="00DB60F5"/>
    <w:rsid w:val="00DB6126"/>
    <w:rsid w:val="00DB6155"/>
    <w:rsid w:val="00DB61BA"/>
    <w:rsid w:val="00DB6342"/>
    <w:rsid w:val="00DB63E1"/>
    <w:rsid w:val="00DB660E"/>
    <w:rsid w:val="00DB665D"/>
    <w:rsid w:val="00DB6734"/>
    <w:rsid w:val="00DB6763"/>
    <w:rsid w:val="00DB67B5"/>
    <w:rsid w:val="00DB69B6"/>
    <w:rsid w:val="00DB6A3E"/>
    <w:rsid w:val="00DB6B60"/>
    <w:rsid w:val="00DB6FEC"/>
    <w:rsid w:val="00DB7231"/>
    <w:rsid w:val="00DB746E"/>
    <w:rsid w:val="00DB75D0"/>
    <w:rsid w:val="00DB783D"/>
    <w:rsid w:val="00DB7840"/>
    <w:rsid w:val="00DB7861"/>
    <w:rsid w:val="00DB78C9"/>
    <w:rsid w:val="00DB7992"/>
    <w:rsid w:val="00DB79DF"/>
    <w:rsid w:val="00DB7AD8"/>
    <w:rsid w:val="00DB7BE3"/>
    <w:rsid w:val="00DB7C08"/>
    <w:rsid w:val="00DB7DC6"/>
    <w:rsid w:val="00DC01FF"/>
    <w:rsid w:val="00DC023F"/>
    <w:rsid w:val="00DC0278"/>
    <w:rsid w:val="00DC0286"/>
    <w:rsid w:val="00DC03B0"/>
    <w:rsid w:val="00DC042E"/>
    <w:rsid w:val="00DC0478"/>
    <w:rsid w:val="00DC074B"/>
    <w:rsid w:val="00DC078C"/>
    <w:rsid w:val="00DC0976"/>
    <w:rsid w:val="00DC09C9"/>
    <w:rsid w:val="00DC0A74"/>
    <w:rsid w:val="00DC0B0B"/>
    <w:rsid w:val="00DC0E45"/>
    <w:rsid w:val="00DC0F7A"/>
    <w:rsid w:val="00DC1172"/>
    <w:rsid w:val="00DC137A"/>
    <w:rsid w:val="00DC13E4"/>
    <w:rsid w:val="00DC1440"/>
    <w:rsid w:val="00DC1551"/>
    <w:rsid w:val="00DC17C3"/>
    <w:rsid w:val="00DC18A8"/>
    <w:rsid w:val="00DC19F9"/>
    <w:rsid w:val="00DC1A95"/>
    <w:rsid w:val="00DC1D12"/>
    <w:rsid w:val="00DC1D6C"/>
    <w:rsid w:val="00DC2040"/>
    <w:rsid w:val="00DC2285"/>
    <w:rsid w:val="00DC2438"/>
    <w:rsid w:val="00DC27E5"/>
    <w:rsid w:val="00DC2ACF"/>
    <w:rsid w:val="00DC2DB0"/>
    <w:rsid w:val="00DC2EF4"/>
    <w:rsid w:val="00DC3799"/>
    <w:rsid w:val="00DC38F8"/>
    <w:rsid w:val="00DC3930"/>
    <w:rsid w:val="00DC393B"/>
    <w:rsid w:val="00DC3A5F"/>
    <w:rsid w:val="00DC3AD9"/>
    <w:rsid w:val="00DC3C41"/>
    <w:rsid w:val="00DC3E00"/>
    <w:rsid w:val="00DC3E36"/>
    <w:rsid w:val="00DC3EC4"/>
    <w:rsid w:val="00DC3F13"/>
    <w:rsid w:val="00DC3F9D"/>
    <w:rsid w:val="00DC4084"/>
    <w:rsid w:val="00DC41B0"/>
    <w:rsid w:val="00DC431F"/>
    <w:rsid w:val="00DC4360"/>
    <w:rsid w:val="00DC45B0"/>
    <w:rsid w:val="00DC4A08"/>
    <w:rsid w:val="00DC4A97"/>
    <w:rsid w:val="00DC4BF9"/>
    <w:rsid w:val="00DC4FCB"/>
    <w:rsid w:val="00DC4FD4"/>
    <w:rsid w:val="00DC507A"/>
    <w:rsid w:val="00DC5216"/>
    <w:rsid w:val="00DC52B9"/>
    <w:rsid w:val="00DC52C4"/>
    <w:rsid w:val="00DC5434"/>
    <w:rsid w:val="00DC56FD"/>
    <w:rsid w:val="00DC570A"/>
    <w:rsid w:val="00DC5A3B"/>
    <w:rsid w:val="00DC5ABF"/>
    <w:rsid w:val="00DC5AC3"/>
    <w:rsid w:val="00DC5C25"/>
    <w:rsid w:val="00DC5CAF"/>
    <w:rsid w:val="00DC6482"/>
    <w:rsid w:val="00DC6679"/>
    <w:rsid w:val="00DC6906"/>
    <w:rsid w:val="00DC69C5"/>
    <w:rsid w:val="00DC6BE8"/>
    <w:rsid w:val="00DC6BEB"/>
    <w:rsid w:val="00DC708F"/>
    <w:rsid w:val="00DC733D"/>
    <w:rsid w:val="00DC7612"/>
    <w:rsid w:val="00DC766C"/>
    <w:rsid w:val="00DC7ACE"/>
    <w:rsid w:val="00DC7BA2"/>
    <w:rsid w:val="00DC7C19"/>
    <w:rsid w:val="00DC7CE0"/>
    <w:rsid w:val="00DC7D02"/>
    <w:rsid w:val="00DC7DE5"/>
    <w:rsid w:val="00DC7F9C"/>
    <w:rsid w:val="00DD01E8"/>
    <w:rsid w:val="00DD02A3"/>
    <w:rsid w:val="00DD0314"/>
    <w:rsid w:val="00DD032B"/>
    <w:rsid w:val="00DD032F"/>
    <w:rsid w:val="00DD03BD"/>
    <w:rsid w:val="00DD0622"/>
    <w:rsid w:val="00DD0754"/>
    <w:rsid w:val="00DD07F8"/>
    <w:rsid w:val="00DD0919"/>
    <w:rsid w:val="00DD0949"/>
    <w:rsid w:val="00DD0A6A"/>
    <w:rsid w:val="00DD0CB6"/>
    <w:rsid w:val="00DD0EC4"/>
    <w:rsid w:val="00DD0F3F"/>
    <w:rsid w:val="00DD0FFE"/>
    <w:rsid w:val="00DD126D"/>
    <w:rsid w:val="00DD147E"/>
    <w:rsid w:val="00DD1643"/>
    <w:rsid w:val="00DD1BC1"/>
    <w:rsid w:val="00DD1C13"/>
    <w:rsid w:val="00DD1D62"/>
    <w:rsid w:val="00DD1DB2"/>
    <w:rsid w:val="00DD1F18"/>
    <w:rsid w:val="00DD1F1F"/>
    <w:rsid w:val="00DD2037"/>
    <w:rsid w:val="00DD21D1"/>
    <w:rsid w:val="00DD2245"/>
    <w:rsid w:val="00DD2484"/>
    <w:rsid w:val="00DD264C"/>
    <w:rsid w:val="00DD2884"/>
    <w:rsid w:val="00DD2960"/>
    <w:rsid w:val="00DD2B16"/>
    <w:rsid w:val="00DD2C14"/>
    <w:rsid w:val="00DD2D0E"/>
    <w:rsid w:val="00DD308A"/>
    <w:rsid w:val="00DD3175"/>
    <w:rsid w:val="00DD31DA"/>
    <w:rsid w:val="00DD342B"/>
    <w:rsid w:val="00DD34E1"/>
    <w:rsid w:val="00DD34F8"/>
    <w:rsid w:val="00DD3549"/>
    <w:rsid w:val="00DD362C"/>
    <w:rsid w:val="00DD3635"/>
    <w:rsid w:val="00DD374D"/>
    <w:rsid w:val="00DD37D7"/>
    <w:rsid w:val="00DD3A54"/>
    <w:rsid w:val="00DD3A92"/>
    <w:rsid w:val="00DD3ACD"/>
    <w:rsid w:val="00DD3CBF"/>
    <w:rsid w:val="00DD4055"/>
    <w:rsid w:val="00DD40D4"/>
    <w:rsid w:val="00DD41AE"/>
    <w:rsid w:val="00DD4339"/>
    <w:rsid w:val="00DD4476"/>
    <w:rsid w:val="00DD44EB"/>
    <w:rsid w:val="00DD4637"/>
    <w:rsid w:val="00DD4856"/>
    <w:rsid w:val="00DD496A"/>
    <w:rsid w:val="00DD49D4"/>
    <w:rsid w:val="00DD4CDC"/>
    <w:rsid w:val="00DD4F7B"/>
    <w:rsid w:val="00DD519E"/>
    <w:rsid w:val="00DD53F1"/>
    <w:rsid w:val="00DD54AA"/>
    <w:rsid w:val="00DD56A0"/>
    <w:rsid w:val="00DD5783"/>
    <w:rsid w:val="00DD5B0A"/>
    <w:rsid w:val="00DD5CBF"/>
    <w:rsid w:val="00DD5CE1"/>
    <w:rsid w:val="00DD5D56"/>
    <w:rsid w:val="00DD5D80"/>
    <w:rsid w:val="00DD5FEF"/>
    <w:rsid w:val="00DD6377"/>
    <w:rsid w:val="00DD6653"/>
    <w:rsid w:val="00DD6793"/>
    <w:rsid w:val="00DD67D0"/>
    <w:rsid w:val="00DD6AA9"/>
    <w:rsid w:val="00DD6C30"/>
    <w:rsid w:val="00DD6C65"/>
    <w:rsid w:val="00DD6C9F"/>
    <w:rsid w:val="00DD6CC7"/>
    <w:rsid w:val="00DD6D02"/>
    <w:rsid w:val="00DD6DF3"/>
    <w:rsid w:val="00DD709D"/>
    <w:rsid w:val="00DD7467"/>
    <w:rsid w:val="00DD7491"/>
    <w:rsid w:val="00DD74EF"/>
    <w:rsid w:val="00DD76C4"/>
    <w:rsid w:val="00DD7A73"/>
    <w:rsid w:val="00DD7C19"/>
    <w:rsid w:val="00DD7CE4"/>
    <w:rsid w:val="00DD7DBD"/>
    <w:rsid w:val="00DD7E8B"/>
    <w:rsid w:val="00DE0072"/>
    <w:rsid w:val="00DE01F0"/>
    <w:rsid w:val="00DE031F"/>
    <w:rsid w:val="00DE05FD"/>
    <w:rsid w:val="00DE068A"/>
    <w:rsid w:val="00DE0698"/>
    <w:rsid w:val="00DE06E0"/>
    <w:rsid w:val="00DE0707"/>
    <w:rsid w:val="00DE07DD"/>
    <w:rsid w:val="00DE08E2"/>
    <w:rsid w:val="00DE0ADE"/>
    <w:rsid w:val="00DE0AE8"/>
    <w:rsid w:val="00DE0B21"/>
    <w:rsid w:val="00DE0DF8"/>
    <w:rsid w:val="00DE110E"/>
    <w:rsid w:val="00DE14D6"/>
    <w:rsid w:val="00DE1970"/>
    <w:rsid w:val="00DE1A0F"/>
    <w:rsid w:val="00DE1B9A"/>
    <w:rsid w:val="00DE1B9E"/>
    <w:rsid w:val="00DE1C03"/>
    <w:rsid w:val="00DE1EE1"/>
    <w:rsid w:val="00DE1FB2"/>
    <w:rsid w:val="00DE20F2"/>
    <w:rsid w:val="00DE23AC"/>
    <w:rsid w:val="00DE253A"/>
    <w:rsid w:val="00DE2552"/>
    <w:rsid w:val="00DE2631"/>
    <w:rsid w:val="00DE270D"/>
    <w:rsid w:val="00DE277A"/>
    <w:rsid w:val="00DE29B9"/>
    <w:rsid w:val="00DE2A13"/>
    <w:rsid w:val="00DE2AB1"/>
    <w:rsid w:val="00DE2B1F"/>
    <w:rsid w:val="00DE2C35"/>
    <w:rsid w:val="00DE2F27"/>
    <w:rsid w:val="00DE3042"/>
    <w:rsid w:val="00DE306D"/>
    <w:rsid w:val="00DE314C"/>
    <w:rsid w:val="00DE3233"/>
    <w:rsid w:val="00DE34C3"/>
    <w:rsid w:val="00DE3576"/>
    <w:rsid w:val="00DE36E1"/>
    <w:rsid w:val="00DE37FE"/>
    <w:rsid w:val="00DE39D4"/>
    <w:rsid w:val="00DE3C57"/>
    <w:rsid w:val="00DE4166"/>
    <w:rsid w:val="00DE422F"/>
    <w:rsid w:val="00DE438C"/>
    <w:rsid w:val="00DE4647"/>
    <w:rsid w:val="00DE4697"/>
    <w:rsid w:val="00DE4827"/>
    <w:rsid w:val="00DE48FB"/>
    <w:rsid w:val="00DE4A92"/>
    <w:rsid w:val="00DE4C29"/>
    <w:rsid w:val="00DE4C82"/>
    <w:rsid w:val="00DE4D19"/>
    <w:rsid w:val="00DE516B"/>
    <w:rsid w:val="00DE53CD"/>
    <w:rsid w:val="00DE5604"/>
    <w:rsid w:val="00DE58E3"/>
    <w:rsid w:val="00DE5965"/>
    <w:rsid w:val="00DE5A6D"/>
    <w:rsid w:val="00DE5AA9"/>
    <w:rsid w:val="00DE5C34"/>
    <w:rsid w:val="00DE5C88"/>
    <w:rsid w:val="00DE5D3E"/>
    <w:rsid w:val="00DE5EE8"/>
    <w:rsid w:val="00DE63D0"/>
    <w:rsid w:val="00DE644B"/>
    <w:rsid w:val="00DE65AA"/>
    <w:rsid w:val="00DE66E3"/>
    <w:rsid w:val="00DE66EA"/>
    <w:rsid w:val="00DE6709"/>
    <w:rsid w:val="00DE6B44"/>
    <w:rsid w:val="00DE6B9F"/>
    <w:rsid w:val="00DE6C12"/>
    <w:rsid w:val="00DE6CE4"/>
    <w:rsid w:val="00DE6EA1"/>
    <w:rsid w:val="00DE6F5C"/>
    <w:rsid w:val="00DE7199"/>
    <w:rsid w:val="00DE72BA"/>
    <w:rsid w:val="00DE7323"/>
    <w:rsid w:val="00DE7325"/>
    <w:rsid w:val="00DE786F"/>
    <w:rsid w:val="00DE7935"/>
    <w:rsid w:val="00DE799E"/>
    <w:rsid w:val="00DE79F9"/>
    <w:rsid w:val="00DE7B2E"/>
    <w:rsid w:val="00DE7D0C"/>
    <w:rsid w:val="00DE7D73"/>
    <w:rsid w:val="00DE7DC2"/>
    <w:rsid w:val="00DF009B"/>
    <w:rsid w:val="00DF00C8"/>
    <w:rsid w:val="00DF0164"/>
    <w:rsid w:val="00DF053C"/>
    <w:rsid w:val="00DF058C"/>
    <w:rsid w:val="00DF0614"/>
    <w:rsid w:val="00DF06A0"/>
    <w:rsid w:val="00DF0792"/>
    <w:rsid w:val="00DF07B4"/>
    <w:rsid w:val="00DF096E"/>
    <w:rsid w:val="00DF0B6C"/>
    <w:rsid w:val="00DF0C0F"/>
    <w:rsid w:val="00DF0DED"/>
    <w:rsid w:val="00DF0E39"/>
    <w:rsid w:val="00DF0E87"/>
    <w:rsid w:val="00DF0EBC"/>
    <w:rsid w:val="00DF0ECD"/>
    <w:rsid w:val="00DF0EE2"/>
    <w:rsid w:val="00DF0FDD"/>
    <w:rsid w:val="00DF105E"/>
    <w:rsid w:val="00DF1081"/>
    <w:rsid w:val="00DF113E"/>
    <w:rsid w:val="00DF153F"/>
    <w:rsid w:val="00DF1630"/>
    <w:rsid w:val="00DF18C2"/>
    <w:rsid w:val="00DF1930"/>
    <w:rsid w:val="00DF1990"/>
    <w:rsid w:val="00DF1B21"/>
    <w:rsid w:val="00DF1DF6"/>
    <w:rsid w:val="00DF1FAC"/>
    <w:rsid w:val="00DF20C3"/>
    <w:rsid w:val="00DF2403"/>
    <w:rsid w:val="00DF24CA"/>
    <w:rsid w:val="00DF2523"/>
    <w:rsid w:val="00DF2589"/>
    <w:rsid w:val="00DF27A3"/>
    <w:rsid w:val="00DF2869"/>
    <w:rsid w:val="00DF2876"/>
    <w:rsid w:val="00DF29D4"/>
    <w:rsid w:val="00DF2B47"/>
    <w:rsid w:val="00DF2BBD"/>
    <w:rsid w:val="00DF2D6B"/>
    <w:rsid w:val="00DF2F1C"/>
    <w:rsid w:val="00DF321B"/>
    <w:rsid w:val="00DF33D7"/>
    <w:rsid w:val="00DF354F"/>
    <w:rsid w:val="00DF3658"/>
    <w:rsid w:val="00DF377C"/>
    <w:rsid w:val="00DF38C3"/>
    <w:rsid w:val="00DF3B9C"/>
    <w:rsid w:val="00DF3F16"/>
    <w:rsid w:val="00DF404B"/>
    <w:rsid w:val="00DF45CB"/>
    <w:rsid w:val="00DF4668"/>
    <w:rsid w:val="00DF46BA"/>
    <w:rsid w:val="00DF46D3"/>
    <w:rsid w:val="00DF4739"/>
    <w:rsid w:val="00DF475D"/>
    <w:rsid w:val="00DF4798"/>
    <w:rsid w:val="00DF4804"/>
    <w:rsid w:val="00DF4806"/>
    <w:rsid w:val="00DF48AA"/>
    <w:rsid w:val="00DF48D7"/>
    <w:rsid w:val="00DF48F4"/>
    <w:rsid w:val="00DF49D2"/>
    <w:rsid w:val="00DF4A85"/>
    <w:rsid w:val="00DF4A89"/>
    <w:rsid w:val="00DF4B5A"/>
    <w:rsid w:val="00DF4BCE"/>
    <w:rsid w:val="00DF4D25"/>
    <w:rsid w:val="00DF4F01"/>
    <w:rsid w:val="00DF5012"/>
    <w:rsid w:val="00DF5144"/>
    <w:rsid w:val="00DF51A7"/>
    <w:rsid w:val="00DF531F"/>
    <w:rsid w:val="00DF5357"/>
    <w:rsid w:val="00DF5360"/>
    <w:rsid w:val="00DF53DE"/>
    <w:rsid w:val="00DF55A1"/>
    <w:rsid w:val="00DF56B3"/>
    <w:rsid w:val="00DF57EF"/>
    <w:rsid w:val="00DF58AF"/>
    <w:rsid w:val="00DF5937"/>
    <w:rsid w:val="00DF5976"/>
    <w:rsid w:val="00DF5A96"/>
    <w:rsid w:val="00DF5B56"/>
    <w:rsid w:val="00DF5DFC"/>
    <w:rsid w:val="00DF5E5B"/>
    <w:rsid w:val="00DF5F94"/>
    <w:rsid w:val="00DF6045"/>
    <w:rsid w:val="00DF61FB"/>
    <w:rsid w:val="00DF63B5"/>
    <w:rsid w:val="00DF6498"/>
    <w:rsid w:val="00DF654D"/>
    <w:rsid w:val="00DF66C5"/>
    <w:rsid w:val="00DF66D4"/>
    <w:rsid w:val="00DF683C"/>
    <w:rsid w:val="00DF6845"/>
    <w:rsid w:val="00DF68EC"/>
    <w:rsid w:val="00DF69B6"/>
    <w:rsid w:val="00DF6AA7"/>
    <w:rsid w:val="00DF6C08"/>
    <w:rsid w:val="00DF6D63"/>
    <w:rsid w:val="00DF6E91"/>
    <w:rsid w:val="00DF6ED8"/>
    <w:rsid w:val="00DF6EE1"/>
    <w:rsid w:val="00DF70B0"/>
    <w:rsid w:val="00DF71C2"/>
    <w:rsid w:val="00DF7244"/>
    <w:rsid w:val="00DF7267"/>
    <w:rsid w:val="00DF732A"/>
    <w:rsid w:val="00DF7362"/>
    <w:rsid w:val="00DF73BF"/>
    <w:rsid w:val="00DF73C0"/>
    <w:rsid w:val="00DF7727"/>
    <w:rsid w:val="00DF7748"/>
    <w:rsid w:val="00DF78D0"/>
    <w:rsid w:val="00DF7C50"/>
    <w:rsid w:val="00DF7D70"/>
    <w:rsid w:val="00DF7DDE"/>
    <w:rsid w:val="00DF7F6E"/>
    <w:rsid w:val="00DF7FBD"/>
    <w:rsid w:val="00E00345"/>
    <w:rsid w:val="00E0077A"/>
    <w:rsid w:val="00E00822"/>
    <w:rsid w:val="00E0085C"/>
    <w:rsid w:val="00E0094C"/>
    <w:rsid w:val="00E0098D"/>
    <w:rsid w:val="00E00D34"/>
    <w:rsid w:val="00E00E64"/>
    <w:rsid w:val="00E00EF1"/>
    <w:rsid w:val="00E01013"/>
    <w:rsid w:val="00E01203"/>
    <w:rsid w:val="00E012F7"/>
    <w:rsid w:val="00E01629"/>
    <w:rsid w:val="00E0177A"/>
    <w:rsid w:val="00E0198E"/>
    <w:rsid w:val="00E01A31"/>
    <w:rsid w:val="00E01EB6"/>
    <w:rsid w:val="00E01F69"/>
    <w:rsid w:val="00E02376"/>
    <w:rsid w:val="00E023F0"/>
    <w:rsid w:val="00E02AB4"/>
    <w:rsid w:val="00E02B6F"/>
    <w:rsid w:val="00E02E18"/>
    <w:rsid w:val="00E02EA5"/>
    <w:rsid w:val="00E030F6"/>
    <w:rsid w:val="00E0321B"/>
    <w:rsid w:val="00E032D4"/>
    <w:rsid w:val="00E033EC"/>
    <w:rsid w:val="00E03706"/>
    <w:rsid w:val="00E038C2"/>
    <w:rsid w:val="00E03A99"/>
    <w:rsid w:val="00E03E7E"/>
    <w:rsid w:val="00E03E84"/>
    <w:rsid w:val="00E03FB8"/>
    <w:rsid w:val="00E0438E"/>
    <w:rsid w:val="00E044FD"/>
    <w:rsid w:val="00E045D5"/>
    <w:rsid w:val="00E04777"/>
    <w:rsid w:val="00E047D5"/>
    <w:rsid w:val="00E04885"/>
    <w:rsid w:val="00E048A0"/>
    <w:rsid w:val="00E04BB9"/>
    <w:rsid w:val="00E04ED7"/>
    <w:rsid w:val="00E04F29"/>
    <w:rsid w:val="00E04FB4"/>
    <w:rsid w:val="00E05034"/>
    <w:rsid w:val="00E05073"/>
    <w:rsid w:val="00E05123"/>
    <w:rsid w:val="00E0531D"/>
    <w:rsid w:val="00E05393"/>
    <w:rsid w:val="00E0577A"/>
    <w:rsid w:val="00E05AA9"/>
    <w:rsid w:val="00E05C0C"/>
    <w:rsid w:val="00E05CFB"/>
    <w:rsid w:val="00E05D56"/>
    <w:rsid w:val="00E05F89"/>
    <w:rsid w:val="00E06265"/>
    <w:rsid w:val="00E06284"/>
    <w:rsid w:val="00E06427"/>
    <w:rsid w:val="00E0650C"/>
    <w:rsid w:val="00E06541"/>
    <w:rsid w:val="00E065B8"/>
    <w:rsid w:val="00E0689D"/>
    <w:rsid w:val="00E06B42"/>
    <w:rsid w:val="00E06B4A"/>
    <w:rsid w:val="00E06BA0"/>
    <w:rsid w:val="00E06C7F"/>
    <w:rsid w:val="00E06E46"/>
    <w:rsid w:val="00E06E9D"/>
    <w:rsid w:val="00E070AE"/>
    <w:rsid w:val="00E071C2"/>
    <w:rsid w:val="00E073D4"/>
    <w:rsid w:val="00E07454"/>
    <w:rsid w:val="00E0752B"/>
    <w:rsid w:val="00E076C5"/>
    <w:rsid w:val="00E076EE"/>
    <w:rsid w:val="00E07820"/>
    <w:rsid w:val="00E07861"/>
    <w:rsid w:val="00E079C6"/>
    <w:rsid w:val="00E07CA7"/>
    <w:rsid w:val="00E07F60"/>
    <w:rsid w:val="00E1005B"/>
    <w:rsid w:val="00E10622"/>
    <w:rsid w:val="00E10676"/>
    <w:rsid w:val="00E106A5"/>
    <w:rsid w:val="00E10A8B"/>
    <w:rsid w:val="00E10CD2"/>
    <w:rsid w:val="00E10D14"/>
    <w:rsid w:val="00E10F8C"/>
    <w:rsid w:val="00E10FA7"/>
    <w:rsid w:val="00E1128F"/>
    <w:rsid w:val="00E11294"/>
    <w:rsid w:val="00E11654"/>
    <w:rsid w:val="00E1172E"/>
    <w:rsid w:val="00E1184B"/>
    <w:rsid w:val="00E11A14"/>
    <w:rsid w:val="00E11C7D"/>
    <w:rsid w:val="00E11E9C"/>
    <w:rsid w:val="00E11F12"/>
    <w:rsid w:val="00E12349"/>
    <w:rsid w:val="00E1246E"/>
    <w:rsid w:val="00E12716"/>
    <w:rsid w:val="00E1273D"/>
    <w:rsid w:val="00E1291A"/>
    <w:rsid w:val="00E129E8"/>
    <w:rsid w:val="00E12A4C"/>
    <w:rsid w:val="00E12B08"/>
    <w:rsid w:val="00E12B76"/>
    <w:rsid w:val="00E12C20"/>
    <w:rsid w:val="00E12C3B"/>
    <w:rsid w:val="00E12CCA"/>
    <w:rsid w:val="00E12DD0"/>
    <w:rsid w:val="00E12F04"/>
    <w:rsid w:val="00E130BC"/>
    <w:rsid w:val="00E13135"/>
    <w:rsid w:val="00E13198"/>
    <w:rsid w:val="00E135AC"/>
    <w:rsid w:val="00E13698"/>
    <w:rsid w:val="00E13727"/>
    <w:rsid w:val="00E1372C"/>
    <w:rsid w:val="00E139E7"/>
    <w:rsid w:val="00E13D79"/>
    <w:rsid w:val="00E13EAD"/>
    <w:rsid w:val="00E14061"/>
    <w:rsid w:val="00E141AA"/>
    <w:rsid w:val="00E14228"/>
    <w:rsid w:val="00E14272"/>
    <w:rsid w:val="00E143B8"/>
    <w:rsid w:val="00E1450F"/>
    <w:rsid w:val="00E14640"/>
    <w:rsid w:val="00E14782"/>
    <w:rsid w:val="00E148C5"/>
    <w:rsid w:val="00E148D9"/>
    <w:rsid w:val="00E149AF"/>
    <w:rsid w:val="00E149CB"/>
    <w:rsid w:val="00E14A8B"/>
    <w:rsid w:val="00E14BA2"/>
    <w:rsid w:val="00E14BAD"/>
    <w:rsid w:val="00E14C0E"/>
    <w:rsid w:val="00E14F52"/>
    <w:rsid w:val="00E14F73"/>
    <w:rsid w:val="00E151D7"/>
    <w:rsid w:val="00E151EA"/>
    <w:rsid w:val="00E15769"/>
    <w:rsid w:val="00E15851"/>
    <w:rsid w:val="00E15D61"/>
    <w:rsid w:val="00E15E1F"/>
    <w:rsid w:val="00E15EFC"/>
    <w:rsid w:val="00E15F1E"/>
    <w:rsid w:val="00E15F4A"/>
    <w:rsid w:val="00E16284"/>
    <w:rsid w:val="00E163CB"/>
    <w:rsid w:val="00E16575"/>
    <w:rsid w:val="00E16793"/>
    <w:rsid w:val="00E168B9"/>
    <w:rsid w:val="00E16A41"/>
    <w:rsid w:val="00E16B34"/>
    <w:rsid w:val="00E16BF2"/>
    <w:rsid w:val="00E16C36"/>
    <w:rsid w:val="00E16D23"/>
    <w:rsid w:val="00E17082"/>
    <w:rsid w:val="00E1736F"/>
    <w:rsid w:val="00E17396"/>
    <w:rsid w:val="00E174C6"/>
    <w:rsid w:val="00E176EC"/>
    <w:rsid w:val="00E1780F"/>
    <w:rsid w:val="00E17B04"/>
    <w:rsid w:val="00E17BD9"/>
    <w:rsid w:val="00E17C63"/>
    <w:rsid w:val="00E17E9E"/>
    <w:rsid w:val="00E17EF5"/>
    <w:rsid w:val="00E17F32"/>
    <w:rsid w:val="00E17F55"/>
    <w:rsid w:val="00E20230"/>
    <w:rsid w:val="00E202E2"/>
    <w:rsid w:val="00E203DB"/>
    <w:rsid w:val="00E2044A"/>
    <w:rsid w:val="00E2059F"/>
    <w:rsid w:val="00E20634"/>
    <w:rsid w:val="00E2069D"/>
    <w:rsid w:val="00E20795"/>
    <w:rsid w:val="00E2081A"/>
    <w:rsid w:val="00E20835"/>
    <w:rsid w:val="00E20927"/>
    <w:rsid w:val="00E209B1"/>
    <w:rsid w:val="00E209F9"/>
    <w:rsid w:val="00E20B96"/>
    <w:rsid w:val="00E20DDF"/>
    <w:rsid w:val="00E20EC3"/>
    <w:rsid w:val="00E20EEB"/>
    <w:rsid w:val="00E20F44"/>
    <w:rsid w:val="00E20FEF"/>
    <w:rsid w:val="00E211BD"/>
    <w:rsid w:val="00E21413"/>
    <w:rsid w:val="00E21485"/>
    <w:rsid w:val="00E214D2"/>
    <w:rsid w:val="00E21635"/>
    <w:rsid w:val="00E2188C"/>
    <w:rsid w:val="00E21897"/>
    <w:rsid w:val="00E218B4"/>
    <w:rsid w:val="00E21A9C"/>
    <w:rsid w:val="00E21BA1"/>
    <w:rsid w:val="00E21CCD"/>
    <w:rsid w:val="00E21D1F"/>
    <w:rsid w:val="00E21D95"/>
    <w:rsid w:val="00E21E94"/>
    <w:rsid w:val="00E21ECE"/>
    <w:rsid w:val="00E21EE6"/>
    <w:rsid w:val="00E220F3"/>
    <w:rsid w:val="00E22309"/>
    <w:rsid w:val="00E225F9"/>
    <w:rsid w:val="00E229CE"/>
    <w:rsid w:val="00E22A59"/>
    <w:rsid w:val="00E22BB9"/>
    <w:rsid w:val="00E23001"/>
    <w:rsid w:val="00E23071"/>
    <w:rsid w:val="00E230FC"/>
    <w:rsid w:val="00E2310B"/>
    <w:rsid w:val="00E232F2"/>
    <w:rsid w:val="00E2358A"/>
    <w:rsid w:val="00E236BA"/>
    <w:rsid w:val="00E23746"/>
    <w:rsid w:val="00E2398F"/>
    <w:rsid w:val="00E239BC"/>
    <w:rsid w:val="00E23CA0"/>
    <w:rsid w:val="00E23E33"/>
    <w:rsid w:val="00E23E79"/>
    <w:rsid w:val="00E24200"/>
    <w:rsid w:val="00E2444B"/>
    <w:rsid w:val="00E245F5"/>
    <w:rsid w:val="00E246D3"/>
    <w:rsid w:val="00E24774"/>
    <w:rsid w:val="00E24824"/>
    <w:rsid w:val="00E24914"/>
    <w:rsid w:val="00E2496C"/>
    <w:rsid w:val="00E24C61"/>
    <w:rsid w:val="00E24CEA"/>
    <w:rsid w:val="00E24D0D"/>
    <w:rsid w:val="00E24EB2"/>
    <w:rsid w:val="00E24F5D"/>
    <w:rsid w:val="00E25B75"/>
    <w:rsid w:val="00E25D01"/>
    <w:rsid w:val="00E25DE5"/>
    <w:rsid w:val="00E25E19"/>
    <w:rsid w:val="00E25ECE"/>
    <w:rsid w:val="00E260A5"/>
    <w:rsid w:val="00E260E9"/>
    <w:rsid w:val="00E261C5"/>
    <w:rsid w:val="00E266F1"/>
    <w:rsid w:val="00E269E8"/>
    <w:rsid w:val="00E26A6D"/>
    <w:rsid w:val="00E26B4B"/>
    <w:rsid w:val="00E26C3A"/>
    <w:rsid w:val="00E26C7E"/>
    <w:rsid w:val="00E26D47"/>
    <w:rsid w:val="00E26FC0"/>
    <w:rsid w:val="00E27029"/>
    <w:rsid w:val="00E2744C"/>
    <w:rsid w:val="00E27545"/>
    <w:rsid w:val="00E276DF"/>
    <w:rsid w:val="00E2784C"/>
    <w:rsid w:val="00E27955"/>
    <w:rsid w:val="00E27AEE"/>
    <w:rsid w:val="00E27B64"/>
    <w:rsid w:val="00E27DE5"/>
    <w:rsid w:val="00E27EE6"/>
    <w:rsid w:val="00E27F9E"/>
    <w:rsid w:val="00E30170"/>
    <w:rsid w:val="00E30230"/>
    <w:rsid w:val="00E303B7"/>
    <w:rsid w:val="00E30534"/>
    <w:rsid w:val="00E305BA"/>
    <w:rsid w:val="00E306C9"/>
    <w:rsid w:val="00E3074B"/>
    <w:rsid w:val="00E30890"/>
    <w:rsid w:val="00E308A1"/>
    <w:rsid w:val="00E30AED"/>
    <w:rsid w:val="00E30BCB"/>
    <w:rsid w:val="00E30BCC"/>
    <w:rsid w:val="00E30C6C"/>
    <w:rsid w:val="00E30C84"/>
    <w:rsid w:val="00E30DB4"/>
    <w:rsid w:val="00E30DE3"/>
    <w:rsid w:val="00E30F38"/>
    <w:rsid w:val="00E3100C"/>
    <w:rsid w:val="00E310BE"/>
    <w:rsid w:val="00E311A5"/>
    <w:rsid w:val="00E3123C"/>
    <w:rsid w:val="00E3139E"/>
    <w:rsid w:val="00E313F0"/>
    <w:rsid w:val="00E31418"/>
    <w:rsid w:val="00E31602"/>
    <w:rsid w:val="00E3193D"/>
    <w:rsid w:val="00E31BF2"/>
    <w:rsid w:val="00E31C8D"/>
    <w:rsid w:val="00E32069"/>
    <w:rsid w:val="00E32135"/>
    <w:rsid w:val="00E32296"/>
    <w:rsid w:val="00E3280F"/>
    <w:rsid w:val="00E328E5"/>
    <w:rsid w:val="00E3293D"/>
    <w:rsid w:val="00E329FE"/>
    <w:rsid w:val="00E32A08"/>
    <w:rsid w:val="00E32A7D"/>
    <w:rsid w:val="00E32A87"/>
    <w:rsid w:val="00E32D97"/>
    <w:rsid w:val="00E33082"/>
    <w:rsid w:val="00E3321B"/>
    <w:rsid w:val="00E3356B"/>
    <w:rsid w:val="00E3358F"/>
    <w:rsid w:val="00E3367A"/>
    <w:rsid w:val="00E33890"/>
    <w:rsid w:val="00E33B47"/>
    <w:rsid w:val="00E33DD2"/>
    <w:rsid w:val="00E33E8B"/>
    <w:rsid w:val="00E33F6F"/>
    <w:rsid w:val="00E342C2"/>
    <w:rsid w:val="00E34560"/>
    <w:rsid w:val="00E3483D"/>
    <w:rsid w:val="00E34841"/>
    <w:rsid w:val="00E3486B"/>
    <w:rsid w:val="00E349BE"/>
    <w:rsid w:val="00E34A32"/>
    <w:rsid w:val="00E34EE4"/>
    <w:rsid w:val="00E34FA0"/>
    <w:rsid w:val="00E34FAE"/>
    <w:rsid w:val="00E3511E"/>
    <w:rsid w:val="00E354E2"/>
    <w:rsid w:val="00E354ED"/>
    <w:rsid w:val="00E35A70"/>
    <w:rsid w:val="00E35A97"/>
    <w:rsid w:val="00E35CF2"/>
    <w:rsid w:val="00E35F80"/>
    <w:rsid w:val="00E35FBD"/>
    <w:rsid w:val="00E3623E"/>
    <w:rsid w:val="00E36286"/>
    <w:rsid w:val="00E363AF"/>
    <w:rsid w:val="00E36489"/>
    <w:rsid w:val="00E36759"/>
    <w:rsid w:val="00E36948"/>
    <w:rsid w:val="00E369A7"/>
    <w:rsid w:val="00E36A66"/>
    <w:rsid w:val="00E36B13"/>
    <w:rsid w:val="00E36DB8"/>
    <w:rsid w:val="00E36F91"/>
    <w:rsid w:val="00E37013"/>
    <w:rsid w:val="00E371DE"/>
    <w:rsid w:val="00E37489"/>
    <w:rsid w:val="00E374DC"/>
    <w:rsid w:val="00E378ED"/>
    <w:rsid w:val="00E37E2D"/>
    <w:rsid w:val="00E40159"/>
    <w:rsid w:val="00E4024F"/>
    <w:rsid w:val="00E4029A"/>
    <w:rsid w:val="00E4037C"/>
    <w:rsid w:val="00E403D1"/>
    <w:rsid w:val="00E40621"/>
    <w:rsid w:val="00E408B9"/>
    <w:rsid w:val="00E40A64"/>
    <w:rsid w:val="00E40AF6"/>
    <w:rsid w:val="00E40BEA"/>
    <w:rsid w:val="00E40D65"/>
    <w:rsid w:val="00E40D71"/>
    <w:rsid w:val="00E40F62"/>
    <w:rsid w:val="00E41177"/>
    <w:rsid w:val="00E41243"/>
    <w:rsid w:val="00E4146C"/>
    <w:rsid w:val="00E4149B"/>
    <w:rsid w:val="00E41668"/>
    <w:rsid w:val="00E416D3"/>
    <w:rsid w:val="00E4180B"/>
    <w:rsid w:val="00E41814"/>
    <w:rsid w:val="00E4182B"/>
    <w:rsid w:val="00E41951"/>
    <w:rsid w:val="00E41D35"/>
    <w:rsid w:val="00E41FAA"/>
    <w:rsid w:val="00E41FE5"/>
    <w:rsid w:val="00E42026"/>
    <w:rsid w:val="00E421B4"/>
    <w:rsid w:val="00E42272"/>
    <w:rsid w:val="00E422BA"/>
    <w:rsid w:val="00E42352"/>
    <w:rsid w:val="00E424D6"/>
    <w:rsid w:val="00E4258D"/>
    <w:rsid w:val="00E42757"/>
    <w:rsid w:val="00E42787"/>
    <w:rsid w:val="00E42834"/>
    <w:rsid w:val="00E429F6"/>
    <w:rsid w:val="00E42AC8"/>
    <w:rsid w:val="00E42AF0"/>
    <w:rsid w:val="00E42EE5"/>
    <w:rsid w:val="00E42FDC"/>
    <w:rsid w:val="00E43079"/>
    <w:rsid w:val="00E430B9"/>
    <w:rsid w:val="00E432E2"/>
    <w:rsid w:val="00E432F6"/>
    <w:rsid w:val="00E4334F"/>
    <w:rsid w:val="00E434E3"/>
    <w:rsid w:val="00E43552"/>
    <w:rsid w:val="00E435A2"/>
    <w:rsid w:val="00E436BE"/>
    <w:rsid w:val="00E43A7F"/>
    <w:rsid w:val="00E43A83"/>
    <w:rsid w:val="00E441FC"/>
    <w:rsid w:val="00E443D9"/>
    <w:rsid w:val="00E44435"/>
    <w:rsid w:val="00E444D2"/>
    <w:rsid w:val="00E445CD"/>
    <w:rsid w:val="00E44605"/>
    <w:rsid w:val="00E44B19"/>
    <w:rsid w:val="00E44D15"/>
    <w:rsid w:val="00E44FC6"/>
    <w:rsid w:val="00E451DC"/>
    <w:rsid w:val="00E4534A"/>
    <w:rsid w:val="00E45442"/>
    <w:rsid w:val="00E456CE"/>
    <w:rsid w:val="00E45A69"/>
    <w:rsid w:val="00E45A76"/>
    <w:rsid w:val="00E45C36"/>
    <w:rsid w:val="00E45C96"/>
    <w:rsid w:val="00E45F8A"/>
    <w:rsid w:val="00E4606E"/>
    <w:rsid w:val="00E46274"/>
    <w:rsid w:val="00E46402"/>
    <w:rsid w:val="00E4652A"/>
    <w:rsid w:val="00E465EA"/>
    <w:rsid w:val="00E46740"/>
    <w:rsid w:val="00E467F2"/>
    <w:rsid w:val="00E46860"/>
    <w:rsid w:val="00E46881"/>
    <w:rsid w:val="00E46A7F"/>
    <w:rsid w:val="00E46D5F"/>
    <w:rsid w:val="00E46F38"/>
    <w:rsid w:val="00E46F89"/>
    <w:rsid w:val="00E4718C"/>
    <w:rsid w:val="00E472CF"/>
    <w:rsid w:val="00E47695"/>
    <w:rsid w:val="00E47997"/>
    <w:rsid w:val="00E47A17"/>
    <w:rsid w:val="00E47B6B"/>
    <w:rsid w:val="00E47BB3"/>
    <w:rsid w:val="00E47CCB"/>
    <w:rsid w:val="00E47D40"/>
    <w:rsid w:val="00E5010C"/>
    <w:rsid w:val="00E502E6"/>
    <w:rsid w:val="00E5047F"/>
    <w:rsid w:val="00E504EB"/>
    <w:rsid w:val="00E506E6"/>
    <w:rsid w:val="00E5092F"/>
    <w:rsid w:val="00E50D8E"/>
    <w:rsid w:val="00E510A4"/>
    <w:rsid w:val="00E51177"/>
    <w:rsid w:val="00E511D4"/>
    <w:rsid w:val="00E513A4"/>
    <w:rsid w:val="00E51421"/>
    <w:rsid w:val="00E514BD"/>
    <w:rsid w:val="00E51734"/>
    <w:rsid w:val="00E51AD1"/>
    <w:rsid w:val="00E51AE2"/>
    <w:rsid w:val="00E51B48"/>
    <w:rsid w:val="00E51B51"/>
    <w:rsid w:val="00E51C6D"/>
    <w:rsid w:val="00E51CA7"/>
    <w:rsid w:val="00E51CAE"/>
    <w:rsid w:val="00E51EB0"/>
    <w:rsid w:val="00E51EE2"/>
    <w:rsid w:val="00E51F95"/>
    <w:rsid w:val="00E51FE6"/>
    <w:rsid w:val="00E520C8"/>
    <w:rsid w:val="00E522C3"/>
    <w:rsid w:val="00E52323"/>
    <w:rsid w:val="00E523F7"/>
    <w:rsid w:val="00E527E2"/>
    <w:rsid w:val="00E528A4"/>
    <w:rsid w:val="00E52C1A"/>
    <w:rsid w:val="00E52D1B"/>
    <w:rsid w:val="00E52F14"/>
    <w:rsid w:val="00E52F84"/>
    <w:rsid w:val="00E52F89"/>
    <w:rsid w:val="00E5309D"/>
    <w:rsid w:val="00E53149"/>
    <w:rsid w:val="00E53169"/>
    <w:rsid w:val="00E531E3"/>
    <w:rsid w:val="00E5342A"/>
    <w:rsid w:val="00E53482"/>
    <w:rsid w:val="00E53529"/>
    <w:rsid w:val="00E53545"/>
    <w:rsid w:val="00E536E6"/>
    <w:rsid w:val="00E5375C"/>
    <w:rsid w:val="00E538CD"/>
    <w:rsid w:val="00E53D92"/>
    <w:rsid w:val="00E53D94"/>
    <w:rsid w:val="00E53ECD"/>
    <w:rsid w:val="00E53FFC"/>
    <w:rsid w:val="00E541A9"/>
    <w:rsid w:val="00E54275"/>
    <w:rsid w:val="00E542FE"/>
    <w:rsid w:val="00E54386"/>
    <w:rsid w:val="00E543AA"/>
    <w:rsid w:val="00E544D4"/>
    <w:rsid w:val="00E54637"/>
    <w:rsid w:val="00E546DE"/>
    <w:rsid w:val="00E54C3F"/>
    <w:rsid w:val="00E54D20"/>
    <w:rsid w:val="00E54DED"/>
    <w:rsid w:val="00E54DF0"/>
    <w:rsid w:val="00E54FE8"/>
    <w:rsid w:val="00E55046"/>
    <w:rsid w:val="00E551D9"/>
    <w:rsid w:val="00E55230"/>
    <w:rsid w:val="00E553C6"/>
    <w:rsid w:val="00E55470"/>
    <w:rsid w:val="00E5549B"/>
    <w:rsid w:val="00E554D4"/>
    <w:rsid w:val="00E55515"/>
    <w:rsid w:val="00E55719"/>
    <w:rsid w:val="00E55752"/>
    <w:rsid w:val="00E55879"/>
    <w:rsid w:val="00E55B56"/>
    <w:rsid w:val="00E56565"/>
    <w:rsid w:val="00E56A64"/>
    <w:rsid w:val="00E56BD6"/>
    <w:rsid w:val="00E56BEB"/>
    <w:rsid w:val="00E56E81"/>
    <w:rsid w:val="00E57120"/>
    <w:rsid w:val="00E57250"/>
    <w:rsid w:val="00E573A0"/>
    <w:rsid w:val="00E573E9"/>
    <w:rsid w:val="00E57A66"/>
    <w:rsid w:val="00E57C3D"/>
    <w:rsid w:val="00E57CAE"/>
    <w:rsid w:val="00E57CEE"/>
    <w:rsid w:val="00E57F3A"/>
    <w:rsid w:val="00E57FFD"/>
    <w:rsid w:val="00E60087"/>
    <w:rsid w:val="00E6037F"/>
    <w:rsid w:val="00E60759"/>
    <w:rsid w:val="00E60815"/>
    <w:rsid w:val="00E608E8"/>
    <w:rsid w:val="00E608ED"/>
    <w:rsid w:val="00E60AE8"/>
    <w:rsid w:val="00E60C73"/>
    <w:rsid w:val="00E60D65"/>
    <w:rsid w:val="00E60E72"/>
    <w:rsid w:val="00E611B5"/>
    <w:rsid w:val="00E612AB"/>
    <w:rsid w:val="00E6130A"/>
    <w:rsid w:val="00E61639"/>
    <w:rsid w:val="00E6169B"/>
    <w:rsid w:val="00E61887"/>
    <w:rsid w:val="00E61A63"/>
    <w:rsid w:val="00E61C56"/>
    <w:rsid w:val="00E61CC9"/>
    <w:rsid w:val="00E61D14"/>
    <w:rsid w:val="00E61E41"/>
    <w:rsid w:val="00E61F14"/>
    <w:rsid w:val="00E6208D"/>
    <w:rsid w:val="00E6225C"/>
    <w:rsid w:val="00E6226A"/>
    <w:rsid w:val="00E6226F"/>
    <w:rsid w:val="00E62394"/>
    <w:rsid w:val="00E62418"/>
    <w:rsid w:val="00E62488"/>
    <w:rsid w:val="00E62779"/>
    <w:rsid w:val="00E62918"/>
    <w:rsid w:val="00E629CC"/>
    <w:rsid w:val="00E62AC3"/>
    <w:rsid w:val="00E62C4B"/>
    <w:rsid w:val="00E62C6A"/>
    <w:rsid w:val="00E62D0F"/>
    <w:rsid w:val="00E62DB8"/>
    <w:rsid w:val="00E62E88"/>
    <w:rsid w:val="00E631AB"/>
    <w:rsid w:val="00E6327A"/>
    <w:rsid w:val="00E633E1"/>
    <w:rsid w:val="00E63605"/>
    <w:rsid w:val="00E6372C"/>
    <w:rsid w:val="00E6381F"/>
    <w:rsid w:val="00E63BF5"/>
    <w:rsid w:val="00E63C32"/>
    <w:rsid w:val="00E63C88"/>
    <w:rsid w:val="00E63F38"/>
    <w:rsid w:val="00E63FE1"/>
    <w:rsid w:val="00E6417A"/>
    <w:rsid w:val="00E641D6"/>
    <w:rsid w:val="00E643C3"/>
    <w:rsid w:val="00E64415"/>
    <w:rsid w:val="00E645C9"/>
    <w:rsid w:val="00E6484C"/>
    <w:rsid w:val="00E64874"/>
    <w:rsid w:val="00E648F1"/>
    <w:rsid w:val="00E64A7C"/>
    <w:rsid w:val="00E64AA7"/>
    <w:rsid w:val="00E64ACD"/>
    <w:rsid w:val="00E64F5D"/>
    <w:rsid w:val="00E65016"/>
    <w:rsid w:val="00E650AF"/>
    <w:rsid w:val="00E650FA"/>
    <w:rsid w:val="00E6522F"/>
    <w:rsid w:val="00E652A6"/>
    <w:rsid w:val="00E653DF"/>
    <w:rsid w:val="00E65ACB"/>
    <w:rsid w:val="00E65C2F"/>
    <w:rsid w:val="00E65D31"/>
    <w:rsid w:val="00E65F36"/>
    <w:rsid w:val="00E65F3A"/>
    <w:rsid w:val="00E66029"/>
    <w:rsid w:val="00E6605D"/>
    <w:rsid w:val="00E660EB"/>
    <w:rsid w:val="00E66164"/>
    <w:rsid w:val="00E664DF"/>
    <w:rsid w:val="00E66534"/>
    <w:rsid w:val="00E6654F"/>
    <w:rsid w:val="00E6656D"/>
    <w:rsid w:val="00E666B4"/>
    <w:rsid w:val="00E66CE9"/>
    <w:rsid w:val="00E66D27"/>
    <w:rsid w:val="00E66D69"/>
    <w:rsid w:val="00E67186"/>
    <w:rsid w:val="00E67423"/>
    <w:rsid w:val="00E67621"/>
    <w:rsid w:val="00E6786C"/>
    <w:rsid w:val="00E67979"/>
    <w:rsid w:val="00E67A3D"/>
    <w:rsid w:val="00E67AE6"/>
    <w:rsid w:val="00E67C36"/>
    <w:rsid w:val="00E67CD3"/>
    <w:rsid w:val="00E67FC1"/>
    <w:rsid w:val="00E70101"/>
    <w:rsid w:val="00E702CA"/>
    <w:rsid w:val="00E7036A"/>
    <w:rsid w:val="00E70687"/>
    <w:rsid w:val="00E70970"/>
    <w:rsid w:val="00E70BA4"/>
    <w:rsid w:val="00E70DAA"/>
    <w:rsid w:val="00E70F1F"/>
    <w:rsid w:val="00E70FD7"/>
    <w:rsid w:val="00E711D3"/>
    <w:rsid w:val="00E7121E"/>
    <w:rsid w:val="00E7143F"/>
    <w:rsid w:val="00E715D8"/>
    <w:rsid w:val="00E71767"/>
    <w:rsid w:val="00E717C3"/>
    <w:rsid w:val="00E71AD2"/>
    <w:rsid w:val="00E71B2E"/>
    <w:rsid w:val="00E71C50"/>
    <w:rsid w:val="00E71CE1"/>
    <w:rsid w:val="00E72311"/>
    <w:rsid w:val="00E725E0"/>
    <w:rsid w:val="00E7261B"/>
    <w:rsid w:val="00E726A3"/>
    <w:rsid w:val="00E72862"/>
    <w:rsid w:val="00E72E00"/>
    <w:rsid w:val="00E72EEA"/>
    <w:rsid w:val="00E72F08"/>
    <w:rsid w:val="00E730C0"/>
    <w:rsid w:val="00E7311B"/>
    <w:rsid w:val="00E73214"/>
    <w:rsid w:val="00E733D5"/>
    <w:rsid w:val="00E7387C"/>
    <w:rsid w:val="00E73B04"/>
    <w:rsid w:val="00E73B94"/>
    <w:rsid w:val="00E73CDB"/>
    <w:rsid w:val="00E73E65"/>
    <w:rsid w:val="00E73FC7"/>
    <w:rsid w:val="00E74140"/>
    <w:rsid w:val="00E74211"/>
    <w:rsid w:val="00E74378"/>
    <w:rsid w:val="00E74475"/>
    <w:rsid w:val="00E744FE"/>
    <w:rsid w:val="00E7460D"/>
    <w:rsid w:val="00E746E4"/>
    <w:rsid w:val="00E747A1"/>
    <w:rsid w:val="00E748A8"/>
    <w:rsid w:val="00E74C90"/>
    <w:rsid w:val="00E74D12"/>
    <w:rsid w:val="00E74DD0"/>
    <w:rsid w:val="00E74E15"/>
    <w:rsid w:val="00E74E8D"/>
    <w:rsid w:val="00E75148"/>
    <w:rsid w:val="00E751C6"/>
    <w:rsid w:val="00E754C0"/>
    <w:rsid w:val="00E75830"/>
    <w:rsid w:val="00E759E7"/>
    <w:rsid w:val="00E75BFE"/>
    <w:rsid w:val="00E75C80"/>
    <w:rsid w:val="00E75C98"/>
    <w:rsid w:val="00E75CF2"/>
    <w:rsid w:val="00E75D6D"/>
    <w:rsid w:val="00E75F00"/>
    <w:rsid w:val="00E75F34"/>
    <w:rsid w:val="00E7622C"/>
    <w:rsid w:val="00E764F3"/>
    <w:rsid w:val="00E7683F"/>
    <w:rsid w:val="00E77190"/>
    <w:rsid w:val="00E77201"/>
    <w:rsid w:val="00E77404"/>
    <w:rsid w:val="00E77524"/>
    <w:rsid w:val="00E775DF"/>
    <w:rsid w:val="00E77682"/>
    <w:rsid w:val="00E776AA"/>
    <w:rsid w:val="00E7781E"/>
    <w:rsid w:val="00E77874"/>
    <w:rsid w:val="00E77D57"/>
    <w:rsid w:val="00E77F89"/>
    <w:rsid w:val="00E77FA6"/>
    <w:rsid w:val="00E77FE9"/>
    <w:rsid w:val="00E8018D"/>
    <w:rsid w:val="00E80421"/>
    <w:rsid w:val="00E806C2"/>
    <w:rsid w:val="00E808D6"/>
    <w:rsid w:val="00E80C0D"/>
    <w:rsid w:val="00E80C30"/>
    <w:rsid w:val="00E80C3C"/>
    <w:rsid w:val="00E80DE0"/>
    <w:rsid w:val="00E80EDE"/>
    <w:rsid w:val="00E80F3A"/>
    <w:rsid w:val="00E80F5A"/>
    <w:rsid w:val="00E80F6A"/>
    <w:rsid w:val="00E81434"/>
    <w:rsid w:val="00E81465"/>
    <w:rsid w:val="00E81747"/>
    <w:rsid w:val="00E81801"/>
    <w:rsid w:val="00E818D3"/>
    <w:rsid w:val="00E81BF4"/>
    <w:rsid w:val="00E81FFD"/>
    <w:rsid w:val="00E822AC"/>
    <w:rsid w:val="00E82449"/>
    <w:rsid w:val="00E8244C"/>
    <w:rsid w:val="00E82493"/>
    <w:rsid w:val="00E825C2"/>
    <w:rsid w:val="00E82647"/>
    <w:rsid w:val="00E8271B"/>
    <w:rsid w:val="00E82996"/>
    <w:rsid w:val="00E82A34"/>
    <w:rsid w:val="00E82A47"/>
    <w:rsid w:val="00E82BFF"/>
    <w:rsid w:val="00E82C1C"/>
    <w:rsid w:val="00E82E81"/>
    <w:rsid w:val="00E83051"/>
    <w:rsid w:val="00E83142"/>
    <w:rsid w:val="00E83406"/>
    <w:rsid w:val="00E836CF"/>
    <w:rsid w:val="00E8370C"/>
    <w:rsid w:val="00E83A40"/>
    <w:rsid w:val="00E83D0B"/>
    <w:rsid w:val="00E83F25"/>
    <w:rsid w:val="00E84021"/>
    <w:rsid w:val="00E842A9"/>
    <w:rsid w:val="00E84438"/>
    <w:rsid w:val="00E8449A"/>
    <w:rsid w:val="00E845B3"/>
    <w:rsid w:val="00E848E7"/>
    <w:rsid w:val="00E848FC"/>
    <w:rsid w:val="00E8496B"/>
    <w:rsid w:val="00E84B69"/>
    <w:rsid w:val="00E84DE8"/>
    <w:rsid w:val="00E84E07"/>
    <w:rsid w:val="00E850AA"/>
    <w:rsid w:val="00E85149"/>
    <w:rsid w:val="00E851C5"/>
    <w:rsid w:val="00E85245"/>
    <w:rsid w:val="00E85508"/>
    <w:rsid w:val="00E8552F"/>
    <w:rsid w:val="00E85683"/>
    <w:rsid w:val="00E859AA"/>
    <w:rsid w:val="00E85A3C"/>
    <w:rsid w:val="00E85F85"/>
    <w:rsid w:val="00E85FC1"/>
    <w:rsid w:val="00E86316"/>
    <w:rsid w:val="00E86394"/>
    <w:rsid w:val="00E8653E"/>
    <w:rsid w:val="00E8655C"/>
    <w:rsid w:val="00E8655F"/>
    <w:rsid w:val="00E8663C"/>
    <w:rsid w:val="00E86683"/>
    <w:rsid w:val="00E866AC"/>
    <w:rsid w:val="00E866BB"/>
    <w:rsid w:val="00E8670E"/>
    <w:rsid w:val="00E86728"/>
    <w:rsid w:val="00E867EF"/>
    <w:rsid w:val="00E86922"/>
    <w:rsid w:val="00E86946"/>
    <w:rsid w:val="00E86A62"/>
    <w:rsid w:val="00E86C31"/>
    <w:rsid w:val="00E86ECE"/>
    <w:rsid w:val="00E8702B"/>
    <w:rsid w:val="00E87060"/>
    <w:rsid w:val="00E8719F"/>
    <w:rsid w:val="00E871B2"/>
    <w:rsid w:val="00E871B6"/>
    <w:rsid w:val="00E87508"/>
    <w:rsid w:val="00E8750C"/>
    <w:rsid w:val="00E87618"/>
    <w:rsid w:val="00E8774A"/>
    <w:rsid w:val="00E87799"/>
    <w:rsid w:val="00E877C6"/>
    <w:rsid w:val="00E87971"/>
    <w:rsid w:val="00E87AA0"/>
    <w:rsid w:val="00E87ABA"/>
    <w:rsid w:val="00E87B0C"/>
    <w:rsid w:val="00E87B20"/>
    <w:rsid w:val="00E87B2F"/>
    <w:rsid w:val="00E87B51"/>
    <w:rsid w:val="00E87C73"/>
    <w:rsid w:val="00E87D58"/>
    <w:rsid w:val="00E87E91"/>
    <w:rsid w:val="00E87F90"/>
    <w:rsid w:val="00E9019F"/>
    <w:rsid w:val="00E901A2"/>
    <w:rsid w:val="00E9021A"/>
    <w:rsid w:val="00E90540"/>
    <w:rsid w:val="00E90689"/>
    <w:rsid w:val="00E906A5"/>
    <w:rsid w:val="00E906D8"/>
    <w:rsid w:val="00E9078F"/>
    <w:rsid w:val="00E908A1"/>
    <w:rsid w:val="00E90912"/>
    <w:rsid w:val="00E90A18"/>
    <w:rsid w:val="00E90A35"/>
    <w:rsid w:val="00E9107F"/>
    <w:rsid w:val="00E91116"/>
    <w:rsid w:val="00E912B8"/>
    <w:rsid w:val="00E91301"/>
    <w:rsid w:val="00E914D9"/>
    <w:rsid w:val="00E915C4"/>
    <w:rsid w:val="00E916C4"/>
    <w:rsid w:val="00E91912"/>
    <w:rsid w:val="00E91C54"/>
    <w:rsid w:val="00E91D13"/>
    <w:rsid w:val="00E92140"/>
    <w:rsid w:val="00E9220B"/>
    <w:rsid w:val="00E9229D"/>
    <w:rsid w:val="00E926B7"/>
    <w:rsid w:val="00E9275A"/>
    <w:rsid w:val="00E927AE"/>
    <w:rsid w:val="00E92A3A"/>
    <w:rsid w:val="00E92B44"/>
    <w:rsid w:val="00E92BCC"/>
    <w:rsid w:val="00E939A5"/>
    <w:rsid w:val="00E93A0D"/>
    <w:rsid w:val="00E93B1E"/>
    <w:rsid w:val="00E93CA7"/>
    <w:rsid w:val="00E93D4C"/>
    <w:rsid w:val="00E93EC8"/>
    <w:rsid w:val="00E93ED2"/>
    <w:rsid w:val="00E93F80"/>
    <w:rsid w:val="00E945A9"/>
    <w:rsid w:val="00E946CB"/>
    <w:rsid w:val="00E94899"/>
    <w:rsid w:val="00E94923"/>
    <w:rsid w:val="00E94C65"/>
    <w:rsid w:val="00E94D5F"/>
    <w:rsid w:val="00E951E3"/>
    <w:rsid w:val="00E9522E"/>
    <w:rsid w:val="00E952C7"/>
    <w:rsid w:val="00E9545C"/>
    <w:rsid w:val="00E954FD"/>
    <w:rsid w:val="00E956E4"/>
    <w:rsid w:val="00E95793"/>
    <w:rsid w:val="00E958E0"/>
    <w:rsid w:val="00E95930"/>
    <w:rsid w:val="00E95A42"/>
    <w:rsid w:val="00E96164"/>
    <w:rsid w:val="00E96278"/>
    <w:rsid w:val="00E9643C"/>
    <w:rsid w:val="00E964D2"/>
    <w:rsid w:val="00E96601"/>
    <w:rsid w:val="00E96612"/>
    <w:rsid w:val="00E96787"/>
    <w:rsid w:val="00E96985"/>
    <w:rsid w:val="00E96B5C"/>
    <w:rsid w:val="00E96B5F"/>
    <w:rsid w:val="00E96CD4"/>
    <w:rsid w:val="00E96E6E"/>
    <w:rsid w:val="00E96F3D"/>
    <w:rsid w:val="00E9706C"/>
    <w:rsid w:val="00E9708E"/>
    <w:rsid w:val="00E970DD"/>
    <w:rsid w:val="00E971D0"/>
    <w:rsid w:val="00E97291"/>
    <w:rsid w:val="00E972C0"/>
    <w:rsid w:val="00E97308"/>
    <w:rsid w:val="00E97400"/>
    <w:rsid w:val="00E976E4"/>
    <w:rsid w:val="00E97872"/>
    <w:rsid w:val="00E97911"/>
    <w:rsid w:val="00E97A41"/>
    <w:rsid w:val="00E97AFB"/>
    <w:rsid w:val="00E97B2D"/>
    <w:rsid w:val="00E97B8D"/>
    <w:rsid w:val="00E97DA1"/>
    <w:rsid w:val="00E97F7E"/>
    <w:rsid w:val="00EA009D"/>
    <w:rsid w:val="00EA027E"/>
    <w:rsid w:val="00EA03BE"/>
    <w:rsid w:val="00EA074F"/>
    <w:rsid w:val="00EA0788"/>
    <w:rsid w:val="00EA07BD"/>
    <w:rsid w:val="00EA084F"/>
    <w:rsid w:val="00EA08C8"/>
    <w:rsid w:val="00EA0A06"/>
    <w:rsid w:val="00EA0A34"/>
    <w:rsid w:val="00EA0E90"/>
    <w:rsid w:val="00EA0F7F"/>
    <w:rsid w:val="00EA1027"/>
    <w:rsid w:val="00EA1142"/>
    <w:rsid w:val="00EA11DB"/>
    <w:rsid w:val="00EA145E"/>
    <w:rsid w:val="00EA14BE"/>
    <w:rsid w:val="00EA14F5"/>
    <w:rsid w:val="00EA19ED"/>
    <w:rsid w:val="00EA1B55"/>
    <w:rsid w:val="00EA1B5F"/>
    <w:rsid w:val="00EA1D42"/>
    <w:rsid w:val="00EA1D44"/>
    <w:rsid w:val="00EA1F66"/>
    <w:rsid w:val="00EA1F6C"/>
    <w:rsid w:val="00EA214B"/>
    <w:rsid w:val="00EA25F1"/>
    <w:rsid w:val="00EA264C"/>
    <w:rsid w:val="00EA28C5"/>
    <w:rsid w:val="00EA2AF3"/>
    <w:rsid w:val="00EA2BF4"/>
    <w:rsid w:val="00EA2CFD"/>
    <w:rsid w:val="00EA2D3C"/>
    <w:rsid w:val="00EA2F3B"/>
    <w:rsid w:val="00EA30B6"/>
    <w:rsid w:val="00EA3196"/>
    <w:rsid w:val="00EA32F7"/>
    <w:rsid w:val="00EA3366"/>
    <w:rsid w:val="00EA388F"/>
    <w:rsid w:val="00EA3E4D"/>
    <w:rsid w:val="00EA3EC0"/>
    <w:rsid w:val="00EA41A6"/>
    <w:rsid w:val="00EA43CA"/>
    <w:rsid w:val="00EA4475"/>
    <w:rsid w:val="00EA44C5"/>
    <w:rsid w:val="00EA4504"/>
    <w:rsid w:val="00EA4561"/>
    <w:rsid w:val="00EA4786"/>
    <w:rsid w:val="00EA49B3"/>
    <w:rsid w:val="00EA4D3B"/>
    <w:rsid w:val="00EA4D6F"/>
    <w:rsid w:val="00EA4DAF"/>
    <w:rsid w:val="00EA4EB5"/>
    <w:rsid w:val="00EA531D"/>
    <w:rsid w:val="00EA55F2"/>
    <w:rsid w:val="00EA578D"/>
    <w:rsid w:val="00EA5798"/>
    <w:rsid w:val="00EA57A9"/>
    <w:rsid w:val="00EA5839"/>
    <w:rsid w:val="00EA5875"/>
    <w:rsid w:val="00EA5E0E"/>
    <w:rsid w:val="00EA6119"/>
    <w:rsid w:val="00EA62E8"/>
    <w:rsid w:val="00EA6308"/>
    <w:rsid w:val="00EA631D"/>
    <w:rsid w:val="00EA63D5"/>
    <w:rsid w:val="00EA655B"/>
    <w:rsid w:val="00EA658E"/>
    <w:rsid w:val="00EA659A"/>
    <w:rsid w:val="00EA6797"/>
    <w:rsid w:val="00EA67FC"/>
    <w:rsid w:val="00EA6855"/>
    <w:rsid w:val="00EA6A4B"/>
    <w:rsid w:val="00EA6A7B"/>
    <w:rsid w:val="00EA6EEA"/>
    <w:rsid w:val="00EA706C"/>
    <w:rsid w:val="00EA731D"/>
    <w:rsid w:val="00EA74CD"/>
    <w:rsid w:val="00EA7619"/>
    <w:rsid w:val="00EA77CC"/>
    <w:rsid w:val="00EA77FB"/>
    <w:rsid w:val="00EA78CD"/>
    <w:rsid w:val="00EA7971"/>
    <w:rsid w:val="00EA7A7D"/>
    <w:rsid w:val="00EA7AB1"/>
    <w:rsid w:val="00EA7C58"/>
    <w:rsid w:val="00EA7DA0"/>
    <w:rsid w:val="00EA7EEC"/>
    <w:rsid w:val="00EA7F10"/>
    <w:rsid w:val="00EA7F6C"/>
    <w:rsid w:val="00EB004C"/>
    <w:rsid w:val="00EB0187"/>
    <w:rsid w:val="00EB01C4"/>
    <w:rsid w:val="00EB023B"/>
    <w:rsid w:val="00EB023D"/>
    <w:rsid w:val="00EB04E0"/>
    <w:rsid w:val="00EB084E"/>
    <w:rsid w:val="00EB0876"/>
    <w:rsid w:val="00EB0882"/>
    <w:rsid w:val="00EB0986"/>
    <w:rsid w:val="00EB0A12"/>
    <w:rsid w:val="00EB0AF7"/>
    <w:rsid w:val="00EB0CAA"/>
    <w:rsid w:val="00EB0F17"/>
    <w:rsid w:val="00EB1420"/>
    <w:rsid w:val="00EB17F2"/>
    <w:rsid w:val="00EB19A5"/>
    <w:rsid w:val="00EB1AB5"/>
    <w:rsid w:val="00EB1B50"/>
    <w:rsid w:val="00EB20DF"/>
    <w:rsid w:val="00EB21AD"/>
    <w:rsid w:val="00EB21B6"/>
    <w:rsid w:val="00EB22DD"/>
    <w:rsid w:val="00EB232F"/>
    <w:rsid w:val="00EB2450"/>
    <w:rsid w:val="00EB246A"/>
    <w:rsid w:val="00EB2589"/>
    <w:rsid w:val="00EB2611"/>
    <w:rsid w:val="00EB274C"/>
    <w:rsid w:val="00EB29D1"/>
    <w:rsid w:val="00EB2B77"/>
    <w:rsid w:val="00EB2C61"/>
    <w:rsid w:val="00EB2CB2"/>
    <w:rsid w:val="00EB2DAF"/>
    <w:rsid w:val="00EB3332"/>
    <w:rsid w:val="00EB33B0"/>
    <w:rsid w:val="00EB347A"/>
    <w:rsid w:val="00EB348B"/>
    <w:rsid w:val="00EB34F9"/>
    <w:rsid w:val="00EB35FD"/>
    <w:rsid w:val="00EB384D"/>
    <w:rsid w:val="00EB3B63"/>
    <w:rsid w:val="00EB3CF2"/>
    <w:rsid w:val="00EB3D56"/>
    <w:rsid w:val="00EB3E13"/>
    <w:rsid w:val="00EB3E8D"/>
    <w:rsid w:val="00EB409D"/>
    <w:rsid w:val="00EB4129"/>
    <w:rsid w:val="00EB425C"/>
    <w:rsid w:val="00EB429E"/>
    <w:rsid w:val="00EB42C5"/>
    <w:rsid w:val="00EB43B9"/>
    <w:rsid w:val="00EB43C1"/>
    <w:rsid w:val="00EB4673"/>
    <w:rsid w:val="00EB46B9"/>
    <w:rsid w:val="00EB473A"/>
    <w:rsid w:val="00EB480B"/>
    <w:rsid w:val="00EB48F2"/>
    <w:rsid w:val="00EB4ADB"/>
    <w:rsid w:val="00EB4BD3"/>
    <w:rsid w:val="00EB4DF3"/>
    <w:rsid w:val="00EB501A"/>
    <w:rsid w:val="00EB508D"/>
    <w:rsid w:val="00EB50B4"/>
    <w:rsid w:val="00EB529B"/>
    <w:rsid w:val="00EB564E"/>
    <w:rsid w:val="00EB58D6"/>
    <w:rsid w:val="00EB5997"/>
    <w:rsid w:val="00EB59E5"/>
    <w:rsid w:val="00EB5A86"/>
    <w:rsid w:val="00EB5A98"/>
    <w:rsid w:val="00EB5AB0"/>
    <w:rsid w:val="00EB5BEE"/>
    <w:rsid w:val="00EB5DA0"/>
    <w:rsid w:val="00EB5F83"/>
    <w:rsid w:val="00EB63B9"/>
    <w:rsid w:val="00EB66C1"/>
    <w:rsid w:val="00EB6769"/>
    <w:rsid w:val="00EB676C"/>
    <w:rsid w:val="00EB680E"/>
    <w:rsid w:val="00EB6857"/>
    <w:rsid w:val="00EB68F8"/>
    <w:rsid w:val="00EB6959"/>
    <w:rsid w:val="00EB6AAF"/>
    <w:rsid w:val="00EB6BB5"/>
    <w:rsid w:val="00EB6D59"/>
    <w:rsid w:val="00EB6DB5"/>
    <w:rsid w:val="00EB6E7C"/>
    <w:rsid w:val="00EB6F31"/>
    <w:rsid w:val="00EB70CA"/>
    <w:rsid w:val="00EB7104"/>
    <w:rsid w:val="00EB72DC"/>
    <w:rsid w:val="00EB77BF"/>
    <w:rsid w:val="00EB77F6"/>
    <w:rsid w:val="00EB7A4B"/>
    <w:rsid w:val="00EB7C45"/>
    <w:rsid w:val="00EB7C7F"/>
    <w:rsid w:val="00EB7DCA"/>
    <w:rsid w:val="00EC01A0"/>
    <w:rsid w:val="00EC03BE"/>
    <w:rsid w:val="00EC07B1"/>
    <w:rsid w:val="00EC07BC"/>
    <w:rsid w:val="00EC080F"/>
    <w:rsid w:val="00EC08A9"/>
    <w:rsid w:val="00EC08FE"/>
    <w:rsid w:val="00EC0969"/>
    <w:rsid w:val="00EC0A2E"/>
    <w:rsid w:val="00EC0A93"/>
    <w:rsid w:val="00EC0B1C"/>
    <w:rsid w:val="00EC0C77"/>
    <w:rsid w:val="00EC0CAB"/>
    <w:rsid w:val="00EC0D2F"/>
    <w:rsid w:val="00EC0DD8"/>
    <w:rsid w:val="00EC0EA9"/>
    <w:rsid w:val="00EC0F29"/>
    <w:rsid w:val="00EC101E"/>
    <w:rsid w:val="00EC128E"/>
    <w:rsid w:val="00EC1399"/>
    <w:rsid w:val="00EC13C9"/>
    <w:rsid w:val="00EC140C"/>
    <w:rsid w:val="00EC1454"/>
    <w:rsid w:val="00EC1491"/>
    <w:rsid w:val="00EC1671"/>
    <w:rsid w:val="00EC16EB"/>
    <w:rsid w:val="00EC1795"/>
    <w:rsid w:val="00EC1893"/>
    <w:rsid w:val="00EC1904"/>
    <w:rsid w:val="00EC19C9"/>
    <w:rsid w:val="00EC1A21"/>
    <w:rsid w:val="00EC1E76"/>
    <w:rsid w:val="00EC233B"/>
    <w:rsid w:val="00EC24FF"/>
    <w:rsid w:val="00EC2741"/>
    <w:rsid w:val="00EC2798"/>
    <w:rsid w:val="00EC281B"/>
    <w:rsid w:val="00EC28CE"/>
    <w:rsid w:val="00EC2948"/>
    <w:rsid w:val="00EC2B35"/>
    <w:rsid w:val="00EC2C69"/>
    <w:rsid w:val="00EC2EB4"/>
    <w:rsid w:val="00EC3241"/>
    <w:rsid w:val="00EC338B"/>
    <w:rsid w:val="00EC340F"/>
    <w:rsid w:val="00EC3468"/>
    <w:rsid w:val="00EC3530"/>
    <w:rsid w:val="00EC3547"/>
    <w:rsid w:val="00EC362B"/>
    <w:rsid w:val="00EC3845"/>
    <w:rsid w:val="00EC3B1D"/>
    <w:rsid w:val="00EC3C7D"/>
    <w:rsid w:val="00EC3F58"/>
    <w:rsid w:val="00EC40F4"/>
    <w:rsid w:val="00EC4205"/>
    <w:rsid w:val="00EC4338"/>
    <w:rsid w:val="00EC435E"/>
    <w:rsid w:val="00EC456E"/>
    <w:rsid w:val="00EC4711"/>
    <w:rsid w:val="00EC4F4F"/>
    <w:rsid w:val="00EC51FD"/>
    <w:rsid w:val="00EC5265"/>
    <w:rsid w:val="00EC53C5"/>
    <w:rsid w:val="00EC53D4"/>
    <w:rsid w:val="00EC5457"/>
    <w:rsid w:val="00EC55D4"/>
    <w:rsid w:val="00EC565C"/>
    <w:rsid w:val="00EC58AA"/>
    <w:rsid w:val="00EC5A0D"/>
    <w:rsid w:val="00EC5BEC"/>
    <w:rsid w:val="00EC5CA9"/>
    <w:rsid w:val="00EC5E39"/>
    <w:rsid w:val="00EC603B"/>
    <w:rsid w:val="00EC6091"/>
    <w:rsid w:val="00EC60AD"/>
    <w:rsid w:val="00EC60B6"/>
    <w:rsid w:val="00EC60E0"/>
    <w:rsid w:val="00EC61F5"/>
    <w:rsid w:val="00EC6437"/>
    <w:rsid w:val="00EC6459"/>
    <w:rsid w:val="00EC6483"/>
    <w:rsid w:val="00EC6556"/>
    <w:rsid w:val="00EC687D"/>
    <w:rsid w:val="00EC6975"/>
    <w:rsid w:val="00EC6A6B"/>
    <w:rsid w:val="00EC6D10"/>
    <w:rsid w:val="00EC6DFF"/>
    <w:rsid w:val="00EC727A"/>
    <w:rsid w:val="00EC7443"/>
    <w:rsid w:val="00EC74C3"/>
    <w:rsid w:val="00EC7723"/>
    <w:rsid w:val="00EC7934"/>
    <w:rsid w:val="00EC797A"/>
    <w:rsid w:val="00EC7A2C"/>
    <w:rsid w:val="00EC7EB8"/>
    <w:rsid w:val="00EC7F78"/>
    <w:rsid w:val="00ED00CD"/>
    <w:rsid w:val="00ED0122"/>
    <w:rsid w:val="00ED0204"/>
    <w:rsid w:val="00ED02AD"/>
    <w:rsid w:val="00ED02BC"/>
    <w:rsid w:val="00ED05B4"/>
    <w:rsid w:val="00ED06B5"/>
    <w:rsid w:val="00ED08D1"/>
    <w:rsid w:val="00ED0E3B"/>
    <w:rsid w:val="00ED0F2C"/>
    <w:rsid w:val="00ED0FB2"/>
    <w:rsid w:val="00ED0FE5"/>
    <w:rsid w:val="00ED10B0"/>
    <w:rsid w:val="00ED1268"/>
    <w:rsid w:val="00ED12C9"/>
    <w:rsid w:val="00ED12F1"/>
    <w:rsid w:val="00ED137B"/>
    <w:rsid w:val="00ED1577"/>
    <w:rsid w:val="00ED1AEA"/>
    <w:rsid w:val="00ED1B3D"/>
    <w:rsid w:val="00ED1B65"/>
    <w:rsid w:val="00ED1B9A"/>
    <w:rsid w:val="00ED1BB2"/>
    <w:rsid w:val="00ED1D74"/>
    <w:rsid w:val="00ED1DA0"/>
    <w:rsid w:val="00ED1EE9"/>
    <w:rsid w:val="00ED1F5D"/>
    <w:rsid w:val="00ED20B0"/>
    <w:rsid w:val="00ED20D1"/>
    <w:rsid w:val="00ED20D9"/>
    <w:rsid w:val="00ED2103"/>
    <w:rsid w:val="00ED21E1"/>
    <w:rsid w:val="00ED2253"/>
    <w:rsid w:val="00ED24A9"/>
    <w:rsid w:val="00ED2718"/>
    <w:rsid w:val="00ED293F"/>
    <w:rsid w:val="00ED2B9D"/>
    <w:rsid w:val="00ED2EF7"/>
    <w:rsid w:val="00ED2F21"/>
    <w:rsid w:val="00ED31FA"/>
    <w:rsid w:val="00ED32F5"/>
    <w:rsid w:val="00ED3309"/>
    <w:rsid w:val="00ED33A1"/>
    <w:rsid w:val="00ED3417"/>
    <w:rsid w:val="00ED34E4"/>
    <w:rsid w:val="00ED3507"/>
    <w:rsid w:val="00ED35C1"/>
    <w:rsid w:val="00ED36D2"/>
    <w:rsid w:val="00ED3776"/>
    <w:rsid w:val="00ED3818"/>
    <w:rsid w:val="00ED3917"/>
    <w:rsid w:val="00ED3CC8"/>
    <w:rsid w:val="00ED402C"/>
    <w:rsid w:val="00ED409C"/>
    <w:rsid w:val="00ED442C"/>
    <w:rsid w:val="00ED44B0"/>
    <w:rsid w:val="00ED44F9"/>
    <w:rsid w:val="00ED4533"/>
    <w:rsid w:val="00ED4647"/>
    <w:rsid w:val="00ED4892"/>
    <w:rsid w:val="00ED49A3"/>
    <w:rsid w:val="00ED49BC"/>
    <w:rsid w:val="00ED4B06"/>
    <w:rsid w:val="00ED4DA0"/>
    <w:rsid w:val="00ED5149"/>
    <w:rsid w:val="00ED5299"/>
    <w:rsid w:val="00ED534E"/>
    <w:rsid w:val="00ED5461"/>
    <w:rsid w:val="00ED546B"/>
    <w:rsid w:val="00ED561C"/>
    <w:rsid w:val="00ED56D4"/>
    <w:rsid w:val="00ED5871"/>
    <w:rsid w:val="00ED5B4F"/>
    <w:rsid w:val="00ED5BFC"/>
    <w:rsid w:val="00ED5D6F"/>
    <w:rsid w:val="00ED5EA7"/>
    <w:rsid w:val="00ED606B"/>
    <w:rsid w:val="00ED670B"/>
    <w:rsid w:val="00ED672D"/>
    <w:rsid w:val="00ED6783"/>
    <w:rsid w:val="00ED67E7"/>
    <w:rsid w:val="00ED6941"/>
    <w:rsid w:val="00ED6BA3"/>
    <w:rsid w:val="00ED6D70"/>
    <w:rsid w:val="00ED6E39"/>
    <w:rsid w:val="00ED6EDD"/>
    <w:rsid w:val="00ED6F62"/>
    <w:rsid w:val="00ED6F6C"/>
    <w:rsid w:val="00ED711F"/>
    <w:rsid w:val="00ED7242"/>
    <w:rsid w:val="00ED7411"/>
    <w:rsid w:val="00ED7520"/>
    <w:rsid w:val="00ED760F"/>
    <w:rsid w:val="00ED77F1"/>
    <w:rsid w:val="00ED7880"/>
    <w:rsid w:val="00ED7AC3"/>
    <w:rsid w:val="00ED7D4C"/>
    <w:rsid w:val="00ED7D97"/>
    <w:rsid w:val="00ED7EC2"/>
    <w:rsid w:val="00ED7FA1"/>
    <w:rsid w:val="00EE002B"/>
    <w:rsid w:val="00EE0096"/>
    <w:rsid w:val="00EE009F"/>
    <w:rsid w:val="00EE0206"/>
    <w:rsid w:val="00EE03C7"/>
    <w:rsid w:val="00EE03FB"/>
    <w:rsid w:val="00EE04B3"/>
    <w:rsid w:val="00EE0502"/>
    <w:rsid w:val="00EE06CA"/>
    <w:rsid w:val="00EE0774"/>
    <w:rsid w:val="00EE0A9E"/>
    <w:rsid w:val="00EE0B81"/>
    <w:rsid w:val="00EE0DEF"/>
    <w:rsid w:val="00EE0F1F"/>
    <w:rsid w:val="00EE137F"/>
    <w:rsid w:val="00EE1857"/>
    <w:rsid w:val="00EE1865"/>
    <w:rsid w:val="00EE1948"/>
    <w:rsid w:val="00EE19B6"/>
    <w:rsid w:val="00EE1B75"/>
    <w:rsid w:val="00EE1DF4"/>
    <w:rsid w:val="00EE21F1"/>
    <w:rsid w:val="00EE2276"/>
    <w:rsid w:val="00EE2392"/>
    <w:rsid w:val="00EE23F3"/>
    <w:rsid w:val="00EE2C63"/>
    <w:rsid w:val="00EE2E6A"/>
    <w:rsid w:val="00EE3140"/>
    <w:rsid w:val="00EE314E"/>
    <w:rsid w:val="00EE3155"/>
    <w:rsid w:val="00EE3428"/>
    <w:rsid w:val="00EE3714"/>
    <w:rsid w:val="00EE3DCB"/>
    <w:rsid w:val="00EE40E0"/>
    <w:rsid w:val="00EE4307"/>
    <w:rsid w:val="00EE440E"/>
    <w:rsid w:val="00EE47F8"/>
    <w:rsid w:val="00EE4A25"/>
    <w:rsid w:val="00EE4A49"/>
    <w:rsid w:val="00EE4B06"/>
    <w:rsid w:val="00EE4B19"/>
    <w:rsid w:val="00EE4B61"/>
    <w:rsid w:val="00EE4B71"/>
    <w:rsid w:val="00EE4B72"/>
    <w:rsid w:val="00EE4C2C"/>
    <w:rsid w:val="00EE4C99"/>
    <w:rsid w:val="00EE4EE6"/>
    <w:rsid w:val="00EE4F3D"/>
    <w:rsid w:val="00EE4F75"/>
    <w:rsid w:val="00EE4FA3"/>
    <w:rsid w:val="00EE514F"/>
    <w:rsid w:val="00EE53C4"/>
    <w:rsid w:val="00EE5940"/>
    <w:rsid w:val="00EE5AA0"/>
    <w:rsid w:val="00EE5B87"/>
    <w:rsid w:val="00EE5BAB"/>
    <w:rsid w:val="00EE5D08"/>
    <w:rsid w:val="00EE5DA1"/>
    <w:rsid w:val="00EE5E53"/>
    <w:rsid w:val="00EE5EB2"/>
    <w:rsid w:val="00EE62F4"/>
    <w:rsid w:val="00EE6439"/>
    <w:rsid w:val="00EE6485"/>
    <w:rsid w:val="00EE65AE"/>
    <w:rsid w:val="00EE6938"/>
    <w:rsid w:val="00EE6A32"/>
    <w:rsid w:val="00EE6A3D"/>
    <w:rsid w:val="00EE6B56"/>
    <w:rsid w:val="00EE6C2C"/>
    <w:rsid w:val="00EE6EEF"/>
    <w:rsid w:val="00EE6F30"/>
    <w:rsid w:val="00EE7094"/>
    <w:rsid w:val="00EE7310"/>
    <w:rsid w:val="00EE75CE"/>
    <w:rsid w:val="00EE79EB"/>
    <w:rsid w:val="00EE7DAB"/>
    <w:rsid w:val="00EE7F8D"/>
    <w:rsid w:val="00EE7F97"/>
    <w:rsid w:val="00EF0056"/>
    <w:rsid w:val="00EF00D1"/>
    <w:rsid w:val="00EF01E6"/>
    <w:rsid w:val="00EF023E"/>
    <w:rsid w:val="00EF024B"/>
    <w:rsid w:val="00EF026D"/>
    <w:rsid w:val="00EF03A4"/>
    <w:rsid w:val="00EF0570"/>
    <w:rsid w:val="00EF0701"/>
    <w:rsid w:val="00EF0D2B"/>
    <w:rsid w:val="00EF0F8B"/>
    <w:rsid w:val="00EF131F"/>
    <w:rsid w:val="00EF13B0"/>
    <w:rsid w:val="00EF1569"/>
    <w:rsid w:val="00EF1613"/>
    <w:rsid w:val="00EF177A"/>
    <w:rsid w:val="00EF18A7"/>
    <w:rsid w:val="00EF1958"/>
    <w:rsid w:val="00EF1990"/>
    <w:rsid w:val="00EF1A50"/>
    <w:rsid w:val="00EF1AC6"/>
    <w:rsid w:val="00EF1D0B"/>
    <w:rsid w:val="00EF20AC"/>
    <w:rsid w:val="00EF2124"/>
    <w:rsid w:val="00EF21E0"/>
    <w:rsid w:val="00EF23E9"/>
    <w:rsid w:val="00EF2616"/>
    <w:rsid w:val="00EF2752"/>
    <w:rsid w:val="00EF27ED"/>
    <w:rsid w:val="00EF287C"/>
    <w:rsid w:val="00EF2A62"/>
    <w:rsid w:val="00EF2E63"/>
    <w:rsid w:val="00EF2EB3"/>
    <w:rsid w:val="00EF2EC8"/>
    <w:rsid w:val="00EF313C"/>
    <w:rsid w:val="00EF3282"/>
    <w:rsid w:val="00EF33A5"/>
    <w:rsid w:val="00EF3845"/>
    <w:rsid w:val="00EF384C"/>
    <w:rsid w:val="00EF3960"/>
    <w:rsid w:val="00EF397A"/>
    <w:rsid w:val="00EF3ACF"/>
    <w:rsid w:val="00EF3AF7"/>
    <w:rsid w:val="00EF3B4C"/>
    <w:rsid w:val="00EF3BB6"/>
    <w:rsid w:val="00EF3D99"/>
    <w:rsid w:val="00EF3D9B"/>
    <w:rsid w:val="00EF3DBF"/>
    <w:rsid w:val="00EF3E2F"/>
    <w:rsid w:val="00EF3F0D"/>
    <w:rsid w:val="00EF4274"/>
    <w:rsid w:val="00EF4284"/>
    <w:rsid w:val="00EF4574"/>
    <w:rsid w:val="00EF459B"/>
    <w:rsid w:val="00EF45AF"/>
    <w:rsid w:val="00EF467A"/>
    <w:rsid w:val="00EF4700"/>
    <w:rsid w:val="00EF4746"/>
    <w:rsid w:val="00EF481C"/>
    <w:rsid w:val="00EF4A31"/>
    <w:rsid w:val="00EF4B5D"/>
    <w:rsid w:val="00EF4CB5"/>
    <w:rsid w:val="00EF4D46"/>
    <w:rsid w:val="00EF4F1D"/>
    <w:rsid w:val="00EF50A5"/>
    <w:rsid w:val="00EF514A"/>
    <w:rsid w:val="00EF52BF"/>
    <w:rsid w:val="00EF552D"/>
    <w:rsid w:val="00EF555C"/>
    <w:rsid w:val="00EF556E"/>
    <w:rsid w:val="00EF565E"/>
    <w:rsid w:val="00EF57EA"/>
    <w:rsid w:val="00EF5855"/>
    <w:rsid w:val="00EF5924"/>
    <w:rsid w:val="00EF5943"/>
    <w:rsid w:val="00EF59D9"/>
    <w:rsid w:val="00EF5A3C"/>
    <w:rsid w:val="00EF5AD9"/>
    <w:rsid w:val="00EF5CC6"/>
    <w:rsid w:val="00EF6240"/>
    <w:rsid w:val="00EF6244"/>
    <w:rsid w:val="00EF629E"/>
    <w:rsid w:val="00EF62A1"/>
    <w:rsid w:val="00EF638C"/>
    <w:rsid w:val="00EF6537"/>
    <w:rsid w:val="00EF6953"/>
    <w:rsid w:val="00EF6BFA"/>
    <w:rsid w:val="00EF6DED"/>
    <w:rsid w:val="00EF6EC9"/>
    <w:rsid w:val="00EF722F"/>
    <w:rsid w:val="00EF756A"/>
    <w:rsid w:val="00EF761A"/>
    <w:rsid w:val="00EF786A"/>
    <w:rsid w:val="00EF78BB"/>
    <w:rsid w:val="00EF7929"/>
    <w:rsid w:val="00EF7A7D"/>
    <w:rsid w:val="00EF7E2E"/>
    <w:rsid w:val="00EF7FA3"/>
    <w:rsid w:val="00F001AA"/>
    <w:rsid w:val="00F0065B"/>
    <w:rsid w:val="00F0087D"/>
    <w:rsid w:val="00F00A68"/>
    <w:rsid w:val="00F00BA7"/>
    <w:rsid w:val="00F00CD6"/>
    <w:rsid w:val="00F00ED0"/>
    <w:rsid w:val="00F0112D"/>
    <w:rsid w:val="00F011E6"/>
    <w:rsid w:val="00F013D4"/>
    <w:rsid w:val="00F013E9"/>
    <w:rsid w:val="00F014C6"/>
    <w:rsid w:val="00F01517"/>
    <w:rsid w:val="00F015E7"/>
    <w:rsid w:val="00F0180F"/>
    <w:rsid w:val="00F019AF"/>
    <w:rsid w:val="00F01AEB"/>
    <w:rsid w:val="00F01E09"/>
    <w:rsid w:val="00F01FF0"/>
    <w:rsid w:val="00F0207C"/>
    <w:rsid w:val="00F0221C"/>
    <w:rsid w:val="00F022F7"/>
    <w:rsid w:val="00F0244F"/>
    <w:rsid w:val="00F02599"/>
    <w:rsid w:val="00F02636"/>
    <w:rsid w:val="00F026BA"/>
    <w:rsid w:val="00F026DA"/>
    <w:rsid w:val="00F0273E"/>
    <w:rsid w:val="00F029A7"/>
    <w:rsid w:val="00F02AEC"/>
    <w:rsid w:val="00F02BCD"/>
    <w:rsid w:val="00F02FA1"/>
    <w:rsid w:val="00F0310D"/>
    <w:rsid w:val="00F0317D"/>
    <w:rsid w:val="00F032B3"/>
    <w:rsid w:val="00F033E9"/>
    <w:rsid w:val="00F03415"/>
    <w:rsid w:val="00F03462"/>
    <w:rsid w:val="00F03882"/>
    <w:rsid w:val="00F038EB"/>
    <w:rsid w:val="00F03911"/>
    <w:rsid w:val="00F03931"/>
    <w:rsid w:val="00F03BE5"/>
    <w:rsid w:val="00F04388"/>
    <w:rsid w:val="00F046C6"/>
    <w:rsid w:val="00F0477B"/>
    <w:rsid w:val="00F047E8"/>
    <w:rsid w:val="00F04804"/>
    <w:rsid w:val="00F04996"/>
    <w:rsid w:val="00F049AE"/>
    <w:rsid w:val="00F04AAC"/>
    <w:rsid w:val="00F04B21"/>
    <w:rsid w:val="00F04CEE"/>
    <w:rsid w:val="00F04D8B"/>
    <w:rsid w:val="00F04E1D"/>
    <w:rsid w:val="00F04EF9"/>
    <w:rsid w:val="00F05070"/>
    <w:rsid w:val="00F051FE"/>
    <w:rsid w:val="00F05417"/>
    <w:rsid w:val="00F054F1"/>
    <w:rsid w:val="00F0560E"/>
    <w:rsid w:val="00F056C1"/>
    <w:rsid w:val="00F05775"/>
    <w:rsid w:val="00F05962"/>
    <w:rsid w:val="00F059AA"/>
    <w:rsid w:val="00F05B8C"/>
    <w:rsid w:val="00F0607B"/>
    <w:rsid w:val="00F063FE"/>
    <w:rsid w:val="00F06989"/>
    <w:rsid w:val="00F06B0D"/>
    <w:rsid w:val="00F06E87"/>
    <w:rsid w:val="00F0711F"/>
    <w:rsid w:val="00F07133"/>
    <w:rsid w:val="00F07230"/>
    <w:rsid w:val="00F07538"/>
    <w:rsid w:val="00F07599"/>
    <w:rsid w:val="00F0793A"/>
    <w:rsid w:val="00F079A4"/>
    <w:rsid w:val="00F07A00"/>
    <w:rsid w:val="00F07A85"/>
    <w:rsid w:val="00F07BA8"/>
    <w:rsid w:val="00F07D99"/>
    <w:rsid w:val="00F10023"/>
    <w:rsid w:val="00F1019B"/>
    <w:rsid w:val="00F101D7"/>
    <w:rsid w:val="00F10274"/>
    <w:rsid w:val="00F105B9"/>
    <w:rsid w:val="00F10657"/>
    <w:rsid w:val="00F10787"/>
    <w:rsid w:val="00F1078B"/>
    <w:rsid w:val="00F10CB8"/>
    <w:rsid w:val="00F10F63"/>
    <w:rsid w:val="00F10F9A"/>
    <w:rsid w:val="00F1100D"/>
    <w:rsid w:val="00F110B9"/>
    <w:rsid w:val="00F11162"/>
    <w:rsid w:val="00F1151A"/>
    <w:rsid w:val="00F116A3"/>
    <w:rsid w:val="00F116A4"/>
    <w:rsid w:val="00F1179A"/>
    <w:rsid w:val="00F118AF"/>
    <w:rsid w:val="00F11941"/>
    <w:rsid w:val="00F11948"/>
    <w:rsid w:val="00F11A92"/>
    <w:rsid w:val="00F11ADA"/>
    <w:rsid w:val="00F11ADB"/>
    <w:rsid w:val="00F11AE4"/>
    <w:rsid w:val="00F11B2A"/>
    <w:rsid w:val="00F11C43"/>
    <w:rsid w:val="00F11CEB"/>
    <w:rsid w:val="00F11DFE"/>
    <w:rsid w:val="00F11E6D"/>
    <w:rsid w:val="00F1203F"/>
    <w:rsid w:val="00F1216A"/>
    <w:rsid w:val="00F12233"/>
    <w:rsid w:val="00F122C0"/>
    <w:rsid w:val="00F1233D"/>
    <w:rsid w:val="00F123C6"/>
    <w:rsid w:val="00F124A9"/>
    <w:rsid w:val="00F125EB"/>
    <w:rsid w:val="00F1269A"/>
    <w:rsid w:val="00F12779"/>
    <w:rsid w:val="00F12844"/>
    <w:rsid w:val="00F13002"/>
    <w:rsid w:val="00F1310C"/>
    <w:rsid w:val="00F131D2"/>
    <w:rsid w:val="00F1344B"/>
    <w:rsid w:val="00F134BC"/>
    <w:rsid w:val="00F135EA"/>
    <w:rsid w:val="00F139BC"/>
    <w:rsid w:val="00F13B3A"/>
    <w:rsid w:val="00F13BC9"/>
    <w:rsid w:val="00F13D04"/>
    <w:rsid w:val="00F13F38"/>
    <w:rsid w:val="00F1434D"/>
    <w:rsid w:val="00F1446D"/>
    <w:rsid w:val="00F14782"/>
    <w:rsid w:val="00F147D0"/>
    <w:rsid w:val="00F148A6"/>
    <w:rsid w:val="00F14B0B"/>
    <w:rsid w:val="00F14BB0"/>
    <w:rsid w:val="00F14BF0"/>
    <w:rsid w:val="00F14ECE"/>
    <w:rsid w:val="00F151FF"/>
    <w:rsid w:val="00F15480"/>
    <w:rsid w:val="00F155DC"/>
    <w:rsid w:val="00F15733"/>
    <w:rsid w:val="00F157D6"/>
    <w:rsid w:val="00F1594B"/>
    <w:rsid w:val="00F15A1B"/>
    <w:rsid w:val="00F15A86"/>
    <w:rsid w:val="00F15DF1"/>
    <w:rsid w:val="00F160C9"/>
    <w:rsid w:val="00F1614B"/>
    <w:rsid w:val="00F161DD"/>
    <w:rsid w:val="00F162EA"/>
    <w:rsid w:val="00F16AA2"/>
    <w:rsid w:val="00F16D70"/>
    <w:rsid w:val="00F17237"/>
    <w:rsid w:val="00F1749E"/>
    <w:rsid w:val="00F1753C"/>
    <w:rsid w:val="00F175BC"/>
    <w:rsid w:val="00F1778C"/>
    <w:rsid w:val="00F177FA"/>
    <w:rsid w:val="00F1797B"/>
    <w:rsid w:val="00F17D51"/>
    <w:rsid w:val="00F17D8B"/>
    <w:rsid w:val="00F17DAE"/>
    <w:rsid w:val="00F2011C"/>
    <w:rsid w:val="00F203C3"/>
    <w:rsid w:val="00F20462"/>
    <w:rsid w:val="00F2046A"/>
    <w:rsid w:val="00F208C0"/>
    <w:rsid w:val="00F20B1B"/>
    <w:rsid w:val="00F20CF3"/>
    <w:rsid w:val="00F20E16"/>
    <w:rsid w:val="00F20E78"/>
    <w:rsid w:val="00F21227"/>
    <w:rsid w:val="00F212A1"/>
    <w:rsid w:val="00F212F6"/>
    <w:rsid w:val="00F21398"/>
    <w:rsid w:val="00F21544"/>
    <w:rsid w:val="00F218DA"/>
    <w:rsid w:val="00F219B2"/>
    <w:rsid w:val="00F21A51"/>
    <w:rsid w:val="00F21C74"/>
    <w:rsid w:val="00F21C9E"/>
    <w:rsid w:val="00F21F02"/>
    <w:rsid w:val="00F22281"/>
    <w:rsid w:val="00F22481"/>
    <w:rsid w:val="00F22D91"/>
    <w:rsid w:val="00F22F9B"/>
    <w:rsid w:val="00F230AF"/>
    <w:rsid w:val="00F230CD"/>
    <w:rsid w:val="00F23375"/>
    <w:rsid w:val="00F23A3F"/>
    <w:rsid w:val="00F23BB7"/>
    <w:rsid w:val="00F23DBB"/>
    <w:rsid w:val="00F23E39"/>
    <w:rsid w:val="00F23EB9"/>
    <w:rsid w:val="00F23F29"/>
    <w:rsid w:val="00F240CD"/>
    <w:rsid w:val="00F240E4"/>
    <w:rsid w:val="00F2412C"/>
    <w:rsid w:val="00F24211"/>
    <w:rsid w:val="00F2432F"/>
    <w:rsid w:val="00F245E3"/>
    <w:rsid w:val="00F24716"/>
    <w:rsid w:val="00F247C7"/>
    <w:rsid w:val="00F2491C"/>
    <w:rsid w:val="00F24A8F"/>
    <w:rsid w:val="00F24BB8"/>
    <w:rsid w:val="00F24E51"/>
    <w:rsid w:val="00F24F17"/>
    <w:rsid w:val="00F250C1"/>
    <w:rsid w:val="00F2526A"/>
    <w:rsid w:val="00F25459"/>
    <w:rsid w:val="00F255BB"/>
    <w:rsid w:val="00F2562E"/>
    <w:rsid w:val="00F257C1"/>
    <w:rsid w:val="00F25813"/>
    <w:rsid w:val="00F25926"/>
    <w:rsid w:val="00F2599F"/>
    <w:rsid w:val="00F259DD"/>
    <w:rsid w:val="00F25A1A"/>
    <w:rsid w:val="00F25CE7"/>
    <w:rsid w:val="00F25D63"/>
    <w:rsid w:val="00F25EDF"/>
    <w:rsid w:val="00F25F19"/>
    <w:rsid w:val="00F262D3"/>
    <w:rsid w:val="00F264F7"/>
    <w:rsid w:val="00F26809"/>
    <w:rsid w:val="00F26993"/>
    <w:rsid w:val="00F269AA"/>
    <w:rsid w:val="00F26B70"/>
    <w:rsid w:val="00F26C9D"/>
    <w:rsid w:val="00F26CD2"/>
    <w:rsid w:val="00F26D52"/>
    <w:rsid w:val="00F26E24"/>
    <w:rsid w:val="00F26EDD"/>
    <w:rsid w:val="00F27084"/>
    <w:rsid w:val="00F271DA"/>
    <w:rsid w:val="00F27523"/>
    <w:rsid w:val="00F2793C"/>
    <w:rsid w:val="00F2799B"/>
    <w:rsid w:val="00F279B4"/>
    <w:rsid w:val="00F279FB"/>
    <w:rsid w:val="00F27A4D"/>
    <w:rsid w:val="00F27CBB"/>
    <w:rsid w:val="00F27D26"/>
    <w:rsid w:val="00F27EBC"/>
    <w:rsid w:val="00F304AB"/>
    <w:rsid w:val="00F3058D"/>
    <w:rsid w:val="00F30590"/>
    <w:rsid w:val="00F306CB"/>
    <w:rsid w:val="00F308C3"/>
    <w:rsid w:val="00F30A21"/>
    <w:rsid w:val="00F30AE4"/>
    <w:rsid w:val="00F30C57"/>
    <w:rsid w:val="00F30CC0"/>
    <w:rsid w:val="00F30E3A"/>
    <w:rsid w:val="00F30E97"/>
    <w:rsid w:val="00F30F4B"/>
    <w:rsid w:val="00F310BE"/>
    <w:rsid w:val="00F310D7"/>
    <w:rsid w:val="00F31106"/>
    <w:rsid w:val="00F31120"/>
    <w:rsid w:val="00F311CD"/>
    <w:rsid w:val="00F31289"/>
    <w:rsid w:val="00F31393"/>
    <w:rsid w:val="00F31684"/>
    <w:rsid w:val="00F31721"/>
    <w:rsid w:val="00F31DB2"/>
    <w:rsid w:val="00F31E47"/>
    <w:rsid w:val="00F32084"/>
    <w:rsid w:val="00F32250"/>
    <w:rsid w:val="00F328FD"/>
    <w:rsid w:val="00F329ED"/>
    <w:rsid w:val="00F32A13"/>
    <w:rsid w:val="00F32B05"/>
    <w:rsid w:val="00F32CA3"/>
    <w:rsid w:val="00F33243"/>
    <w:rsid w:val="00F33307"/>
    <w:rsid w:val="00F333B9"/>
    <w:rsid w:val="00F333D4"/>
    <w:rsid w:val="00F335D4"/>
    <w:rsid w:val="00F337D5"/>
    <w:rsid w:val="00F3390A"/>
    <w:rsid w:val="00F3393D"/>
    <w:rsid w:val="00F33B43"/>
    <w:rsid w:val="00F33C5A"/>
    <w:rsid w:val="00F33C96"/>
    <w:rsid w:val="00F33D13"/>
    <w:rsid w:val="00F33E1B"/>
    <w:rsid w:val="00F3419C"/>
    <w:rsid w:val="00F343C5"/>
    <w:rsid w:val="00F3447E"/>
    <w:rsid w:val="00F34575"/>
    <w:rsid w:val="00F345DC"/>
    <w:rsid w:val="00F34642"/>
    <w:rsid w:val="00F3466B"/>
    <w:rsid w:val="00F3473E"/>
    <w:rsid w:val="00F3476D"/>
    <w:rsid w:val="00F348C7"/>
    <w:rsid w:val="00F3499A"/>
    <w:rsid w:val="00F34E09"/>
    <w:rsid w:val="00F34F17"/>
    <w:rsid w:val="00F34F3D"/>
    <w:rsid w:val="00F3522E"/>
    <w:rsid w:val="00F35384"/>
    <w:rsid w:val="00F356C6"/>
    <w:rsid w:val="00F359EE"/>
    <w:rsid w:val="00F35A15"/>
    <w:rsid w:val="00F35A39"/>
    <w:rsid w:val="00F35A5D"/>
    <w:rsid w:val="00F35BAA"/>
    <w:rsid w:val="00F35BD5"/>
    <w:rsid w:val="00F36045"/>
    <w:rsid w:val="00F36214"/>
    <w:rsid w:val="00F36284"/>
    <w:rsid w:val="00F362C6"/>
    <w:rsid w:val="00F36706"/>
    <w:rsid w:val="00F3705A"/>
    <w:rsid w:val="00F3726D"/>
    <w:rsid w:val="00F373D4"/>
    <w:rsid w:val="00F373EF"/>
    <w:rsid w:val="00F3759B"/>
    <w:rsid w:val="00F376ED"/>
    <w:rsid w:val="00F37727"/>
    <w:rsid w:val="00F3772A"/>
    <w:rsid w:val="00F37891"/>
    <w:rsid w:val="00F37D53"/>
    <w:rsid w:val="00F40022"/>
    <w:rsid w:val="00F403BC"/>
    <w:rsid w:val="00F40A4E"/>
    <w:rsid w:val="00F40A9D"/>
    <w:rsid w:val="00F40BAE"/>
    <w:rsid w:val="00F41080"/>
    <w:rsid w:val="00F41120"/>
    <w:rsid w:val="00F4115A"/>
    <w:rsid w:val="00F411D3"/>
    <w:rsid w:val="00F41249"/>
    <w:rsid w:val="00F41499"/>
    <w:rsid w:val="00F418FB"/>
    <w:rsid w:val="00F41AA7"/>
    <w:rsid w:val="00F41C7B"/>
    <w:rsid w:val="00F41D0C"/>
    <w:rsid w:val="00F41D2E"/>
    <w:rsid w:val="00F41D63"/>
    <w:rsid w:val="00F41DB6"/>
    <w:rsid w:val="00F41F11"/>
    <w:rsid w:val="00F421C8"/>
    <w:rsid w:val="00F4227F"/>
    <w:rsid w:val="00F4229B"/>
    <w:rsid w:val="00F42396"/>
    <w:rsid w:val="00F42619"/>
    <w:rsid w:val="00F42709"/>
    <w:rsid w:val="00F42728"/>
    <w:rsid w:val="00F427D5"/>
    <w:rsid w:val="00F42868"/>
    <w:rsid w:val="00F42AA3"/>
    <w:rsid w:val="00F42C36"/>
    <w:rsid w:val="00F42C90"/>
    <w:rsid w:val="00F42D8E"/>
    <w:rsid w:val="00F42FDC"/>
    <w:rsid w:val="00F43579"/>
    <w:rsid w:val="00F43728"/>
    <w:rsid w:val="00F438A7"/>
    <w:rsid w:val="00F43AD8"/>
    <w:rsid w:val="00F43C68"/>
    <w:rsid w:val="00F43ED8"/>
    <w:rsid w:val="00F43F6F"/>
    <w:rsid w:val="00F44040"/>
    <w:rsid w:val="00F4419B"/>
    <w:rsid w:val="00F441DA"/>
    <w:rsid w:val="00F441DF"/>
    <w:rsid w:val="00F44257"/>
    <w:rsid w:val="00F442B0"/>
    <w:rsid w:val="00F4432A"/>
    <w:rsid w:val="00F44337"/>
    <w:rsid w:val="00F444E8"/>
    <w:rsid w:val="00F444F2"/>
    <w:rsid w:val="00F44837"/>
    <w:rsid w:val="00F448B4"/>
    <w:rsid w:val="00F449D6"/>
    <w:rsid w:val="00F44A4E"/>
    <w:rsid w:val="00F44B81"/>
    <w:rsid w:val="00F44CB3"/>
    <w:rsid w:val="00F44CD5"/>
    <w:rsid w:val="00F44CF9"/>
    <w:rsid w:val="00F44D0C"/>
    <w:rsid w:val="00F44F04"/>
    <w:rsid w:val="00F4501D"/>
    <w:rsid w:val="00F45055"/>
    <w:rsid w:val="00F450B0"/>
    <w:rsid w:val="00F451F1"/>
    <w:rsid w:val="00F45206"/>
    <w:rsid w:val="00F45587"/>
    <w:rsid w:val="00F455F5"/>
    <w:rsid w:val="00F45855"/>
    <w:rsid w:val="00F4589B"/>
    <w:rsid w:val="00F458B3"/>
    <w:rsid w:val="00F4592D"/>
    <w:rsid w:val="00F45979"/>
    <w:rsid w:val="00F4597B"/>
    <w:rsid w:val="00F45AB8"/>
    <w:rsid w:val="00F45B2C"/>
    <w:rsid w:val="00F45C97"/>
    <w:rsid w:val="00F45D09"/>
    <w:rsid w:val="00F45ED6"/>
    <w:rsid w:val="00F4605F"/>
    <w:rsid w:val="00F4629A"/>
    <w:rsid w:val="00F462B3"/>
    <w:rsid w:val="00F462FB"/>
    <w:rsid w:val="00F46595"/>
    <w:rsid w:val="00F4679C"/>
    <w:rsid w:val="00F46AD2"/>
    <w:rsid w:val="00F46B2D"/>
    <w:rsid w:val="00F46D48"/>
    <w:rsid w:val="00F46D6C"/>
    <w:rsid w:val="00F46DA7"/>
    <w:rsid w:val="00F46E40"/>
    <w:rsid w:val="00F46E7E"/>
    <w:rsid w:val="00F46EF5"/>
    <w:rsid w:val="00F46F20"/>
    <w:rsid w:val="00F46F29"/>
    <w:rsid w:val="00F470D2"/>
    <w:rsid w:val="00F47144"/>
    <w:rsid w:val="00F47183"/>
    <w:rsid w:val="00F47236"/>
    <w:rsid w:val="00F472BE"/>
    <w:rsid w:val="00F47536"/>
    <w:rsid w:val="00F47742"/>
    <w:rsid w:val="00F47958"/>
    <w:rsid w:val="00F47B0D"/>
    <w:rsid w:val="00F47BB0"/>
    <w:rsid w:val="00F47CCB"/>
    <w:rsid w:val="00F47F66"/>
    <w:rsid w:val="00F5002B"/>
    <w:rsid w:val="00F50609"/>
    <w:rsid w:val="00F50645"/>
    <w:rsid w:val="00F50671"/>
    <w:rsid w:val="00F509F4"/>
    <w:rsid w:val="00F50A2D"/>
    <w:rsid w:val="00F50BE2"/>
    <w:rsid w:val="00F50DFE"/>
    <w:rsid w:val="00F50F29"/>
    <w:rsid w:val="00F513DF"/>
    <w:rsid w:val="00F51472"/>
    <w:rsid w:val="00F516A2"/>
    <w:rsid w:val="00F5170A"/>
    <w:rsid w:val="00F5177C"/>
    <w:rsid w:val="00F517A3"/>
    <w:rsid w:val="00F51840"/>
    <w:rsid w:val="00F51A74"/>
    <w:rsid w:val="00F51B17"/>
    <w:rsid w:val="00F51B91"/>
    <w:rsid w:val="00F51C18"/>
    <w:rsid w:val="00F51C5C"/>
    <w:rsid w:val="00F51CEC"/>
    <w:rsid w:val="00F51E79"/>
    <w:rsid w:val="00F51E9A"/>
    <w:rsid w:val="00F51ECF"/>
    <w:rsid w:val="00F51ED2"/>
    <w:rsid w:val="00F51F6A"/>
    <w:rsid w:val="00F520C9"/>
    <w:rsid w:val="00F520D1"/>
    <w:rsid w:val="00F52455"/>
    <w:rsid w:val="00F5253E"/>
    <w:rsid w:val="00F52639"/>
    <w:rsid w:val="00F526AF"/>
    <w:rsid w:val="00F52804"/>
    <w:rsid w:val="00F5284E"/>
    <w:rsid w:val="00F528C0"/>
    <w:rsid w:val="00F52C9F"/>
    <w:rsid w:val="00F52FB2"/>
    <w:rsid w:val="00F53056"/>
    <w:rsid w:val="00F530AC"/>
    <w:rsid w:val="00F53306"/>
    <w:rsid w:val="00F53444"/>
    <w:rsid w:val="00F5347B"/>
    <w:rsid w:val="00F5353D"/>
    <w:rsid w:val="00F53788"/>
    <w:rsid w:val="00F537C6"/>
    <w:rsid w:val="00F53BC2"/>
    <w:rsid w:val="00F53C4A"/>
    <w:rsid w:val="00F53D1E"/>
    <w:rsid w:val="00F53D26"/>
    <w:rsid w:val="00F53EFB"/>
    <w:rsid w:val="00F53F52"/>
    <w:rsid w:val="00F54288"/>
    <w:rsid w:val="00F54397"/>
    <w:rsid w:val="00F5439E"/>
    <w:rsid w:val="00F5445A"/>
    <w:rsid w:val="00F54464"/>
    <w:rsid w:val="00F54603"/>
    <w:rsid w:val="00F546B5"/>
    <w:rsid w:val="00F5481C"/>
    <w:rsid w:val="00F548E7"/>
    <w:rsid w:val="00F548FF"/>
    <w:rsid w:val="00F54904"/>
    <w:rsid w:val="00F5498E"/>
    <w:rsid w:val="00F54C40"/>
    <w:rsid w:val="00F54D48"/>
    <w:rsid w:val="00F54D7D"/>
    <w:rsid w:val="00F54FAB"/>
    <w:rsid w:val="00F55089"/>
    <w:rsid w:val="00F55146"/>
    <w:rsid w:val="00F55384"/>
    <w:rsid w:val="00F556C7"/>
    <w:rsid w:val="00F55795"/>
    <w:rsid w:val="00F55934"/>
    <w:rsid w:val="00F55AC2"/>
    <w:rsid w:val="00F55B1A"/>
    <w:rsid w:val="00F55D67"/>
    <w:rsid w:val="00F55F48"/>
    <w:rsid w:val="00F55FFE"/>
    <w:rsid w:val="00F560F3"/>
    <w:rsid w:val="00F5612F"/>
    <w:rsid w:val="00F562AC"/>
    <w:rsid w:val="00F5652A"/>
    <w:rsid w:val="00F56682"/>
    <w:rsid w:val="00F56A1A"/>
    <w:rsid w:val="00F56A51"/>
    <w:rsid w:val="00F56B2E"/>
    <w:rsid w:val="00F57098"/>
    <w:rsid w:val="00F570C7"/>
    <w:rsid w:val="00F57119"/>
    <w:rsid w:val="00F571F9"/>
    <w:rsid w:val="00F572E8"/>
    <w:rsid w:val="00F57540"/>
    <w:rsid w:val="00F57563"/>
    <w:rsid w:val="00F5764E"/>
    <w:rsid w:val="00F57669"/>
    <w:rsid w:val="00F5788F"/>
    <w:rsid w:val="00F57C40"/>
    <w:rsid w:val="00F57CD6"/>
    <w:rsid w:val="00F57ED3"/>
    <w:rsid w:val="00F57FA4"/>
    <w:rsid w:val="00F600C2"/>
    <w:rsid w:val="00F600E8"/>
    <w:rsid w:val="00F60194"/>
    <w:rsid w:val="00F6048F"/>
    <w:rsid w:val="00F60664"/>
    <w:rsid w:val="00F60699"/>
    <w:rsid w:val="00F606D0"/>
    <w:rsid w:val="00F6073B"/>
    <w:rsid w:val="00F60794"/>
    <w:rsid w:val="00F6085E"/>
    <w:rsid w:val="00F60B0C"/>
    <w:rsid w:val="00F60BE8"/>
    <w:rsid w:val="00F60CE4"/>
    <w:rsid w:val="00F60F5C"/>
    <w:rsid w:val="00F6104B"/>
    <w:rsid w:val="00F610FD"/>
    <w:rsid w:val="00F612EB"/>
    <w:rsid w:val="00F6138E"/>
    <w:rsid w:val="00F615DF"/>
    <w:rsid w:val="00F61C35"/>
    <w:rsid w:val="00F61CEF"/>
    <w:rsid w:val="00F61DA9"/>
    <w:rsid w:val="00F61DEC"/>
    <w:rsid w:val="00F61E3B"/>
    <w:rsid w:val="00F61E5F"/>
    <w:rsid w:val="00F61EDC"/>
    <w:rsid w:val="00F61EF8"/>
    <w:rsid w:val="00F61F41"/>
    <w:rsid w:val="00F620B1"/>
    <w:rsid w:val="00F6214C"/>
    <w:rsid w:val="00F6261F"/>
    <w:rsid w:val="00F62D40"/>
    <w:rsid w:val="00F62D41"/>
    <w:rsid w:val="00F62DDF"/>
    <w:rsid w:val="00F62E55"/>
    <w:rsid w:val="00F62EB4"/>
    <w:rsid w:val="00F6303B"/>
    <w:rsid w:val="00F631A7"/>
    <w:rsid w:val="00F631D2"/>
    <w:rsid w:val="00F63364"/>
    <w:rsid w:val="00F635FF"/>
    <w:rsid w:val="00F63899"/>
    <w:rsid w:val="00F63C01"/>
    <w:rsid w:val="00F63C19"/>
    <w:rsid w:val="00F63EB8"/>
    <w:rsid w:val="00F63EE2"/>
    <w:rsid w:val="00F641E0"/>
    <w:rsid w:val="00F64213"/>
    <w:rsid w:val="00F64240"/>
    <w:rsid w:val="00F64386"/>
    <w:rsid w:val="00F6469C"/>
    <w:rsid w:val="00F647B3"/>
    <w:rsid w:val="00F648A7"/>
    <w:rsid w:val="00F64A6E"/>
    <w:rsid w:val="00F64B52"/>
    <w:rsid w:val="00F64C9F"/>
    <w:rsid w:val="00F64D98"/>
    <w:rsid w:val="00F64E44"/>
    <w:rsid w:val="00F64F06"/>
    <w:rsid w:val="00F64F9A"/>
    <w:rsid w:val="00F64FDF"/>
    <w:rsid w:val="00F650DA"/>
    <w:rsid w:val="00F65C0E"/>
    <w:rsid w:val="00F65C9F"/>
    <w:rsid w:val="00F65DD0"/>
    <w:rsid w:val="00F66249"/>
    <w:rsid w:val="00F6632D"/>
    <w:rsid w:val="00F664F6"/>
    <w:rsid w:val="00F665E4"/>
    <w:rsid w:val="00F66972"/>
    <w:rsid w:val="00F6699B"/>
    <w:rsid w:val="00F669A3"/>
    <w:rsid w:val="00F66B12"/>
    <w:rsid w:val="00F66C08"/>
    <w:rsid w:val="00F66C8A"/>
    <w:rsid w:val="00F66DAB"/>
    <w:rsid w:val="00F66E38"/>
    <w:rsid w:val="00F66F40"/>
    <w:rsid w:val="00F67159"/>
    <w:rsid w:val="00F67362"/>
    <w:rsid w:val="00F67486"/>
    <w:rsid w:val="00F674A6"/>
    <w:rsid w:val="00F67683"/>
    <w:rsid w:val="00F6768C"/>
    <w:rsid w:val="00F67910"/>
    <w:rsid w:val="00F67A26"/>
    <w:rsid w:val="00F67A2E"/>
    <w:rsid w:val="00F67C04"/>
    <w:rsid w:val="00F67CB4"/>
    <w:rsid w:val="00F67CBB"/>
    <w:rsid w:val="00F67E92"/>
    <w:rsid w:val="00F67E96"/>
    <w:rsid w:val="00F701DA"/>
    <w:rsid w:val="00F70255"/>
    <w:rsid w:val="00F7039D"/>
    <w:rsid w:val="00F704F1"/>
    <w:rsid w:val="00F70564"/>
    <w:rsid w:val="00F70597"/>
    <w:rsid w:val="00F705A0"/>
    <w:rsid w:val="00F70891"/>
    <w:rsid w:val="00F70B39"/>
    <w:rsid w:val="00F70B4A"/>
    <w:rsid w:val="00F70C3E"/>
    <w:rsid w:val="00F70CBA"/>
    <w:rsid w:val="00F70E55"/>
    <w:rsid w:val="00F70F3F"/>
    <w:rsid w:val="00F7107D"/>
    <w:rsid w:val="00F7110B"/>
    <w:rsid w:val="00F712DC"/>
    <w:rsid w:val="00F712EC"/>
    <w:rsid w:val="00F71365"/>
    <w:rsid w:val="00F71382"/>
    <w:rsid w:val="00F714D6"/>
    <w:rsid w:val="00F717A1"/>
    <w:rsid w:val="00F717D1"/>
    <w:rsid w:val="00F717FD"/>
    <w:rsid w:val="00F71A88"/>
    <w:rsid w:val="00F71AA1"/>
    <w:rsid w:val="00F71B4C"/>
    <w:rsid w:val="00F71BE0"/>
    <w:rsid w:val="00F71F08"/>
    <w:rsid w:val="00F72376"/>
    <w:rsid w:val="00F72379"/>
    <w:rsid w:val="00F724C3"/>
    <w:rsid w:val="00F7264A"/>
    <w:rsid w:val="00F726D2"/>
    <w:rsid w:val="00F726D3"/>
    <w:rsid w:val="00F72745"/>
    <w:rsid w:val="00F72779"/>
    <w:rsid w:val="00F72858"/>
    <w:rsid w:val="00F72A14"/>
    <w:rsid w:val="00F72ABF"/>
    <w:rsid w:val="00F72E2A"/>
    <w:rsid w:val="00F731CB"/>
    <w:rsid w:val="00F73627"/>
    <w:rsid w:val="00F7389A"/>
    <w:rsid w:val="00F7390E"/>
    <w:rsid w:val="00F73A4F"/>
    <w:rsid w:val="00F73B69"/>
    <w:rsid w:val="00F73C47"/>
    <w:rsid w:val="00F73CDE"/>
    <w:rsid w:val="00F73F1B"/>
    <w:rsid w:val="00F73FA9"/>
    <w:rsid w:val="00F74062"/>
    <w:rsid w:val="00F74065"/>
    <w:rsid w:val="00F74527"/>
    <w:rsid w:val="00F746D1"/>
    <w:rsid w:val="00F7471B"/>
    <w:rsid w:val="00F74909"/>
    <w:rsid w:val="00F74B78"/>
    <w:rsid w:val="00F74C50"/>
    <w:rsid w:val="00F74E1D"/>
    <w:rsid w:val="00F7528C"/>
    <w:rsid w:val="00F753CB"/>
    <w:rsid w:val="00F75736"/>
    <w:rsid w:val="00F7576C"/>
    <w:rsid w:val="00F757CA"/>
    <w:rsid w:val="00F760AC"/>
    <w:rsid w:val="00F760E8"/>
    <w:rsid w:val="00F76270"/>
    <w:rsid w:val="00F76325"/>
    <w:rsid w:val="00F76378"/>
    <w:rsid w:val="00F76491"/>
    <w:rsid w:val="00F76972"/>
    <w:rsid w:val="00F769C1"/>
    <w:rsid w:val="00F76B2B"/>
    <w:rsid w:val="00F76D8A"/>
    <w:rsid w:val="00F76DDE"/>
    <w:rsid w:val="00F76E57"/>
    <w:rsid w:val="00F7706E"/>
    <w:rsid w:val="00F770E4"/>
    <w:rsid w:val="00F77173"/>
    <w:rsid w:val="00F77304"/>
    <w:rsid w:val="00F77640"/>
    <w:rsid w:val="00F77986"/>
    <w:rsid w:val="00F779C9"/>
    <w:rsid w:val="00F77ABE"/>
    <w:rsid w:val="00F77B72"/>
    <w:rsid w:val="00F77CAE"/>
    <w:rsid w:val="00F77E3E"/>
    <w:rsid w:val="00F77FE7"/>
    <w:rsid w:val="00F801FC"/>
    <w:rsid w:val="00F804ED"/>
    <w:rsid w:val="00F80595"/>
    <w:rsid w:val="00F80BB9"/>
    <w:rsid w:val="00F80C2D"/>
    <w:rsid w:val="00F80C3A"/>
    <w:rsid w:val="00F80E68"/>
    <w:rsid w:val="00F80E6D"/>
    <w:rsid w:val="00F8102C"/>
    <w:rsid w:val="00F81379"/>
    <w:rsid w:val="00F813F3"/>
    <w:rsid w:val="00F814D8"/>
    <w:rsid w:val="00F8179B"/>
    <w:rsid w:val="00F81AA7"/>
    <w:rsid w:val="00F81BA5"/>
    <w:rsid w:val="00F81BC2"/>
    <w:rsid w:val="00F81C70"/>
    <w:rsid w:val="00F81DFB"/>
    <w:rsid w:val="00F8213E"/>
    <w:rsid w:val="00F823B4"/>
    <w:rsid w:val="00F823F6"/>
    <w:rsid w:val="00F824CB"/>
    <w:rsid w:val="00F824FC"/>
    <w:rsid w:val="00F8262C"/>
    <w:rsid w:val="00F82686"/>
    <w:rsid w:val="00F826D0"/>
    <w:rsid w:val="00F82A5F"/>
    <w:rsid w:val="00F82A99"/>
    <w:rsid w:val="00F82B13"/>
    <w:rsid w:val="00F82B34"/>
    <w:rsid w:val="00F82F27"/>
    <w:rsid w:val="00F830CC"/>
    <w:rsid w:val="00F8319C"/>
    <w:rsid w:val="00F833E0"/>
    <w:rsid w:val="00F83444"/>
    <w:rsid w:val="00F8347F"/>
    <w:rsid w:val="00F834D1"/>
    <w:rsid w:val="00F834F2"/>
    <w:rsid w:val="00F836EB"/>
    <w:rsid w:val="00F83705"/>
    <w:rsid w:val="00F8373B"/>
    <w:rsid w:val="00F83807"/>
    <w:rsid w:val="00F83856"/>
    <w:rsid w:val="00F83888"/>
    <w:rsid w:val="00F83966"/>
    <w:rsid w:val="00F83983"/>
    <w:rsid w:val="00F839E4"/>
    <w:rsid w:val="00F83ABD"/>
    <w:rsid w:val="00F83D03"/>
    <w:rsid w:val="00F83E6C"/>
    <w:rsid w:val="00F8411F"/>
    <w:rsid w:val="00F842F9"/>
    <w:rsid w:val="00F844BE"/>
    <w:rsid w:val="00F845B9"/>
    <w:rsid w:val="00F845C1"/>
    <w:rsid w:val="00F846E2"/>
    <w:rsid w:val="00F8470A"/>
    <w:rsid w:val="00F84824"/>
    <w:rsid w:val="00F84860"/>
    <w:rsid w:val="00F84966"/>
    <w:rsid w:val="00F84C16"/>
    <w:rsid w:val="00F84DF0"/>
    <w:rsid w:val="00F8501C"/>
    <w:rsid w:val="00F851A3"/>
    <w:rsid w:val="00F85451"/>
    <w:rsid w:val="00F8557B"/>
    <w:rsid w:val="00F8561C"/>
    <w:rsid w:val="00F85904"/>
    <w:rsid w:val="00F85A08"/>
    <w:rsid w:val="00F85BF1"/>
    <w:rsid w:val="00F85C26"/>
    <w:rsid w:val="00F85CE4"/>
    <w:rsid w:val="00F85D03"/>
    <w:rsid w:val="00F85E1E"/>
    <w:rsid w:val="00F85FCC"/>
    <w:rsid w:val="00F860A8"/>
    <w:rsid w:val="00F8627F"/>
    <w:rsid w:val="00F862E1"/>
    <w:rsid w:val="00F8633F"/>
    <w:rsid w:val="00F86519"/>
    <w:rsid w:val="00F866C4"/>
    <w:rsid w:val="00F868EA"/>
    <w:rsid w:val="00F86A41"/>
    <w:rsid w:val="00F86A61"/>
    <w:rsid w:val="00F86A87"/>
    <w:rsid w:val="00F86AF3"/>
    <w:rsid w:val="00F86C97"/>
    <w:rsid w:val="00F87000"/>
    <w:rsid w:val="00F87105"/>
    <w:rsid w:val="00F87406"/>
    <w:rsid w:val="00F874F0"/>
    <w:rsid w:val="00F87545"/>
    <w:rsid w:val="00F8764C"/>
    <w:rsid w:val="00F8767E"/>
    <w:rsid w:val="00F8798E"/>
    <w:rsid w:val="00F87A04"/>
    <w:rsid w:val="00F87ABC"/>
    <w:rsid w:val="00F87B03"/>
    <w:rsid w:val="00F87D38"/>
    <w:rsid w:val="00F87E44"/>
    <w:rsid w:val="00F87E72"/>
    <w:rsid w:val="00F87F77"/>
    <w:rsid w:val="00F87FF1"/>
    <w:rsid w:val="00F90065"/>
    <w:rsid w:val="00F90078"/>
    <w:rsid w:val="00F90082"/>
    <w:rsid w:val="00F904B9"/>
    <w:rsid w:val="00F906A2"/>
    <w:rsid w:val="00F909DC"/>
    <w:rsid w:val="00F90A3C"/>
    <w:rsid w:val="00F90AC9"/>
    <w:rsid w:val="00F90DDF"/>
    <w:rsid w:val="00F913F0"/>
    <w:rsid w:val="00F914AA"/>
    <w:rsid w:val="00F91589"/>
    <w:rsid w:val="00F915C4"/>
    <w:rsid w:val="00F91692"/>
    <w:rsid w:val="00F9171A"/>
    <w:rsid w:val="00F91880"/>
    <w:rsid w:val="00F918F0"/>
    <w:rsid w:val="00F91928"/>
    <w:rsid w:val="00F91A5D"/>
    <w:rsid w:val="00F91BA0"/>
    <w:rsid w:val="00F91D72"/>
    <w:rsid w:val="00F91DBD"/>
    <w:rsid w:val="00F91DF3"/>
    <w:rsid w:val="00F91E22"/>
    <w:rsid w:val="00F92087"/>
    <w:rsid w:val="00F9220D"/>
    <w:rsid w:val="00F923E9"/>
    <w:rsid w:val="00F925A8"/>
    <w:rsid w:val="00F925E9"/>
    <w:rsid w:val="00F928C8"/>
    <w:rsid w:val="00F92D6C"/>
    <w:rsid w:val="00F92DF7"/>
    <w:rsid w:val="00F92EC2"/>
    <w:rsid w:val="00F931A5"/>
    <w:rsid w:val="00F933AB"/>
    <w:rsid w:val="00F933EE"/>
    <w:rsid w:val="00F93627"/>
    <w:rsid w:val="00F936AF"/>
    <w:rsid w:val="00F93805"/>
    <w:rsid w:val="00F939BD"/>
    <w:rsid w:val="00F939C6"/>
    <w:rsid w:val="00F93B34"/>
    <w:rsid w:val="00F93C72"/>
    <w:rsid w:val="00F93E61"/>
    <w:rsid w:val="00F93EA0"/>
    <w:rsid w:val="00F9408A"/>
    <w:rsid w:val="00F940BA"/>
    <w:rsid w:val="00F943F7"/>
    <w:rsid w:val="00F944E9"/>
    <w:rsid w:val="00F945C6"/>
    <w:rsid w:val="00F9461D"/>
    <w:rsid w:val="00F94741"/>
    <w:rsid w:val="00F94872"/>
    <w:rsid w:val="00F948DB"/>
    <w:rsid w:val="00F9491B"/>
    <w:rsid w:val="00F94981"/>
    <w:rsid w:val="00F94A5B"/>
    <w:rsid w:val="00F94FCD"/>
    <w:rsid w:val="00F9510C"/>
    <w:rsid w:val="00F952AE"/>
    <w:rsid w:val="00F95403"/>
    <w:rsid w:val="00F9549C"/>
    <w:rsid w:val="00F954BF"/>
    <w:rsid w:val="00F954D9"/>
    <w:rsid w:val="00F955C8"/>
    <w:rsid w:val="00F95B1C"/>
    <w:rsid w:val="00F95C51"/>
    <w:rsid w:val="00F95CD0"/>
    <w:rsid w:val="00F95D5F"/>
    <w:rsid w:val="00F95DCB"/>
    <w:rsid w:val="00F95E7A"/>
    <w:rsid w:val="00F960D8"/>
    <w:rsid w:val="00F960E2"/>
    <w:rsid w:val="00F96143"/>
    <w:rsid w:val="00F961F0"/>
    <w:rsid w:val="00F9625D"/>
    <w:rsid w:val="00F96325"/>
    <w:rsid w:val="00F96579"/>
    <w:rsid w:val="00F9669A"/>
    <w:rsid w:val="00F96917"/>
    <w:rsid w:val="00F96DF7"/>
    <w:rsid w:val="00F96F23"/>
    <w:rsid w:val="00F96FA2"/>
    <w:rsid w:val="00F9720F"/>
    <w:rsid w:val="00F972E6"/>
    <w:rsid w:val="00F9746F"/>
    <w:rsid w:val="00F9768C"/>
    <w:rsid w:val="00F976C9"/>
    <w:rsid w:val="00F976D6"/>
    <w:rsid w:val="00F9773C"/>
    <w:rsid w:val="00F9776A"/>
    <w:rsid w:val="00F9782F"/>
    <w:rsid w:val="00F9797E"/>
    <w:rsid w:val="00F97A98"/>
    <w:rsid w:val="00F97C7D"/>
    <w:rsid w:val="00F97D7E"/>
    <w:rsid w:val="00F97E69"/>
    <w:rsid w:val="00F97E6D"/>
    <w:rsid w:val="00FA0114"/>
    <w:rsid w:val="00FA037D"/>
    <w:rsid w:val="00FA03F9"/>
    <w:rsid w:val="00FA072F"/>
    <w:rsid w:val="00FA0759"/>
    <w:rsid w:val="00FA0A4B"/>
    <w:rsid w:val="00FA0B00"/>
    <w:rsid w:val="00FA0BBC"/>
    <w:rsid w:val="00FA0BCD"/>
    <w:rsid w:val="00FA0C0D"/>
    <w:rsid w:val="00FA0FA3"/>
    <w:rsid w:val="00FA13AD"/>
    <w:rsid w:val="00FA156F"/>
    <w:rsid w:val="00FA1573"/>
    <w:rsid w:val="00FA1585"/>
    <w:rsid w:val="00FA15EA"/>
    <w:rsid w:val="00FA16B0"/>
    <w:rsid w:val="00FA19B3"/>
    <w:rsid w:val="00FA1F0D"/>
    <w:rsid w:val="00FA1F1F"/>
    <w:rsid w:val="00FA20D7"/>
    <w:rsid w:val="00FA231C"/>
    <w:rsid w:val="00FA23BE"/>
    <w:rsid w:val="00FA26FB"/>
    <w:rsid w:val="00FA2703"/>
    <w:rsid w:val="00FA2731"/>
    <w:rsid w:val="00FA279E"/>
    <w:rsid w:val="00FA283B"/>
    <w:rsid w:val="00FA2A10"/>
    <w:rsid w:val="00FA2A21"/>
    <w:rsid w:val="00FA2B64"/>
    <w:rsid w:val="00FA2CF8"/>
    <w:rsid w:val="00FA2DFF"/>
    <w:rsid w:val="00FA3017"/>
    <w:rsid w:val="00FA31E2"/>
    <w:rsid w:val="00FA3249"/>
    <w:rsid w:val="00FA3291"/>
    <w:rsid w:val="00FA35AE"/>
    <w:rsid w:val="00FA3697"/>
    <w:rsid w:val="00FA3A4A"/>
    <w:rsid w:val="00FA3B23"/>
    <w:rsid w:val="00FA3CA7"/>
    <w:rsid w:val="00FA3E96"/>
    <w:rsid w:val="00FA3EE6"/>
    <w:rsid w:val="00FA3FD3"/>
    <w:rsid w:val="00FA4073"/>
    <w:rsid w:val="00FA40F9"/>
    <w:rsid w:val="00FA4128"/>
    <w:rsid w:val="00FA4378"/>
    <w:rsid w:val="00FA4385"/>
    <w:rsid w:val="00FA443F"/>
    <w:rsid w:val="00FA4578"/>
    <w:rsid w:val="00FA4624"/>
    <w:rsid w:val="00FA4764"/>
    <w:rsid w:val="00FA47B9"/>
    <w:rsid w:val="00FA47DA"/>
    <w:rsid w:val="00FA4890"/>
    <w:rsid w:val="00FA4D56"/>
    <w:rsid w:val="00FA4F0E"/>
    <w:rsid w:val="00FA4FDF"/>
    <w:rsid w:val="00FA5022"/>
    <w:rsid w:val="00FA5117"/>
    <w:rsid w:val="00FA518B"/>
    <w:rsid w:val="00FA521E"/>
    <w:rsid w:val="00FA555E"/>
    <w:rsid w:val="00FA5601"/>
    <w:rsid w:val="00FA5679"/>
    <w:rsid w:val="00FA5840"/>
    <w:rsid w:val="00FA58D6"/>
    <w:rsid w:val="00FA5971"/>
    <w:rsid w:val="00FA5B08"/>
    <w:rsid w:val="00FA5DC2"/>
    <w:rsid w:val="00FA6045"/>
    <w:rsid w:val="00FA60C0"/>
    <w:rsid w:val="00FA6487"/>
    <w:rsid w:val="00FA6586"/>
    <w:rsid w:val="00FA67CE"/>
    <w:rsid w:val="00FA698B"/>
    <w:rsid w:val="00FA6A72"/>
    <w:rsid w:val="00FA6AAB"/>
    <w:rsid w:val="00FA6BF8"/>
    <w:rsid w:val="00FA6C53"/>
    <w:rsid w:val="00FA6E8A"/>
    <w:rsid w:val="00FA719F"/>
    <w:rsid w:val="00FA74B5"/>
    <w:rsid w:val="00FA7561"/>
    <w:rsid w:val="00FA75D8"/>
    <w:rsid w:val="00FA76F0"/>
    <w:rsid w:val="00FA7944"/>
    <w:rsid w:val="00FA7B29"/>
    <w:rsid w:val="00FA7B98"/>
    <w:rsid w:val="00FA7CDC"/>
    <w:rsid w:val="00FA7E43"/>
    <w:rsid w:val="00FA7F89"/>
    <w:rsid w:val="00FA7FC0"/>
    <w:rsid w:val="00FB0019"/>
    <w:rsid w:val="00FB001A"/>
    <w:rsid w:val="00FB007F"/>
    <w:rsid w:val="00FB01BF"/>
    <w:rsid w:val="00FB02B1"/>
    <w:rsid w:val="00FB0372"/>
    <w:rsid w:val="00FB0498"/>
    <w:rsid w:val="00FB04B6"/>
    <w:rsid w:val="00FB055E"/>
    <w:rsid w:val="00FB05DE"/>
    <w:rsid w:val="00FB0771"/>
    <w:rsid w:val="00FB0A03"/>
    <w:rsid w:val="00FB0A15"/>
    <w:rsid w:val="00FB0BDE"/>
    <w:rsid w:val="00FB0D61"/>
    <w:rsid w:val="00FB0E76"/>
    <w:rsid w:val="00FB0E9B"/>
    <w:rsid w:val="00FB0EE4"/>
    <w:rsid w:val="00FB10C2"/>
    <w:rsid w:val="00FB1139"/>
    <w:rsid w:val="00FB1163"/>
    <w:rsid w:val="00FB11C2"/>
    <w:rsid w:val="00FB1373"/>
    <w:rsid w:val="00FB15CC"/>
    <w:rsid w:val="00FB163D"/>
    <w:rsid w:val="00FB186E"/>
    <w:rsid w:val="00FB18D7"/>
    <w:rsid w:val="00FB1915"/>
    <w:rsid w:val="00FB1ABE"/>
    <w:rsid w:val="00FB1E45"/>
    <w:rsid w:val="00FB1FCC"/>
    <w:rsid w:val="00FB2047"/>
    <w:rsid w:val="00FB20CF"/>
    <w:rsid w:val="00FB2152"/>
    <w:rsid w:val="00FB2309"/>
    <w:rsid w:val="00FB239A"/>
    <w:rsid w:val="00FB263A"/>
    <w:rsid w:val="00FB26B0"/>
    <w:rsid w:val="00FB2730"/>
    <w:rsid w:val="00FB2816"/>
    <w:rsid w:val="00FB2A73"/>
    <w:rsid w:val="00FB2C3C"/>
    <w:rsid w:val="00FB2CC2"/>
    <w:rsid w:val="00FB2D79"/>
    <w:rsid w:val="00FB2E64"/>
    <w:rsid w:val="00FB2EFD"/>
    <w:rsid w:val="00FB30F4"/>
    <w:rsid w:val="00FB31B7"/>
    <w:rsid w:val="00FB32EA"/>
    <w:rsid w:val="00FB3699"/>
    <w:rsid w:val="00FB3988"/>
    <w:rsid w:val="00FB3AB0"/>
    <w:rsid w:val="00FB3CFC"/>
    <w:rsid w:val="00FB3DEE"/>
    <w:rsid w:val="00FB3F1B"/>
    <w:rsid w:val="00FB3F60"/>
    <w:rsid w:val="00FB3F94"/>
    <w:rsid w:val="00FB421F"/>
    <w:rsid w:val="00FB425B"/>
    <w:rsid w:val="00FB4517"/>
    <w:rsid w:val="00FB46F3"/>
    <w:rsid w:val="00FB4791"/>
    <w:rsid w:val="00FB4913"/>
    <w:rsid w:val="00FB4D33"/>
    <w:rsid w:val="00FB4E8B"/>
    <w:rsid w:val="00FB4F68"/>
    <w:rsid w:val="00FB4F6E"/>
    <w:rsid w:val="00FB508E"/>
    <w:rsid w:val="00FB50DA"/>
    <w:rsid w:val="00FB51A6"/>
    <w:rsid w:val="00FB5274"/>
    <w:rsid w:val="00FB531A"/>
    <w:rsid w:val="00FB545C"/>
    <w:rsid w:val="00FB5475"/>
    <w:rsid w:val="00FB55FE"/>
    <w:rsid w:val="00FB59C6"/>
    <w:rsid w:val="00FB5A9F"/>
    <w:rsid w:val="00FB5AAF"/>
    <w:rsid w:val="00FB5AE4"/>
    <w:rsid w:val="00FB5EC1"/>
    <w:rsid w:val="00FB5F8D"/>
    <w:rsid w:val="00FB6008"/>
    <w:rsid w:val="00FB6280"/>
    <w:rsid w:val="00FB6313"/>
    <w:rsid w:val="00FB64A7"/>
    <w:rsid w:val="00FB64CD"/>
    <w:rsid w:val="00FB66C7"/>
    <w:rsid w:val="00FB6990"/>
    <w:rsid w:val="00FB699B"/>
    <w:rsid w:val="00FB6B21"/>
    <w:rsid w:val="00FB6DAD"/>
    <w:rsid w:val="00FB7072"/>
    <w:rsid w:val="00FB70E2"/>
    <w:rsid w:val="00FB71A3"/>
    <w:rsid w:val="00FB7351"/>
    <w:rsid w:val="00FB7454"/>
    <w:rsid w:val="00FB77E5"/>
    <w:rsid w:val="00FB789A"/>
    <w:rsid w:val="00FBC641"/>
    <w:rsid w:val="00FC0122"/>
    <w:rsid w:val="00FC024A"/>
    <w:rsid w:val="00FC028C"/>
    <w:rsid w:val="00FC0545"/>
    <w:rsid w:val="00FC0717"/>
    <w:rsid w:val="00FC07A4"/>
    <w:rsid w:val="00FC08AC"/>
    <w:rsid w:val="00FC0948"/>
    <w:rsid w:val="00FC0DBB"/>
    <w:rsid w:val="00FC0E30"/>
    <w:rsid w:val="00FC0E92"/>
    <w:rsid w:val="00FC0F55"/>
    <w:rsid w:val="00FC11EA"/>
    <w:rsid w:val="00FC1229"/>
    <w:rsid w:val="00FC1289"/>
    <w:rsid w:val="00FC13B7"/>
    <w:rsid w:val="00FC13FF"/>
    <w:rsid w:val="00FC154D"/>
    <w:rsid w:val="00FC1591"/>
    <w:rsid w:val="00FC17F1"/>
    <w:rsid w:val="00FC1830"/>
    <w:rsid w:val="00FC1853"/>
    <w:rsid w:val="00FC1AB7"/>
    <w:rsid w:val="00FC1CF6"/>
    <w:rsid w:val="00FC1D3A"/>
    <w:rsid w:val="00FC1DD5"/>
    <w:rsid w:val="00FC1FB5"/>
    <w:rsid w:val="00FC1FD1"/>
    <w:rsid w:val="00FC2112"/>
    <w:rsid w:val="00FC2309"/>
    <w:rsid w:val="00FC2409"/>
    <w:rsid w:val="00FC270C"/>
    <w:rsid w:val="00FC27BF"/>
    <w:rsid w:val="00FC27FB"/>
    <w:rsid w:val="00FC2831"/>
    <w:rsid w:val="00FC28C8"/>
    <w:rsid w:val="00FC295A"/>
    <w:rsid w:val="00FC2BD7"/>
    <w:rsid w:val="00FC2BDB"/>
    <w:rsid w:val="00FC2D03"/>
    <w:rsid w:val="00FC2D22"/>
    <w:rsid w:val="00FC2DCF"/>
    <w:rsid w:val="00FC2EA0"/>
    <w:rsid w:val="00FC2ED5"/>
    <w:rsid w:val="00FC2FEC"/>
    <w:rsid w:val="00FC3035"/>
    <w:rsid w:val="00FC3101"/>
    <w:rsid w:val="00FC3295"/>
    <w:rsid w:val="00FC3760"/>
    <w:rsid w:val="00FC37C8"/>
    <w:rsid w:val="00FC391E"/>
    <w:rsid w:val="00FC3A7B"/>
    <w:rsid w:val="00FC3AE6"/>
    <w:rsid w:val="00FC3B1A"/>
    <w:rsid w:val="00FC3D56"/>
    <w:rsid w:val="00FC3E19"/>
    <w:rsid w:val="00FC3FEB"/>
    <w:rsid w:val="00FC460B"/>
    <w:rsid w:val="00FC475D"/>
    <w:rsid w:val="00FC4800"/>
    <w:rsid w:val="00FC4916"/>
    <w:rsid w:val="00FC4FF6"/>
    <w:rsid w:val="00FC52B0"/>
    <w:rsid w:val="00FC5460"/>
    <w:rsid w:val="00FC56E3"/>
    <w:rsid w:val="00FC58C7"/>
    <w:rsid w:val="00FC5BBC"/>
    <w:rsid w:val="00FC5BC3"/>
    <w:rsid w:val="00FC5BED"/>
    <w:rsid w:val="00FC5C2C"/>
    <w:rsid w:val="00FC5FB0"/>
    <w:rsid w:val="00FC5FF0"/>
    <w:rsid w:val="00FC609A"/>
    <w:rsid w:val="00FC61FE"/>
    <w:rsid w:val="00FC64AD"/>
    <w:rsid w:val="00FC655F"/>
    <w:rsid w:val="00FC658D"/>
    <w:rsid w:val="00FC662F"/>
    <w:rsid w:val="00FC679F"/>
    <w:rsid w:val="00FC67D3"/>
    <w:rsid w:val="00FC67DD"/>
    <w:rsid w:val="00FC68E5"/>
    <w:rsid w:val="00FC6A20"/>
    <w:rsid w:val="00FC6A78"/>
    <w:rsid w:val="00FC6B10"/>
    <w:rsid w:val="00FC6FB1"/>
    <w:rsid w:val="00FC71E1"/>
    <w:rsid w:val="00FC7367"/>
    <w:rsid w:val="00FC73E3"/>
    <w:rsid w:val="00FC7611"/>
    <w:rsid w:val="00FC7622"/>
    <w:rsid w:val="00FC77C9"/>
    <w:rsid w:val="00FC7AD8"/>
    <w:rsid w:val="00FC7BC5"/>
    <w:rsid w:val="00FC7EBB"/>
    <w:rsid w:val="00FC7F7C"/>
    <w:rsid w:val="00FD0190"/>
    <w:rsid w:val="00FD01B5"/>
    <w:rsid w:val="00FD04F1"/>
    <w:rsid w:val="00FD0565"/>
    <w:rsid w:val="00FD0776"/>
    <w:rsid w:val="00FD0E1A"/>
    <w:rsid w:val="00FD0EE7"/>
    <w:rsid w:val="00FD0F54"/>
    <w:rsid w:val="00FD1395"/>
    <w:rsid w:val="00FD145D"/>
    <w:rsid w:val="00FD1521"/>
    <w:rsid w:val="00FD1572"/>
    <w:rsid w:val="00FD16A3"/>
    <w:rsid w:val="00FD16B8"/>
    <w:rsid w:val="00FD17DD"/>
    <w:rsid w:val="00FD18D4"/>
    <w:rsid w:val="00FD1989"/>
    <w:rsid w:val="00FD1A6E"/>
    <w:rsid w:val="00FD1AE2"/>
    <w:rsid w:val="00FD1BA0"/>
    <w:rsid w:val="00FD1D84"/>
    <w:rsid w:val="00FD1DF1"/>
    <w:rsid w:val="00FD1EE8"/>
    <w:rsid w:val="00FD1F6B"/>
    <w:rsid w:val="00FD217A"/>
    <w:rsid w:val="00FD21CF"/>
    <w:rsid w:val="00FD238D"/>
    <w:rsid w:val="00FD23B4"/>
    <w:rsid w:val="00FD23E1"/>
    <w:rsid w:val="00FD278A"/>
    <w:rsid w:val="00FD2835"/>
    <w:rsid w:val="00FD289A"/>
    <w:rsid w:val="00FD289B"/>
    <w:rsid w:val="00FD2965"/>
    <w:rsid w:val="00FD29C0"/>
    <w:rsid w:val="00FD2B41"/>
    <w:rsid w:val="00FD2BB7"/>
    <w:rsid w:val="00FD2CE5"/>
    <w:rsid w:val="00FD2CFA"/>
    <w:rsid w:val="00FD2DDF"/>
    <w:rsid w:val="00FD2EB8"/>
    <w:rsid w:val="00FD30F2"/>
    <w:rsid w:val="00FD311D"/>
    <w:rsid w:val="00FD331C"/>
    <w:rsid w:val="00FD351C"/>
    <w:rsid w:val="00FD359E"/>
    <w:rsid w:val="00FD3908"/>
    <w:rsid w:val="00FD39B7"/>
    <w:rsid w:val="00FD3A5A"/>
    <w:rsid w:val="00FD3A96"/>
    <w:rsid w:val="00FD3C85"/>
    <w:rsid w:val="00FD3DBE"/>
    <w:rsid w:val="00FD42CD"/>
    <w:rsid w:val="00FD4404"/>
    <w:rsid w:val="00FD44BC"/>
    <w:rsid w:val="00FD45CD"/>
    <w:rsid w:val="00FD47E9"/>
    <w:rsid w:val="00FD48C6"/>
    <w:rsid w:val="00FD49D0"/>
    <w:rsid w:val="00FD4A5D"/>
    <w:rsid w:val="00FD4CE6"/>
    <w:rsid w:val="00FD4D85"/>
    <w:rsid w:val="00FD508C"/>
    <w:rsid w:val="00FD54EE"/>
    <w:rsid w:val="00FD5C38"/>
    <w:rsid w:val="00FD5C67"/>
    <w:rsid w:val="00FD5C6D"/>
    <w:rsid w:val="00FD5DCF"/>
    <w:rsid w:val="00FD5DD2"/>
    <w:rsid w:val="00FD5E5B"/>
    <w:rsid w:val="00FD6007"/>
    <w:rsid w:val="00FD6099"/>
    <w:rsid w:val="00FD60BF"/>
    <w:rsid w:val="00FD6463"/>
    <w:rsid w:val="00FD646A"/>
    <w:rsid w:val="00FD66F1"/>
    <w:rsid w:val="00FD6AB5"/>
    <w:rsid w:val="00FD6EF4"/>
    <w:rsid w:val="00FD6F65"/>
    <w:rsid w:val="00FD7036"/>
    <w:rsid w:val="00FD7053"/>
    <w:rsid w:val="00FD7064"/>
    <w:rsid w:val="00FD718D"/>
    <w:rsid w:val="00FD72FD"/>
    <w:rsid w:val="00FD7383"/>
    <w:rsid w:val="00FD7815"/>
    <w:rsid w:val="00FD78B4"/>
    <w:rsid w:val="00FD7A65"/>
    <w:rsid w:val="00FE0340"/>
    <w:rsid w:val="00FE049F"/>
    <w:rsid w:val="00FE052F"/>
    <w:rsid w:val="00FE0697"/>
    <w:rsid w:val="00FE06DC"/>
    <w:rsid w:val="00FE078A"/>
    <w:rsid w:val="00FE098C"/>
    <w:rsid w:val="00FE0C55"/>
    <w:rsid w:val="00FE0CA6"/>
    <w:rsid w:val="00FE0CC5"/>
    <w:rsid w:val="00FE0F2A"/>
    <w:rsid w:val="00FE0F64"/>
    <w:rsid w:val="00FE12C4"/>
    <w:rsid w:val="00FE15AD"/>
    <w:rsid w:val="00FE165D"/>
    <w:rsid w:val="00FE1B4B"/>
    <w:rsid w:val="00FE1C03"/>
    <w:rsid w:val="00FE1C06"/>
    <w:rsid w:val="00FE1D5F"/>
    <w:rsid w:val="00FE1DC3"/>
    <w:rsid w:val="00FE2251"/>
    <w:rsid w:val="00FE236F"/>
    <w:rsid w:val="00FE263F"/>
    <w:rsid w:val="00FE29CA"/>
    <w:rsid w:val="00FE2A65"/>
    <w:rsid w:val="00FE2D67"/>
    <w:rsid w:val="00FE2EAC"/>
    <w:rsid w:val="00FE2ED5"/>
    <w:rsid w:val="00FE2F03"/>
    <w:rsid w:val="00FE2F11"/>
    <w:rsid w:val="00FE2FB4"/>
    <w:rsid w:val="00FE304F"/>
    <w:rsid w:val="00FE3082"/>
    <w:rsid w:val="00FE3196"/>
    <w:rsid w:val="00FE31A0"/>
    <w:rsid w:val="00FE31FA"/>
    <w:rsid w:val="00FE333E"/>
    <w:rsid w:val="00FE346C"/>
    <w:rsid w:val="00FE3796"/>
    <w:rsid w:val="00FE39EB"/>
    <w:rsid w:val="00FE3BBC"/>
    <w:rsid w:val="00FE3BDB"/>
    <w:rsid w:val="00FE3D42"/>
    <w:rsid w:val="00FE3D5E"/>
    <w:rsid w:val="00FE3E19"/>
    <w:rsid w:val="00FE40D5"/>
    <w:rsid w:val="00FE41BC"/>
    <w:rsid w:val="00FE4222"/>
    <w:rsid w:val="00FE442A"/>
    <w:rsid w:val="00FE4456"/>
    <w:rsid w:val="00FE45C6"/>
    <w:rsid w:val="00FE46E4"/>
    <w:rsid w:val="00FE475A"/>
    <w:rsid w:val="00FE4809"/>
    <w:rsid w:val="00FE4832"/>
    <w:rsid w:val="00FE4A31"/>
    <w:rsid w:val="00FE50A8"/>
    <w:rsid w:val="00FE50EC"/>
    <w:rsid w:val="00FE52A1"/>
    <w:rsid w:val="00FE5493"/>
    <w:rsid w:val="00FE57E1"/>
    <w:rsid w:val="00FE5B0D"/>
    <w:rsid w:val="00FE5E80"/>
    <w:rsid w:val="00FE5ECF"/>
    <w:rsid w:val="00FE5FF6"/>
    <w:rsid w:val="00FE6140"/>
    <w:rsid w:val="00FE6184"/>
    <w:rsid w:val="00FE61B7"/>
    <w:rsid w:val="00FE659C"/>
    <w:rsid w:val="00FE65F7"/>
    <w:rsid w:val="00FE6817"/>
    <w:rsid w:val="00FE6862"/>
    <w:rsid w:val="00FE69CF"/>
    <w:rsid w:val="00FE6B88"/>
    <w:rsid w:val="00FE6BCE"/>
    <w:rsid w:val="00FE6BD4"/>
    <w:rsid w:val="00FE6D0E"/>
    <w:rsid w:val="00FE6EEC"/>
    <w:rsid w:val="00FE6FC0"/>
    <w:rsid w:val="00FE70F3"/>
    <w:rsid w:val="00FE71C5"/>
    <w:rsid w:val="00FE762C"/>
    <w:rsid w:val="00FE7826"/>
    <w:rsid w:val="00FE7AF6"/>
    <w:rsid w:val="00FE7C40"/>
    <w:rsid w:val="00FE7CC5"/>
    <w:rsid w:val="00FF0003"/>
    <w:rsid w:val="00FF00A2"/>
    <w:rsid w:val="00FF00DD"/>
    <w:rsid w:val="00FF03ED"/>
    <w:rsid w:val="00FF03F0"/>
    <w:rsid w:val="00FF05AF"/>
    <w:rsid w:val="00FF08EB"/>
    <w:rsid w:val="00FF0926"/>
    <w:rsid w:val="00FF0B5D"/>
    <w:rsid w:val="00FF0B67"/>
    <w:rsid w:val="00FF0BD8"/>
    <w:rsid w:val="00FF0E7C"/>
    <w:rsid w:val="00FF10D5"/>
    <w:rsid w:val="00FF1136"/>
    <w:rsid w:val="00FF1394"/>
    <w:rsid w:val="00FF1440"/>
    <w:rsid w:val="00FF148A"/>
    <w:rsid w:val="00FF159B"/>
    <w:rsid w:val="00FF1688"/>
    <w:rsid w:val="00FF1692"/>
    <w:rsid w:val="00FF16D1"/>
    <w:rsid w:val="00FF1731"/>
    <w:rsid w:val="00FF1BC0"/>
    <w:rsid w:val="00FF1C9A"/>
    <w:rsid w:val="00FF1E1B"/>
    <w:rsid w:val="00FF1E65"/>
    <w:rsid w:val="00FF1EBF"/>
    <w:rsid w:val="00FF1F5E"/>
    <w:rsid w:val="00FF1F7F"/>
    <w:rsid w:val="00FF2061"/>
    <w:rsid w:val="00FF2201"/>
    <w:rsid w:val="00FF2325"/>
    <w:rsid w:val="00FF23AC"/>
    <w:rsid w:val="00FF2554"/>
    <w:rsid w:val="00FF25EF"/>
    <w:rsid w:val="00FF2766"/>
    <w:rsid w:val="00FF2774"/>
    <w:rsid w:val="00FF2962"/>
    <w:rsid w:val="00FF2DF6"/>
    <w:rsid w:val="00FF309C"/>
    <w:rsid w:val="00FF3761"/>
    <w:rsid w:val="00FF3775"/>
    <w:rsid w:val="00FF3AE5"/>
    <w:rsid w:val="00FF3AF0"/>
    <w:rsid w:val="00FF3DEA"/>
    <w:rsid w:val="00FF3F0B"/>
    <w:rsid w:val="00FF412B"/>
    <w:rsid w:val="00FF41D8"/>
    <w:rsid w:val="00FF42AF"/>
    <w:rsid w:val="00FF45D0"/>
    <w:rsid w:val="00FF49EC"/>
    <w:rsid w:val="00FF4A3C"/>
    <w:rsid w:val="00FF4A57"/>
    <w:rsid w:val="00FF4B19"/>
    <w:rsid w:val="00FF4B99"/>
    <w:rsid w:val="00FF4DF3"/>
    <w:rsid w:val="00FF4F70"/>
    <w:rsid w:val="00FF4F8C"/>
    <w:rsid w:val="00FF4F9D"/>
    <w:rsid w:val="00FF4FE2"/>
    <w:rsid w:val="00FF4FE7"/>
    <w:rsid w:val="00FF50F4"/>
    <w:rsid w:val="00FF521C"/>
    <w:rsid w:val="00FF52D9"/>
    <w:rsid w:val="00FF52E8"/>
    <w:rsid w:val="00FF54E7"/>
    <w:rsid w:val="00FF5500"/>
    <w:rsid w:val="00FF55A5"/>
    <w:rsid w:val="00FF55AA"/>
    <w:rsid w:val="00FF5641"/>
    <w:rsid w:val="00FF5658"/>
    <w:rsid w:val="00FF5988"/>
    <w:rsid w:val="00FF59DB"/>
    <w:rsid w:val="00FF5A78"/>
    <w:rsid w:val="00FF5A7D"/>
    <w:rsid w:val="00FF5B70"/>
    <w:rsid w:val="00FF5BB9"/>
    <w:rsid w:val="00FF5C24"/>
    <w:rsid w:val="00FF5C7F"/>
    <w:rsid w:val="00FF5EDE"/>
    <w:rsid w:val="00FF6001"/>
    <w:rsid w:val="00FF6036"/>
    <w:rsid w:val="00FF60C5"/>
    <w:rsid w:val="00FF61BE"/>
    <w:rsid w:val="00FF6446"/>
    <w:rsid w:val="00FF645D"/>
    <w:rsid w:val="00FF64D0"/>
    <w:rsid w:val="00FF6695"/>
    <w:rsid w:val="00FF6784"/>
    <w:rsid w:val="00FF68DB"/>
    <w:rsid w:val="00FF6944"/>
    <w:rsid w:val="00FF6A07"/>
    <w:rsid w:val="00FF6C95"/>
    <w:rsid w:val="00FF6D43"/>
    <w:rsid w:val="00FF6D67"/>
    <w:rsid w:val="00FF6DB6"/>
    <w:rsid w:val="00FF6F0B"/>
    <w:rsid w:val="00FF7498"/>
    <w:rsid w:val="00FF7662"/>
    <w:rsid w:val="00FF7702"/>
    <w:rsid w:val="00FF777D"/>
    <w:rsid w:val="00FF78A9"/>
    <w:rsid w:val="00FF7A43"/>
    <w:rsid w:val="00FF7B8E"/>
    <w:rsid w:val="00FF7FA7"/>
    <w:rsid w:val="00FF7FC4"/>
    <w:rsid w:val="01008794"/>
    <w:rsid w:val="01079CB6"/>
    <w:rsid w:val="0110CFC7"/>
    <w:rsid w:val="011B0FCF"/>
    <w:rsid w:val="012B4770"/>
    <w:rsid w:val="012B6435"/>
    <w:rsid w:val="012B7C38"/>
    <w:rsid w:val="013FE058"/>
    <w:rsid w:val="017E3C58"/>
    <w:rsid w:val="018FE5DD"/>
    <w:rsid w:val="0194499B"/>
    <w:rsid w:val="01A67990"/>
    <w:rsid w:val="01BA2D00"/>
    <w:rsid w:val="01BA6842"/>
    <w:rsid w:val="01C2443F"/>
    <w:rsid w:val="01C88BEE"/>
    <w:rsid w:val="01ED96E8"/>
    <w:rsid w:val="01EDE42E"/>
    <w:rsid w:val="01EF7FA8"/>
    <w:rsid w:val="01EFA81C"/>
    <w:rsid w:val="01F33DC8"/>
    <w:rsid w:val="01F44B7D"/>
    <w:rsid w:val="0202D98E"/>
    <w:rsid w:val="02354E2D"/>
    <w:rsid w:val="0235AAC4"/>
    <w:rsid w:val="0235BDDE"/>
    <w:rsid w:val="023B3952"/>
    <w:rsid w:val="023D9794"/>
    <w:rsid w:val="02447A35"/>
    <w:rsid w:val="0248F989"/>
    <w:rsid w:val="024BD626"/>
    <w:rsid w:val="02609E56"/>
    <w:rsid w:val="0263B970"/>
    <w:rsid w:val="0269F340"/>
    <w:rsid w:val="026E46C9"/>
    <w:rsid w:val="026E62FD"/>
    <w:rsid w:val="027900FC"/>
    <w:rsid w:val="0280E951"/>
    <w:rsid w:val="028313AE"/>
    <w:rsid w:val="028B007A"/>
    <w:rsid w:val="02947598"/>
    <w:rsid w:val="029EFE49"/>
    <w:rsid w:val="02AA21CB"/>
    <w:rsid w:val="02AEACC8"/>
    <w:rsid w:val="02B1E166"/>
    <w:rsid w:val="02BDF6F0"/>
    <w:rsid w:val="02C2B7AE"/>
    <w:rsid w:val="02D89D73"/>
    <w:rsid w:val="02E40E30"/>
    <w:rsid w:val="02E5121A"/>
    <w:rsid w:val="02EAEC7B"/>
    <w:rsid w:val="02F5622A"/>
    <w:rsid w:val="030C8BA2"/>
    <w:rsid w:val="030D8D84"/>
    <w:rsid w:val="0310F921"/>
    <w:rsid w:val="03309F7F"/>
    <w:rsid w:val="0333472E"/>
    <w:rsid w:val="03393E93"/>
    <w:rsid w:val="033C4607"/>
    <w:rsid w:val="034F3975"/>
    <w:rsid w:val="0351E3F5"/>
    <w:rsid w:val="0355728D"/>
    <w:rsid w:val="0357AD22"/>
    <w:rsid w:val="036ED651"/>
    <w:rsid w:val="0389F383"/>
    <w:rsid w:val="038A0A6E"/>
    <w:rsid w:val="03914E81"/>
    <w:rsid w:val="03982CDF"/>
    <w:rsid w:val="0399D630"/>
    <w:rsid w:val="039F14A1"/>
    <w:rsid w:val="03A6D800"/>
    <w:rsid w:val="03AA6903"/>
    <w:rsid w:val="03AE356B"/>
    <w:rsid w:val="03B35B95"/>
    <w:rsid w:val="03B4B421"/>
    <w:rsid w:val="03BC1EAC"/>
    <w:rsid w:val="03BF4E9D"/>
    <w:rsid w:val="03C092CE"/>
    <w:rsid w:val="03C0C58E"/>
    <w:rsid w:val="03C33871"/>
    <w:rsid w:val="03C66066"/>
    <w:rsid w:val="03D3A29A"/>
    <w:rsid w:val="03DB29E9"/>
    <w:rsid w:val="03E424A1"/>
    <w:rsid w:val="03EA7F3C"/>
    <w:rsid w:val="03F0C16B"/>
    <w:rsid w:val="04005C3B"/>
    <w:rsid w:val="04104A69"/>
    <w:rsid w:val="041CFD23"/>
    <w:rsid w:val="04246F3B"/>
    <w:rsid w:val="0431978A"/>
    <w:rsid w:val="043CA3E0"/>
    <w:rsid w:val="043F9B5C"/>
    <w:rsid w:val="04413655"/>
    <w:rsid w:val="044DEACD"/>
    <w:rsid w:val="044EA6E5"/>
    <w:rsid w:val="0450F4D2"/>
    <w:rsid w:val="0468F540"/>
    <w:rsid w:val="0473E7B0"/>
    <w:rsid w:val="0474BD9D"/>
    <w:rsid w:val="0477FCB2"/>
    <w:rsid w:val="047A1C8D"/>
    <w:rsid w:val="047D51EA"/>
    <w:rsid w:val="04846260"/>
    <w:rsid w:val="048B20D2"/>
    <w:rsid w:val="048CDE04"/>
    <w:rsid w:val="04991B4B"/>
    <w:rsid w:val="049F2AF3"/>
    <w:rsid w:val="04A13583"/>
    <w:rsid w:val="04AF73AD"/>
    <w:rsid w:val="04B44831"/>
    <w:rsid w:val="04C3B7BA"/>
    <w:rsid w:val="04D9AD65"/>
    <w:rsid w:val="04E0E3DA"/>
    <w:rsid w:val="04E2FDD6"/>
    <w:rsid w:val="04E4AEC3"/>
    <w:rsid w:val="04FBAC81"/>
    <w:rsid w:val="04FFD666"/>
    <w:rsid w:val="0502B5C5"/>
    <w:rsid w:val="051B4229"/>
    <w:rsid w:val="05386D58"/>
    <w:rsid w:val="053C1453"/>
    <w:rsid w:val="05459DB9"/>
    <w:rsid w:val="05464DB0"/>
    <w:rsid w:val="05611520"/>
    <w:rsid w:val="0571707E"/>
    <w:rsid w:val="0573812F"/>
    <w:rsid w:val="05742A16"/>
    <w:rsid w:val="057531F2"/>
    <w:rsid w:val="057BA52A"/>
    <w:rsid w:val="0581919D"/>
    <w:rsid w:val="0583E27F"/>
    <w:rsid w:val="059629AE"/>
    <w:rsid w:val="05B6A1AF"/>
    <w:rsid w:val="05BA7FA7"/>
    <w:rsid w:val="05C7ECEF"/>
    <w:rsid w:val="05D1F697"/>
    <w:rsid w:val="05E2A881"/>
    <w:rsid w:val="05EEB375"/>
    <w:rsid w:val="05F790EB"/>
    <w:rsid w:val="060DAE7A"/>
    <w:rsid w:val="06145A4D"/>
    <w:rsid w:val="061CE5C6"/>
    <w:rsid w:val="0624FA15"/>
    <w:rsid w:val="0634BF0F"/>
    <w:rsid w:val="0639CCE6"/>
    <w:rsid w:val="063F9CD9"/>
    <w:rsid w:val="065AA225"/>
    <w:rsid w:val="065C046F"/>
    <w:rsid w:val="06669E38"/>
    <w:rsid w:val="066C1056"/>
    <w:rsid w:val="06717B89"/>
    <w:rsid w:val="0687F8ED"/>
    <w:rsid w:val="068A187D"/>
    <w:rsid w:val="068C50E8"/>
    <w:rsid w:val="068E21E3"/>
    <w:rsid w:val="06A130E0"/>
    <w:rsid w:val="06A9A3F4"/>
    <w:rsid w:val="06BFF270"/>
    <w:rsid w:val="06C47C7F"/>
    <w:rsid w:val="06EAE8C3"/>
    <w:rsid w:val="06F57197"/>
    <w:rsid w:val="06F8762C"/>
    <w:rsid w:val="06FDB212"/>
    <w:rsid w:val="0706E3B8"/>
    <w:rsid w:val="07173316"/>
    <w:rsid w:val="073BABA3"/>
    <w:rsid w:val="074896D3"/>
    <w:rsid w:val="078BAD98"/>
    <w:rsid w:val="079EC463"/>
    <w:rsid w:val="07A187F1"/>
    <w:rsid w:val="07AA2BC9"/>
    <w:rsid w:val="07B8CB57"/>
    <w:rsid w:val="07CB145E"/>
    <w:rsid w:val="07FDCDD9"/>
    <w:rsid w:val="07FDDEEC"/>
    <w:rsid w:val="080CFED2"/>
    <w:rsid w:val="081AFA61"/>
    <w:rsid w:val="0822B514"/>
    <w:rsid w:val="0828C436"/>
    <w:rsid w:val="082D0007"/>
    <w:rsid w:val="08323CAB"/>
    <w:rsid w:val="0844A6DB"/>
    <w:rsid w:val="0847B1BF"/>
    <w:rsid w:val="08491229"/>
    <w:rsid w:val="0860FCBC"/>
    <w:rsid w:val="0883CD59"/>
    <w:rsid w:val="0887ED8D"/>
    <w:rsid w:val="08889565"/>
    <w:rsid w:val="088EEC50"/>
    <w:rsid w:val="089303BB"/>
    <w:rsid w:val="08AB196D"/>
    <w:rsid w:val="08AB6AED"/>
    <w:rsid w:val="08B0E220"/>
    <w:rsid w:val="08B9AC4F"/>
    <w:rsid w:val="08BFA204"/>
    <w:rsid w:val="08C305B9"/>
    <w:rsid w:val="08C36A79"/>
    <w:rsid w:val="08CCED9F"/>
    <w:rsid w:val="08FAD961"/>
    <w:rsid w:val="090631BA"/>
    <w:rsid w:val="0915A28E"/>
    <w:rsid w:val="0919296F"/>
    <w:rsid w:val="09310ABA"/>
    <w:rsid w:val="093A7362"/>
    <w:rsid w:val="093B90FC"/>
    <w:rsid w:val="0945D3F1"/>
    <w:rsid w:val="094685DA"/>
    <w:rsid w:val="094A3B47"/>
    <w:rsid w:val="09506F65"/>
    <w:rsid w:val="0950ADC4"/>
    <w:rsid w:val="09554BB4"/>
    <w:rsid w:val="09743291"/>
    <w:rsid w:val="09817B11"/>
    <w:rsid w:val="098891A2"/>
    <w:rsid w:val="098A9329"/>
    <w:rsid w:val="099E3741"/>
    <w:rsid w:val="09A58879"/>
    <w:rsid w:val="09AE8C24"/>
    <w:rsid w:val="09C28D9F"/>
    <w:rsid w:val="09C2CDC2"/>
    <w:rsid w:val="09CE23D1"/>
    <w:rsid w:val="09E5C5A5"/>
    <w:rsid w:val="09EE15C2"/>
    <w:rsid w:val="09FB51D8"/>
    <w:rsid w:val="0A071119"/>
    <w:rsid w:val="0A0C297E"/>
    <w:rsid w:val="0A0F5895"/>
    <w:rsid w:val="0A1277E0"/>
    <w:rsid w:val="0A18F669"/>
    <w:rsid w:val="0A1A6FA2"/>
    <w:rsid w:val="0A2128A7"/>
    <w:rsid w:val="0A21A5E2"/>
    <w:rsid w:val="0A23FAB8"/>
    <w:rsid w:val="0A34B914"/>
    <w:rsid w:val="0A3A9A60"/>
    <w:rsid w:val="0A3B6FF3"/>
    <w:rsid w:val="0A42A282"/>
    <w:rsid w:val="0A54D317"/>
    <w:rsid w:val="0A5FB976"/>
    <w:rsid w:val="0A740268"/>
    <w:rsid w:val="0A7DB7A0"/>
    <w:rsid w:val="0A97FA14"/>
    <w:rsid w:val="0AA7DEBD"/>
    <w:rsid w:val="0AB78D41"/>
    <w:rsid w:val="0ABB5524"/>
    <w:rsid w:val="0ABCFA67"/>
    <w:rsid w:val="0AC3B655"/>
    <w:rsid w:val="0AD04833"/>
    <w:rsid w:val="0AD2869E"/>
    <w:rsid w:val="0AD460BA"/>
    <w:rsid w:val="0AD6B7DF"/>
    <w:rsid w:val="0AE084DB"/>
    <w:rsid w:val="0AF7D41C"/>
    <w:rsid w:val="0B1618EA"/>
    <w:rsid w:val="0B2C8BF7"/>
    <w:rsid w:val="0B2CB441"/>
    <w:rsid w:val="0B30C040"/>
    <w:rsid w:val="0B34D723"/>
    <w:rsid w:val="0B379C31"/>
    <w:rsid w:val="0B3FD0D7"/>
    <w:rsid w:val="0B4165A6"/>
    <w:rsid w:val="0B48D3E2"/>
    <w:rsid w:val="0B5005F9"/>
    <w:rsid w:val="0B51F6FD"/>
    <w:rsid w:val="0B53269A"/>
    <w:rsid w:val="0B69A028"/>
    <w:rsid w:val="0B6CF1D6"/>
    <w:rsid w:val="0B6F2EBC"/>
    <w:rsid w:val="0B7182E6"/>
    <w:rsid w:val="0B9C1D79"/>
    <w:rsid w:val="0BA46A1D"/>
    <w:rsid w:val="0BA7C41C"/>
    <w:rsid w:val="0BB5B93A"/>
    <w:rsid w:val="0BBE01B9"/>
    <w:rsid w:val="0BD9C196"/>
    <w:rsid w:val="0BEC43D0"/>
    <w:rsid w:val="0BF217E0"/>
    <w:rsid w:val="0C0A85F1"/>
    <w:rsid w:val="0C14808C"/>
    <w:rsid w:val="0C180ECE"/>
    <w:rsid w:val="0C1CC421"/>
    <w:rsid w:val="0C2E42FD"/>
    <w:rsid w:val="0C3676D1"/>
    <w:rsid w:val="0C370ECF"/>
    <w:rsid w:val="0C5289CD"/>
    <w:rsid w:val="0C53F438"/>
    <w:rsid w:val="0C587E1A"/>
    <w:rsid w:val="0C5BDE84"/>
    <w:rsid w:val="0C620937"/>
    <w:rsid w:val="0C653A06"/>
    <w:rsid w:val="0C797795"/>
    <w:rsid w:val="0C7C402C"/>
    <w:rsid w:val="0C97B38D"/>
    <w:rsid w:val="0C987F23"/>
    <w:rsid w:val="0C9E6B75"/>
    <w:rsid w:val="0C9F373E"/>
    <w:rsid w:val="0CA0B08D"/>
    <w:rsid w:val="0CA5EA41"/>
    <w:rsid w:val="0CA763EC"/>
    <w:rsid w:val="0CB7DFB1"/>
    <w:rsid w:val="0CBAC30E"/>
    <w:rsid w:val="0CC84761"/>
    <w:rsid w:val="0CC85AA4"/>
    <w:rsid w:val="0CCC5716"/>
    <w:rsid w:val="0CD2C2CA"/>
    <w:rsid w:val="0CEA8E22"/>
    <w:rsid w:val="0CEAAE5F"/>
    <w:rsid w:val="0CEBD6EA"/>
    <w:rsid w:val="0D0F02D2"/>
    <w:rsid w:val="0D17435A"/>
    <w:rsid w:val="0D3F65E0"/>
    <w:rsid w:val="0D4421B1"/>
    <w:rsid w:val="0D4CB8F3"/>
    <w:rsid w:val="0D58EA4E"/>
    <w:rsid w:val="0D5F0850"/>
    <w:rsid w:val="0D6632C4"/>
    <w:rsid w:val="0D75C869"/>
    <w:rsid w:val="0D9300AC"/>
    <w:rsid w:val="0D9411E4"/>
    <w:rsid w:val="0D9FCE87"/>
    <w:rsid w:val="0DA35C34"/>
    <w:rsid w:val="0DBBDD82"/>
    <w:rsid w:val="0DD5D522"/>
    <w:rsid w:val="0DDA35BF"/>
    <w:rsid w:val="0DDBDD66"/>
    <w:rsid w:val="0DDC443E"/>
    <w:rsid w:val="0E0227A2"/>
    <w:rsid w:val="0E0806A6"/>
    <w:rsid w:val="0E1BF1F6"/>
    <w:rsid w:val="0E20E770"/>
    <w:rsid w:val="0E294E5F"/>
    <w:rsid w:val="0E3DC50E"/>
    <w:rsid w:val="0E3E5E9E"/>
    <w:rsid w:val="0E3F6F9F"/>
    <w:rsid w:val="0E4C979F"/>
    <w:rsid w:val="0E4F99D0"/>
    <w:rsid w:val="0E61B988"/>
    <w:rsid w:val="0E6786FB"/>
    <w:rsid w:val="0E6F470C"/>
    <w:rsid w:val="0E70C425"/>
    <w:rsid w:val="0E7193FD"/>
    <w:rsid w:val="0E720E80"/>
    <w:rsid w:val="0E75C468"/>
    <w:rsid w:val="0E89D528"/>
    <w:rsid w:val="0EA1D18D"/>
    <w:rsid w:val="0EB02123"/>
    <w:rsid w:val="0EB8D39E"/>
    <w:rsid w:val="0EBB0D60"/>
    <w:rsid w:val="0EC1AFAF"/>
    <w:rsid w:val="0EDBE699"/>
    <w:rsid w:val="0EF7D40D"/>
    <w:rsid w:val="0EFAB396"/>
    <w:rsid w:val="0EFFA189"/>
    <w:rsid w:val="0F0E9234"/>
    <w:rsid w:val="0F21FD67"/>
    <w:rsid w:val="0F2692F0"/>
    <w:rsid w:val="0F341E75"/>
    <w:rsid w:val="0F3ED5AA"/>
    <w:rsid w:val="0F4B310C"/>
    <w:rsid w:val="0F4E5A6B"/>
    <w:rsid w:val="0F5BCA59"/>
    <w:rsid w:val="0F683F35"/>
    <w:rsid w:val="0F6DDA11"/>
    <w:rsid w:val="0F79354A"/>
    <w:rsid w:val="0F8F0AEC"/>
    <w:rsid w:val="0F923136"/>
    <w:rsid w:val="0FAB7976"/>
    <w:rsid w:val="0FC42CB3"/>
    <w:rsid w:val="0FCF7D33"/>
    <w:rsid w:val="0FDFD08C"/>
    <w:rsid w:val="0FEC25DA"/>
    <w:rsid w:val="0FF52BA4"/>
    <w:rsid w:val="0FF7D2A0"/>
    <w:rsid w:val="0FFA2F8E"/>
    <w:rsid w:val="0FFFA367"/>
    <w:rsid w:val="0FFFE91D"/>
    <w:rsid w:val="1002CDA3"/>
    <w:rsid w:val="10062EAE"/>
    <w:rsid w:val="1008112D"/>
    <w:rsid w:val="100A31B6"/>
    <w:rsid w:val="10129D5E"/>
    <w:rsid w:val="102D992E"/>
    <w:rsid w:val="102E2633"/>
    <w:rsid w:val="103A43D2"/>
    <w:rsid w:val="104155FC"/>
    <w:rsid w:val="1042D130"/>
    <w:rsid w:val="106B2673"/>
    <w:rsid w:val="10760342"/>
    <w:rsid w:val="1078E1F7"/>
    <w:rsid w:val="10825801"/>
    <w:rsid w:val="10851F79"/>
    <w:rsid w:val="10982856"/>
    <w:rsid w:val="10A74663"/>
    <w:rsid w:val="10AD0FBD"/>
    <w:rsid w:val="10B11D82"/>
    <w:rsid w:val="10B9177C"/>
    <w:rsid w:val="10C2F9B1"/>
    <w:rsid w:val="10C9C954"/>
    <w:rsid w:val="10CBD85E"/>
    <w:rsid w:val="10CF942E"/>
    <w:rsid w:val="10D0994F"/>
    <w:rsid w:val="10D1EFA1"/>
    <w:rsid w:val="10DA6DA4"/>
    <w:rsid w:val="10E09261"/>
    <w:rsid w:val="10E209C5"/>
    <w:rsid w:val="10E79A39"/>
    <w:rsid w:val="110CFD14"/>
    <w:rsid w:val="110D0564"/>
    <w:rsid w:val="110F82B8"/>
    <w:rsid w:val="1132C534"/>
    <w:rsid w:val="1143437A"/>
    <w:rsid w:val="1154FA55"/>
    <w:rsid w:val="115D4E2D"/>
    <w:rsid w:val="116156B4"/>
    <w:rsid w:val="11733713"/>
    <w:rsid w:val="117612D4"/>
    <w:rsid w:val="117C3124"/>
    <w:rsid w:val="117CD4AA"/>
    <w:rsid w:val="11970D47"/>
    <w:rsid w:val="119E3C2B"/>
    <w:rsid w:val="119F4949"/>
    <w:rsid w:val="11B194D8"/>
    <w:rsid w:val="11B5BEA0"/>
    <w:rsid w:val="11BC901E"/>
    <w:rsid w:val="11DB6F5F"/>
    <w:rsid w:val="11E594BB"/>
    <w:rsid w:val="120AB7A7"/>
    <w:rsid w:val="120E0A62"/>
    <w:rsid w:val="1219D2BF"/>
    <w:rsid w:val="123EE532"/>
    <w:rsid w:val="1254BE99"/>
    <w:rsid w:val="12586FBF"/>
    <w:rsid w:val="12617067"/>
    <w:rsid w:val="126DEE0E"/>
    <w:rsid w:val="1275F9DE"/>
    <w:rsid w:val="1294E642"/>
    <w:rsid w:val="12AEA291"/>
    <w:rsid w:val="12C4AD4C"/>
    <w:rsid w:val="12CDF98F"/>
    <w:rsid w:val="12D3E39F"/>
    <w:rsid w:val="12E8DF0D"/>
    <w:rsid w:val="12ED38BB"/>
    <w:rsid w:val="1301FF77"/>
    <w:rsid w:val="131B5686"/>
    <w:rsid w:val="131F9B53"/>
    <w:rsid w:val="13208BA1"/>
    <w:rsid w:val="132CF8DC"/>
    <w:rsid w:val="132ECFBD"/>
    <w:rsid w:val="134DD0E1"/>
    <w:rsid w:val="13562CF3"/>
    <w:rsid w:val="135EEA51"/>
    <w:rsid w:val="1365BFB6"/>
    <w:rsid w:val="136C4B7B"/>
    <w:rsid w:val="13753F19"/>
    <w:rsid w:val="13872D2C"/>
    <w:rsid w:val="1388D774"/>
    <w:rsid w:val="1397495B"/>
    <w:rsid w:val="13AD586B"/>
    <w:rsid w:val="13AE8EDB"/>
    <w:rsid w:val="13B38A73"/>
    <w:rsid w:val="13BCC7D9"/>
    <w:rsid w:val="13C36484"/>
    <w:rsid w:val="13C8919E"/>
    <w:rsid w:val="13CF4C6E"/>
    <w:rsid w:val="13CFC42C"/>
    <w:rsid w:val="13D6ED75"/>
    <w:rsid w:val="13F0DB5F"/>
    <w:rsid w:val="13F52BA9"/>
    <w:rsid w:val="13FDA411"/>
    <w:rsid w:val="1404B10A"/>
    <w:rsid w:val="1428270D"/>
    <w:rsid w:val="14437235"/>
    <w:rsid w:val="144CD52F"/>
    <w:rsid w:val="145D2699"/>
    <w:rsid w:val="14616E0F"/>
    <w:rsid w:val="14670271"/>
    <w:rsid w:val="146F33C2"/>
    <w:rsid w:val="147A8F95"/>
    <w:rsid w:val="148B705D"/>
    <w:rsid w:val="1494F41B"/>
    <w:rsid w:val="1497C98D"/>
    <w:rsid w:val="149B3EAE"/>
    <w:rsid w:val="149B4D0F"/>
    <w:rsid w:val="14A7A838"/>
    <w:rsid w:val="14B4D043"/>
    <w:rsid w:val="14C031FB"/>
    <w:rsid w:val="14C3199D"/>
    <w:rsid w:val="14CCA56B"/>
    <w:rsid w:val="14DF1E00"/>
    <w:rsid w:val="14EA29C2"/>
    <w:rsid w:val="14EAE15D"/>
    <w:rsid w:val="14EF6922"/>
    <w:rsid w:val="14F7DF69"/>
    <w:rsid w:val="14FDEA6E"/>
    <w:rsid w:val="14FE2BC3"/>
    <w:rsid w:val="1504EE8C"/>
    <w:rsid w:val="151322DD"/>
    <w:rsid w:val="15198D1B"/>
    <w:rsid w:val="151F49DB"/>
    <w:rsid w:val="1528B099"/>
    <w:rsid w:val="1533BC2F"/>
    <w:rsid w:val="15366DE2"/>
    <w:rsid w:val="1548E3B1"/>
    <w:rsid w:val="155E0404"/>
    <w:rsid w:val="1564E57B"/>
    <w:rsid w:val="156623BF"/>
    <w:rsid w:val="15674262"/>
    <w:rsid w:val="157302B5"/>
    <w:rsid w:val="15746F42"/>
    <w:rsid w:val="1576D443"/>
    <w:rsid w:val="1585FA3A"/>
    <w:rsid w:val="15900C21"/>
    <w:rsid w:val="15AB764F"/>
    <w:rsid w:val="15B3DC0D"/>
    <w:rsid w:val="15B86EDC"/>
    <w:rsid w:val="15C1B60F"/>
    <w:rsid w:val="15D1F2FD"/>
    <w:rsid w:val="15D4AD8F"/>
    <w:rsid w:val="15D8EE97"/>
    <w:rsid w:val="15E8587A"/>
    <w:rsid w:val="15E93029"/>
    <w:rsid w:val="160C884D"/>
    <w:rsid w:val="1613C88E"/>
    <w:rsid w:val="161A996E"/>
    <w:rsid w:val="16205D17"/>
    <w:rsid w:val="162F4641"/>
    <w:rsid w:val="1634C667"/>
    <w:rsid w:val="16389004"/>
    <w:rsid w:val="165BC5F5"/>
    <w:rsid w:val="1660D95F"/>
    <w:rsid w:val="166584AA"/>
    <w:rsid w:val="1666AF7D"/>
    <w:rsid w:val="16734E37"/>
    <w:rsid w:val="167C5628"/>
    <w:rsid w:val="1689946A"/>
    <w:rsid w:val="168A7FF1"/>
    <w:rsid w:val="168EC16B"/>
    <w:rsid w:val="1698189A"/>
    <w:rsid w:val="169E0A52"/>
    <w:rsid w:val="16A75035"/>
    <w:rsid w:val="16A9C345"/>
    <w:rsid w:val="16C0E166"/>
    <w:rsid w:val="16D5AAD6"/>
    <w:rsid w:val="16EC130C"/>
    <w:rsid w:val="16F4CD42"/>
    <w:rsid w:val="16F761AE"/>
    <w:rsid w:val="16F92BDD"/>
    <w:rsid w:val="17069E15"/>
    <w:rsid w:val="1714B986"/>
    <w:rsid w:val="17159947"/>
    <w:rsid w:val="171D9AC4"/>
    <w:rsid w:val="1727F3B8"/>
    <w:rsid w:val="17459240"/>
    <w:rsid w:val="1746C375"/>
    <w:rsid w:val="17501B99"/>
    <w:rsid w:val="175ACFA1"/>
    <w:rsid w:val="1760F560"/>
    <w:rsid w:val="1771B5A5"/>
    <w:rsid w:val="1777B400"/>
    <w:rsid w:val="177BCF59"/>
    <w:rsid w:val="179905B2"/>
    <w:rsid w:val="179BE4DF"/>
    <w:rsid w:val="179E45FF"/>
    <w:rsid w:val="17AC7A13"/>
    <w:rsid w:val="17AE83A6"/>
    <w:rsid w:val="17B1A6FA"/>
    <w:rsid w:val="17B342FD"/>
    <w:rsid w:val="17B5F1EC"/>
    <w:rsid w:val="17BB4B64"/>
    <w:rsid w:val="17C6E03E"/>
    <w:rsid w:val="17CC993D"/>
    <w:rsid w:val="17CFBF46"/>
    <w:rsid w:val="17D19847"/>
    <w:rsid w:val="17D80854"/>
    <w:rsid w:val="17DED96B"/>
    <w:rsid w:val="17DF1133"/>
    <w:rsid w:val="17E854E5"/>
    <w:rsid w:val="17F1E601"/>
    <w:rsid w:val="17F74248"/>
    <w:rsid w:val="17F9ED61"/>
    <w:rsid w:val="180369C2"/>
    <w:rsid w:val="1803AEB5"/>
    <w:rsid w:val="1810ED7D"/>
    <w:rsid w:val="181E3134"/>
    <w:rsid w:val="181F0C5D"/>
    <w:rsid w:val="1825A946"/>
    <w:rsid w:val="1826B236"/>
    <w:rsid w:val="182F2A0F"/>
    <w:rsid w:val="183027C0"/>
    <w:rsid w:val="183EAC99"/>
    <w:rsid w:val="1859F633"/>
    <w:rsid w:val="185E1E3A"/>
    <w:rsid w:val="18666BC4"/>
    <w:rsid w:val="186A13F6"/>
    <w:rsid w:val="18733016"/>
    <w:rsid w:val="187474D5"/>
    <w:rsid w:val="1880E188"/>
    <w:rsid w:val="188B49EA"/>
    <w:rsid w:val="188BF707"/>
    <w:rsid w:val="188C935B"/>
    <w:rsid w:val="188CD680"/>
    <w:rsid w:val="189B18C4"/>
    <w:rsid w:val="18A0CD59"/>
    <w:rsid w:val="18A48434"/>
    <w:rsid w:val="18AB28E1"/>
    <w:rsid w:val="18AB6EE2"/>
    <w:rsid w:val="18ABD9BC"/>
    <w:rsid w:val="18AE66EA"/>
    <w:rsid w:val="18BB9F50"/>
    <w:rsid w:val="18BF22EB"/>
    <w:rsid w:val="18D94778"/>
    <w:rsid w:val="18DCFDCE"/>
    <w:rsid w:val="18DDD92A"/>
    <w:rsid w:val="18F6C030"/>
    <w:rsid w:val="18FFD9B5"/>
    <w:rsid w:val="19003DAC"/>
    <w:rsid w:val="192A9831"/>
    <w:rsid w:val="193250A1"/>
    <w:rsid w:val="193DED47"/>
    <w:rsid w:val="193E1735"/>
    <w:rsid w:val="19468D08"/>
    <w:rsid w:val="19507829"/>
    <w:rsid w:val="19538E1F"/>
    <w:rsid w:val="195B2445"/>
    <w:rsid w:val="196933F8"/>
    <w:rsid w:val="197B42BD"/>
    <w:rsid w:val="197E0B63"/>
    <w:rsid w:val="197E2568"/>
    <w:rsid w:val="1992CBBD"/>
    <w:rsid w:val="199AFB0C"/>
    <w:rsid w:val="199EB6F1"/>
    <w:rsid w:val="199FA836"/>
    <w:rsid w:val="19A0EB13"/>
    <w:rsid w:val="19A24F86"/>
    <w:rsid w:val="19A2738B"/>
    <w:rsid w:val="19B2D2C4"/>
    <w:rsid w:val="19BA44C0"/>
    <w:rsid w:val="19C311A6"/>
    <w:rsid w:val="19C4812D"/>
    <w:rsid w:val="19CD1EA8"/>
    <w:rsid w:val="19D9F8C9"/>
    <w:rsid w:val="19EA3554"/>
    <w:rsid w:val="19EB4CE1"/>
    <w:rsid w:val="19F7551E"/>
    <w:rsid w:val="19FA6232"/>
    <w:rsid w:val="19FB6BF6"/>
    <w:rsid w:val="1A011885"/>
    <w:rsid w:val="1A04A417"/>
    <w:rsid w:val="1A0A5B81"/>
    <w:rsid w:val="1A2511AA"/>
    <w:rsid w:val="1A310BE0"/>
    <w:rsid w:val="1A4BB0C2"/>
    <w:rsid w:val="1A4DE4F2"/>
    <w:rsid w:val="1A4E9664"/>
    <w:rsid w:val="1A5048C4"/>
    <w:rsid w:val="1A59E07C"/>
    <w:rsid w:val="1A5B8285"/>
    <w:rsid w:val="1A64C246"/>
    <w:rsid w:val="1A67FCEE"/>
    <w:rsid w:val="1A6A1F34"/>
    <w:rsid w:val="1A7EB976"/>
    <w:rsid w:val="1A81C024"/>
    <w:rsid w:val="1A87D77C"/>
    <w:rsid w:val="1A99788C"/>
    <w:rsid w:val="1A9FBCEF"/>
    <w:rsid w:val="1AA4F1E7"/>
    <w:rsid w:val="1AAF86F4"/>
    <w:rsid w:val="1AE97C36"/>
    <w:rsid w:val="1AEC7FD8"/>
    <w:rsid w:val="1AF1D1F9"/>
    <w:rsid w:val="1AF9116A"/>
    <w:rsid w:val="1B0548B6"/>
    <w:rsid w:val="1B0762A9"/>
    <w:rsid w:val="1B1DAD00"/>
    <w:rsid w:val="1B27B8DB"/>
    <w:rsid w:val="1B28D313"/>
    <w:rsid w:val="1B29C41A"/>
    <w:rsid w:val="1B36642C"/>
    <w:rsid w:val="1B3C0271"/>
    <w:rsid w:val="1B4CB017"/>
    <w:rsid w:val="1B4E0158"/>
    <w:rsid w:val="1B501047"/>
    <w:rsid w:val="1B5186B2"/>
    <w:rsid w:val="1B51F6FD"/>
    <w:rsid w:val="1B5BDFE8"/>
    <w:rsid w:val="1B66DAC4"/>
    <w:rsid w:val="1B79D0DC"/>
    <w:rsid w:val="1B7C5033"/>
    <w:rsid w:val="1B9A7DE8"/>
    <w:rsid w:val="1BA46BDE"/>
    <w:rsid w:val="1BB0B003"/>
    <w:rsid w:val="1BB9616E"/>
    <w:rsid w:val="1BBF1819"/>
    <w:rsid w:val="1BD49537"/>
    <w:rsid w:val="1BD88470"/>
    <w:rsid w:val="1BDDFDDC"/>
    <w:rsid w:val="1BE09AFD"/>
    <w:rsid w:val="1BE0C159"/>
    <w:rsid w:val="1BE2D068"/>
    <w:rsid w:val="1BFA5099"/>
    <w:rsid w:val="1BFDA634"/>
    <w:rsid w:val="1C05FBBF"/>
    <w:rsid w:val="1C27C793"/>
    <w:rsid w:val="1C2B4913"/>
    <w:rsid w:val="1C2C39D1"/>
    <w:rsid w:val="1C2D85E5"/>
    <w:rsid w:val="1C2EC693"/>
    <w:rsid w:val="1C364AD7"/>
    <w:rsid w:val="1C3A86AC"/>
    <w:rsid w:val="1C4CC8AF"/>
    <w:rsid w:val="1C578A2E"/>
    <w:rsid w:val="1C5C41EC"/>
    <w:rsid w:val="1C62394F"/>
    <w:rsid w:val="1C630058"/>
    <w:rsid w:val="1C652F9D"/>
    <w:rsid w:val="1C672DBF"/>
    <w:rsid w:val="1C85BF02"/>
    <w:rsid w:val="1C99D5A6"/>
    <w:rsid w:val="1CA5FEAD"/>
    <w:rsid w:val="1CAEE7B3"/>
    <w:rsid w:val="1CC46356"/>
    <w:rsid w:val="1CCE13F4"/>
    <w:rsid w:val="1CEF2C73"/>
    <w:rsid w:val="1CF02B44"/>
    <w:rsid w:val="1CF3AC70"/>
    <w:rsid w:val="1D08E87F"/>
    <w:rsid w:val="1D0953CB"/>
    <w:rsid w:val="1D0D061D"/>
    <w:rsid w:val="1D10BD20"/>
    <w:rsid w:val="1D1A5495"/>
    <w:rsid w:val="1D1CCE67"/>
    <w:rsid w:val="1D284603"/>
    <w:rsid w:val="1D2A24A8"/>
    <w:rsid w:val="1D5CBAAF"/>
    <w:rsid w:val="1D5D02AD"/>
    <w:rsid w:val="1D66B2A5"/>
    <w:rsid w:val="1D6991B9"/>
    <w:rsid w:val="1D7B72D6"/>
    <w:rsid w:val="1D8EA2BF"/>
    <w:rsid w:val="1D9A5BA4"/>
    <w:rsid w:val="1DB19DE1"/>
    <w:rsid w:val="1DCA0D6D"/>
    <w:rsid w:val="1DCF798D"/>
    <w:rsid w:val="1DD6293C"/>
    <w:rsid w:val="1DE9A2EF"/>
    <w:rsid w:val="1DF04F5E"/>
    <w:rsid w:val="1DF33302"/>
    <w:rsid w:val="1DF4B8C3"/>
    <w:rsid w:val="1DF5B974"/>
    <w:rsid w:val="1DF7A2E4"/>
    <w:rsid w:val="1DFE02FB"/>
    <w:rsid w:val="1E00FDE3"/>
    <w:rsid w:val="1E148369"/>
    <w:rsid w:val="1E1BBD98"/>
    <w:rsid w:val="1E4EA1BA"/>
    <w:rsid w:val="1E605CBD"/>
    <w:rsid w:val="1E650DE0"/>
    <w:rsid w:val="1E6E4A90"/>
    <w:rsid w:val="1E96D235"/>
    <w:rsid w:val="1EA0C8BD"/>
    <w:rsid w:val="1EBF8EED"/>
    <w:rsid w:val="1ECBC823"/>
    <w:rsid w:val="1EE94E76"/>
    <w:rsid w:val="1F0B0709"/>
    <w:rsid w:val="1F1026FB"/>
    <w:rsid w:val="1F14B9FC"/>
    <w:rsid w:val="1F16D2FD"/>
    <w:rsid w:val="1F16D978"/>
    <w:rsid w:val="1F21073D"/>
    <w:rsid w:val="1F21D6DF"/>
    <w:rsid w:val="1F23EA72"/>
    <w:rsid w:val="1F2E6724"/>
    <w:rsid w:val="1F2F4E99"/>
    <w:rsid w:val="1F2F9D2E"/>
    <w:rsid w:val="1F38DA6F"/>
    <w:rsid w:val="1F46D770"/>
    <w:rsid w:val="1F5288C5"/>
    <w:rsid w:val="1F67230A"/>
    <w:rsid w:val="1F6E0A5A"/>
    <w:rsid w:val="1F742E7B"/>
    <w:rsid w:val="1F82529D"/>
    <w:rsid w:val="1FBA8E33"/>
    <w:rsid w:val="1FDE4334"/>
    <w:rsid w:val="1FEB1069"/>
    <w:rsid w:val="1FF6081B"/>
    <w:rsid w:val="1FF7C954"/>
    <w:rsid w:val="1FFED8B0"/>
    <w:rsid w:val="201705B6"/>
    <w:rsid w:val="201B44E2"/>
    <w:rsid w:val="203188FA"/>
    <w:rsid w:val="2035602F"/>
    <w:rsid w:val="20364F39"/>
    <w:rsid w:val="205A121F"/>
    <w:rsid w:val="205F7188"/>
    <w:rsid w:val="20719E1A"/>
    <w:rsid w:val="2091C116"/>
    <w:rsid w:val="20920858"/>
    <w:rsid w:val="209CADC2"/>
    <w:rsid w:val="209E1790"/>
    <w:rsid w:val="20AA8795"/>
    <w:rsid w:val="20B7A2A6"/>
    <w:rsid w:val="20C42493"/>
    <w:rsid w:val="20D12321"/>
    <w:rsid w:val="20E6E786"/>
    <w:rsid w:val="20EC82BA"/>
    <w:rsid w:val="21019DEA"/>
    <w:rsid w:val="21080E77"/>
    <w:rsid w:val="2109195E"/>
    <w:rsid w:val="211AC838"/>
    <w:rsid w:val="2140532D"/>
    <w:rsid w:val="21416B38"/>
    <w:rsid w:val="21545FE7"/>
    <w:rsid w:val="21578E2A"/>
    <w:rsid w:val="215A52A0"/>
    <w:rsid w:val="2168B593"/>
    <w:rsid w:val="2174D501"/>
    <w:rsid w:val="218C5E7B"/>
    <w:rsid w:val="218D28C4"/>
    <w:rsid w:val="21939558"/>
    <w:rsid w:val="21957040"/>
    <w:rsid w:val="21A14BE1"/>
    <w:rsid w:val="21BFA267"/>
    <w:rsid w:val="21C0B4AC"/>
    <w:rsid w:val="21C8F767"/>
    <w:rsid w:val="21CC221C"/>
    <w:rsid w:val="21CF3B41"/>
    <w:rsid w:val="21D0AF14"/>
    <w:rsid w:val="21E99534"/>
    <w:rsid w:val="21F3D5C1"/>
    <w:rsid w:val="21FB0480"/>
    <w:rsid w:val="21FB81F3"/>
    <w:rsid w:val="21FF9F4B"/>
    <w:rsid w:val="220524B0"/>
    <w:rsid w:val="220A1B49"/>
    <w:rsid w:val="220A5D44"/>
    <w:rsid w:val="220AB753"/>
    <w:rsid w:val="2217B66A"/>
    <w:rsid w:val="22211B70"/>
    <w:rsid w:val="222476D5"/>
    <w:rsid w:val="2229B153"/>
    <w:rsid w:val="222DE53C"/>
    <w:rsid w:val="2234609E"/>
    <w:rsid w:val="223514D0"/>
    <w:rsid w:val="2240698E"/>
    <w:rsid w:val="224D240C"/>
    <w:rsid w:val="22552387"/>
    <w:rsid w:val="225A66DA"/>
    <w:rsid w:val="225CDF2F"/>
    <w:rsid w:val="227D7512"/>
    <w:rsid w:val="228A7B00"/>
    <w:rsid w:val="228C8406"/>
    <w:rsid w:val="22953BAE"/>
    <w:rsid w:val="2297EF67"/>
    <w:rsid w:val="22987F82"/>
    <w:rsid w:val="22ADF42D"/>
    <w:rsid w:val="22BA288C"/>
    <w:rsid w:val="22CA5A92"/>
    <w:rsid w:val="22D3D9CD"/>
    <w:rsid w:val="22D75035"/>
    <w:rsid w:val="230E2DF0"/>
    <w:rsid w:val="231EF6BB"/>
    <w:rsid w:val="23320193"/>
    <w:rsid w:val="23391FB0"/>
    <w:rsid w:val="234D026A"/>
    <w:rsid w:val="234E9BF0"/>
    <w:rsid w:val="2354ECAD"/>
    <w:rsid w:val="23568672"/>
    <w:rsid w:val="235FF7EE"/>
    <w:rsid w:val="23607F01"/>
    <w:rsid w:val="236D1D08"/>
    <w:rsid w:val="238370CD"/>
    <w:rsid w:val="2384E7BE"/>
    <w:rsid w:val="23863109"/>
    <w:rsid w:val="23952745"/>
    <w:rsid w:val="239AEA6D"/>
    <w:rsid w:val="23A7BCAA"/>
    <w:rsid w:val="23AF705E"/>
    <w:rsid w:val="23B6F04B"/>
    <w:rsid w:val="23BB0EAF"/>
    <w:rsid w:val="23E8BCDA"/>
    <w:rsid w:val="23EB75B1"/>
    <w:rsid w:val="240D7857"/>
    <w:rsid w:val="240F54ED"/>
    <w:rsid w:val="2410CDDA"/>
    <w:rsid w:val="241965AD"/>
    <w:rsid w:val="241BA82A"/>
    <w:rsid w:val="24201129"/>
    <w:rsid w:val="243FC32A"/>
    <w:rsid w:val="244C3310"/>
    <w:rsid w:val="2453E6C0"/>
    <w:rsid w:val="245960A3"/>
    <w:rsid w:val="246554A2"/>
    <w:rsid w:val="2473CA03"/>
    <w:rsid w:val="247A196B"/>
    <w:rsid w:val="248F3E00"/>
    <w:rsid w:val="2494FC8E"/>
    <w:rsid w:val="24A35481"/>
    <w:rsid w:val="24A918D0"/>
    <w:rsid w:val="24AF5D87"/>
    <w:rsid w:val="24B10C32"/>
    <w:rsid w:val="24B1DC57"/>
    <w:rsid w:val="24BF88E2"/>
    <w:rsid w:val="24C1B883"/>
    <w:rsid w:val="24C5726D"/>
    <w:rsid w:val="24C88638"/>
    <w:rsid w:val="24CBBF77"/>
    <w:rsid w:val="24DDFCBD"/>
    <w:rsid w:val="24EA3545"/>
    <w:rsid w:val="24EA729D"/>
    <w:rsid w:val="24F02163"/>
    <w:rsid w:val="24F8F539"/>
    <w:rsid w:val="25189CEE"/>
    <w:rsid w:val="252733E3"/>
    <w:rsid w:val="2540DDD8"/>
    <w:rsid w:val="2553E686"/>
    <w:rsid w:val="255761C0"/>
    <w:rsid w:val="255D02FD"/>
    <w:rsid w:val="2561161E"/>
    <w:rsid w:val="257A332B"/>
    <w:rsid w:val="257F50D8"/>
    <w:rsid w:val="25808C51"/>
    <w:rsid w:val="2595C563"/>
    <w:rsid w:val="25ABFA59"/>
    <w:rsid w:val="25AFE904"/>
    <w:rsid w:val="25B72020"/>
    <w:rsid w:val="25BD8C93"/>
    <w:rsid w:val="25C6BD4E"/>
    <w:rsid w:val="25CB0610"/>
    <w:rsid w:val="2601810D"/>
    <w:rsid w:val="260B9D73"/>
    <w:rsid w:val="260C9F9A"/>
    <w:rsid w:val="260D58A4"/>
    <w:rsid w:val="26100500"/>
    <w:rsid w:val="2615487A"/>
    <w:rsid w:val="2616D17D"/>
    <w:rsid w:val="262015BC"/>
    <w:rsid w:val="26215757"/>
    <w:rsid w:val="26350488"/>
    <w:rsid w:val="263B7CF3"/>
    <w:rsid w:val="263C37C9"/>
    <w:rsid w:val="2641A146"/>
    <w:rsid w:val="264687FF"/>
    <w:rsid w:val="26481152"/>
    <w:rsid w:val="2649EC0C"/>
    <w:rsid w:val="264AE42F"/>
    <w:rsid w:val="264FACF9"/>
    <w:rsid w:val="2654387D"/>
    <w:rsid w:val="266DFEAC"/>
    <w:rsid w:val="267320DA"/>
    <w:rsid w:val="267B8F4E"/>
    <w:rsid w:val="267D5229"/>
    <w:rsid w:val="26843A94"/>
    <w:rsid w:val="26878D77"/>
    <w:rsid w:val="2693684A"/>
    <w:rsid w:val="269F7046"/>
    <w:rsid w:val="26A20B1D"/>
    <w:rsid w:val="26A8AC71"/>
    <w:rsid w:val="26B9810C"/>
    <w:rsid w:val="26BBD02E"/>
    <w:rsid w:val="26C52396"/>
    <w:rsid w:val="26D4FD32"/>
    <w:rsid w:val="26D87879"/>
    <w:rsid w:val="26D8DCB4"/>
    <w:rsid w:val="26FF81AF"/>
    <w:rsid w:val="2705F7A5"/>
    <w:rsid w:val="270A24C1"/>
    <w:rsid w:val="27204038"/>
    <w:rsid w:val="2730035E"/>
    <w:rsid w:val="2737044F"/>
    <w:rsid w:val="27493894"/>
    <w:rsid w:val="274FD299"/>
    <w:rsid w:val="27610411"/>
    <w:rsid w:val="27654F3B"/>
    <w:rsid w:val="277AB517"/>
    <w:rsid w:val="277B65F6"/>
    <w:rsid w:val="2799C9DF"/>
    <w:rsid w:val="27A43026"/>
    <w:rsid w:val="27ADD09A"/>
    <w:rsid w:val="27B3619C"/>
    <w:rsid w:val="27BBF664"/>
    <w:rsid w:val="27C41EE2"/>
    <w:rsid w:val="27CB3335"/>
    <w:rsid w:val="27D314DD"/>
    <w:rsid w:val="27E3ADEF"/>
    <w:rsid w:val="27E725E2"/>
    <w:rsid w:val="27E7D155"/>
    <w:rsid w:val="27E88203"/>
    <w:rsid w:val="27EA4B72"/>
    <w:rsid w:val="27ECA13B"/>
    <w:rsid w:val="27EF6173"/>
    <w:rsid w:val="27FBF7E6"/>
    <w:rsid w:val="27FF9C0E"/>
    <w:rsid w:val="280B95FA"/>
    <w:rsid w:val="2814CAA4"/>
    <w:rsid w:val="283922AA"/>
    <w:rsid w:val="2847AC50"/>
    <w:rsid w:val="2848CE3B"/>
    <w:rsid w:val="28495EC2"/>
    <w:rsid w:val="285D2E7A"/>
    <w:rsid w:val="285E63E5"/>
    <w:rsid w:val="28693F68"/>
    <w:rsid w:val="286F3057"/>
    <w:rsid w:val="287314D5"/>
    <w:rsid w:val="287903B9"/>
    <w:rsid w:val="287BB4B6"/>
    <w:rsid w:val="288CBC4D"/>
    <w:rsid w:val="2890E84A"/>
    <w:rsid w:val="2898D789"/>
    <w:rsid w:val="2899429B"/>
    <w:rsid w:val="28AB538D"/>
    <w:rsid w:val="28AC2490"/>
    <w:rsid w:val="28AE6894"/>
    <w:rsid w:val="28B94CF8"/>
    <w:rsid w:val="28B9CBAF"/>
    <w:rsid w:val="28C3E3BE"/>
    <w:rsid w:val="28C8AB0E"/>
    <w:rsid w:val="28E9D104"/>
    <w:rsid w:val="28EA9E12"/>
    <w:rsid w:val="28EEB191"/>
    <w:rsid w:val="28F02B22"/>
    <w:rsid w:val="29199134"/>
    <w:rsid w:val="29203D28"/>
    <w:rsid w:val="29209C8B"/>
    <w:rsid w:val="29329A46"/>
    <w:rsid w:val="2949D63D"/>
    <w:rsid w:val="294F3CFA"/>
    <w:rsid w:val="2952FA49"/>
    <w:rsid w:val="29549F20"/>
    <w:rsid w:val="295B81BE"/>
    <w:rsid w:val="2968DF47"/>
    <w:rsid w:val="296BBEFA"/>
    <w:rsid w:val="296FAFD2"/>
    <w:rsid w:val="29777506"/>
    <w:rsid w:val="297A9E68"/>
    <w:rsid w:val="2982F9C2"/>
    <w:rsid w:val="298B44DB"/>
    <w:rsid w:val="298BA46A"/>
    <w:rsid w:val="29A4A516"/>
    <w:rsid w:val="29B4B1F8"/>
    <w:rsid w:val="29BD84D3"/>
    <w:rsid w:val="29C3BFA5"/>
    <w:rsid w:val="29CD200D"/>
    <w:rsid w:val="29D003E3"/>
    <w:rsid w:val="29D345B7"/>
    <w:rsid w:val="29D697F8"/>
    <w:rsid w:val="29D88ADB"/>
    <w:rsid w:val="29DBE689"/>
    <w:rsid w:val="29E21520"/>
    <w:rsid w:val="29E5D65E"/>
    <w:rsid w:val="29EE4C75"/>
    <w:rsid w:val="29F2820A"/>
    <w:rsid w:val="29F4E283"/>
    <w:rsid w:val="2A04A2DE"/>
    <w:rsid w:val="2A0ED496"/>
    <w:rsid w:val="2A21D486"/>
    <w:rsid w:val="2A2708F5"/>
    <w:rsid w:val="2A3026CE"/>
    <w:rsid w:val="2A4F775A"/>
    <w:rsid w:val="2A4FEB7D"/>
    <w:rsid w:val="2A57E0FA"/>
    <w:rsid w:val="2A594BFF"/>
    <w:rsid w:val="2A5B0054"/>
    <w:rsid w:val="2A5B566B"/>
    <w:rsid w:val="2A5E6A48"/>
    <w:rsid w:val="2A5F9EE7"/>
    <w:rsid w:val="2A6A741F"/>
    <w:rsid w:val="2A6D6321"/>
    <w:rsid w:val="2A7E72B0"/>
    <w:rsid w:val="2A81DAFA"/>
    <w:rsid w:val="2A840C3C"/>
    <w:rsid w:val="2A881719"/>
    <w:rsid w:val="2A9931B3"/>
    <w:rsid w:val="2A999DBE"/>
    <w:rsid w:val="2A9B4452"/>
    <w:rsid w:val="2AA066A2"/>
    <w:rsid w:val="2AAB3677"/>
    <w:rsid w:val="2AAC1CFC"/>
    <w:rsid w:val="2AB6F033"/>
    <w:rsid w:val="2ACDAFF7"/>
    <w:rsid w:val="2AD16280"/>
    <w:rsid w:val="2AD95392"/>
    <w:rsid w:val="2AED3909"/>
    <w:rsid w:val="2AF6101A"/>
    <w:rsid w:val="2AF911B0"/>
    <w:rsid w:val="2AFB260B"/>
    <w:rsid w:val="2B1B2F21"/>
    <w:rsid w:val="2B1B5EB1"/>
    <w:rsid w:val="2B207B48"/>
    <w:rsid w:val="2B41E48D"/>
    <w:rsid w:val="2B444487"/>
    <w:rsid w:val="2B45D7EA"/>
    <w:rsid w:val="2B4798B4"/>
    <w:rsid w:val="2B4C5F07"/>
    <w:rsid w:val="2B5D54DA"/>
    <w:rsid w:val="2B64D1CA"/>
    <w:rsid w:val="2B6A1F7A"/>
    <w:rsid w:val="2B6D8871"/>
    <w:rsid w:val="2B766792"/>
    <w:rsid w:val="2B911797"/>
    <w:rsid w:val="2B977302"/>
    <w:rsid w:val="2BADD3EC"/>
    <w:rsid w:val="2BBEACE4"/>
    <w:rsid w:val="2BC7D650"/>
    <w:rsid w:val="2BD90807"/>
    <w:rsid w:val="2BDA6D8B"/>
    <w:rsid w:val="2BEC199A"/>
    <w:rsid w:val="2BED8A94"/>
    <w:rsid w:val="2C0F51F1"/>
    <w:rsid w:val="2C14D604"/>
    <w:rsid w:val="2C1F323A"/>
    <w:rsid w:val="2C254EBB"/>
    <w:rsid w:val="2C2CF46A"/>
    <w:rsid w:val="2C363031"/>
    <w:rsid w:val="2C39F193"/>
    <w:rsid w:val="2C3C8A70"/>
    <w:rsid w:val="2C43F71C"/>
    <w:rsid w:val="2C440989"/>
    <w:rsid w:val="2C472E59"/>
    <w:rsid w:val="2C49B6CB"/>
    <w:rsid w:val="2C4D2BDB"/>
    <w:rsid w:val="2C65F2A7"/>
    <w:rsid w:val="2C70249D"/>
    <w:rsid w:val="2C8B1CA0"/>
    <w:rsid w:val="2C949756"/>
    <w:rsid w:val="2C96D9DF"/>
    <w:rsid w:val="2C97776B"/>
    <w:rsid w:val="2C9DB1DA"/>
    <w:rsid w:val="2CA3D258"/>
    <w:rsid w:val="2CC94AFD"/>
    <w:rsid w:val="2CD56C2B"/>
    <w:rsid w:val="2CD682C5"/>
    <w:rsid w:val="2CE7AA57"/>
    <w:rsid w:val="2CEE0B95"/>
    <w:rsid w:val="2CEF748D"/>
    <w:rsid w:val="2CF680A8"/>
    <w:rsid w:val="2CFA9D94"/>
    <w:rsid w:val="2CFFC798"/>
    <w:rsid w:val="2D0AE050"/>
    <w:rsid w:val="2D12582A"/>
    <w:rsid w:val="2D19166A"/>
    <w:rsid w:val="2D1E5D14"/>
    <w:rsid w:val="2D236C1C"/>
    <w:rsid w:val="2D50370E"/>
    <w:rsid w:val="2D5A4384"/>
    <w:rsid w:val="2D6D1D21"/>
    <w:rsid w:val="2D6F9031"/>
    <w:rsid w:val="2D88BB2F"/>
    <w:rsid w:val="2D8AC764"/>
    <w:rsid w:val="2D929F8C"/>
    <w:rsid w:val="2D98BBDA"/>
    <w:rsid w:val="2DBA2591"/>
    <w:rsid w:val="2DBBF7B9"/>
    <w:rsid w:val="2DBF277D"/>
    <w:rsid w:val="2DC131CE"/>
    <w:rsid w:val="2DC4D7E6"/>
    <w:rsid w:val="2DC615EF"/>
    <w:rsid w:val="2DCC051C"/>
    <w:rsid w:val="2DDD42AC"/>
    <w:rsid w:val="2DDE0A3C"/>
    <w:rsid w:val="2DDF3E2B"/>
    <w:rsid w:val="2DE2A8D7"/>
    <w:rsid w:val="2DF4A988"/>
    <w:rsid w:val="2DFB0CEA"/>
    <w:rsid w:val="2E0D3948"/>
    <w:rsid w:val="2E0DD361"/>
    <w:rsid w:val="2E1B5F12"/>
    <w:rsid w:val="2E28CDDE"/>
    <w:rsid w:val="2E2BE84D"/>
    <w:rsid w:val="2E2C8623"/>
    <w:rsid w:val="2E3038D8"/>
    <w:rsid w:val="2E32341D"/>
    <w:rsid w:val="2E37F25C"/>
    <w:rsid w:val="2E40EEE5"/>
    <w:rsid w:val="2E431C0A"/>
    <w:rsid w:val="2E4D929E"/>
    <w:rsid w:val="2E6FE7E5"/>
    <w:rsid w:val="2E727D62"/>
    <w:rsid w:val="2E7333B4"/>
    <w:rsid w:val="2E741DCB"/>
    <w:rsid w:val="2E92F617"/>
    <w:rsid w:val="2E956BF5"/>
    <w:rsid w:val="2EA353B7"/>
    <w:rsid w:val="2EA5E57C"/>
    <w:rsid w:val="2EB7030C"/>
    <w:rsid w:val="2EBA1EEA"/>
    <w:rsid w:val="2EBB9A2A"/>
    <w:rsid w:val="2EBF69CE"/>
    <w:rsid w:val="2EC12DDD"/>
    <w:rsid w:val="2EC3CBBE"/>
    <w:rsid w:val="2ED1AC96"/>
    <w:rsid w:val="2EDB1087"/>
    <w:rsid w:val="2EDF6217"/>
    <w:rsid w:val="2EFCEA14"/>
    <w:rsid w:val="2F023881"/>
    <w:rsid w:val="2F0818FD"/>
    <w:rsid w:val="2F08F268"/>
    <w:rsid w:val="2F0A271E"/>
    <w:rsid w:val="2F0A45CE"/>
    <w:rsid w:val="2F1152C2"/>
    <w:rsid w:val="2F147175"/>
    <w:rsid w:val="2F1AEB72"/>
    <w:rsid w:val="2F25AE08"/>
    <w:rsid w:val="2F2D38BD"/>
    <w:rsid w:val="2F3A0C53"/>
    <w:rsid w:val="2F4B54BB"/>
    <w:rsid w:val="2F4C1A72"/>
    <w:rsid w:val="2F5DB50C"/>
    <w:rsid w:val="2F626303"/>
    <w:rsid w:val="2F6779FB"/>
    <w:rsid w:val="2F9014BC"/>
    <w:rsid w:val="2F9A6344"/>
    <w:rsid w:val="2FA0A9AA"/>
    <w:rsid w:val="2FAA45D2"/>
    <w:rsid w:val="2FAC80FD"/>
    <w:rsid w:val="2FAD9D5A"/>
    <w:rsid w:val="2FE48068"/>
    <w:rsid w:val="2FFA7358"/>
    <w:rsid w:val="30015A37"/>
    <w:rsid w:val="3004107C"/>
    <w:rsid w:val="300F7E44"/>
    <w:rsid w:val="301AA530"/>
    <w:rsid w:val="3027DF5A"/>
    <w:rsid w:val="3053F657"/>
    <w:rsid w:val="305D060D"/>
    <w:rsid w:val="30655548"/>
    <w:rsid w:val="3076CCA6"/>
    <w:rsid w:val="307D199F"/>
    <w:rsid w:val="307DA6FF"/>
    <w:rsid w:val="307DD97B"/>
    <w:rsid w:val="307FBBFC"/>
    <w:rsid w:val="3092662A"/>
    <w:rsid w:val="3092D417"/>
    <w:rsid w:val="309A506D"/>
    <w:rsid w:val="30A492B4"/>
    <w:rsid w:val="30AA4BE2"/>
    <w:rsid w:val="30AAD79E"/>
    <w:rsid w:val="30B0EA61"/>
    <w:rsid w:val="30B4C4B9"/>
    <w:rsid w:val="30C6C01C"/>
    <w:rsid w:val="30C8B1F8"/>
    <w:rsid w:val="30D5A820"/>
    <w:rsid w:val="30E45E41"/>
    <w:rsid w:val="30E7B60A"/>
    <w:rsid w:val="30F96619"/>
    <w:rsid w:val="30FB346F"/>
    <w:rsid w:val="310D4ED8"/>
    <w:rsid w:val="310D6B30"/>
    <w:rsid w:val="31190B78"/>
    <w:rsid w:val="311ED1B0"/>
    <w:rsid w:val="3133313D"/>
    <w:rsid w:val="3147F644"/>
    <w:rsid w:val="3156EB2A"/>
    <w:rsid w:val="316A7BA2"/>
    <w:rsid w:val="316F7D40"/>
    <w:rsid w:val="317BFB64"/>
    <w:rsid w:val="318ACA2A"/>
    <w:rsid w:val="319A5EEB"/>
    <w:rsid w:val="31A38F20"/>
    <w:rsid w:val="31A71A72"/>
    <w:rsid w:val="31B7B92B"/>
    <w:rsid w:val="31D9B91F"/>
    <w:rsid w:val="31E445B4"/>
    <w:rsid w:val="31E5D65F"/>
    <w:rsid w:val="31F12834"/>
    <w:rsid w:val="31F5FAFC"/>
    <w:rsid w:val="320103B7"/>
    <w:rsid w:val="32027169"/>
    <w:rsid w:val="320C3B01"/>
    <w:rsid w:val="32119203"/>
    <w:rsid w:val="322D15DA"/>
    <w:rsid w:val="3231168B"/>
    <w:rsid w:val="32387C83"/>
    <w:rsid w:val="323A0367"/>
    <w:rsid w:val="3240C115"/>
    <w:rsid w:val="3247C13B"/>
    <w:rsid w:val="32635121"/>
    <w:rsid w:val="327D5065"/>
    <w:rsid w:val="328236C7"/>
    <w:rsid w:val="3284A43D"/>
    <w:rsid w:val="329143AD"/>
    <w:rsid w:val="32A27D30"/>
    <w:rsid w:val="32AA9112"/>
    <w:rsid w:val="32AABB6B"/>
    <w:rsid w:val="32B2A0B7"/>
    <w:rsid w:val="32D1112D"/>
    <w:rsid w:val="32E49338"/>
    <w:rsid w:val="32FEB00C"/>
    <w:rsid w:val="330AA8F8"/>
    <w:rsid w:val="330F669C"/>
    <w:rsid w:val="3311A69D"/>
    <w:rsid w:val="33121073"/>
    <w:rsid w:val="335760B3"/>
    <w:rsid w:val="335CE325"/>
    <w:rsid w:val="336957BD"/>
    <w:rsid w:val="336CB1E9"/>
    <w:rsid w:val="338AEF01"/>
    <w:rsid w:val="338EAD4B"/>
    <w:rsid w:val="339EAEDD"/>
    <w:rsid w:val="33A7163A"/>
    <w:rsid w:val="33B1E20B"/>
    <w:rsid w:val="33C9026D"/>
    <w:rsid w:val="33CBA239"/>
    <w:rsid w:val="33D0B159"/>
    <w:rsid w:val="33D56E39"/>
    <w:rsid w:val="33D5833F"/>
    <w:rsid w:val="33E5C0BE"/>
    <w:rsid w:val="33F3A248"/>
    <w:rsid w:val="33F9E67D"/>
    <w:rsid w:val="340B1BDD"/>
    <w:rsid w:val="3413F32C"/>
    <w:rsid w:val="34151D83"/>
    <w:rsid w:val="341E8F76"/>
    <w:rsid w:val="34280461"/>
    <w:rsid w:val="342C26D4"/>
    <w:rsid w:val="3433630B"/>
    <w:rsid w:val="3438B20A"/>
    <w:rsid w:val="3448FD42"/>
    <w:rsid w:val="344FE359"/>
    <w:rsid w:val="345B170C"/>
    <w:rsid w:val="34624468"/>
    <w:rsid w:val="346AD4D3"/>
    <w:rsid w:val="348BF0A3"/>
    <w:rsid w:val="34919483"/>
    <w:rsid w:val="34B0D318"/>
    <w:rsid w:val="35031A68"/>
    <w:rsid w:val="3504544C"/>
    <w:rsid w:val="3507A7D7"/>
    <w:rsid w:val="3510A6F1"/>
    <w:rsid w:val="351BAAC7"/>
    <w:rsid w:val="352623FD"/>
    <w:rsid w:val="352DF7E8"/>
    <w:rsid w:val="3538A72C"/>
    <w:rsid w:val="3539D038"/>
    <w:rsid w:val="35531C3E"/>
    <w:rsid w:val="35558BB6"/>
    <w:rsid w:val="35768C1B"/>
    <w:rsid w:val="3584E9D9"/>
    <w:rsid w:val="35897355"/>
    <w:rsid w:val="358E86F3"/>
    <w:rsid w:val="35936D9C"/>
    <w:rsid w:val="35946D2B"/>
    <w:rsid w:val="3597887A"/>
    <w:rsid w:val="35BB294A"/>
    <w:rsid w:val="35C52597"/>
    <w:rsid w:val="35D0638B"/>
    <w:rsid w:val="35FC7CED"/>
    <w:rsid w:val="35FE47D0"/>
    <w:rsid w:val="3600172F"/>
    <w:rsid w:val="3600E938"/>
    <w:rsid w:val="3608969B"/>
    <w:rsid w:val="3610378E"/>
    <w:rsid w:val="364523A2"/>
    <w:rsid w:val="364BAA6E"/>
    <w:rsid w:val="365DEE35"/>
    <w:rsid w:val="3662DCF9"/>
    <w:rsid w:val="367F371F"/>
    <w:rsid w:val="3687E9E1"/>
    <w:rsid w:val="368E23C3"/>
    <w:rsid w:val="36A32EAF"/>
    <w:rsid w:val="36A8CE59"/>
    <w:rsid w:val="36AC30C2"/>
    <w:rsid w:val="36AD2E75"/>
    <w:rsid w:val="36BD8FF8"/>
    <w:rsid w:val="36CAE4AC"/>
    <w:rsid w:val="36DF55FB"/>
    <w:rsid w:val="36E29EA4"/>
    <w:rsid w:val="36FB5952"/>
    <w:rsid w:val="36FC3DB1"/>
    <w:rsid w:val="37033B45"/>
    <w:rsid w:val="37120DA4"/>
    <w:rsid w:val="37274F22"/>
    <w:rsid w:val="372A81E3"/>
    <w:rsid w:val="37356D15"/>
    <w:rsid w:val="37399C9F"/>
    <w:rsid w:val="37468543"/>
    <w:rsid w:val="3748952D"/>
    <w:rsid w:val="374A9549"/>
    <w:rsid w:val="3751939F"/>
    <w:rsid w:val="37628B2D"/>
    <w:rsid w:val="3764FF2A"/>
    <w:rsid w:val="3766DC0A"/>
    <w:rsid w:val="3771805A"/>
    <w:rsid w:val="377BA176"/>
    <w:rsid w:val="378655D5"/>
    <w:rsid w:val="3796AB1A"/>
    <w:rsid w:val="379A9346"/>
    <w:rsid w:val="37A19C40"/>
    <w:rsid w:val="37A5AA82"/>
    <w:rsid w:val="37AF2B23"/>
    <w:rsid w:val="37B16D56"/>
    <w:rsid w:val="37B8C03B"/>
    <w:rsid w:val="37C1343D"/>
    <w:rsid w:val="37C97B2E"/>
    <w:rsid w:val="37E76C28"/>
    <w:rsid w:val="37ECF33F"/>
    <w:rsid w:val="3800A8B3"/>
    <w:rsid w:val="381E1867"/>
    <w:rsid w:val="3850939A"/>
    <w:rsid w:val="3859960B"/>
    <w:rsid w:val="386AE183"/>
    <w:rsid w:val="386B07A0"/>
    <w:rsid w:val="387176AC"/>
    <w:rsid w:val="38731A60"/>
    <w:rsid w:val="388D7B4A"/>
    <w:rsid w:val="38927632"/>
    <w:rsid w:val="389E3992"/>
    <w:rsid w:val="38A01B2F"/>
    <w:rsid w:val="38A096FE"/>
    <w:rsid w:val="38AFF4BE"/>
    <w:rsid w:val="38BA1D35"/>
    <w:rsid w:val="38D32158"/>
    <w:rsid w:val="38DC63E7"/>
    <w:rsid w:val="38E33A6A"/>
    <w:rsid w:val="38F22B6E"/>
    <w:rsid w:val="38F859B6"/>
    <w:rsid w:val="38FC50C3"/>
    <w:rsid w:val="38FFB332"/>
    <w:rsid w:val="390D5C18"/>
    <w:rsid w:val="391A0769"/>
    <w:rsid w:val="3939B92D"/>
    <w:rsid w:val="393FE00F"/>
    <w:rsid w:val="394D4137"/>
    <w:rsid w:val="3966981D"/>
    <w:rsid w:val="39730551"/>
    <w:rsid w:val="3977FF77"/>
    <w:rsid w:val="399C38EC"/>
    <w:rsid w:val="39A84A2C"/>
    <w:rsid w:val="39B012CD"/>
    <w:rsid w:val="39B83FA2"/>
    <w:rsid w:val="39B8A4EB"/>
    <w:rsid w:val="39BC3F4B"/>
    <w:rsid w:val="39BDB2E8"/>
    <w:rsid w:val="39BE6395"/>
    <w:rsid w:val="39C4062A"/>
    <w:rsid w:val="39D8BF0A"/>
    <w:rsid w:val="39DDAB30"/>
    <w:rsid w:val="39F865E4"/>
    <w:rsid w:val="39F9F62B"/>
    <w:rsid w:val="3A03EB3E"/>
    <w:rsid w:val="3A16E631"/>
    <w:rsid w:val="3A29200F"/>
    <w:rsid w:val="3A2E42A7"/>
    <w:rsid w:val="3A4FFD48"/>
    <w:rsid w:val="3A658AA8"/>
    <w:rsid w:val="3A675ADD"/>
    <w:rsid w:val="3A735643"/>
    <w:rsid w:val="3AAC562C"/>
    <w:rsid w:val="3AB07B1E"/>
    <w:rsid w:val="3AB5DA3B"/>
    <w:rsid w:val="3AC1A6D4"/>
    <w:rsid w:val="3AC22B56"/>
    <w:rsid w:val="3AD0F17A"/>
    <w:rsid w:val="3AD3DD2A"/>
    <w:rsid w:val="3AD92766"/>
    <w:rsid w:val="3AEC6378"/>
    <w:rsid w:val="3AF029DC"/>
    <w:rsid w:val="3AFAEA79"/>
    <w:rsid w:val="3AFE4D98"/>
    <w:rsid w:val="3B0641B1"/>
    <w:rsid w:val="3B09CCFE"/>
    <w:rsid w:val="3B0CEDF1"/>
    <w:rsid w:val="3B180683"/>
    <w:rsid w:val="3B1F874C"/>
    <w:rsid w:val="3B2FF525"/>
    <w:rsid w:val="3B308C87"/>
    <w:rsid w:val="3B406B7F"/>
    <w:rsid w:val="3B6065B0"/>
    <w:rsid w:val="3B647C10"/>
    <w:rsid w:val="3B7BE4D3"/>
    <w:rsid w:val="3B873619"/>
    <w:rsid w:val="3B916C43"/>
    <w:rsid w:val="3B973B1E"/>
    <w:rsid w:val="3BA541D0"/>
    <w:rsid w:val="3BB2D4F9"/>
    <w:rsid w:val="3BB8129D"/>
    <w:rsid w:val="3BBA511A"/>
    <w:rsid w:val="3BBD4140"/>
    <w:rsid w:val="3BBE473A"/>
    <w:rsid w:val="3BBF87DC"/>
    <w:rsid w:val="3BD593A3"/>
    <w:rsid w:val="3BDA0AB8"/>
    <w:rsid w:val="3BE09213"/>
    <w:rsid w:val="3BF99A3E"/>
    <w:rsid w:val="3C12EA72"/>
    <w:rsid w:val="3C22EB7B"/>
    <w:rsid w:val="3C29E9B8"/>
    <w:rsid w:val="3C37DE4B"/>
    <w:rsid w:val="3C78009A"/>
    <w:rsid w:val="3CA4132A"/>
    <w:rsid w:val="3CACA965"/>
    <w:rsid w:val="3CB00B2E"/>
    <w:rsid w:val="3CBFDEF1"/>
    <w:rsid w:val="3CC3D188"/>
    <w:rsid w:val="3CCBFE2F"/>
    <w:rsid w:val="3CD60B41"/>
    <w:rsid w:val="3CE284CA"/>
    <w:rsid w:val="3CEF9C83"/>
    <w:rsid w:val="3CF32833"/>
    <w:rsid w:val="3CFB07B7"/>
    <w:rsid w:val="3CFDE7AD"/>
    <w:rsid w:val="3D0404EC"/>
    <w:rsid w:val="3D0C5B13"/>
    <w:rsid w:val="3D0F70E2"/>
    <w:rsid w:val="3D25E67C"/>
    <w:rsid w:val="3D318A39"/>
    <w:rsid w:val="3D3DC38A"/>
    <w:rsid w:val="3D497BDD"/>
    <w:rsid w:val="3D61C326"/>
    <w:rsid w:val="3D6854B3"/>
    <w:rsid w:val="3D6CE8BA"/>
    <w:rsid w:val="3D75C2FF"/>
    <w:rsid w:val="3D7C3A07"/>
    <w:rsid w:val="3D850297"/>
    <w:rsid w:val="3D90EEF7"/>
    <w:rsid w:val="3D9A8E0C"/>
    <w:rsid w:val="3DA7F43C"/>
    <w:rsid w:val="3DAD1309"/>
    <w:rsid w:val="3DAEB248"/>
    <w:rsid w:val="3DBA4739"/>
    <w:rsid w:val="3DC079BD"/>
    <w:rsid w:val="3DCC0819"/>
    <w:rsid w:val="3DE3776C"/>
    <w:rsid w:val="3DE44927"/>
    <w:rsid w:val="3DF1404E"/>
    <w:rsid w:val="3E0EF12D"/>
    <w:rsid w:val="3E25E3A9"/>
    <w:rsid w:val="3E2C6344"/>
    <w:rsid w:val="3E2C883D"/>
    <w:rsid w:val="3E30D31E"/>
    <w:rsid w:val="3E314DC9"/>
    <w:rsid w:val="3E35C633"/>
    <w:rsid w:val="3E385D98"/>
    <w:rsid w:val="3E438314"/>
    <w:rsid w:val="3E4767BF"/>
    <w:rsid w:val="3E5C5008"/>
    <w:rsid w:val="3E9516A1"/>
    <w:rsid w:val="3E97774D"/>
    <w:rsid w:val="3E9A5905"/>
    <w:rsid w:val="3EB343F9"/>
    <w:rsid w:val="3EB679F2"/>
    <w:rsid w:val="3EBB45DC"/>
    <w:rsid w:val="3EBC6D46"/>
    <w:rsid w:val="3ECA4848"/>
    <w:rsid w:val="3EF9C0A4"/>
    <w:rsid w:val="3EFC4125"/>
    <w:rsid w:val="3F0B6AA9"/>
    <w:rsid w:val="3F1EB18B"/>
    <w:rsid w:val="3F210C3E"/>
    <w:rsid w:val="3F2A3FA9"/>
    <w:rsid w:val="3F2C1543"/>
    <w:rsid w:val="3F44FD86"/>
    <w:rsid w:val="3F5452F0"/>
    <w:rsid w:val="3F858950"/>
    <w:rsid w:val="3FACA2FC"/>
    <w:rsid w:val="3FB1449C"/>
    <w:rsid w:val="3FDB1180"/>
    <w:rsid w:val="3FDFF193"/>
    <w:rsid w:val="3FE1389E"/>
    <w:rsid w:val="3FFC429C"/>
    <w:rsid w:val="3FFC8B0F"/>
    <w:rsid w:val="400571B7"/>
    <w:rsid w:val="40110A83"/>
    <w:rsid w:val="402167F5"/>
    <w:rsid w:val="40219172"/>
    <w:rsid w:val="40341F44"/>
    <w:rsid w:val="4039296B"/>
    <w:rsid w:val="403C4CED"/>
    <w:rsid w:val="4041B2B9"/>
    <w:rsid w:val="40452AFF"/>
    <w:rsid w:val="40522183"/>
    <w:rsid w:val="40646C70"/>
    <w:rsid w:val="40703E6B"/>
    <w:rsid w:val="407C391A"/>
    <w:rsid w:val="409D49CC"/>
    <w:rsid w:val="409EB44D"/>
    <w:rsid w:val="40A59241"/>
    <w:rsid w:val="40BBB473"/>
    <w:rsid w:val="40BCFFB8"/>
    <w:rsid w:val="40C69ED3"/>
    <w:rsid w:val="40C99EDC"/>
    <w:rsid w:val="40EE391E"/>
    <w:rsid w:val="4104A00E"/>
    <w:rsid w:val="4108442C"/>
    <w:rsid w:val="410BA9A6"/>
    <w:rsid w:val="410CA2C8"/>
    <w:rsid w:val="410D4E70"/>
    <w:rsid w:val="41186532"/>
    <w:rsid w:val="411A4DC9"/>
    <w:rsid w:val="41207AA6"/>
    <w:rsid w:val="4126FF96"/>
    <w:rsid w:val="41282BFE"/>
    <w:rsid w:val="412CBC75"/>
    <w:rsid w:val="413392DC"/>
    <w:rsid w:val="414CF764"/>
    <w:rsid w:val="414D5367"/>
    <w:rsid w:val="414DBB47"/>
    <w:rsid w:val="415226CC"/>
    <w:rsid w:val="4152DEFE"/>
    <w:rsid w:val="41566BB5"/>
    <w:rsid w:val="415788A8"/>
    <w:rsid w:val="418A247F"/>
    <w:rsid w:val="418E2016"/>
    <w:rsid w:val="419BFD70"/>
    <w:rsid w:val="41A38FEC"/>
    <w:rsid w:val="41B718F3"/>
    <w:rsid w:val="41BEDEE5"/>
    <w:rsid w:val="41E06F56"/>
    <w:rsid w:val="41E53B49"/>
    <w:rsid w:val="41F70E19"/>
    <w:rsid w:val="42089FA4"/>
    <w:rsid w:val="4209BE3E"/>
    <w:rsid w:val="420BBD25"/>
    <w:rsid w:val="4219C450"/>
    <w:rsid w:val="421C2042"/>
    <w:rsid w:val="4224B3C4"/>
    <w:rsid w:val="422D7994"/>
    <w:rsid w:val="4230AD8B"/>
    <w:rsid w:val="4240FBAD"/>
    <w:rsid w:val="4247006A"/>
    <w:rsid w:val="424A0A62"/>
    <w:rsid w:val="424DB97E"/>
    <w:rsid w:val="425189B0"/>
    <w:rsid w:val="425231FE"/>
    <w:rsid w:val="425A4091"/>
    <w:rsid w:val="425C1CFE"/>
    <w:rsid w:val="4265BA12"/>
    <w:rsid w:val="42733F02"/>
    <w:rsid w:val="42887156"/>
    <w:rsid w:val="428C888F"/>
    <w:rsid w:val="428D97CE"/>
    <w:rsid w:val="4294460F"/>
    <w:rsid w:val="4297C4EB"/>
    <w:rsid w:val="42B4FD22"/>
    <w:rsid w:val="42C3630D"/>
    <w:rsid w:val="42C90765"/>
    <w:rsid w:val="42CA7021"/>
    <w:rsid w:val="42D4EDB4"/>
    <w:rsid w:val="42EC4E19"/>
    <w:rsid w:val="42F70E3F"/>
    <w:rsid w:val="4312E67D"/>
    <w:rsid w:val="4318F591"/>
    <w:rsid w:val="43384189"/>
    <w:rsid w:val="4344FC00"/>
    <w:rsid w:val="434D5EC6"/>
    <w:rsid w:val="4352EDBC"/>
    <w:rsid w:val="4372FEEC"/>
    <w:rsid w:val="437D4233"/>
    <w:rsid w:val="4384F8AE"/>
    <w:rsid w:val="43861B89"/>
    <w:rsid w:val="438DAA6E"/>
    <w:rsid w:val="438F0561"/>
    <w:rsid w:val="43989175"/>
    <w:rsid w:val="439F9503"/>
    <w:rsid w:val="43A9B3C0"/>
    <w:rsid w:val="43B447FB"/>
    <w:rsid w:val="43C2B1C0"/>
    <w:rsid w:val="43D9F8E7"/>
    <w:rsid w:val="43DC1675"/>
    <w:rsid w:val="43F2D2C5"/>
    <w:rsid w:val="4401CD85"/>
    <w:rsid w:val="4403611C"/>
    <w:rsid w:val="44061263"/>
    <w:rsid w:val="44121B1E"/>
    <w:rsid w:val="4415F152"/>
    <w:rsid w:val="44191922"/>
    <w:rsid w:val="44437540"/>
    <w:rsid w:val="444B6FB8"/>
    <w:rsid w:val="444F60BD"/>
    <w:rsid w:val="445409EE"/>
    <w:rsid w:val="445D866B"/>
    <w:rsid w:val="4462F557"/>
    <w:rsid w:val="4468C8DC"/>
    <w:rsid w:val="4478E854"/>
    <w:rsid w:val="4479A3E8"/>
    <w:rsid w:val="447E31F9"/>
    <w:rsid w:val="4480E47A"/>
    <w:rsid w:val="448A4A08"/>
    <w:rsid w:val="449CA279"/>
    <w:rsid w:val="449E160F"/>
    <w:rsid w:val="44C25729"/>
    <w:rsid w:val="44C62B57"/>
    <w:rsid w:val="44C7C774"/>
    <w:rsid w:val="44CB24C7"/>
    <w:rsid w:val="44DAB3AD"/>
    <w:rsid w:val="4507820E"/>
    <w:rsid w:val="450AD9BF"/>
    <w:rsid w:val="45157640"/>
    <w:rsid w:val="4520B71E"/>
    <w:rsid w:val="452CC455"/>
    <w:rsid w:val="45346F52"/>
    <w:rsid w:val="453877C5"/>
    <w:rsid w:val="45390CAA"/>
    <w:rsid w:val="453B252D"/>
    <w:rsid w:val="453D7DDF"/>
    <w:rsid w:val="4540B702"/>
    <w:rsid w:val="454C5BD1"/>
    <w:rsid w:val="454F9EB4"/>
    <w:rsid w:val="45654CA1"/>
    <w:rsid w:val="45658293"/>
    <w:rsid w:val="45708374"/>
    <w:rsid w:val="457156FF"/>
    <w:rsid w:val="45727A4A"/>
    <w:rsid w:val="457729B6"/>
    <w:rsid w:val="4578EBCE"/>
    <w:rsid w:val="4580BD3C"/>
    <w:rsid w:val="4583C2D3"/>
    <w:rsid w:val="45A355C5"/>
    <w:rsid w:val="45BAEAB5"/>
    <w:rsid w:val="45C6CB12"/>
    <w:rsid w:val="45D19C51"/>
    <w:rsid w:val="45E320AE"/>
    <w:rsid w:val="45FF2CE0"/>
    <w:rsid w:val="45FFF53F"/>
    <w:rsid w:val="46046E9D"/>
    <w:rsid w:val="462241E1"/>
    <w:rsid w:val="463372E2"/>
    <w:rsid w:val="4633D789"/>
    <w:rsid w:val="46406375"/>
    <w:rsid w:val="464C2404"/>
    <w:rsid w:val="46542108"/>
    <w:rsid w:val="4661C909"/>
    <w:rsid w:val="46712843"/>
    <w:rsid w:val="46734576"/>
    <w:rsid w:val="467AFFB8"/>
    <w:rsid w:val="46812B9C"/>
    <w:rsid w:val="46828935"/>
    <w:rsid w:val="4686AADC"/>
    <w:rsid w:val="46877FFD"/>
    <w:rsid w:val="468F9764"/>
    <w:rsid w:val="469A5695"/>
    <w:rsid w:val="469E0A44"/>
    <w:rsid w:val="46B3C9D4"/>
    <w:rsid w:val="46C2BAF4"/>
    <w:rsid w:val="46CEB559"/>
    <w:rsid w:val="46D479DB"/>
    <w:rsid w:val="46E2344E"/>
    <w:rsid w:val="46E99DDE"/>
    <w:rsid w:val="46EF1C24"/>
    <w:rsid w:val="46FF2359"/>
    <w:rsid w:val="470261C1"/>
    <w:rsid w:val="47152A10"/>
    <w:rsid w:val="472D1F8A"/>
    <w:rsid w:val="472FB133"/>
    <w:rsid w:val="473ABF4E"/>
    <w:rsid w:val="47475914"/>
    <w:rsid w:val="474EA52D"/>
    <w:rsid w:val="474F5BC2"/>
    <w:rsid w:val="474F76C3"/>
    <w:rsid w:val="47835B62"/>
    <w:rsid w:val="478C6DD7"/>
    <w:rsid w:val="47A669BC"/>
    <w:rsid w:val="47B686A7"/>
    <w:rsid w:val="47CDCAD6"/>
    <w:rsid w:val="47D73414"/>
    <w:rsid w:val="47DC7B0A"/>
    <w:rsid w:val="47DE89CF"/>
    <w:rsid w:val="47F34828"/>
    <w:rsid w:val="48208DD7"/>
    <w:rsid w:val="4825B37E"/>
    <w:rsid w:val="48270C93"/>
    <w:rsid w:val="48338CA5"/>
    <w:rsid w:val="484473F7"/>
    <w:rsid w:val="4844EB3C"/>
    <w:rsid w:val="484ED006"/>
    <w:rsid w:val="4853001E"/>
    <w:rsid w:val="48576E50"/>
    <w:rsid w:val="486A0536"/>
    <w:rsid w:val="487516AA"/>
    <w:rsid w:val="48777C81"/>
    <w:rsid w:val="48795E94"/>
    <w:rsid w:val="48853D78"/>
    <w:rsid w:val="488E787D"/>
    <w:rsid w:val="48950AEC"/>
    <w:rsid w:val="48973C04"/>
    <w:rsid w:val="48B59D1A"/>
    <w:rsid w:val="48BA4253"/>
    <w:rsid w:val="48E4D25F"/>
    <w:rsid w:val="48F22CAC"/>
    <w:rsid w:val="48F7E5AB"/>
    <w:rsid w:val="4909B906"/>
    <w:rsid w:val="4910E62B"/>
    <w:rsid w:val="4911ED08"/>
    <w:rsid w:val="4913B17E"/>
    <w:rsid w:val="492D3FF2"/>
    <w:rsid w:val="4934B0D0"/>
    <w:rsid w:val="49418ECD"/>
    <w:rsid w:val="495848CD"/>
    <w:rsid w:val="49596842"/>
    <w:rsid w:val="495E48AD"/>
    <w:rsid w:val="4978ACD7"/>
    <w:rsid w:val="49909354"/>
    <w:rsid w:val="49958503"/>
    <w:rsid w:val="4999C14B"/>
    <w:rsid w:val="499A8B0D"/>
    <w:rsid w:val="49B93D12"/>
    <w:rsid w:val="49BB1F2E"/>
    <w:rsid w:val="49D73B49"/>
    <w:rsid w:val="49DE4C8A"/>
    <w:rsid w:val="49F43296"/>
    <w:rsid w:val="49F659E2"/>
    <w:rsid w:val="49F6E3F1"/>
    <w:rsid w:val="49F72818"/>
    <w:rsid w:val="49F93A74"/>
    <w:rsid w:val="49FB3387"/>
    <w:rsid w:val="4A025146"/>
    <w:rsid w:val="4A02E97E"/>
    <w:rsid w:val="4A09D53D"/>
    <w:rsid w:val="4A11916E"/>
    <w:rsid w:val="4A11966D"/>
    <w:rsid w:val="4A1528C1"/>
    <w:rsid w:val="4A2EAC05"/>
    <w:rsid w:val="4A375CA2"/>
    <w:rsid w:val="4A51A4CC"/>
    <w:rsid w:val="4A5BE7A3"/>
    <w:rsid w:val="4A6D64FB"/>
    <w:rsid w:val="4A6DCDC2"/>
    <w:rsid w:val="4A7EB373"/>
    <w:rsid w:val="4A8B3385"/>
    <w:rsid w:val="4A90F2FF"/>
    <w:rsid w:val="4A910D7C"/>
    <w:rsid w:val="4AA05FD3"/>
    <w:rsid w:val="4AA67943"/>
    <w:rsid w:val="4AB6B5B6"/>
    <w:rsid w:val="4AB6F69C"/>
    <w:rsid w:val="4AC4F718"/>
    <w:rsid w:val="4ACB7A04"/>
    <w:rsid w:val="4ADB0097"/>
    <w:rsid w:val="4AE4F553"/>
    <w:rsid w:val="4AEE2FF6"/>
    <w:rsid w:val="4AFE5710"/>
    <w:rsid w:val="4AFF7CE1"/>
    <w:rsid w:val="4B0B7730"/>
    <w:rsid w:val="4B0D3CF9"/>
    <w:rsid w:val="4B0F282A"/>
    <w:rsid w:val="4B215532"/>
    <w:rsid w:val="4B3D095B"/>
    <w:rsid w:val="4B408B4E"/>
    <w:rsid w:val="4B49A8E4"/>
    <w:rsid w:val="4B4DAD00"/>
    <w:rsid w:val="4B5FA83F"/>
    <w:rsid w:val="4B601EA7"/>
    <w:rsid w:val="4B630F72"/>
    <w:rsid w:val="4B67D368"/>
    <w:rsid w:val="4B6F47B4"/>
    <w:rsid w:val="4B775D38"/>
    <w:rsid w:val="4B8BB393"/>
    <w:rsid w:val="4B91B0D6"/>
    <w:rsid w:val="4B951325"/>
    <w:rsid w:val="4B976FD0"/>
    <w:rsid w:val="4BC69FFB"/>
    <w:rsid w:val="4BC94523"/>
    <w:rsid w:val="4BCE8FB0"/>
    <w:rsid w:val="4BD84C57"/>
    <w:rsid w:val="4BDE5DA5"/>
    <w:rsid w:val="4BE0BF5F"/>
    <w:rsid w:val="4BE204DB"/>
    <w:rsid w:val="4BE6C7BC"/>
    <w:rsid w:val="4BEE3029"/>
    <w:rsid w:val="4BEEF74D"/>
    <w:rsid w:val="4BF41BBF"/>
    <w:rsid w:val="4BFF3E88"/>
    <w:rsid w:val="4C09E3FE"/>
    <w:rsid w:val="4C1C4DFD"/>
    <w:rsid w:val="4C2BF366"/>
    <w:rsid w:val="4C49175E"/>
    <w:rsid w:val="4C510816"/>
    <w:rsid w:val="4C6371B8"/>
    <w:rsid w:val="4C644537"/>
    <w:rsid w:val="4C77AC9A"/>
    <w:rsid w:val="4C907CBD"/>
    <w:rsid w:val="4CA342C2"/>
    <w:rsid w:val="4CB4C150"/>
    <w:rsid w:val="4CB576CB"/>
    <w:rsid w:val="4CB83020"/>
    <w:rsid w:val="4CB84FF3"/>
    <w:rsid w:val="4CBBDFA4"/>
    <w:rsid w:val="4CBE5B56"/>
    <w:rsid w:val="4CBEA9E2"/>
    <w:rsid w:val="4CBFFF8A"/>
    <w:rsid w:val="4CC0FBA9"/>
    <w:rsid w:val="4CC789E3"/>
    <w:rsid w:val="4CCE54DB"/>
    <w:rsid w:val="4CD74030"/>
    <w:rsid w:val="4CD8A357"/>
    <w:rsid w:val="4CE2FC1A"/>
    <w:rsid w:val="4CE7AB55"/>
    <w:rsid w:val="4CEDDEF4"/>
    <w:rsid w:val="4CF60951"/>
    <w:rsid w:val="4D0238FF"/>
    <w:rsid w:val="4D100E8E"/>
    <w:rsid w:val="4D178765"/>
    <w:rsid w:val="4D265DFA"/>
    <w:rsid w:val="4D28435A"/>
    <w:rsid w:val="4D3C5549"/>
    <w:rsid w:val="4D40397A"/>
    <w:rsid w:val="4D4C9033"/>
    <w:rsid w:val="4D55408C"/>
    <w:rsid w:val="4D58F616"/>
    <w:rsid w:val="4D5ACEB6"/>
    <w:rsid w:val="4D6D20C3"/>
    <w:rsid w:val="4DA8942A"/>
    <w:rsid w:val="4DAD9D61"/>
    <w:rsid w:val="4DB4F57A"/>
    <w:rsid w:val="4DC1F957"/>
    <w:rsid w:val="4DC2CF6E"/>
    <w:rsid w:val="4DD4BC03"/>
    <w:rsid w:val="4DDFC5E2"/>
    <w:rsid w:val="4DF8B844"/>
    <w:rsid w:val="4DFC7C20"/>
    <w:rsid w:val="4E0E95E0"/>
    <w:rsid w:val="4E10A8E2"/>
    <w:rsid w:val="4E224170"/>
    <w:rsid w:val="4E28BECC"/>
    <w:rsid w:val="4E342113"/>
    <w:rsid w:val="4E357CC3"/>
    <w:rsid w:val="4E4B8682"/>
    <w:rsid w:val="4E65FDB0"/>
    <w:rsid w:val="4E7059A2"/>
    <w:rsid w:val="4E70E582"/>
    <w:rsid w:val="4E7606BE"/>
    <w:rsid w:val="4E7E1324"/>
    <w:rsid w:val="4E8B083D"/>
    <w:rsid w:val="4E8DB1BC"/>
    <w:rsid w:val="4EA1817C"/>
    <w:rsid w:val="4EA85953"/>
    <w:rsid w:val="4EA870B9"/>
    <w:rsid w:val="4EAA7448"/>
    <w:rsid w:val="4EAC38EF"/>
    <w:rsid w:val="4EACB7C4"/>
    <w:rsid w:val="4EB130ED"/>
    <w:rsid w:val="4EB14580"/>
    <w:rsid w:val="4EB19DD3"/>
    <w:rsid w:val="4EDE4064"/>
    <w:rsid w:val="4EE58B7E"/>
    <w:rsid w:val="4F046DB7"/>
    <w:rsid w:val="4F10731F"/>
    <w:rsid w:val="4F1122DF"/>
    <w:rsid w:val="4F15A082"/>
    <w:rsid w:val="4F177FCA"/>
    <w:rsid w:val="4F1914C5"/>
    <w:rsid w:val="4F24F20A"/>
    <w:rsid w:val="4F287FF3"/>
    <w:rsid w:val="4F34FE84"/>
    <w:rsid w:val="4F47A5DE"/>
    <w:rsid w:val="4F4978B8"/>
    <w:rsid w:val="4F4ADF6B"/>
    <w:rsid w:val="4F4B8D11"/>
    <w:rsid w:val="4F51963A"/>
    <w:rsid w:val="4F57229D"/>
    <w:rsid w:val="4F5F7F99"/>
    <w:rsid w:val="4F6AA16B"/>
    <w:rsid w:val="4F84FEC1"/>
    <w:rsid w:val="4F8D3EDD"/>
    <w:rsid w:val="4F927F81"/>
    <w:rsid w:val="4F9304EB"/>
    <w:rsid w:val="4F9E0E0C"/>
    <w:rsid w:val="4F9E34C0"/>
    <w:rsid w:val="4FA48F39"/>
    <w:rsid w:val="4FB5A27C"/>
    <w:rsid w:val="4FBF08EF"/>
    <w:rsid w:val="4FC124AA"/>
    <w:rsid w:val="4FCA832E"/>
    <w:rsid w:val="4FD06711"/>
    <w:rsid w:val="4FD30A67"/>
    <w:rsid w:val="4FD6D447"/>
    <w:rsid w:val="4FDA33F2"/>
    <w:rsid w:val="4FDEB310"/>
    <w:rsid w:val="4FDF584A"/>
    <w:rsid w:val="4FE1DD0C"/>
    <w:rsid w:val="4FE49F93"/>
    <w:rsid w:val="4FEA6DDB"/>
    <w:rsid w:val="50121F91"/>
    <w:rsid w:val="501EEC4F"/>
    <w:rsid w:val="503635C4"/>
    <w:rsid w:val="503E9D79"/>
    <w:rsid w:val="504D7B70"/>
    <w:rsid w:val="505E82B5"/>
    <w:rsid w:val="506581F7"/>
    <w:rsid w:val="50780D9A"/>
    <w:rsid w:val="507C3C73"/>
    <w:rsid w:val="507EE1C5"/>
    <w:rsid w:val="507EFDFF"/>
    <w:rsid w:val="5086C34C"/>
    <w:rsid w:val="508F0E78"/>
    <w:rsid w:val="5098F42F"/>
    <w:rsid w:val="50A155CE"/>
    <w:rsid w:val="50AAB047"/>
    <w:rsid w:val="50AEBE4B"/>
    <w:rsid w:val="50EAC451"/>
    <w:rsid w:val="50F75F1A"/>
    <w:rsid w:val="50FB7343"/>
    <w:rsid w:val="50FEC0E7"/>
    <w:rsid w:val="510E73D1"/>
    <w:rsid w:val="5114BCD1"/>
    <w:rsid w:val="5118C985"/>
    <w:rsid w:val="512080A3"/>
    <w:rsid w:val="512BD208"/>
    <w:rsid w:val="512C16F8"/>
    <w:rsid w:val="51361DAC"/>
    <w:rsid w:val="5153EF4D"/>
    <w:rsid w:val="515F1EAF"/>
    <w:rsid w:val="516D1A3C"/>
    <w:rsid w:val="516D33C3"/>
    <w:rsid w:val="516EC823"/>
    <w:rsid w:val="517C428F"/>
    <w:rsid w:val="51856BB9"/>
    <w:rsid w:val="518D4B99"/>
    <w:rsid w:val="5194B213"/>
    <w:rsid w:val="51986FBB"/>
    <w:rsid w:val="51A77F84"/>
    <w:rsid w:val="51AE7F21"/>
    <w:rsid w:val="51B899E6"/>
    <w:rsid w:val="51BA8024"/>
    <w:rsid w:val="51BF41BF"/>
    <w:rsid w:val="51C16AD4"/>
    <w:rsid w:val="51C20127"/>
    <w:rsid w:val="51D8CE45"/>
    <w:rsid w:val="51E9E556"/>
    <w:rsid w:val="51ED295F"/>
    <w:rsid w:val="51FD96B2"/>
    <w:rsid w:val="522D9629"/>
    <w:rsid w:val="522F9DE4"/>
    <w:rsid w:val="52335EBF"/>
    <w:rsid w:val="523EBD3C"/>
    <w:rsid w:val="524A5C93"/>
    <w:rsid w:val="524BA1F0"/>
    <w:rsid w:val="524E1002"/>
    <w:rsid w:val="52639B36"/>
    <w:rsid w:val="5272AA44"/>
    <w:rsid w:val="5275EFD7"/>
    <w:rsid w:val="5298E949"/>
    <w:rsid w:val="529969F7"/>
    <w:rsid w:val="529D9B78"/>
    <w:rsid w:val="529F659A"/>
    <w:rsid w:val="52A16F09"/>
    <w:rsid w:val="52A83ECA"/>
    <w:rsid w:val="52B3CB80"/>
    <w:rsid w:val="52B41A1C"/>
    <w:rsid w:val="52BBF4E7"/>
    <w:rsid w:val="52BC25F8"/>
    <w:rsid w:val="52C07A1B"/>
    <w:rsid w:val="52D08144"/>
    <w:rsid w:val="52D67DB5"/>
    <w:rsid w:val="52D8A387"/>
    <w:rsid w:val="52E92ADF"/>
    <w:rsid w:val="531BB5A9"/>
    <w:rsid w:val="5324A5FA"/>
    <w:rsid w:val="5325BFF1"/>
    <w:rsid w:val="532BD5D3"/>
    <w:rsid w:val="532C88F2"/>
    <w:rsid w:val="533C107E"/>
    <w:rsid w:val="53440BD7"/>
    <w:rsid w:val="53562416"/>
    <w:rsid w:val="53575CFA"/>
    <w:rsid w:val="5359A410"/>
    <w:rsid w:val="535C920F"/>
    <w:rsid w:val="536424A7"/>
    <w:rsid w:val="536FE9DC"/>
    <w:rsid w:val="5372EB8E"/>
    <w:rsid w:val="5374F57B"/>
    <w:rsid w:val="537C9548"/>
    <w:rsid w:val="5380F185"/>
    <w:rsid w:val="5381B4B4"/>
    <w:rsid w:val="53874C76"/>
    <w:rsid w:val="5395627C"/>
    <w:rsid w:val="53CF4759"/>
    <w:rsid w:val="53D3534F"/>
    <w:rsid w:val="53FA34C2"/>
    <w:rsid w:val="540551D2"/>
    <w:rsid w:val="54075818"/>
    <w:rsid w:val="540937A3"/>
    <w:rsid w:val="541ABC99"/>
    <w:rsid w:val="541F9C13"/>
    <w:rsid w:val="542892AC"/>
    <w:rsid w:val="542BBE19"/>
    <w:rsid w:val="542F8BF4"/>
    <w:rsid w:val="543766F6"/>
    <w:rsid w:val="543DFE65"/>
    <w:rsid w:val="544DA66E"/>
    <w:rsid w:val="54582B77"/>
    <w:rsid w:val="5459C5C8"/>
    <w:rsid w:val="5466A229"/>
    <w:rsid w:val="546961A5"/>
    <w:rsid w:val="547DEB67"/>
    <w:rsid w:val="54845720"/>
    <w:rsid w:val="549519BB"/>
    <w:rsid w:val="54987A89"/>
    <w:rsid w:val="549A2315"/>
    <w:rsid w:val="54A3B9DA"/>
    <w:rsid w:val="54A90131"/>
    <w:rsid w:val="54B66BD5"/>
    <w:rsid w:val="54BF117F"/>
    <w:rsid w:val="54C904DB"/>
    <w:rsid w:val="54DC57A7"/>
    <w:rsid w:val="54E37C1D"/>
    <w:rsid w:val="54EE1C4F"/>
    <w:rsid w:val="54F4DAC0"/>
    <w:rsid w:val="54F87EB6"/>
    <w:rsid w:val="55040305"/>
    <w:rsid w:val="55045014"/>
    <w:rsid w:val="5518E596"/>
    <w:rsid w:val="551E1145"/>
    <w:rsid w:val="5523DA10"/>
    <w:rsid w:val="55243ED6"/>
    <w:rsid w:val="552C6EC8"/>
    <w:rsid w:val="553C16AA"/>
    <w:rsid w:val="553F0CB6"/>
    <w:rsid w:val="5553023A"/>
    <w:rsid w:val="55555675"/>
    <w:rsid w:val="556ED39F"/>
    <w:rsid w:val="5571EC13"/>
    <w:rsid w:val="557670F4"/>
    <w:rsid w:val="557A582C"/>
    <w:rsid w:val="5581F39A"/>
    <w:rsid w:val="558694C6"/>
    <w:rsid w:val="5593A034"/>
    <w:rsid w:val="5596B16D"/>
    <w:rsid w:val="559B4EAD"/>
    <w:rsid w:val="55A1CC92"/>
    <w:rsid w:val="55A518AA"/>
    <w:rsid w:val="55AB3DA5"/>
    <w:rsid w:val="55B32F46"/>
    <w:rsid w:val="55B59B46"/>
    <w:rsid w:val="55BA2ECD"/>
    <w:rsid w:val="55BCC4D3"/>
    <w:rsid w:val="55D31C45"/>
    <w:rsid w:val="55D5FE95"/>
    <w:rsid w:val="55E3D3D1"/>
    <w:rsid w:val="55F01A82"/>
    <w:rsid w:val="561113D9"/>
    <w:rsid w:val="5617515B"/>
    <w:rsid w:val="562113E7"/>
    <w:rsid w:val="5626C28F"/>
    <w:rsid w:val="5630795C"/>
    <w:rsid w:val="564FFE49"/>
    <w:rsid w:val="565970BD"/>
    <w:rsid w:val="5676AA4A"/>
    <w:rsid w:val="568C4560"/>
    <w:rsid w:val="569BBD03"/>
    <w:rsid w:val="56ADD0FD"/>
    <w:rsid w:val="56BCBA0D"/>
    <w:rsid w:val="56CACC25"/>
    <w:rsid w:val="56D41B6D"/>
    <w:rsid w:val="56D81FF2"/>
    <w:rsid w:val="56DB00B1"/>
    <w:rsid w:val="56EA3C39"/>
    <w:rsid w:val="570638F0"/>
    <w:rsid w:val="570A34A9"/>
    <w:rsid w:val="570FE4E2"/>
    <w:rsid w:val="571C4418"/>
    <w:rsid w:val="572FE67F"/>
    <w:rsid w:val="573396AD"/>
    <w:rsid w:val="57447CDC"/>
    <w:rsid w:val="5747D937"/>
    <w:rsid w:val="574F1712"/>
    <w:rsid w:val="575C09A6"/>
    <w:rsid w:val="575D7BDF"/>
    <w:rsid w:val="575FD080"/>
    <w:rsid w:val="575FF822"/>
    <w:rsid w:val="576DC382"/>
    <w:rsid w:val="576E7D48"/>
    <w:rsid w:val="5795F4F4"/>
    <w:rsid w:val="579A6050"/>
    <w:rsid w:val="57A519D0"/>
    <w:rsid w:val="57A8A98F"/>
    <w:rsid w:val="57B27680"/>
    <w:rsid w:val="57C2B78D"/>
    <w:rsid w:val="57C414BC"/>
    <w:rsid w:val="57D0EADF"/>
    <w:rsid w:val="57D2FBBD"/>
    <w:rsid w:val="57D6A42D"/>
    <w:rsid w:val="57F92AF5"/>
    <w:rsid w:val="581B4C19"/>
    <w:rsid w:val="582419B2"/>
    <w:rsid w:val="58255F6B"/>
    <w:rsid w:val="582B7859"/>
    <w:rsid w:val="5849A227"/>
    <w:rsid w:val="58540261"/>
    <w:rsid w:val="5875B7C4"/>
    <w:rsid w:val="587CC925"/>
    <w:rsid w:val="58910E4B"/>
    <w:rsid w:val="58A57AB4"/>
    <w:rsid w:val="58AECAB7"/>
    <w:rsid w:val="58D5451D"/>
    <w:rsid w:val="58DA8597"/>
    <w:rsid w:val="58DD87E8"/>
    <w:rsid w:val="58ED0CD3"/>
    <w:rsid w:val="58F08A4C"/>
    <w:rsid w:val="58F1ADC4"/>
    <w:rsid w:val="58F2F7A4"/>
    <w:rsid w:val="590CCE88"/>
    <w:rsid w:val="591454ED"/>
    <w:rsid w:val="591A96AA"/>
    <w:rsid w:val="591BDC48"/>
    <w:rsid w:val="591FF827"/>
    <w:rsid w:val="59267D15"/>
    <w:rsid w:val="592BEA12"/>
    <w:rsid w:val="5937811C"/>
    <w:rsid w:val="594329EA"/>
    <w:rsid w:val="59487EC8"/>
    <w:rsid w:val="595C6062"/>
    <w:rsid w:val="5966CAF9"/>
    <w:rsid w:val="596FD1A9"/>
    <w:rsid w:val="59712486"/>
    <w:rsid w:val="5974407A"/>
    <w:rsid w:val="598E558F"/>
    <w:rsid w:val="5993521C"/>
    <w:rsid w:val="599432AE"/>
    <w:rsid w:val="5997DA27"/>
    <w:rsid w:val="59990917"/>
    <w:rsid w:val="59A5B905"/>
    <w:rsid w:val="59AB0ED2"/>
    <w:rsid w:val="59AB674B"/>
    <w:rsid w:val="59B29C0A"/>
    <w:rsid w:val="59BFDF62"/>
    <w:rsid w:val="59C2A8A7"/>
    <w:rsid w:val="59C3E622"/>
    <w:rsid w:val="59C715A0"/>
    <w:rsid w:val="59D3F304"/>
    <w:rsid w:val="59DD0B3C"/>
    <w:rsid w:val="59E657F6"/>
    <w:rsid w:val="59EC2FB6"/>
    <w:rsid w:val="59EF455C"/>
    <w:rsid w:val="59F5BB95"/>
    <w:rsid w:val="59FE6187"/>
    <w:rsid w:val="5A0569DC"/>
    <w:rsid w:val="5A19A9A1"/>
    <w:rsid w:val="5A1DE965"/>
    <w:rsid w:val="5A206DE4"/>
    <w:rsid w:val="5A22E788"/>
    <w:rsid w:val="5A2A016F"/>
    <w:rsid w:val="5A3314ED"/>
    <w:rsid w:val="5A356047"/>
    <w:rsid w:val="5A3AE555"/>
    <w:rsid w:val="5A44DFC3"/>
    <w:rsid w:val="5A5377B6"/>
    <w:rsid w:val="5A701E3A"/>
    <w:rsid w:val="5A712BC8"/>
    <w:rsid w:val="5A8B6037"/>
    <w:rsid w:val="5AA562B2"/>
    <w:rsid w:val="5AB3B123"/>
    <w:rsid w:val="5AB6DECC"/>
    <w:rsid w:val="5ACDA949"/>
    <w:rsid w:val="5AD01F10"/>
    <w:rsid w:val="5ADAF8CD"/>
    <w:rsid w:val="5AE8E81C"/>
    <w:rsid w:val="5AED80B6"/>
    <w:rsid w:val="5AFC508D"/>
    <w:rsid w:val="5B0A7E93"/>
    <w:rsid w:val="5B2EDA1E"/>
    <w:rsid w:val="5B352850"/>
    <w:rsid w:val="5B3F7CF7"/>
    <w:rsid w:val="5B40BD69"/>
    <w:rsid w:val="5B46D4CF"/>
    <w:rsid w:val="5B52F17B"/>
    <w:rsid w:val="5B686E21"/>
    <w:rsid w:val="5B7B3EB3"/>
    <w:rsid w:val="5B86B613"/>
    <w:rsid w:val="5B8E64C8"/>
    <w:rsid w:val="5B909636"/>
    <w:rsid w:val="5B9D04CB"/>
    <w:rsid w:val="5B9FDD64"/>
    <w:rsid w:val="5BA22ED7"/>
    <w:rsid w:val="5BA3B8B0"/>
    <w:rsid w:val="5BD1F3E5"/>
    <w:rsid w:val="5BD27025"/>
    <w:rsid w:val="5BDDBA59"/>
    <w:rsid w:val="5BE72445"/>
    <w:rsid w:val="5BF4FCC7"/>
    <w:rsid w:val="5BFAAF4C"/>
    <w:rsid w:val="5C0AA4B0"/>
    <w:rsid w:val="5C1189BB"/>
    <w:rsid w:val="5C33D7E8"/>
    <w:rsid w:val="5C3A53A3"/>
    <w:rsid w:val="5C3E25EA"/>
    <w:rsid w:val="5C4B6BB3"/>
    <w:rsid w:val="5C4BF5AF"/>
    <w:rsid w:val="5C513F26"/>
    <w:rsid w:val="5C56EBB3"/>
    <w:rsid w:val="5C58BBC7"/>
    <w:rsid w:val="5C5C30FA"/>
    <w:rsid w:val="5C5E7615"/>
    <w:rsid w:val="5C644D83"/>
    <w:rsid w:val="5C67C5D6"/>
    <w:rsid w:val="5C6825AD"/>
    <w:rsid w:val="5C75DA8B"/>
    <w:rsid w:val="5C7638FE"/>
    <w:rsid w:val="5C7BC390"/>
    <w:rsid w:val="5C7E532D"/>
    <w:rsid w:val="5C90A00B"/>
    <w:rsid w:val="5C960413"/>
    <w:rsid w:val="5C9B8E47"/>
    <w:rsid w:val="5C9FA8D2"/>
    <w:rsid w:val="5CAE078F"/>
    <w:rsid w:val="5CBF5CF4"/>
    <w:rsid w:val="5CD5A1A9"/>
    <w:rsid w:val="5CE7A7BE"/>
    <w:rsid w:val="5CEFC340"/>
    <w:rsid w:val="5CF24EC3"/>
    <w:rsid w:val="5D031CB8"/>
    <w:rsid w:val="5D06AD07"/>
    <w:rsid w:val="5D07603D"/>
    <w:rsid w:val="5D1A9E19"/>
    <w:rsid w:val="5D1F6E70"/>
    <w:rsid w:val="5D277B94"/>
    <w:rsid w:val="5D2E6355"/>
    <w:rsid w:val="5D36D7A9"/>
    <w:rsid w:val="5D39A1A1"/>
    <w:rsid w:val="5D43D7B9"/>
    <w:rsid w:val="5D48C985"/>
    <w:rsid w:val="5D6FD929"/>
    <w:rsid w:val="5D804577"/>
    <w:rsid w:val="5D832B40"/>
    <w:rsid w:val="5D86DBA0"/>
    <w:rsid w:val="5D894151"/>
    <w:rsid w:val="5D946EE5"/>
    <w:rsid w:val="5D954048"/>
    <w:rsid w:val="5DA141F2"/>
    <w:rsid w:val="5DB16080"/>
    <w:rsid w:val="5DB19989"/>
    <w:rsid w:val="5DBCE57F"/>
    <w:rsid w:val="5DDB2671"/>
    <w:rsid w:val="5DE3416E"/>
    <w:rsid w:val="5DF89E85"/>
    <w:rsid w:val="5DF9A911"/>
    <w:rsid w:val="5E0F288F"/>
    <w:rsid w:val="5E16848B"/>
    <w:rsid w:val="5E1CF95C"/>
    <w:rsid w:val="5E2B62BD"/>
    <w:rsid w:val="5E3192BF"/>
    <w:rsid w:val="5E32599B"/>
    <w:rsid w:val="5E33979C"/>
    <w:rsid w:val="5E35A843"/>
    <w:rsid w:val="5E3A51B9"/>
    <w:rsid w:val="5E4BC2EF"/>
    <w:rsid w:val="5E5C5C45"/>
    <w:rsid w:val="5E67D746"/>
    <w:rsid w:val="5E6C6F2D"/>
    <w:rsid w:val="5E6E329C"/>
    <w:rsid w:val="5E6EFEE3"/>
    <w:rsid w:val="5E7365BD"/>
    <w:rsid w:val="5E7420C6"/>
    <w:rsid w:val="5E812E6C"/>
    <w:rsid w:val="5E88A14B"/>
    <w:rsid w:val="5E88A41C"/>
    <w:rsid w:val="5EA61474"/>
    <w:rsid w:val="5EBF1B30"/>
    <w:rsid w:val="5EC30E5F"/>
    <w:rsid w:val="5ED0D0BC"/>
    <w:rsid w:val="5EE18A46"/>
    <w:rsid w:val="5EE23273"/>
    <w:rsid w:val="5EE921DA"/>
    <w:rsid w:val="5EF0CDC1"/>
    <w:rsid w:val="5EF51CE7"/>
    <w:rsid w:val="5F01A72C"/>
    <w:rsid w:val="5F07FF00"/>
    <w:rsid w:val="5F14BC38"/>
    <w:rsid w:val="5F17415C"/>
    <w:rsid w:val="5F2BBAE9"/>
    <w:rsid w:val="5F346AEE"/>
    <w:rsid w:val="5F354140"/>
    <w:rsid w:val="5F403D31"/>
    <w:rsid w:val="5F45F54C"/>
    <w:rsid w:val="5F6C9BEA"/>
    <w:rsid w:val="5F6E44E0"/>
    <w:rsid w:val="5F7DBB33"/>
    <w:rsid w:val="5F812DC1"/>
    <w:rsid w:val="5F82DF8B"/>
    <w:rsid w:val="5F8F5829"/>
    <w:rsid w:val="5FB7FBD7"/>
    <w:rsid w:val="5FD2B2D2"/>
    <w:rsid w:val="5FE760C9"/>
    <w:rsid w:val="6003BD24"/>
    <w:rsid w:val="6015B0D0"/>
    <w:rsid w:val="603859E9"/>
    <w:rsid w:val="603A610E"/>
    <w:rsid w:val="603AE013"/>
    <w:rsid w:val="60468711"/>
    <w:rsid w:val="604B5E7C"/>
    <w:rsid w:val="604D8FD9"/>
    <w:rsid w:val="60518C15"/>
    <w:rsid w:val="6052FD97"/>
    <w:rsid w:val="60559D54"/>
    <w:rsid w:val="60562F53"/>
    <w:rsid w:val="6066D47D"/>
    <w:rsid w:val="607696DD"/>
    <w:rsid w:val="6082D1C4"/>
    <w:rsid w:val="60849EA4"/>
    <w:rsid w:val="608ED152"/>
    <w:rsid w:val="608F9DA8"/>
    <w:rsid w:val="609189AE"/>
    <w:rsid w:val="609DA641"/>
    <w:rsid w:val="60A289BA"/>
    <w:rsid w:val="60A8B273"/>
    <w:rsid w:val="60A98DC4"/>
    <w:rsid w:val="60BBF928"/>
    <w:rsid w:val="60BCEDA7"/>
    <w:rsid w:val="60C086E4"/>
    <w:rsid w:val="60C8719A"/>
    <w:rsid w:val="60F29589"/>
    <w:rsid w:val="60FF2910"/>
    <w:rsid w:val="610C4794"/>
    <w:rsid w:val="611A2604"/>
    <w:rsid w:val="611AE09D"/>
    <w:rsid w:val="612C39A3"/>
    <w:rsid w:val="612C597D"/>
    <w:rsid w:val="613348B6"/>
    <w:rsid w:val="613CFCDB"/>
    <w:rsid w:val="613DF101"/>
    <w:rsid w:val="6152CBBF"/>
    <w:rsid w:val="615639AF"/>
    <w:rsid w:val="61616204"/>
    <w:rsid w:val="616286BB"/>
    <w:rsid w:val="61673B55"/>
    <w:rsid w:val="61678E9B"/>
    <w:rsid w:val="616A9136"/>
    <w:rsid w:val="616EB7DD"/>
    <w:rsid w:val="61867FD8"/>
    <w:rsid w:val="61910418"/>
    <w:rsid w:val="619315F2"/>
    <w:rsid w:val="619D6C19"/>
    <w:rsid w:val="619E79D2"/>
    <w:rsid w:val="61ADFB7D"/>
    <w:rsid w:val="61B0D676"/>
    <w:rsid w:val="61C2231E"/>
    <w:rsid w:val="61C9B32F"/>
    <w:rsid w:val="61E8787C"/>
    <w:rsid w:val="61ECE608"/>
    <w:rsid w:val="61F4441F"/>
    <w:rsid w:val="61F898FA"/>
    <w:rsid w:val="61FB2B13"/>
    <w:rsid w:val="62034204"/>
    <w:rsid w:val="620808AD"/>
    <w:rsid w:val="620D925C"/>
    <w:rsid w:val="6213DFB5"/>
    <w:rsid w:val="62171C9F"/>
    <w:rsid w:val="6223DF32"/>
    <w:rsid w:val="6224CAA4"/>
    <w:rsid w:val="622654D9"/>
    <w:rsid w:val="6227991C"/>
    <w:rsid w:val="6227D890"/>
    <w:rsid w:val="6236FC1C"/>
    <w:rsid w:val="623CE277"/>
    <w:rsid w:val="62423894"/>
    <w:rsid w:val="62442F32"/>
    <w:rsid w:val="624895E8"/>
    <w:rsid w:val="625041A5"/>
    <w:rsid w:val="6254B196"/>
    <w:rsid w:val="625531D7"/>
    <w:rsid w:val="62652174"/>
    <w:rsid w:val="6269D726"/>
    <w:rsid w:val="6276E7AF"/>
    <w:rsid w:val="62829B71"/>
    <w:rsid w:val="629C983F"/>
    <w:rsid w:val="629D98F0"/>
    <w:rsid w:val="629F2EF2"/>
    <w:rsid w:val="62A79740"/>
    <w:rsid w:val="62AFD8B3"/>
    <w:rsid w:val="62D02C7A"/>
    <w:rsid w:val="62D4CB4F"/>
    <w:rsid w:val="62E06771"/>
    <w:rsid w:val="6308B8FC"/>
    <w:rsid w:val="630ABB46"/>
    <w:rsid w:val="630C6A76"/>
    <w:rsid w:val="63117104"/>
    <w:rsid w:val="631A6564"/>
    <w:rsid w:val="6333290D"/>
    <w:rsid w:val="633661F1"/>
    <w:rsid w:val="634A8F62"/>
    <w:rsid w:val="634E5618"/>
    <w:rsid w:val="63505355"/>
    <w:rsid w:val="63514658"/>
    <w:rsid w:val="63519DC3"/>
    <w:rsid w:val="6357B38B"/>
    <w:rsid w:val="63581025"/>
    <w:rsid w:val="6361CC5A"/>
    <w:rsid w:val="63672A85"/>
    <w:rsid w:val="6375BC27"/>
    <w:rsid w:val="637BC265"/>
    <w:rsid w:val="637EDF16"/>
    <w:rsid w:val="63800FBF"/>
    <w:rsid w:val="6386038D"/>
    <w:rsid w:val="63A63FBB"/>
    <w:rsid w:val="63B33FE1"/>
    <w:rsid w:val="63B731F2"/>
    <w:rsid w:val="63B93AD0"/>
    <w:rsid w:val="63BD1DC2"/>
    <w:rsid w:val="63E30742"/>
    <w:rsid w:val="6401FD44"/>
    <w:rsid w:val="64164B7F"/>
    <w:rsid w:val="641AB4D1"/>
    <w:rsid w:val="641BB724"/>
    <w:rsid w:val="6423D58B"/>
    <w:rsid w:val="64384205"/>
    <w:rsid w:val="643BD844"/>
    <w:rsid w:val="6441494A"/>
    <w:rsid w:val="644FF216"/>
    <w:rsid w:val="6455B162"/>
    <w:rsid w:val="6457505E"/>
    <w:rsid w:val="645D7FE1"/>
    <w:rsid w:val="64604914"/>
    <w:rsid w:val="6483B182"/>
    <w:rsid w:val="6486A0B7"/>
    <w:rsid w:val="648C5DBE"/>
    <w:rsid w:val="648D4909"/>
    <w:rsid w:val="64A6240E"/>
    <w:rsid w:val="64B78096"/>
    <w:rsid w:val="64C439D3"/>
    <w:rsid w:val="64DC9BB1"/>
    <w:rsid w:val="64E385C8"/>
    <w:rsid w:val="64E927B3"/>
    <w:rsid w:val="64F00513"/>
    <w:rsid w:val="64F21FE6"/>
    <w:rsid w:val="651BCCC5"/>
    <w:rsid w:val="65244638"/>
    <w:rsid w:val="65259CD4"/>
    <w:rsid w:val="652DC0A6"/>
    <w:rsid w:val="6535AC27"/>
    <w:rsid w:val="654ACA87"/>
    <w:rsid w:val="65508014"/>
    <w:rsid w:val="6555C815"/>
    <w:rsid w:val="655858F3"/>
    <w:rsid w:val="655A2B98"/>
    <w:rsid w:val="656FC725"/>
    <w:rsid w:val="657BD310"/>
    <w:rsid w:val="657E30F0"/>
    <w:rsid w:val="658A64B8"/>
    <w:rsid w:val="65952BC7"/>
    <w:rsid w:val="65A6C083"/>
    <w:rsid w:val="65C36CB6"/>
    <w:rsid w:val="65CC6702"/>
    <w:rsid w:val="65E17716"/>
    <w:rsid w:val="65EE304A"/>
    <w:rsid w:val="65EE35B9"/>
    <w:rsid w:val="660943E9"/>
    <w:rsid w:val="66176FEC"/>
    <w:rsid w:val="661E53EE"/>
    <w:rsid w:val="662ED1E1"/>
    <w:rsid w:val="66303881"/>
    <w:rsid w:val="664D0EE6"/>
    <w:rsid w:val="665014D8"/>
    <w:rsid w:val="66522D38"/>
    <w:rsid w:val="666D9E0E"/>
    <w:rsid w:val="666F77B7"/>
    <w:rsid w:val="66714A0E"/>
    <w:rsid w:val="6678EEE7"/>
    <w:rsid w:val="6679477A"/>
    <w:rsid w:val="667F8342"/>
    <w:rsid w:val="66865071"/>
    <w:rsid w:val="6686FE46"/>
    <w:rsid w:val="668922C6"/>
    <w:rsid w:val="668DC922"/>
    <w:rsid w:val="6692AA86"/>
    <w:rsid w:val="66C818DD"/>
    <w:rsid w:val="66CEB7E9"/>
    <w:rsid w:val="66D26A7B"/>
    <w:rsid w:val="66FDBA5C"/>
    <w:rsid w:val="66FE050C"/>
    <w:rsid w:val="6705D5A1"/>
    <w:rsid w:val="6714C29F"/>
    <w:rsid w:val="672C656B"/>
    <w:rsid w:val="67370171"/>
    <w:rsid w:val="673D7BF9"/>
    <w:rsid w:val="675526D5"/>
    <w:rsid w:val="67741115"/>
    <w:rsid w:val="67872D3E"/>
    <w:rsid w:val="6790166E"/>
    <w:rsid w:val="67A2C836"/>
    <w:rsid w:val="67A7E360"/>
    <w:rsid w:val="67B0BA4F"/>
    <w:rsid w:val="67BB4EAD"/>
    <w:rsid w:val="67F9498D"/>
    <w:rsid w:val="67FB6866"/>
    <w:rsid w:val="680A419C"/>
    <w:rsid w:val="680AA9D4"/>
    <w:rsid w:val="681D0C76"/>
    <w:rsid w:val="68362CC3"/>
    <w:rsid w:val="683856AD"/>
    <w:rsid w:val="683D0F2A"/>
    <w:rsid w:val="684E2AFD"/>
    <w:rsid w:val="68568989"/>
    <w:rsid w:val="685E2829"/>
    <w:rsid w:val="685F6081"/>
    <w:rsid w:val="6888FFAC"/>
    <w:rsid w:val="689F6A60"/>
    <w:rsid w:val="68A64933"/>
    <w:rsid w:val="68A6DC32"/>
    <w:rsid w:val="68BA92BE"/>
    <w:rsid w:val="68BEC0F0"/>
    <w:rsid w:val="68C8D88A"/>
    <w:rsid w:val="68CB6CC8"/>
    <w:rsid w:val="68CE32EF"/>
    <w:rsid w:val="68CF3501"/>
    <w:rsid w:val="68DCDD02"/>
    <w:rsid w:val="6911CF4A"/>
    <w:rsid w:val="6913118B"/>
    <w:rsid w:val="691E4FED"/>
    <w:rsid w:val="69200A7A"/>
    <w:rsid w:val="6922828B"/>
    <w:rsid w:val="692FE50F"/>
    <w:rsid w:val="693F6A76"/>
    <w:rsid w:val="694E7936"/>
    <w:rsid w:val="6962A530"/>
    <w:rsid w:val="696A9851"/>
    <w:rsid w:val="6972E8B3"/>
    <w:rsid w:val="697C6CE8"/>
    <w:rsid w:val="697D27C4"/>
    <w:rsid w:val="69910AA1"/>
    <w:rsid w:val="69A2274C"/>
    <w:rsid w:val="69B9258D"/>
    <w:rsid w:val="69BDD890"/>
    <w:rsid w:val="69CAD940"/>
    <w:rsid w:val="69CD298C"/>
    <w:rsid w:val="69CED09B"/>
    <w:rsid w:val="69FEE7E5"/>
    <w:rsid w:val="6A071A02"/>
    <w:rsid w:val="6A0F2F1A"/>
    <w:rsid w:val="6A0F7641"/>
    <w:rsid w:val="6A12FAFC"/>
    <w:rsid w:val="6A318821"/>
    <w:rsid w:val="6A7A64AC"/>
    <w:rsid w:val="6A7B38E3"/>
    <w:rsid w:val="6A7CB5DC"/>
    <w:rsid w:val="6A81AE9B"/>
    <w:rsid w:val="6A8EAA00"/>
    <w:rsid w:val="6AAAADAB"/>
    <w:rsid w:val="6AB5E7CD"/>
    <w:rsid w:val="6AB9B554"/>
    <w:rsid w:val="6AC0D1E2"/>
    <w:rsid w:val="6AC2B469"/>
    <w:rsid w:val="6AC67E33"/>
    <w:rsid w:val="6AC6FACB"/>
    <w:rsid w:val="6AD5BDF9"/>
    <w:rsid w:val="6ADA106A"/>
    <w:rsid w:val="6ADD5A32"/>
    <w:rsid w:val="6AE0B520"/>
    <w:rsid w:val="6AE3F5D8"/>
    <w:rsid w:val="6B0F6E5E"/>
    <w:rsid w:val="6B388653"/>
    <w:rsid w:val="6B3B6632"/>
    <w:rsid w:val="6B473E83"/>
    <w:rsid w:val="6B5EDDFA"/>
    <w:rsid w:val="6B610365"/>
    <w:rsid w:val="6B64E777"/>
    <w:rsid w:val="6B6CD4FD"/>
    <w:rsid w:val="6B781E28"/>
    <w:rsid w:val="6B8592FC"/>
    <w:rsid w:val="6B867DAC"/>
    <w:rsid w:val="6B87D41F"/>
    <w:rsid w:val="6B8D4059"/>
    <w:rsid w:val="6B8E6B66"/>
    <w:rsid w:val="6B92EAD6"/>
    <w:rsid w:val="6B9D47F8"/>
    <w:rsid w:val="6BA00B92"/>
    <w:rsid w:val="6BA37890"/>
    <w:rsid w:val="6BB497F9"/>
    <w:rsid w:val="6BBAAFDA"/>
    <w:rsid w:val="6BBE3B81"/>
    <w:rsid w:val="6BC8F0B8"/>
    <w:rsid w:val="6BCA9522"/>
    <w:rsid w:val="6BCAA730"/>
    <w:rsid w:val="6BD1D68A"/>
    <w:rsid w:val="6BDFD34A"/>
    <w:rsid w:val="6BE2E967"/>
    <w:rsid w:val="6BE45D47"/>
    <w:rsid w:val="6BE6E494"/>
    <w:rsid w:val="6BEB310D"/>
    <w:rsid w:val="6BFAD7D8"/>
    <w:rsid w:val="6C06F2AC"/>
    <w:rsid w:val="6C09D2E5"/>
    <w:rsid w:val="6C0B8379"/>
    <w:rsid w:val="6C1B3785"/>
    <w:rsid w:val="6C1B9BE9"/>
    <w:rsid w:val="6C2328AF"/>
    <w:rsid w:val="6C252609"/>
    <w:rsid w:val="6C2FB957"/>
    <w:rsid w:val="6C3F0D58"/>
    <w:rsid w:val="6C422EB7"/>
    <w:rsid w:val="6C4444CE"/>
    <w:rsid w:val="6C445C5A"/>
    <w:rsid w:val="6C4CC458"/>
    <w:rsid w:val="6C557FE8"/>
    <w:rsid w:val="6C5C01DE"/>
    <w:rsid w:val="6C605299"/>
    <w:rsid w:val="6C629075"/>
    <w:rsid w:val="6C695BE4"/>
    <w:rsid w:val="6C6D92D4"/>
    <w:rsid w:val="6C797A4E"/>
    <w:rsid w:val="6C86EDBB"/>
    <w:rsid w:val="6C99D345"/>
    <w:rsid w:val="6CB0F62C"/>
    <w:rsid w:val="6CCEFD7A"/>
    <w:rsid w:val="6CD94665"/>
    <w:rsid w:val="6CE36A9E"/>
    <w:rsid w:val="6CE3D9B3"/>
    <w:rsid w:val="6CE5137E"/>
    <w:rsid w:val="6CF3F566"/>
    <w:rsid w:val="6D11EDF2"/>
    <w:rsid w:val="6D1F954F"/>
    <w:rsid w:val="6D2A634C"/>
    <w:rsid w:val="6D44FD8D"/>
    <w:rsid w:val="6D464D40"/>
    <w:rsid w:val="6D4D119E"/>
    <w:rsid w:val="6D5B71EE"/>
    <w:rsid w:val="6D5BC18B"/>
    <w:rsid w:val="6D5D08C5"/>
    <w:rsid w:val="6D69583C"/>
    <w:rsid w:val="6D769904"/>
    <w:rsid w:val="6D76E793"/>
    <w:rsid w:val="6D82DAE7"/>
    <w:rsid w:val="6D8848D1"/>
    <w:rsid w:val="6D992C21"/>
    <w:rsid w:val="6DA525B8"/>
    <w:rsid w:val="6DBA09BF"/>
    <w:rsid w:val="6DBC0848"/>
    <w:rsid w:val="6DBC3F0B"/>
    <w:rsid w:val="6DBF194F"/>
    <w:rsid w:val="6DC1FB63"/>
    <w:rsid w:val="6DC779C6"/>
    <w:rsid w:val="6DCE6998"/>
    <w:rsid w:val="6DD0FA17"/>
    <w:rsid w:val="6DE7E2F9"/>
    <w:rsid w:val="6DFBE665"/>
    <w:rsid w:val="6DFC7A46"/>
    <w:rsid w:val="6E139358"/>
    <w:rsid w:val="6E209A66"/>
    <w:rsid w:val="6E2E26FA"/>
    <w:rsid w:val="6E347C68"/>
    <w:rsid w:val="6E3F8FE6"/>
    <w:rsid w:val="6E442E5D"/>
    <w:rsid w:val="6E45EBC6"/>
    <w:rsid w:val="6E4952CC"/>
    <w:rsid w:val="6E496871"/>
    <w:rsid w:val="6E4E5332"/>
    <w:rsid w:val="6E57B983"/>
    <w:rsid w:val="6E6657D2"/>
    <w:rsid w:val="6E6EFA9C"/>
    <w:rsid w:val="6E72953F"/>
    <w:rsid w:val="6E74F280"/>
    <w:rsid w:val="6E7BBD83"/>
    <w:rsid w:val="6E81DD52"/>
    <w:rsid w:val="6E853EA0"/>
    <w:rsid w:val="6E870569"/>
    <w:rsid w:val="6E99980F"/>
    <w:rsid w:val="6E9A918D"/>
    <w:rsid w:val="6EAD8DA3"/>
    <w:rsid w:val="6EB09CE6"/>
    <w:rsid w:val="6EB740D9"/>
    <w:rsid w:val="6EDE5058"/>
    <w:rsid w:val="6EF2D2F1"/>
    <w:rsid w:val="6F035C3E"/>
    <w:rsid w:val="6F063C8B"/>
    <w:rsid w:val="6F0C4E04"/>
    <w:rsid w:val="6F1BA642"/>
    <w:rsid w:val="6F20198C"/>
    <w:rsid w:val="6F3574CC"/>
    <w:rsid w:val="6F3A2B51"/>
    <w:rsid w:val="6F41233D"/>
    <w:rsid w:val="6F4E5012"/>
    <w:rsid w:val="6F5CC283"/>
    <w:rsid w:val="6F6DA6E0"/>
    <w:rsid w:val="6F7540D6"/>
    <w:rsid w:val="6F7A3081"/>
    <w:rsid w:val="6F7ED9ED"/>
    <w:rsid w:val="6F9BFE40"/>
    <w:rsid w:val="6F9CFBF4"/>
    <w:rsid w:val="6FAB3FF7"/>
    <w:rsid w:val="6FD21799"/>
    <w:rsid w:val="6FDAB779"/>
    <w:rsid w:val="6FDE3CD3"/>
    <w:rsid w:val="6FDF2D2A"/>
    <w:rsid w:val="6FDFABE0"/>
    <w:rsid w:val="6FE896EE"/>
    <w:rsid w:val="6FF0E820"/>
    <w:rsid w:val="6FF237A3"/>
    <w:rsid w:val="6FFB1843"/>
    <w:rsid w:val="7022F6DF"/>
    <w:rsid w:val="7028E00E"/>
    <w:rsid w:val="702ABCE0"/>
    <w:rsid w:val="702D56EF"/>
    <w:rsid w:val="702D6662"/>
    <w:rsid w:val="703A2956"/>
    <w:rsid w:val="7041E0B8"/>
    <w:rsid w:val="705F5DD9"/>
    <w:rsid w:val="7061BAF3"/>
    <w:rsid w:val="70729F65"/>
    <w:rsid w:val="707698EF"/>
    <w:rsid w:val="708E66A5"/>
    <w:rsid w:val="70915B94"/>
    <w:rsid w:val="70977B06"/>
    <w:rsid w:val="70A46F10"/>
    <w:rsid w:val="70AC1859"/>
    <w:rsid w:val="70C3894A"/>
    <w:rsid w:val="70C841C6"/>
    <w:rsid w:val="70D3AC00"/>
    <w:rsid w:val="70D789C5"/>
    <w:rsid w:val="70E42CED"/>
    <w:rsid w:val="70E50B9D"/>
    <w:rsid w:val="70E9794C"/>
    <w:rsid w:val="7101CFEC"/>
    <w:rsid w:val="711659A4"/>
    <w:rsid w:val="711C3351"/>
    <w:rsid w:val="712DB40A"/>
    <w:rsid w:val="713B38BA"/>
    <w:rsid w:val="713FB2E2"/>
    <w:rsid w:val="71442399"/>
    <w:rsid w:val="71524725"/>
    <w:rsid w:val="7164470B"/>
    <w:rsid w:val="717EDCFC"/>
    <w:rsid w:val="71821425"/>
    <w:rsid w:val="7189CE0E"/>
    <w:rsid w:val="718F9391"/>
    <w:rsid w:val="71A571C9"/>
    <w:rsid w:val="71A58FEB"/>
    <w:rsid w:val="71B41D97"/>
    <w:rsid w:val="71BC625F"/>
    <w:rsid w:val="71C1F261"/>
    <w:rsid w:val="71C938F1"/>
    <w:rsid w:val="71CAC913"/>
    <w:rsid w:val="71D467F6"/>
    <w:rsid w:val="72032C79"/>
    <w:rsid w:val="72083BCE"/>
    <w:rsid w:val="721BCCF9"/>
    <w:rsid w:val="72203459"/>
    <w:rsid w:val="7226C5BC"/>
    <w:rsid w:val="7229085F"/>
    <w:rsid w:val="722CEEAC"/>
    <w:rsid w:val="7232FA5E"/>
    <w:rsid w:val="7271E407"/>
    <w:rsid w:val="7274590F"/>
    <w:rsid w:val="7275E4B9"/>
    <w:rsid w:val="729F02EB"/>
    <w:rsid w:val="72A05B07"/>
    <w:rsid w:val="72A8CBAD"/>
    <w:rsid w:val="72C87B6F"/>
    <w:rsid w:val="72EC8F4C"/>
    <w:rsid w:val="72EEEA8B"/>
    <w:rsid w:val="72EF5782"/>
    <w:rsid w:val="7302CF76"/>
    <w:rsid w:val="7315375C"/>
    <w:rsid w:val="7315AB90"/>
    <w:rsid w:val="731C2169"/>
    <w:rsid w:val="731CD8F5"/>
    <w:rsid w:val="731ED6A1"/>
    <w:rsid w:val="73220772"/>
    <w:rsid w:val="7323F220"/>
    <w:rsid w:val="732E97BA"/>
    <w:rsid w:val="73342FC9"/>
    <w:rsid w:val="73430DCF"/>
    <w:rsid w:val="7345519B"/>
    <w:rsid w:val="73631402"/>
    <w:rsid w:val="736D8ADB"/>
    <w:rsid w:val="73720404"/>
    <w:rsid w:val="7373B1CA"/>
    <w:rsid w:val="737ACC1F"/>
    <w:rsid w:val="737EFFBF"/>
    <w:rsid w:val="7390FED6"/>
    <w:rsid w:val="73942782"/>
    <w:rsid w:val="7394E3DE"/>
    <w:rsid w:val="739E2237"/>
    <w:rsid w:val="73A88D46"/>
    <w:rsid w:val="73BC1D00"/>
    <w:rsid w:val="73DEC364"/>
    <w:rsid w:val="73F1A272"/>
    <w:rsid w:val="74055DAD"/>
    <w:rsid w:val="740D677E"/>
    <w:rsid w:val="7418B050"/>
    <w:rsid w:val="741E9B97"/>
    <w:rsid w:val="7424ECDC"/>
    <w:rsid w:val="743C4655"/>
    <w:rsid w:val="74440410"/>
    <w:rsid w:val="744D63DE"/>
    <w:rsid w:val="74584D35"/>
    <w:rsid w:val="745DC2BE"/>
    <w:rsid w:val="7462B445"/>
    <w:rsid w:val="746465D5"/>
    <w:rsid w:val="74837C9B"/>
    <w:rsid w:val="74B43EBE"/>
    <w:rsid w:val="74B6A3DC"/>
    <w:rsid w:val="74B8CA19"/>
    <w:rsid w:val="74CBDCDD"/>
    <w:rsid w:val="74CC5488"/>
    <w:rsid w:val="74D8353F"/>
    <w:rsid w:val="74DCA952"/>
    <w:rsid w:val="74E5EC24"/>
    <w:rsid w:val="74E6335C"/>
    <w:rsid w:val="74F327C5"/>
    <w:rsid w:val="74F633C1"/>
    <w:rsid w:val="750269D5"/>
    <w:rsid w:val="75299D85"/>
    <w:rsid w:val="752ADE70"/>
    <w:rsid w:val="752D99DD"/>
    <w:rsid w:val="7541E3B5"/>
    <w:rsid w:val="754A684B"/>
    <w:rsid w:val="75557AE5"/>
    <w:rsid w:val="7559AA51"/>
    <w:rsid w:val="756202EC"/>
    <w:rsid w:val="75638965"/>
    <w:rsid w:val="757E2AD1"/>
    <w:rsid w:val="7583BD38"/>
    <w:rsid w:val="758445D6"/>
    <w:rsid w:val="75864A2D"/>
    <w:rsid w:val="75954720"/>
    <w:rsid w:val="7595BC5B"/>
    <w:rsid w:val="75AA5F3A"/>
    <w:rsid w:val="75BA0C7D"/>
    <w:rsid w:val="75BB4805"/>
    <w:rsid w:val="75CCE95B"/>
    <w:rsid w:val="75D9D655"/>
    <w:rsid w:val="75DC62E4"/>
    <w:rsid w:val="75E41FDE"/>
    <w:rsid w:val="75E51BFD"/>
    <w:rsid w:val="75EF54F9"/>
    <w:rsid w:val="75F39548"/>
    <w:rsid w:val="75F9D4D6"/>
    <w:rsid w:val="76002B29"/>
    <w:rsid w:val="7615283D"/>
    <w:rsid w:val="76178B03"/>
    <w:rsid w:val="761CA82A"/>
    <w:rsid w:val="761D15C3"/>
    <w:rsid w:val="761E8897"/>
    <w:rsid w:val="76212A42"/>
    <w:rsid w:val="763E8C81"/>
    <w:rsid w:val="7645F673"/>
    <w:rsid w:val="764F403F"/>
    <w:rsid w:val="7660C3ED"/>
    <w:rsid w:val="7667A991"/>
    <w:rsid w:val="766B3648"/>
    <w:rsid w:val="76892307"/>
    <w:rsid w:val="768CEABD"/>
    <w:rsid w:val="768FCB8B"/>
    <w:rsid w:val="769EC369"/>
    <w:rsid w:val="76A28A3E"/>
    <w:rsid w:val="76BEFC13"/>
    <w:rsid w:val="76E4828E"/>
    <w:rsid w:val="76E56CB0"/>
    <w:rsid w:val="76EC987D"/>
    <w:rsid w:val="76EF7354"/>
    <w:rsid w:val="772FFDE1"/>
    <w:rsid w:val="773E3805"/>
    <w:rsid w:val="7741C429"/>
    <w:rsid w:val="7745E239"/>
    <w:rsid w:val="77551295"/>
    <w:rsid w:val="777D814C"/>
    <w:rsid w:val="7790A2B5"/>
    <w:rsid w:val="77972151"/>
    <w:rsid w:val="779F5F03"/>
    <w:rsid w:val="77A2C9ED"/>
    <w:rsid w:val="77A33375"/>
    <w:rsid w:val="77A553E8"/>
    <w:rsid w:val="77A7D906"/>
    <w:rsid w:val="77B4BC3E"/>
    <w:rsid w:val="77B88CAA"/>
    <w:rsid w:val="77BABD42"/>
    <w:rsid w:val="77C58668"/>
    <w:rsid w:val="77E189F1"/>
    <w:rsid w:val="77F7F237"/>
    <w:rsid w:val="782CA28C"/>
    <w:rsid w:val="78329F76"/>
    <w:rsid w:val="78504BE0"/>
    <w:rsid w:val="7850986E"/>
    <w:rsid w:val="785255D6"/>
    <w:rsid w:val="785FABB3"/>
    <w:rsid w:val="7860801D"/>
    <w:rsid w:val="7863D653"/>
    <w:rsid w:val="78643C41"/>
    <w:rsid w:val="786A7BB0"/>
    <w:rsid w:val="7872A2D6"/>
    <w:rsid w:val="787BEC50"/>
    <w:rsid w:val="7883813D"/>
    <w:rsid w:val="788FD461"/>
    <w:rsid w:val="78B2CC85"/>
    <w:rsid w:val="78BD095B"/>
    <w:rsid w:val="78C7BAC9"/>
    <w:rsid w:val="78D47E02"/>
    <w:rsid w:val="78D70C54"/>
    <w:rsid w:val="78E45CAC"/>
    <w:rsid w:val="79037FC4"/>
    <w:rsid w:val="790CADF9"/>
    <w:rsid w:val="790CE6E4"/>
    <w:rsid w:val="79183A37"/>
    <w:rsid w:val="7928D71E"/>
    <w:rsid w:val="7932942D"/>
    <w:rsid w:val="793B4B50"/>
    <w:rsid w:val="793C2BB4"/>
    <w:rsid w:val="79408DB3"/>
    <w:rsid w:val="79544FC3"/>
    <w:rsid w:val="79573988"/>
    <w:rsid w:val="795EB636"/>
    <w:rsid w:val="7970996A"/>
    <w:rsid w:val="79714D79"/>
    <w:rsid w:val="798C8AB3"/>
    <w:rsid w:val="79975332"/>
    <w:rsid w:val="799B1F20"/>
    <w:rsid w:val="79B1413F"/>
    <w:rsid w:val="79B65C43"/>
    <w:rsid w:val="79D38535"/>
    <w:rsid w:val="79D4D08D"/>
    <w:rsid w:val="79DA5652"/>
    <w:rsid w:val="79E2C6ED"/>
    <w:rsid w:val="79E2E7EF"/>
    <w:rsid w:val="79EA804A"/>
    <w:rsid w:val="79FC4921"/>
    <w:rsid w:val="79FECC8F"/>
    <w:rsid w:val="79FF9AD3"/>
    <w:rsid w:val="7A1B158D"/>
    <w:rsid w:val="7A246323"/>
    <w:rsid w:val="7A27B9E3"/>
    <w:rsid w:val="7A2BEDE7"/>
    <w:rsid w:val="7A3163B7"/>
    <w:rsid w:val="7A330BA4"/>
    <w:rsid w:val="7A50289A"/>
    <w:rsid w:val="7A5970C5"/>
    <w:rsid w:val="7A747649"/>
    <w:rsid w:val="7A764749"/>
    <w:rsid w:val="7A8F8FE3"/>
    <w:rsid w:val="7AA4E594"/>
    <w:rsid w:val="7AB0860A"/>
    <w:rsid w:val="7ABC3E5E"/>
    <w:rsid w:val="7ADB372B"/>
    <w:rsid w:val="7AE87142"/>
    <w:rsid w:val="7AEF82B7"/>
    <w:rsid w:val="7AF554FE"/>
    <w:rsid w:val="7AFEB13C"/>
    <w:rsid w:val="7B012A45"/>
    <w:rsid w:val="7B140096"/>
    <w:rsid w:val="7B22E8D8"/>
    <w:rsid w:val="7B3613FB"/>
    <w:rsid w:val="7B4A46B2"/>
    <w:rsid w:val="7B4A80F4"/>
    <w:rsid w:val="7B58A25C"/>
    <w:rsid w:val="7B5B8AEB"/>
    <w:rsid w:val="7B791E41"/>
    <w:rsid w:val="7B7F368A"/>
    <w:rsid w:val="7B8A6965"/>
    <w:rsid w:val="7B9E4E05"/>
    <w:rsid w:val="7BA9CF29"/>
    <w:rsid w:val="7BACE110"/>
    <w:rsid w:val="7BB48E12"/>
    <w:rsid w:val="7BC06ED3"/>
    <w:rsid w:val="7BEE7286"/>
    <w:rsid w:val="7C0A88C5"/>
    <w:rsid w:val="7C0B1506"/>
    <w:rsid w:val="7C2C5A1B"/>
    <w:rsid w:val="7C34AE1B"/>
    <w:rsid w:val="7C403E08"/>
    <w:rsid w:val="7C41403B"/>
    <w:rsid w:val="7C4A2965"/>
    <w:rsid w:val="7C607B25"/>
    <w:rsid w:val="7C64FA78"/>
    <w:rsid w:val="7C680B81"/>
    <w:rsid w:val="7C68AEC4"/>
    <w:rsid w:val="7C787DD3"/>
    <w:rsid w:val="7C832174"/>
    <w:rsid w:val="7C9733E5"/>
    <w:rsid w:val="7C9EC235"/>
    <w:rsid w:val="7C9F17DA"/>
    <w:rsid w:val="7CA3EBD6"/>
    <w:rsid w:val="7CA91912"/>
    <w:rsid w:val="7CB3CC24"/>
    <w:rsid w:val="7CBD4B26"/>
    <w:rsid w:val="7CBF5B24"/>
    <w:rsid w:val="7CC14855"/>
    <w:rsid w:val="7CD5A1B3"/>
    <w:rsid w:val="7D0180FD"/>
    <w:rsid w:val="7D073247"/>
    <w:rsid w:val="7D13E3AE"/>
    <w:rsid w:val="7D16743F"/>
    <w:rsid w:val="7D18C700"/>
    <w:rsid w:val="7D1FE8F9"/>
    <w:rsid w:val="7D2550B7"/>
    <w:rsid w:val="7D281C5A"/>
    <w:rsid w:val="7D2A69C1"/>
    <w:rsid w:val="7D3091FA"/>
    <w:rsid w:val="7D4927A0"/>
    <w:rsid w:val="7D4CB27F"/>
    <w:rsid w:val="7D57A760"/>
    <w:rsid w:val="7D5E2D49"/>
    <w:rsid w:val="7D62284A"/>
    <w:rsid w:val="7D8FF5AE"/>
    <w:rsid w:val="7D9BA7F9"/>
    <w:rsid w:val="7DA660C6"/>
    <w:rsid w:val="7DCD0261"/>
    <w:rsid w:val="7DD0D2AC"/>
    <w:rsid w:val="7DEE582E"/>
    <w:rsid w:val="7E076C30"/>
    <w:rsid w:val="7E12594A"/>
    <w:rsid w:val="7E265A34"/>
    <w:rsid w:val="7E371465"/>
    <w:rsid w:val="7E3941BC"/>
    <w:rsid w:val="7E3A9168"/>
    <w:rsid w:val="7E3DB467"/>
    <w:rsid w:val="7E4A775A"/>
    <w:rsid w:val="7E543575"/>
    <w:rsid w:val="7E5583B2"/>
    <w:rsid w:val="7E5D0E1E"/>
    <w:rsid w:val="7E65DA97"/>
    <w:rsid w:val="7E6902FF"/>
    <w:rsid w:val="7E74E5B6"/>
    <w:rsid w:val="7E80DA56"/>
    <w:rsid w:val="7E9BAFB0"/>
    <w:rsid w:val="7EADBD4D"/>
    <w:rsid w:val="7EBB08B1"/>
    <w:rsid w:val="7EBC66F2"/>
    <w:rsid w:val="7EC6F590"/>
    <w:rsid w:val="7EC7AEE6"/>
    <w:rsid w:val="7ECAB76A"/>
    <w:rsid w:val="7ECD3BA1"/>
    <w:rsid w:val="7ED325B2"/>
    <w:rsid w:val="7ED55AFD"/>
    <w:rsid w:val="7EE66E96"/>
    <w:rsid w:val="7EF480DC"/>
    <w:rsid w:val="7F022C53"/>
    <w:rsid w:val="7F10DA1A"/>
    <w:rsid w:val="7F178ECB"/>
    <w:rsid w:val="7F1FD65B"/>
    <w:rsid w:val="7F360128"/>
    <w:rsid w:val="7F4A777E"/>
    <w:rsid w:val="7F4DCA69"/>
    <w:rsid w:val="7F5DFCAB"/>
    <w:rsid w:val="7F686C19"/>
    <w:rsid w:val="7F75F209"/>
    <w:rsid w:val="7F8297E3"/>
    <w:rsid w:val="7F830E3C"/>
    <w:rsid w:val="7F87A1C3"/>
    <w:rsid w:val="7F8AD3E5"/>
    <w:rsid w:val="7F8CFB5D"/>
    <w:rsid w:val="7FA579D8"/>
    <w:rsid w:val="7FAD0CB0"/>
    <w:rsid w:val="7FB0D825"/>
    <w:rsid w:val="7FB9DBDD"/>
    <w:rsid w:val="7FBA3C24"/>
    <w:rsid w:val="7FBABF49"/>
    <w:rsid w:val="7FD7B3C8"/>
    <w:rsid w:val="7FD82E3E"/>
    <w:rsid w:val="7FE50145"/>
    <w:rsid w:val="7FEEADD6"/>
    <w:rsid w:val="7FF9B36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F60F5C"/>
    <w:pPr>
      <w:keepNext/>
      <w:keepLines/>
      <w:spacing w:before="240"/>
      <w:outlineLvl w:val="2"/>
    </w:pPr>
    <w:rPr>
      <w:rFonts w:ascii="Calibri" w:eastAsiaTheme="majorEastAsia" w:hAnsi="Calibri" w:cstheme="majorBidi"/>
      <w:b/>
      <w:bCs/>
      <w:color w:val="000000" w:themeColor="text1"/>
      <w:sz w:val="28"/>
      <w:szCs w:val="28"/>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90260"/>
    <w:pPr>
      <w:spacing w:before="324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rsid w:val="00C90260"/>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1"/>
    <w:qFormat/>
    <w:rsid w:val="007D3BDF"/>
    <w:pPr>
      <w:numPr>
        <w:ilvl w:val="1"/>
      </w:numPr>
      <w:spacing w:after="0"/>
    </w:pPr>
    <w:rPr>
      <w:rFonts w:ascii="Calibri" w:eastAsiaTheme="minorEastAsia" w:hAnsi="Calibri"/>
      <w:color w:val="789B4A"/>
      <w:spacing w:val="15"/>
      <w:sz w:val="28"/>
    </w:rPr>
  </w:style>
  <w:style w:type="character" w:customStyle="1" w:styleId="SubtitleChar">
    <w:name w:val="Subtitle Char"/>
    <w:basedOn w:val="DefaultParagraphFont"/>
    <w:link w:val="Subtitle"/>
    <w:uiPriority w:val="1"/>
    <w:rsid w:val="007D3BDF"/>
    <w:rPr>
      <w:rFonts w:ascii="Calibri" w:eastAsiaTheme="minorEastAsia" w:hAnsi="Calibri"/>
      <w:color w:val="789B4A"/>
      <w:spacing w:val="15"/>
      <w:sz w:val="28"/>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b/>
      <w:bCs/>
      <w:color w:val="000000" w:themeColor="text1"/>
      <w:sz w:val="28"/>
      <w:szCs w:val="28"/>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5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aliases w:val="Bulit List -  Paragraph,CV text,Dot pt,F5 List Paragraph,FooterText,L,List Paragraph1,List Paragraph11,List Paragraph111,List Paragraph2,Main numbered paragraph,Medium Grid 1 - Accent 21,Numbered Paragraph,Recommendation,Table text,number"/>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2"/>
      </w:numPr>
    </w:pPr>
  </w:style>
  <w:style w:type="paragraph" w:styleId="ListBullet">
    <w:name w:val="List Bullet"/>
    <w:basedOn w:val="ListParagraph"/>
    <w:uiPriority w:val="99"/>
    <w:unhideWhenUsed/>
    <w:qFormat/>
    <w:rsid w:val="00A56FC7"/>
    <w:pPr>
      <w:numPr>
        <w:numId w:val="3"/>
      </w:numPr>
    </w:pPr>
  </w:style>
  <w:style w:type="paragraph" w:styleId="List">
    <w:name w:val="List"/>
    <w:basedOn w:val="ListBullet"/>
    <w:uiPriority w:val="4"/>
    <w:unhideWhenUsed/>
    <w:qFormat/>
    <w:rsid w:val="00A56FC7"/>
    <w:pPr>
      <w:numPr>
        <w:numId w:val="4"/>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575F5F"/>
    <w:pPr>
      <w:tabs>
        <w:tab w:val="left" w:pos="440"/>
        <w:tab w:val="right" w:leader="dot" w:pos="9060"/>
      </w:tabs>
      <w:spacing w:after="100"/>
    </w:pPr>
    <w:rPr>
      <w:b/>
      <w:noProof/>
    </w:rPr>
  </w:style>
  <w:style w:type="paragraph" w:styleId="TOC2">
    <w:name w:val="toc 2"/>
    <w:basedOn w:val="Normal"/>
    <w:next w:val="Normal"/>
    <w:autoRedefine/>
    <w:uiPriority w:val="39"/>
    <w:unhideWhenUsed/>
    <w:rsid w:val="00A54C6D"/>
    <w:pPr>
      <w:tabs>
        <w:tab w:val="right" w:leader="dot" w:pos="9060"/>
      </w:tabs>
      <w:spacing w:after="100"/>
      <w:ind w:left="220"/>
    </w:pPr>
  </w:style>
  <w:style w:type="paragraph" w:styleId="TOC3">
    <w:name w:val="toc 3"/>
    <w:basedOn w:val="Normal"/>
    <w:next w:val="Normal"/>
    <w:autoRedefine/>
    <w:uiPriority w:val="39"/>
    <w:unhideWhenUsed/>
    <w:rsid w:val="0034756F"/>
    <w:pPr>
      <w:tabs>
        <w:tab w:val="right" w:leader="dot" w:pos="906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5"/>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character" w:styleId="PlaceholderText">
    <w:name w:val="Placeholder Text"/>
    <w:basedOn w:val="DefaultParagraphFont"/>
    <w:uiPriority w:val="99"/>
    <w:semiHidden/>
    <w:rsid w:val="007D3BDF"/>
    <w:rPr>
      <w:color w:val="808080"/>
    </w:rPr>
  </w:style>
  <w:style w:type="table" w:customStyle="1" w:styleId="PMCDefaultTableStyle">
    <w:name w:val="PMC Default Table Style"/>
    <w:basedOn w:val="TableNormal"/>
    <w:uiPriority w:val="99"/>
    <w:rsid w:val="007D3BDF"/>
    <w:pPr>
      <w:spacing w:before="60" w:after="60" w:line="264" w:lineRule="auto"/>
    </w:pPr>
    <w:rPr>
      <w:color w:val="262626" w:themeColor="text1" w:themeTint="D9"/>
      <w:sz w:val="18"/>
      <w:szCs w:val="20"/>
    </w:rPr>
    <w:tblPr>
      <w:tblStyleRowBandSize w:val="1"/>
      <w:tblBorders>
        <w:bottom w:val="single" w:sz="18" w:space="0" w:color="E7E6E6" w:themeColor="background2"/>
        <w:insideH w:val="single" w:sz="4" w:space="0" w:color="E7E6E6"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7E6E6"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TableBullet">
    <w:name w:val="Table Bullet"/>
    <w:basedOn w:val="ListParagraph"/>
    <w:uiPriority w:val="11"/>
    <w:qFormat/>
    <w:rsid w:val="007D3BDF"/>
    <w:pPr>
      <w:numPr>
        <w:numId w:val="6"/>
      </w:numPr>
      <w:spacing w:before="40" w:after="40" w:line="240" w:lineRule="auto"/>
      <w:contextualSpacing w:val="0"/>
    </w:pPr>
    <w:rPr>
      <w:color w:val="262626" w:themeColor="text1" w:themeTint="D9"/>
      <w:sz w:val="18"/>
      <w:szCs w:val="20"/>
    </w:rPr>
  </w:style>
  <w:style w:type="paragraph" w:customStyle="1" w:styleId="NumberedListlvl1">
    <w:name w:val="Numbered List lvl1"/>
    <w:basedOn w:val="ListParagraph"/>
    <w:uiPriority w:val="9"/>
    <w:qFormat/>
    <w:rsid w:val="007D3BDF"/>
    <w:pPr>
      <w:numPr>
        <w:numId w:val="10"/>
      </w:numPr>
      <w:spacing w:after="0" w:line="264" w:lineRule="auto"/>
      <w:contextualSpacing w:val="0"/>
    </w:pPr>
    <w:rPr>
      <w:color w:val="262626" w:themeColor="text1" w:themeTint="D9"/>
      <w:sz w:val="20"/>
      <w:szCs w:val="20"/>
    </w:rPr>
  </w:style>
  <w:style w:type="paragraph" w:customStyle="1" w:styleId="BulletedListlvl1">
    <w:name w:val="Bulleted List lvl1"/>
    <w:uiPriority w:val="10"/>
    <w:qFormat/>
    <w:rsid w:val="007D3BDF"/>
    <w:pPr>
      <w:numPr>
        <w:numId w:val="7"/>
      </w:numPr>
      <w:spacing w:after="0" w:line="264" w:lineRule="auto"/>
    </w:pPr>
    <w:rPr>
      <w:color w:val="262626" w:themeColor="text1" w:themeTint="D9"/>
      <w:sz w:val="20"/>
      <w:szCs w:val="20"/>
    </w:rPr>
  </w:style>
  <w:style w:type="paragraph" w:customStyle="1" w:styleId="NumberedListlvl2">
    <w:name w:val="Numbered List lvl2"/>
    <w:basedOn w:val="NumberedListlvl1"/>
    <w:uiPriority w:val="9"/>
    <w:rsid w:val="007D3BDF"/>
    <w:pPr>
      <w:numPr>
        <w:ilvl w:val="1"/>
      </w:numPr>
    </w:pPr>
  </w:style>
  <w:style w:type="paragraph" w:styleId="BodyText">
    <w:name w:val="Body Text"/>
    <w:basedOn w:val="Normal"/>
    <w:link w:val="BodyTextChar"/>
    <w:qFormat/>
    <w:rsid w:val="007D3BDF"/>
    <w:pPr>
      <w:spacing w:after="120" w:line="264" w:lineRule="auto"/>
    </w:pPr>
    <w:rPr>
      <w:color w:val="262626" w:themeColor="text1" w:themeTint="D9"/>
      <w:sz w:val="20"/>
      <w:szCs w:val="20"/>
    </w:rPr>
  </w:style>
  <w:style w:type="character" w:customStyle="1" w:styleId="BodyTextChar">
    <w:name w:val="Body Text Char"/>
    <w:basedOn w:val="DefaultParagraphFont"/>
    <w:link w:val="BodyText"/>
    <w:rsid w:val="007D3BDF"/>
    <w:rPr>
      <w:color w:val="262626" w:themeColor="text1" w:themeTint="D9"/>
      <w:sz w:val="20"/>
      <w:szCs w:val="20"/>
    </w:rPr>
  </w:style>
  <w:style w:type="paragraph" w:customStyle="1" w:styleId="BulletedListlvl2">
    <w:name w:val="Bulleted List lvl2"/>
    <w:basedOn w:val="BulletedListlvl1"/>
    <w:uiPriority w:val="10"/>
    <w:rsid w:val="007D3BDF"/>
    <w:pPr>
      <w:numPr>
        <w:ilvl w:val="1"/>
      </w:numPr>
      <w:ind w:left="1021" w:hanging="283"/>
    </w:pPr>
  </w:style>
  <w:style w:type="paragraph" w:customStyle="1" w:styleId="TableBody">
    <w:name w:val="Table Body"/>
    <w:basedOn w:val="Normal"/>
    <w:uiPriority w:val="11"/>
    <w:qFormat/>
    <w:rsid w:val="007D3BDF"/>
    <w:pPr>
      <w:spacing w:before="40" w:after="40" w:line="264" w:lineRule="auto"/>
    </w:pPr>
    <w:rPr>
      <w:color w:val="000000" w:themeColor="text1"/>
      <w:sz w:val="18"/>
      <w:szCs w:val="20"/>
    </w:rPr>
  </w:style>
  <w:style w:type="paragraph" w:customStyle="1" w:styleId="NumberedListlvl3">
    <w:name w:val="Numbered List lvl3"/>
    <w:basedOn w:val="NumberedListlvl1"/>
    <w:uiPriority w:val="9"/>
    <w:rsid w:val="007D3BDF"/>
    <w:pPr>
      <w:numPr>
        <w:ilvl w:val="2"/>
      </w:numPr>
    </w:pPr>
  </w:style>
  <w:style w:type="paragraph" w:customStyle="1" w:styleId="BasicParagraph">
    <w:name w:val="[Basic Paragraph]"/>
    <w:basedOn w:val="Normal"/>
    <w:uiPriority w:val="99"/>
    <w:semiHidden/>
    <w:rsid w:val="007D3BDF"/>
    <w:pPr>
      <w:autoSpaceDE w:val="0"/>
      <w:autoSpaceDN w:val="0"/>
      <w:adjustRightInd w:val="0"/>
      <w:spacing w:after="0" w:line="288" w:lineRule="auto"/>
      <w:textAlignment w:val="center"/>
    </w:pPr>
    <w:rPr>
      <w:rFonts w:cs="Minion Pro"/>
      <w:color w:val="000000"/>
      <w:sz w:val="20"/>
      <w:szCs w:val="20"/>
      <w:lang w:val="en-GB"/>
    </w:rPr>
  </w:style>
  <w:style w:type="paragraph" w:customStyle="1" w:styleId="TableHeading">
    <w:name w:val="Table Heading"/>
    <w:basedOn w:val="Normal"/>
    <w:uiPriority w:val="11"/>
    <w:qFormat/>
    <w:rsid w:val="007D3BDF"/>
    <w:pPr>
      <w:spacing w:after="120" w:line="264" w:lineRule="auto"/>
    </w:pPr>
    <w:rPr>
      <w:rFonts w:asciiTheme="majorHAnsi" w:hAnsiTheme="majorHAnsi"/>
      <w:bCs/>
      <w:color w:val="FFFFFF" w:themeColor="background1"/>
      <w:sz w:val="18"/>
      <w:szCs w:val="20"/>
    </w:rPr>
  </w:style>
  <w:style w:type="paragraph" w:customStyle="1" w:styleId="ProtectiveMarking">
    <w:name w:val="Protective Marking"/>
    <w:basedOn w:val="Normal"/>
    <w:uiPriority w:val="13"/>
    <w:qFormat/>
    <w:rsid w:val="007D3BDF"/>
    <w:pPr>
      <w:spacing w:after="0" w:line="240" w:lineRule="auto"/>
      <w:jc w:val="center"/>
    </w:pPr>
    <w:rPr>
      <w:rFonts w:asciiTheme="majorHAnsi" w:hAnsiTheme="majorHAnsi"/>
      <w:caps/>
      <w:noProof/>
      <w:color w:val="CD1719"/>
      <w:sz w:val="16"/>
      <w:szCs w:val="20"/>
    </w:rPr>
  </w:style>
  <w:style w:type="table" w:customStyle="1" w:styleId="PMCTableStyle2">
    <w:name w:val="PMC Table Style 2"/>
    <w:basedOn w:val="TableNormal"/>
    <w:uiPriority w:val="99"/>
    <w:rsid w:val="007D3BDF"/>
    <w:pPr>
      <w:spacing w:before="60" w:after="60" w:line="264" w:lineRule="auto"/>
    </w:pPr>
    <w:rPr>
      <w:color w:val="262626" w:themeColor="text1" w:themeTint="D9"/>
      <w:sz w:val="20"/>
      <w:szCs w:val="20"/>
    </w:rPr>
    <w:tblPr>
      <w:tblStyleRowBandSize w:val="1"/>
      <w:tblBorders>
        <w:top w:val="single" w:sz="4" w:space="0" w:color="D1F1FF" w:themeColor="accent1" w:themeTint="1A"/>
        <w:left w:val="single" w:sz="4" w:space="0" w:color="D1F1FF" w:themeColor="accent1" w:themeTint="1A"/>
        <w:bottom w:val="single" w:sz="12" w:space="0" w:color="002D3F" w:themeColor="text2"/>
        <w:right w:val="single" w:sz="4" w:space="0" w:color="D1F1FF" w:themeColor="accent1" w:themeTint="1A"/>
        <w:insideH w:val="single" w:sz="4" w:space="0" w:color="D1F1FF" w:themeColor="accent1" w:themeTint="1A"/>
        <w:insideV w:val="single" w:sz="4" w:space="0" w:color="D1F1FF"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02D3F"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NoSpacing">
    <w:name w:val="No Spacing"/>
    <w:basedOn w:val="BodyText"/>
    <w:link w:val="NoSpacingChar"/>
    <w:uiPriority w:val="1"/>
    <w:semiHidden/>
    <w:rsid w:val="007D3BDF"/>
    <w:pPr>
      <w:contextualSpacing/>
    </w:pPr>
  </w:style>
  <w:style w:type="character" w:customStyle="1" w:styleId="NoSpacingChar">
    <w:name w:val="No Spacing Char"/>
    <w:basedOn w:val="DefaultParagraphFont"/>
    <w:link w:val="NoSpacing"/>
    <w:uiPriority w:val="1"/>
    <w:semiHidden/>
    <w:rsid w:val="007D3BDF"/>
    <w:rPr>
      <w:color w:val="262626" w:themeColor="text1" w:themeTint="D9"/>
      <w:sz w:val="20"/>
      <w:szCs w:val="20"/>
    </w:rPr>
  </w:style>
  <w:style w:type="paragraph" w:customStyle="1" w:styleId="CoverTitle">
    <w:name w:val="Cover Title"/>
    <w:basedOn w:val="NoSpacing"/>
    <w:uiPriority w:val="11"/>
    <w:qFormat/>
    <w:rsid w:val="007D3BDF"/>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7D3BDF"/>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7D3BDF"/>
    <w:pPr>
      <w:spacing w:after="240"/>
    </w:pPr>
    <w:rPr>
      <w:color w:val="FFFFFF" w:themeColor="background1"/>
      <w:sz w:val="24"/>
      <w:szCs w:val="28"/>
    </w:rPr>
  </w:style>
  <w:style w:type="paragraph" w:customStyle="1" w:styleId="Footerline">
    <w:name w:val="Footer line"/>
    <w:uiPriority w:val="11"/>
    <w:qFormat/>
    <w:rsid w:val="007D3BDF"/>
    <w:pPr>
      <w:spacing w:before="20" w:after="240" w:line="264" w:lineRule="auto"/>
    </w:pPr>
    <w:rPr>
      <w:caps/>
      <w:noProof/>
      <w:color w:val="002D3F" w:themeColor="accent1"/>
      <w:sz w:val="20"/>
      <w:szCs w:val="20"/>
    </w:rPr>
  </w:style>
  <w:style w:type="paragraph" w:customStyle="1" w:styleId="TableNumbering">
    <w:name w:val="Table Numbering"/>
    <w:uiPriority w:val="11"/>
    <w:qFormat/>
    <w:rsid w:val="007D3BDF"/>
    <w:pPr>
      <w:numPr>
        <w:numId w:val="8"/>
      </w:numPr>
      <w:spacing w:before="40" w:after="40" w:line="264" w:lineRule="auto"/>
    </w:pPr>
    <w:rPr>
      <w:color w:val="000000" w:themeColor="text1"/>
      <w:sz w:val="18"/>
      <w:szCs w:val="20"/>
    </w:rPr>
  </w:style>
  <w:style w:type="paragraph" w:customStyle="1" w:styleId="EmphasisPanelHeading">
    <w:name w:val="Emphasis Panel Heading"/>
    <w:basedOn w:val="Normal"/>
    <w:uiPriority w:val="11"/>
    <w:qFormat/>
    <w:rsid w:val="007D3BDF"/>
    <w:pPr>
      <w:keepLines/>
      <w:pBdr>
        <w:top w:val="single" w:sz="4" w:space="8" w:color="E7E6E6" w:themeColor="background2"/>
        <w:left w:val="single" w:sz="4" w:space="8" w:color="E7E6E6" w:themeColor="background2"/>
        <w:bottom w:val="single" w:sz="4" w:space="8" w:color="E7E6E6" w:themeColor="background2"/>
        <w:right w:val="single" w:sz="4" w:space="8" w:color="E7E6E6" w:themeColor="background2"/>
      </w:pBdr>
      <w:shd w:val="clear" w:color="auto" w:fill="E7E6E6" w:themeFill="background2"/>
      <w:spacing w:before="60" w:after="60" w:line="240" w:lineRule="atLeast"/>
      <w:ind w:left="198" w:right="215"/>
    </w:pPr>
    <w:rPr>
      <w:rFonts w:asciiTheme="majorHAnsi" w:eastAsia="Times New Roman" w:hAnsiTheme="majorHAnsi" w:cs="Times New Roman"/>
      <w:b/>
      <w:color w:val="002D3F" w:themeColor="text2"/>
      <w:sz w:val="24"/>
      <w:szCs w:val="24"/>
      <w:lang w:val="en-US"/>
    </w:rPr>
  </w:style>
  <w:style w:type="paragraph" w:customStyle="1" w:styleId="EmphasisPanelBody">
    <w:name w:val="Emphasis Panel Body"/>
    <w:basedOn w:val="Normal"/>
    <w:uiPriority w:val="11"/>
    <w:qFormat/>
    <w:rsid w:val="007D3BDF"/>
    <w:pPr>
      <w:keepLines/>
      <w:pBdr>
        <w:top w:val="single" w:sz="4" w:space="8" w:color="E7E6E6" w:themeColor="background2"/>
        <w:left w:val="single" w:sz="4" w:space="8" w:color="E7E6E6" w:themeColor="background2"/>
        <w:bottom w:val="single" w:sz="4" w:space="8" w:color="E7E6E6" w:themeColor="background2"/>
        <w:right w:val="single" w:sz="4" w:space="8" w:color="E7E6E6" w:themeColor="background2"/>
      </w:pBdr>
      <w:shd w:val="clear" w:color="auto" w:fill="E7E6E6" w:themeFill="background2"/>
      <w:spacing w:before="120" w:after="120" w:line="264" w:lineRule="auto"/>
      <w:ind w:left="198" w:right="215"/>
    </w:pPr>
    <w:rPr>
      <w:rFonts w:eastAsia="Times New Roman" w:cstheme="minorHAnsi"/>
      <w:color w:val="262626" w:themeColor="text1" w:themeTint="D9"/>
      <w:sz w:val="20"/>
      <w:szCs w:val="20"/>
      <w:lang w:val="en-US"/>
    </w:rPr>
  </w:style>
  <w:style w:type="paragraph" w:customStyle="1" w:styleId="EmphasisPanelBullet">
    <w:name w:val="Emphasis Panel Bullet"/>
    <w:uiPriority w:val="11"/>
    <w:qFormat/>
    <w:rsid w:val="007D3BDF"/>
    <w:pPr>
      <w:keepLines/>
      <w:numPr>
        <w:numId w:val="9"/>
      </w:numPr>
      <w:pBdr>
        <w:top w:val="single" w:sz="4" w:space="8" w:color="E7E6E6" w:themeColor="background2"/>
        <w:left w:val="single" w:sz="4" w:space="8" w:color="E7E6E6" w:themeColor="background2"/>
        <w:bottom w:val="single" w:sz="4" w:space="8" w:color="E7E6E6" w:themeColor="background2"/>
        <w:right w:val="single" w:sz="4" w:space="8" w:color="E7E6E6" w:themeColor="background2"/>
      </w:pBdr>
      <w:shd w:val="clear" w:color="auto" w:fill="E7E6E6" w:themeFill="background2"/>
      <w:spacing w:before="120" w:after="120" w:line="264" w:lineRule="auto"/>
      <w:ind w:right="215"/>
    </w:pPr>
    <w:rPr>
      <w:rFonts w:eastAsia="Times New Roman" w:cstheme="minorHAnsi"/>
      <w:color w:val="262626" w:themeColor="text1" w:themeTint="D9"/>
      <w:sz w:val="20"/>
      <w:lang w:val="en-US"/>
    </w:rPr>
  </w:style>
  <w:style w:type="paragraph" w:customStyle="1" w:styleId="BulletedListlvl3">
    <w:name w:val="Bulleted List lvl3"/>
    <w:basedOn w:val="BulletedListlvl2"/>
    <w:uiPriority w:val="10"/>
    <w:rsid w:val="007D3BDF"/>
    <w:pPr>
      <w:numPr>
        <w:ilvl w:val="2"/>
      </w:numPr>
      <w:ind w:left="1418" w:hanging="284"/>
    </w:pPr>
    <w:rPr>
      <w:sz w:val="19"/>
      <w:szCs w:val="19"/>
    </w:rPr>
  </w:style>
  <w:style w:type="table" w:customStyle="1" w:styleId="Clear">
    <w:name w:val="Clear"/>
    <w:basedOn w:val="TableNormal"/>
    <w:uiPriority w:val="99"/>
    <w:rsid w:val="007D3BDF"/>
    <w:pPr>
      <w:spacing w:after="0" w:line="240" w:lineRule="auto"/>
    </w:pPr>
    <w:rPr>
      <w:color w:val="002D3F" w:themeColor="text2"/>
      <w:sz w:val="20"/>
      <w:szCs w:val="18"/>
    </w:rPr>
    <w:tblPr>
      <w:tblCellMar>
        <w:left w:w="0" w:type="dxa"/>
        <w:right w:w="0" w:type="dxa"/>
      </w:tblCellMar>
    </w:tblPr>
  </w:style>
  <w:style w:type="paragraph" w:styleId="FootnoteText">
    <w:name w:val="footnote text"/>
    <w:aliases w:val="Footnotes Text,FSFootnotes Text,FSFootnote Text"/>
    <w:basedOn w:val="Normal"/>
    <w:link w:val="FootnoteTextChar"/>
    <w:uiPriority w:val="99"/>
    <w:qFormat/>
    <w:rsid w:val="007B195D"/>
    <w:pPr>
      <w:keepLines/>
      <w:spacing w:after="0" w:line="240" w:lineRule="auto"/>
    </w:pPr>
    <w:rPr>
      <w:color w:val="262626" w:themeColor="text1" w:themeTint="D9"/>
      <w:sz w:val="20"/>
      <w:szCs w:val="20"/>
    </w:rPr>
  </w:style>
  <w:style w:type="character" w:customStyle="1" w:styleId="FootnoteTextChar">
    <w:name w:val="Footnote Text Char"/>
    <w:aliases w:val="Footnotes Text Char,FSFootnotes Text Char,FSFootnote Text Char"/>
    <w:basedOn w:val="DefaultParagraphFont"/>
    <w:link w:val="FootnoteText"/>
    <w:uiPriority w:val="99"/>
    <w:rsid w:val="007B195D"/>
    <w:rPr>
      <w:color w:val="262626" w:themeColor="text1" w:themeTint="D9"/>
      <w:sz w:val="20"/>
      <w:szCs w:val="20"/>
    </w:rPr>
  </w:style>
  <w:style w:type="character" w:styleId="FootnoteReference">
    <w:name w:val="footnote reference"/>
    <w:aliases w:val="NO,4_G,4_G Char Char Char Char,Footnotes refss Char Char Char Char,ftref Char Char Char Char,BVI fnr Char Char Char Char,BVI fnr Car Car Char Char Char Char,BVI fnr Car Char Char Char Char,BVI fnr Car Car Car Car Char Char1 Char Char"/>
    <w:basedOn w:val="DefaultParagraphFont"/>
    <w:link w:val="4GCharCharChar"/>
    <w:uiPriority w:val="99"/>
    <w:rsid w:val="007D3BDF"/>
    <w:rPr>
      <w:vertAlign w:val="superscript"/>
    </w:rPr>
  </w:style>
  <w:style w:type="character" w:styleId="CommentReference">
    <w:name w:val="annotation reference"/>
    <w:basedOn w:val="DefaultParagraphFont"/>
    <w:uiPriority w:val="99"/>
    <w:semiHidden/>
    <w:unhideWhenUsed/>
    <w:rsid w:val="007D3BDF"/>
    <w:rPr>
      <w:sz w:val="16"/>
      <w:szCs w:val="16"/>
    </w:rPr>
  </w:style>
  <w:style w:type="paragraph" w:styleId="CommentText">
    <w:name w:val="annotation text"/>
    <w:basedOn w:val="Normal"/>
    <w:link w:val="CommentTextChar"/>
    <w:uiPriority w:val="99"/>
    <w:unhideWhenUsed/>
    <w:rsid w:val="007D3BDF"/>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7D3B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7D3BDF"/>
    <w:pPr>
      <w:spacing w:after="120"/>
    </w:pPr>
    <w:rPr>
      <w:rFonts w:eastAsiaTheme="minorHAnsi"/>
      <w:b/>
      <w:bCs/>
      <w:color w:val="262626" w:themeColor="text1" w:themeTint="D9"/>
    </w:rPr>
  </w:style>
  <w:style w:type="character" w:customStyle="1" w:styleId="CommentSubjectChar">
    <w:name w:val="Comment Subject Char"/>
    <w:basedOn w:val="CommentTextChar"/>
    <w:link w:val="CommentSubject"/>
    <w:uiPriority w:val="99"/>
    <w:semiHidden/>
    <w:rsid w:val="007D3BDF"/>
    <w:rPr>
      <w:rFonts w:eastAsiaTheme="minorEastAsia"/>
      <w:b/>
      <w:bCs/>
      <w:color w:val="262626" w:themeColor="text1" w:themeTint="D9"/>
      <w:sz w:val="20"/>
      <w:szCs w:val="20"/>
    </w:rPr>
  </w:style>
  <w:style w:type="table" w:customStyle="1" w:styleId="DEEWRTable">
    <w:name w:val="DEEWR Table"/>
    <w:basedOn w:val="TableNormal"/>
    <w:uiPriority w:val="99"/>
    <w:rsid w:val="007D3BDF"/>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E7E6E6" w:themeColor="background2"/>
        <w:sz w:val="20"/>
      </w:rPr>
      <w:tblPr/>
      <w:trPr>
        <w:tblHeader/>
      </w:trPr>
      <w:tcPr>
        <w:shd w:val="clear" w:color="auto" w:fill="000000" w:themeFill="text1"/>
      </w:tcPr>
    </w:tblStylePr>
    <w:tblStylePr w:type="firstCol">
      <w:pPr>
        <w:jc w:val="left"/>
      </w:pPr>
      <w:rPr>
        <w:b/>
      </w:rPr>
    </w:tblStylePr>
  </w:style>
  <w:style w:type="table" w:customStyle="1" w:styleId="TableGrid1">
    <w:name w:val="Table Grid1"/>
    <w:basedOn w:val="TableNormal"/>
    <w:next w:val="TableGrid"/>
    <w:uiPriority w:val="59"/>
    <w:rsid w:val="007D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next w:val="GridTable5Dark-Accent3"/>
    <w:uiPriority w:val="50"/>
    <w:rsid w:val="007D3BDF"/>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3">
    <w:name w:val="Grid Table 5 Dark Accent 3"/>
    <w:basedOn w:val="TableNormal"/>
    <w:uiPriority w:val="50"/>
    <w:rsid w:val="007D3BDF"/>
    <w:pPr>
      <w:spacing w:after="0" w:line="240" w:lineRule="auto"/>
    </w:pPr>
    <w:rPr>
      <w:color w:val="262626" w:themeColor="text1" w:themeTint="D9"/>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27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27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27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276" w:themeFill="accent3"/>
      </w:tcPr>
    </w:tblStylePr>
    <w:tblStylePr w:type="band1Vert">
      <w:tblPr/>
      <w:tcPr>
        <w:shd w:val="clear" w:color="auto" w:fill="67FFF0" w:themeFill="accent3" w:themeFillTint="66"/>
      </w:tcPr>
    </w:tblStylePr>
    <w:tblStylePr w:type="band1Horz">
      <w:tblPr/>
      <w:tcPr>
        <w:shd w:val="clear" w:color="auto" w:fill="67FFF0" w:themeFill="accent3" w:themeFillTint="66"/>
      </w:tcPr>
    </w:tblStylePr>
  </w:style>
  <w:style w:type="table" w:styleId="PlainTable3">
    <w:name w:val="Plain Table 3"/>
    <w:basedOn w:val="TableNormal"/>
    <w:uiPriority w:val="43"/>
    <w:rsid w:val="005676D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676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BPointChar">
    <w:name w:val="MB Point Char"/>
    <w:basedOn w:val="DefaultParagraphFont"/>
    <w:link w:val="MBPoint"/>
    <w:locked/>
    <w:rsid w:val="00DD7CE4"/>
    <w:rPr>
      <w:rFonts w:ascii="Times New Roman" w:hAnsi="Times New Roman" w:cs="Times New Roman"/>
      <w:sz w:val="24"/>
      <w:szCs w:val="24"/>
    </w:rPr>
  </w:style>
  <w:style w:type="paragraph" w:customStyle="1" w:styleId="MBPoint">
    <w:name w:val="MB Point"/>
    <w:basedOn w:val="ListParagraph"/>
    <w:link w:val="MBPointChar"/>
    <w:qFormat/>
    <w:rsid w:val="00DD7CE4"/>
    <w:pPr>
      <w:numPr>
        <w:numId w:val="11"/>
      </w:numPr>
      <w:spacing w:after="60" w:line="240" w:lineRule="auto"/>
      <w:contextualSpacing w:val="0"/>
    </w:pPr>
    <w:rPr>
      <w:rFonts w:ascii="Times New Roman" w:hAnsi="Times New Roman" w:cs="Times New Roman"/>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78688C"/>
    <w:pPr>
      <w:spacing w:after="160" w:line="240" w:lineRule="exact"/>
      <w:jc w:val="both"/>
    </w:pPr>
    <w:rPr>
      <w:vertAlign w:val="superscript"/>
    </w:rPr>
  </w:style>
  <w:style w:type="paragraph" w:customStyle="1" w:styleId="Style1">
    <w:name w:val="Style1"/>
    <w:basedOn w:val="ListParagraph"/>
    <w:link w:val="Style1Char"/>
    <w:qFormat/>
    <w:rsid w:val="0078688C"/>
    <w:pPr>
      <w:numPr>
        <w:numId w:val="12"/>
      </w:numPr>
      <w:spacing w:before="120" w:after="120" w:line="276" w:lineRule="auto"/>
      <w:contextualSpacing w:val="0"/>
    </w:pPr>
    <w:rPr>
      <w:rFonts w:ascii="Calibri" w:eastAsia="Calibri" w:hAnsi="Calibri" w:cs="Calibri"/>
      <w:w w:val="105"/>
      <w:kern w:val="40"/>
    </w:rPr>
  </w:style>
  <w:style w:type="character" w:customStyle="1" w:styleId="Style1Char">
    <w:name w:val="Style1 Char"/>
    <w:basedOn w:val="DefaultParagraphFont"/>
    <w:link w:val="Style1"/>
    <w:rsid w:val="0078688C"/>
    <w:rPr>
      <w:rFonts w:ascii="Calibri" w:eastAsia="Calibri" w:hAnsi="Calibri" w:cs="Calibri"/>
      <w:w w:val="105"/>
      <w:kern w:val="40"/>
    </w:rPr>
  </w:style>
  <w:style w:type="character" w:customStyle="1" w:styleId="ListParagraphChar">
    <w:name w:val="List Paragraph Char"/>
    <w:aliases w:val="Bulit List -  Paragraph Char,CV text Char,Dot pt Char,F5 List Paragraph Char,FooterText Char,L Char,List Paragraph1 Char,List Paragraph11 Char,List Paragraph111 Char,List Paragraph2 Char,Main numbered paragraph Char,Table text Char"/>
    <w:basedOn w:val="DefaultParagraphFont"/>
    <w:link w:val="ListParagraph"/>
    <w:uiPriority w:val="34"/>
    <w:qFormat/>
    <w:rsid w:val="0078688C"/>
  </w:style>
  <w:style w:type="paragraph" w:customStyle="1" w:styleId="TableText">
    <w:name w:val="TableText"/>
    <w:basedOn w:val="Normal"/>
    <w:qFormat/>
    <w:rsid w:val="005430C5"/>
    <w:pPr>
      <w:spacing w:before="120" w:after="120" w:line="240" w:lineRule="auto"/>
    </w:pPr>
    <w:rPr>
      <w:rFonts w:ascii="Century Gothic" w:eastAsiaTheme="majorEastAsia" w:hAnsi="Century Gothic" w:cs="Arial"/>
      <w:bCs/>
      <w:sz w:val="20"/>
      <w:szCs w:val="20"/>
    </w:rPr>
  </w:style>
  <w:style w:type="paragraph" w:customStyle="1" w:styleId="CABParagraph">
    <w:name w:val="CAB Paragraph"/>
    <w:basedOn w:val="BodyText"/>
    <w:link w:val="CABParagraphChar"/>
    <w:uiPriority w:val="98"/>
    <w:qFormat/>
    <w:rsid w:val="006D6AB2"/>
    <w:pPr>
      <w:spacing w:before="120" w:after="0" w:line="240" w:lineRule="auto"/>
    </w:pPr>
    <w:rPr>
      <w:rFonts w:ascii="Arial" w:hAnsi="Arial"/>
      <w:color w:val="auto"/>
      <w:sz w:val="22"/>
      <w:szCs w:val="22"/>
    </w:rPr>
  </w:style>
  <w:style w:type="character" w:customStyle="1" w:styleId="CABParagraphChar">
    <w:name w:val="CAB Paragraph Char"/>
    <w:basedOn w:val="DefaultParagraphFont"/>
    <w:link w:val="CABParagraph"/>
    <w:uiPriority w:val="98"/>
    <w:rsid w:val="006D6AB2"/>
    <w:rPr>
      <w:rFonts w:ascii="Arial" w:hAnsi="Arial"/>
    </w:rPr>
  </w:style>
  <w:style w:type="paragraph" w:styleId="Revision">
    <w:name w:val="Revision"/>
    <w:hidden/>
    <w:uiPriority w:val="99"/>
    <w:semiHidden/>
    <w:rsid w:val="004F5BBE"/>
    <w:pPr>
      <w:spacing w:after="0" w:line="240" w:lineRule="auto"/>
    </w:pPr>
  </w:style>
  <w:style w:type="paragraph" w:styleId="EndnoteText">
    <w:name w:val="endnote text"/>
    <w:basedOn w:val="Normal"/>
    <w:link w:val="EndnoteTextChar"/>
    <w:uiPriority w:val="99"/>
    <w:semiHidden/>
    <w:unhideWhenUsed/>
    <w:rsid w:val="005C11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1C9"/>
    <w:rPr>
      <w:sz w:val="20"/>
      <w:szCs w:val="20"/>
    </w:rPr>
  </w:style>
  <w:style w:type="character" w:styleId="EndnoteReference">
    <w:name w:val="endnote reference"/>
    <w:basedOn w:val="DefaultParagraphFont"/>
    <w:uiPriority w:val="99"/>
    <w:semiHidden/>
    <w:unhideWhenUsed/>
    <w:rsid w:val="005C11C9"/>
    <w:rPr>
      <w:vertAlign w:val="superscript"/>
    </w:rPr>
  </w:style>
  <w:style w:type="character" w:customStyle="1" w:styleId="normaltextrun">
    <w:name w:val="normaltextrun"/>
    <w:basedOn w:val="DefaultParagraphFont"/>
    <w:rsid w:val="00F1753C"/>
  </w:style>
  <w:style w:type="character" w:customStyle="1" w:styleId="eop">
    <w:name w:val="eop"/>
    <w:basedOn w:val="DefaultParagraphFont"/>
    <w:rsid w:val="00F1753C"/>
  </w:style>
  <w:style w:type="character" w:customStyle="1" w:styleId="findhit">
    <w:name w:val="findhit"/>
    <w:basedOn w:val="DefaultParagraphFont"/>
    <w:rsid w:val="00F1753C"/>
  </w:style>
  <w:style w:type="character" w:customStyle="1" w:styleId="UnresolvedMention">
    <w:name w:val="Unresolved Mention"/>
    <w:basedOn w:val="DefaultParagraphFont"/>
    <w:uiPriority w:val="99"/>
    <w:semiHidden/>
    <w:unhideWhenUsed/>
    <w:rsid w:val="002009F6"/>
    <w:rPr>
      <w:color w:val="605E5C"/>
      <w:shd w:val="clear" w:color="auto" w:fill="E1DFDD"/>
    </w:rPr>
  </w:style>
  <w:style w:type="paragraph" w:customStyle="1" w:styleId="paragraph">
    <w:name w:val="paragraph"/>
    <w:aliases w:val="a,indent(a)"/>
    <w:basedOn w:val="Normal"/>
    <w:link w:val="paragraphChar"/>
    <w:rsid w:val="001534B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BNETParagraph">
    <w:name w:val="CABNET Paragraph."/>
    <w:basedOn w:val="Normal"/>
    <w:link w:val="CABNETParagraphChar"/>
    <w:uiPriority w:val="98"/>
    <w:qFormat/>
    <w:rsid w:val="00206F09"/>
    <w:pPr>
      <w:spacing w:before="120" w:after="120" w:line="264" w:lineRule="auto"/>
    </w:pPr>
    <w:rPr>
      <w:rFonts w:ascii="Arial" w:eastAsiaTheme="minorEastAsia" w:hAnsi="Arial"/>
      <w:color w:val="262626" w:themeColor="text1" w:themeTint="D9"/>
      <w:sz w:val="20"/>
      <w:szCs w:val="20"/>
    </w:rPr>
  </w:style>
  <w:style w:type="character" w:customStyle="1" w:styleId="CABNETParagraphChar">
    <w:name w:val="CABNET Paragraph. Char"/>
    <w:basedOn w:val="DefaultParagraphFont"/>
    <w:link w:val="CABNETParagraph"/>
    <w:uiPriority w:val="98"/>
    <w:rsid w:val="00206F09"/>
    <w:rPr>
      <w:rFonts w:ascii="Arial" w:eastAsiaTheme="minorEastAsia" w:hAnsi="Arial"/>
      <w:color w:val="262626" w:themeColor="text1" w:themeTint="D9"/>
      <w:sz w:val="20"/>
      <w:szCs w:val="20"/>
    </w:rPr>
  </w:style>
  <w:style w:type="character" w:customStyle="1" w:styleId="superscript">
    <w:name w:val="superscript"/>
    <w:basedOn w:val="DefaultParagraphFont"/>
    <w:rsid w:val="00E3356B"/>
  </w:style>
  <w:style w:type="character" w:styleId="Emphasis">
    <w:name w:val="Emphasis"/>
    <w:basedOn w:val="DefaultParagraphFont"/>
    <w:uiPriority w:val="20"/>
    <w:qFormat/>
    <w:rsid w:val="00FB789A"/>
    <w:rPr>
      <w:i/>
      <w:iCs/>
    </w:rPr>
  </w:style>
  <w:style w:type="character" w:customStyle="1" w:styleId="Mention">
    <w:name w:val="Mention"/>
    <w:basedOn w:val="DefaultParagraphFont"/>
    <w:uiPriority w:val="99"/>
    <w:unhideWhenUsed/>
    <w:rsid w:val="007B3359"/>
    <w:rPr>
      <w:color w:val="2B579A"/>
      <w:shd w:val="clear" w:color="auto" w:fill="E1DFDD"/>
    </w:rPr>
  </w:style>
  <w:style w:type="character" w:customStyle="1" w:styleId="CABH2Char">
    <w:name w:val="CAB H2 Char"/>
    <w:basedOn w:val="DefaultParagraphFont"/>
    <w:link w:val="CABH2"/>
    <w:uiPriority w:val="98"/>
    <w:locked/>
    <w:rsid w:val="00731D8A"/>
    <w:rPr>
      <w:rFonts w:ascii="Arial" w:eastAsiaTheme="majorEastAsia" w:hAnsi="Arial" w:cstheme="majorBidi"/>
      <w:b/>
      <w:bCs/>
      <w:color w:val="003865"/>
      <w:sz w:val="24"/>
      <w:szCs w:val="28"/>
    </w:rPr>
  </w:style>
  <w:style w:type="paragraph" w:customStyle="1" w:styleId="CABH2">
    <w:name w:val="CAB H2"/>
    <w:basedOn w:val="Normal"/>
    <w:link w:val="CABH2Char"/>
    <w:uiPriority w:val="98"/>
    <w:qFormat/>
    <w:rsid w:val="00731D8A"/>
    <w:pPr>
      <w:keepNext/>
      <w:keepLines/>
      <w:tabs>
        <w:tab w:val="left" w:pos="567"/>
      </w:tabs>
      <w:spacing w:before="240"/>
      <w:outlineLvl w:val="0"/>
    </w:pPr>
    <w:rPr>
      <w:rFonts w:ascii="Arial" w:eastAsiaTheme="majorEastAsia" w:hAnsi="Arial" w:cstheme="majorBidi"/>
      <w:b/>
      <w:bCs/>
      <w:color w:val="003865"/>
      <w:sz w:val="24"/>
      <w:szCs w:val="28"/>
    </w:rPr>
  </w:style>
  <w:style w:type="character" w:customStyle="1" w:styleId="scxw74927452">
    <w:name w:val="scxw74927452"/>
    <w:basedOn w:val="DefaultParagraphFont"/>
    <w:rsid w:val="00F35A39"/>
  </w:style>
  <w:style w:type="character" w:customStyle="1" w:styleId="cf01">
    <w:name w:val="cf01"/>
    <w:basedOn w:val="DefaultParagraphFont"/>
    <w:rsid w:val="009660F9"/>
    <w:rPr>
      <w:rFonts w:ascii="Segoe UI" w:hAnsi="Segoe UI" w:cs="Segoe UI" w:hint="default"/>
      <w:sz w:val="18"/>
      <w:szCs w:val="18"/>
    </w:rPr>
  </w:style>
  <w:style w:type="character" w:customStyle="1" w:styleId="cf11">
    <w:name w:val="cf11"/>
    <w:basedOn w:val="DefaultParagraphFont"/>
    <w:rsid w:val="009660F9"/>
    <w:rPr>
      <w:rFonts w:ascii="Segoe UI" w:hAnsi="Segoe UI" w:cs="Segoe UI" w:hint="default"/>
      <w:i/>
      <w:iCs/>
      <w:sz w:val="18"/>
      <w:szCs w:val="18"/>
    </w:rPr>
  </w:style>
  <w:style w:type="paragraph" w:customStyle="1" w:styleId="pf0">
    <w:name w:val="pf0"/>
    <w:basedOn w:val="Normal"/>
    <w:rsid w:val="009660F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inition">
    <w:name w:val="Definition"/>
    <w:aliases w:val="dd"/>
    <w:basedOn w:val="Normal"/>
    <w:rsid w:val="00685F8C"/>
    <w:pPr>
      <w:spacing w:before="180" w:after="0" w:line="240" w:lineRule="auto"/>
      <w:ind w:left="113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685F8C"/>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891B3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sipfooterab17160e">
    <w:name w:val="msipfooterab17160e"/>
    <w:basedOn w:val="Normal"/>
    <w:rsid w:val="00684ED8"/>
    <w:pPr>
      <w:spacing w:before="100" w:beforeAutospacing="1" w:after="100" w:afterAutospacing="1" w:line="240" w:lineRule="auto"/>
    </w:pPr>
    <w:rPr>
      <w:rFonts w:ascii="Calibri" w:hAnsi="Calibri" w:cs="Calibri"/>
      <w:lang w:eastAsia="en-AU"/>
    </w:rPr>
  </w:style>
  <w:style w:type="paragraph" w:customStyle="1" w:styleId="msipfootereb4ec2f">
    <w:name w:val="msipfootereb4ec2f"/>
    <w:basedOn w:val="Normal"/>
    <w:rsid w:val="00684ED8"/>
    <w:pPr>
      <w:spacing w:before="100" w:beforeAutospacing="1" w:after="100" w:afterAutospacing="1" w:line="240" w:lineRule="auto"/>
    </w:pPr>
    <w:rPr>
      <w:rFonts w:ascii="Calibr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0958">
      <w:bodyDiv w:val="1"/>
      <w:marLeft w:val="0"/>
      <w:marRight w:val="0"/>
      <w:marTop w:val="0"/>
      <w:marBottom w:val="0"/>
      <w:divBdr>
        <w:top w:val="none" w:sz="0" w:space="0" w:color="auto"/>
        <w:left w:val="none" w:sz="0" w:space="0" w:color="auto"/>
        <w:bottom w:val="none" w:sz="0" w:space="0" w:color="auto"/>
        <w:right w:val="none" w:sz="0" w:space="0" w:color="auto"/>
      </w:divBdr>
      <w:divsChild>
        <w:div w:id="264189092">
          <w:marLeft w:val="0"/>
          <w:marRight w:val="0"/>
          <w:marTop w:val="0"/>
          <w:marBottom w:val="0"/>
          <w:divBdr>
            <w:top w:val="none" w:sz="0" w:space="0" w:color="auto"/>
            <w:left w:val="none" w:sz="0" w:space="0" w:color="auto"/>
            <w:bottom w:val="none" w:sz="0" w:space="0" w:color="auto"/>
            <w:right w:val="none" w:sz="0" w:space="0" w:color="auto"/>
          </w:divBdr>
        </w:div>
        <w:div w:id="2112241989">
          <w:marLeft w:val="0"/>
          <w:marRight w:val="0"/>
          <w:marTop w:val="0"/>
          <w:marBottom w:val="0"/>
          <w:divBdr>
            <w:top w:val="none" w:sz="0" w:space="0" w:color="auto"/>
            <w:left w:val="none" w:sz="0" w:space="0" w:color="auto"/>
            <w:bottom w:val="none" w:sz="0" w:space="0" w:color="auto"/>
            <w:right w:val="none" w:sz="0" w:space="0" w:color="auto"/>
          </w:divBdr>
          <w:divsChild>
            <w:div w:id="433862203">
              <w:marLeft w:val="-75"/>
              <w:marRight w:val="0"/>
              <w:marTop w:val="30"/>
              <w:marBottom w:val="30"/>
              <w:divBdr>
                <w:top w:val="none" w:sz="0" w:space="0" w:color="auto"/>
                <w:left w:val="none" w:sz="0" w:space="0" w:color="auto"/>
                <w:bottom w:val="none" w:sz="0" w:space="0" w:color="auto"/>
                <w:right w:val="none" w:sz="0" w:space="0" w:color="auto"/>
              </w:divBdr>
              <w:divsChild>
                <w:div w:id="25373867">
                  <w:marLeft w:val="0"/>
                  <w:marRight w:val="0"/>
                  <w:marTop w:val="0"/>
                  <w:marBottom w:val="0"/>
                  <w:divBdr>
                    <w:top w:val="none" w:sz="0" w:space="0" w:color="auto"/>
                    <w:left w:val="none" w:sz="0" w:space="0" w:color="auto"/>
                    <w:bottom w:val="none" w:sz="0" w:space="0" w:color="auto"/>
                    <w:right w:val="none" w:sz="0" w:space="0" w:color="auto"/>
                  </w:divBdr>
                  <w:divsChild>
                    <w:div w:id="1189833068">
                      <w:marLeft w:val="0"/>
                      <w:marRight w:val="0"/>
                      <w:marTop w:val="0"/>
                      <w:marBottom w:val="0"/>
                      <w:divBdr>
                        <w:top w:val="none" w:sz="0" w:space="0" w:color="auto"/>
                        <w:left w:val="none" w:sz="0" w:space="0" w:color="auto"/>
                        <w:bottom w:val="none" w:sz="0" w:space="0" w:color="auto"/>
                        <w:right w:val="none" w:sz="0" w:space="0" w:color="auto"/>
                      </w:divBdr>
                    </w:div>
                  </w:divsChild>
                </w:div>
                <w:div w:id="39400767">
                  <w:marLeft w:val="0"/>
                  <w:marRight w:val="0"/>
                  <w:marTop w:val="0"/>
                  <w:marBottom w:val="0"/>
                  <w:divBdr>
                    <w:top w:val="none" w:sz="0" w:space="0" w:color="auto"/>
                    <w:left w:val="none" w:sz="0" w:space="0" w:color="auto"/>
                    <w:bottom w:val="none" w:sz="0" w:space="0" w:color="auto"/>
                    <w:right w:val="none" w:sz="0" w:space="0" w:color="auto"/>
                  </w:divBdr>
                  <w:divsChild>
                    <w:div w:id="582498034">
                      <w:marLeft w:val="0"/>
                      <w:marRight w:val="0"/>
                      <w:marTop w:val="0"/>
                      <w:marBottom w:val="0"/>
                      <w:divBdr>
                        <w:top w:val="none" w:sz="0" w:space="0" w:color="auto"/>
                        <w:left w:val="none" w:sz="0" w:space="0" w:color="auto"/>
                        <w:bottom w:val="none" w:sz="0" w:space="0" w:color="auto"/>
                        <w:right w:val="none" w:sz="0" w:space="0" w:color="auto"/>
                      </w:divBdr>
                    </w:div>
                  </w:divsChild>
                </w:div>
                <w:div w:id="67577088">
                  <w:marLeft w:val="0"/>
                  <w:marRight w:val="0"/>
                  <w:marTop w:val="0"/>
                  <w:marBottom w:val="0"/>
                  <w:divBdr>
                    <w:top w:val="none" w:sz="0" w:space="0" w:color="auto"/>
                    <w:left w:val="none" w:sz="0" w:space="0" w:color="auto"/>
                    <w:bottom w:val="none" w:sz="0" w:space="0" w:color="auto"/>
                    <w:right w:val="none" w:sz="0" w:space="0" w:color="auto"/>
                  </w:divBdr>
                  <w:divsChild>
                    <w:div w:id="1921131643">
                      <w:marLeft w:val="0"/>
                      <w:marRight w:val="0"/>
                      <w:marTop w:val="0"/>
                      <w:marBottom w:val="0"/>
                      <w:divBdr>
                        <w:top w:val="none" w:sz="0" w:space="0" w:color="auto"/>
                        <w:left w:val="none" w:sz="0" w:space="0" w:color="auto"/>
                        <w:bottom w:val="none" w:sz="0" w:space="0" w:color="auto"/>
                        <w:right w:val="none" w:sz="0" w:space="0" w:color="auto"/>
                      </w:divBdr>
                    </w:div>
                  </w:divsChild>
                </w:div>
                <w:div w:id="82920220">
                  <w:marLeft w:val="0"/>
                  <w:marRight w:val="0"/>
                  <w:marTop w:val="0"/>
                  <w:marBottom w:val="0"/>
                  <w:divBdr>
                    <w:top w:val="none" w:sz="0" w:space="0" w:color="auto"/>
                    <w:left w:val="none" w:sz="0" w:space="0" w:color="auto"/>
                    <w:bottom w:val="none" w:sz="0" w:space="0" w:color="auto"/>
                    <w:right w:val="none" w:sz="0" w:space="0" w:color="auto"/>
                  </w:divBdr>
                  <w:divsChild>
                    <w:div w:id="1974678642">
                      <w:marLeft w:val="0"/>
                      <w:marRight w:val="0"/>
                      <w:marTop w:val="0"/>
                      <w:marBottom w:val="0"/>
                      <w:divBdr>
                        <w:top w:val="none" w:sz="0" w:space="0" w:color="auto"/>
                        <w:left w:val="none" w:sz="0" w:space="0" w:color="auto"/>
                        <w:bottom w:val="none" w:sz="0" w:space="0" w:color="auto"/>
                        <w:right w:val="none" w:sz="0" w:space="0" w:color="auto"/>
                      </w:divBdr>
                    </w:div>
                  </w:divsChild>
                </w:div>
                <w:div w:id="115948323">
                  <w:marLeft w:val="0"/>
                  <w:marRight w:val="0"/>
                  <w:marTop w:val="0"/>
                  <w:marBottom w:val="0"/>
                  <w:divBdr>
                    <w:top w:val="none" w:sz="0" w:space="0" w:color="auto"/>
                    <w:left w:val="none" w:sz="0" w:space="0" w:color="auto"/>
                    <w:bottom w:val="none" w:sz="0" w:space="0" w:color="auto"/>
                    <w:right w:val="none" w:sz="0" w:space="0" w:color="auto"/>
                  </w:divBdr>
                  <w:divsChild>
                    <w:div w:id="100801268">
                      <w:marLeft w:val="0"/>
                      <w:marRight w:val="0"/>
                      <w:marTop w:val="0"/>
                      <w:marBottom w:val="0"/>
                      <w:divBdr>
                        <w:top w:val="none" w:sz="0" w:space="0" w:color="auto"/>
                        <w:left w:val="none" w:sz="0" w:space="0" w:color="auto"/>
                        <w:bottom w:val="none" w:sz="0" w:space="0" w:color="auto"/>
                        <w:right w:val="none" w:sz="0" w:space="0" w:color="auto"/>
                      </w:divBdr>
                    </w:div>
                  </w:divsChild>
                </w:div>
                <w:div w:id="131800683">
                  <w:marLeft w:val="0"/>
                  <w:marRight w:val="0"/>
                  <w:marTop w:val="0"/>
                  <w:marBottom w:val="0"/>
                  <w:divBdr>
                    <w:top w:val="none" w:sz="0" w:space="0" w:color="auto"/>
                    <w:left w:val="none" w:sz="0" w:space="0" w:color="auto"/>
                    <w:bottom w:val="none" w:sz="0" w:space="0" w:color="auto"/>
                    <w:right w:val="none" w:sz="0" w:space="0" w:color="auto"/>
                  </w:divBdr>
                  <w:divsChild>
                    <w:div w:id="862742919">
                      <w:marLeft w:val="0"/>
                      <w:marRight w:val="0"/>
                      <w:marTop w:val="0"/>
                      <w:marBottom w:val="0"/>
                      <w:divBdr>
                        <w:top w:val="none" w:sz="0" w:space="0" w:color="auto"/>
                        <w:left w:val="none" w:sz="0" w:space="0" w:color="auto"/>
                        <w:bottom w:val="none" w:sz="0" w:space="0" w:color="auto"/>
                        <w:right w:val="none" w:sz="0" w:space="0" w:color="auto"/>
                      </w:divBdr>
                    </w:div>
                  </w:divsChild>
                </w:div>
                <w:div w:id="197592443">
                  <w:marLeft w:val="0"/>
                  <w:marRight w:val="0"/>
                  <w:marTop w:val="0"/>
                  <w:marBottom w:val="0"/>
                  <w:divBdr>
                    <w:top w:val="none" w:sz="0" w:space="0" w:color="auto"/>
                    <w:left w:val="none" w:sz="0" w:space="0" w:color="auto"/>
                    <w:bottom w:val="none" w:sz="0" w:space="0" w:color="auto"/>
                    <w:right w:val="none" w:sz="0" w:space="0" w:color="auto"/>
                  </w:divBdr>
                  <w:divsChild>
                    <w:div w:id="550457637">
                      <w:marLeft w:val="0"/>
                      <w:marRight w:val="0"/>
                      <w:marTop w:val="0"/>
                      <w:marBottom w:val="0"/>
                      <w:divBdr>
                        <w:top w:val="none" w:sz="0" w:space="0" w:color="auto"/>
                        <w:left w:val="none" w:sz="0" w:space="0" w:color="auto"/>
                        <w:bottom w:val="none" w:sz="0" w:space="0" w:color="auto"/>
                        <w:right w:val="none" w:sz="0" w:space="0" w:color="auto"/>
                      </w:divBdr>
                    </w:div>
                  </w:divsChild>
                </w:div>
                <w:div w:id="206143103">
                  <w:marLeft w:val="0"/>
                  <w:marRight w:val="0"/>
                  <w:marTop w:val="0"/>
                  <w:marBottom w:val="0"/>
                  <w:divBdr>
                    <w:top w:val="none" w:sz="0" w:space="0" w:color="auto"/>
                    <w:left w:val="none" w:sz="0" w:space="0" w:color="auto"/>
                    <w:bottom w:val="none" w:sz="0" w:space="0" w:color="auto"/>
                    <w:right w:val="none" w:sz="0" w:space="0" w:color="auto"/>
                  </w:divBdr>
                  <w:divsChild>
                    <w:div w:id="252280487">
                      <w:marLeft w:val="0"/>
                      <w:marRight w:val="0"/>
                      <w:marTop w:val="0"/>
                      <w:marBottom w:val="0"/>
                      <w:divBdr>
                        <w:top w:val="none" w:sz="0" w:space="0" w:color="auto"/>
                        <w:left w:val="none" w:sz="0" w:space="0" w:color="auto"/>
                        <w:bottom w:val="none" w:sz="0" w:space="0" w:color="auto"/>
                        <w:right w:val="none" w:sz="0" w:space="0" w:color="auto"/>
                      </w:divBdr>
                    </w:div>
                  </w:divsChild>
                </w:div>
                <w:div w:id="228808932">
                  <w:marLeft w:val="0"/>
                  <w:marRight w:val="0"/>
                  <w:marTop w:val="0"/>
                  <w:marBottom w:val="0"/>
                  <w:divBdr>
                    <w:top w:val="none" w:sz="0" w:space="0" w:color="auto"/>
                    <w:left w:val="none" w:sz="0" w:space="0" w:color="auto"/>
                    <w:bottom w:val="none" w:sz="0" w:space="0" w:color="auto"/>
                    <w:right w:val="none" w:sz="0" w:space="0" w:color="auto"/>
                  </w:divBdr>
                  <w:divsChild>
                    <w:div w:id="1480340427">
                      <w:marLeft w:val="0"/>
                      <w:marRight w:val="0"/>
                      <w:marTop w:val="0"/>
                      <w:marBottom w:val="0"/>
                      <w:divBdr>
                        <w:top w:val="none" w:sz="0" w:space="0" w:color="auto"/>
                        <w:left w:val="none" w:sz="0" w:space="0" w:color="auto"/>
                        <w:bottom w:val="none" w:sz="0" w:space="0" w:color="auto"/>
                        <w:right w:val="none" w:sz="0" w:space="0" w:color="auto"/>
                      </w:divBdr>
                    </w:div>
                  </w:divsChild>
                </w:div>
                <w:div w:id="236088700">
                  <w:marLeft w:val="0"/>
                  <w:marRight w:val="0"/>
                  <w:marTop w:val="0"/>
                  <w:marBottom w:val="0"/>
                  <w:divBdr>
                    <w:top w:val="none" w:sz="0" w:space="0" w:color="auto"/>
                    <w:left w:val="none" w:sz="0" w:space="0" w:color="auto"/>
                    <w:bottom w:val="none" w:sz="0" w:space="0" w:color="auto"/>
                    <w:right w:val="none" w:sz="0" w:space="0" w:color="auto"/>
                  </w:divBdr>
                  <w:divsChild>
                    <w:div w:id="600986900">
                      <w:marLeft w:val="0"/>
                      <w:marRight w:val="0"/>
                      <w:marTop w:val="0"/>
                      <w:marBottom w:val="0"/>
                      <w:divBdr>
                        <w:top w:val="none" w:sz="0" w:space="0" w:color="auto"/>
                        <w:left w:val="none" w:sz="0" w:space="0" w:color="auto"/>
                        <w:bottom w:val="none" w:sz="0" w:space="0" w:color="auto"/>
                        <w:right w:val="none" w:sz="0" w:space="0" w:color="auto"/>
                      </w:divBdr>
                    </w:div>
                  </w:divsChild>
                </w:div>
                <w:div w:id="245648513">
                  <w:marLeft w:val="0"/>
                  <w:marRight w:val="0"/>
                  <w:marTop w:val="0"/>
                  <w:marBottom w:val="0"/>
                  <w:divBdr>
                    <w:top w:val="none" w:sz="0" w:space="0" w:color="auto"/>
                    <w:left w:val="none" w:sz="0" w:space="0" w:color="auto"/>
                    <w:bottom w:val="none" w:sz="0" w:space="0" w:color="auto"/>
                    <w:right w:val="none" w:sz="0" w:space="0" w:color="auto"/>
                  </w:divBdr>
                  <w:divsChild>
                    <w:div w:id="998119169">
                      <w:marLeft w:val="0"/>
                      <w:marRight w:val="0"/>
                      <w:marTop w:val="0"/>
                      <w:marBottom w:val="0"/>
                      <w:divBdr>
                        <w:top w:val="none" w:sz="0" w:space="0" w:color="auto"/>
                        <w:left w:val="none" w:sz="0" w:space="0" w:color="auto"/>
                        <w:bottom w:val="none" w:sz="0" w:space="0" w:color="auto"/>
                        <w:right w:val="none" w:sz="0" w:space="0" w:color="auto"/>
                      </w:divBdr>
                    </w:div>
                  </w:divsChild>
                </w:div>
                <w:div w:id="249311971">
                  <w:marLeft w:val="0"/>
                  <w:marRight w:val="0"/>
                  <w:marTop w:val="0"/>
                  <w:marBottom w:val="0"/>
                  <w:divBdr>
                    <w:top w:val="none" w:sz="0" w:space="0" w:color="auto"/>
                    <w:left w:val="none" w:sz="0" w:space="0" w:color="auto"/>
                    <w:bottom w:val="none" w:sz="0" w:space="0" w:color="auto"/>
                    <w:right w:val="none" w:sz="0" w:space="0" w:color="auto"/>
                  </w:divBdr>
                  <w:divsChild>
                    <w:div w:id="629944580">
                      <w:marLeft w:val="0"/>
                      <w:marRight w:val="0"/>
                      <w:marTop w:val="0"/>
                      <w:marBottom w:val="0"/>
                      <w:divBdr>
                        <w:top w:val="none" w:sz="0" w:space="0" w:color="auto"/>
                        <w:left w:val="none" w:sz="0" w:space="0" w:color="auto"/>
                        <w:bottom w:val="none" w:sz="0" w:space="0" w:color="auto"/>
                        <w:right w:val="none" w:sz="0" w:space="0" w:color="auto"/>
                      </w:divBdr>
                    </w:div>
                  </w:divsChild>
                </w:div>
                <w:div w:id="253900203">
                  <w:marLeft w:val="0"/>
                  <w:marRight w:val="0"/>
                  <w:marTop w:val="0"/>
                  <w:marBottom w:val="0"/>
                  <w:divBdr>
                    <w:top w:val="none" w:sz="0" w:space="0" w:color="auto"/>
                    <w:left w:val="none" w:sz="0" w:space="0" w:color="auto"/>
                    <w:bottom w:val="none" w:sz="0" w:space="0" w:color="auto"/>
                    <w:right w:val="none" w:sz="0" w:space="0" w:color="auto"/>
                  </w:divBdr>
                  <w:divsChild>
                    <w:div w:id="799112865">
                      <w:marLeft w:val="0"/>
                      <w:marRight w:val="0"/>
                      <w:marTop w:val="0"/>
                      <w:marBottom w:val="0"/>
                      <w:divBdr>
                        <w:top w:val="none" w:sz="0" w:space="0" w:color="auto"/>
                        <w:left w:val="none" w:sz="0" w:space="0" w:color="auto"/>
                        <w:bottom w:val="none" w:sz="0" w:space="0" w:color="auto"/>
                        <w:right w:val="none" w:sz="0" w:space="0" w:color="auto"/>
                      </w:divBdr>
                    </w:div>
                  </w:divsChild>
                </w:div>
                <w:div w:id="272712626">
                  <w:marLeft w:val="0"/>
                  <w:marRight w:val="0"/>
                  <w:marTop w:val="0"/>
                  <w:marBottom w:val="0"/>
                  <w:divBdr>
                    <w:top w:val="none" w:sz="0" w:space="0" w:color="auto"/>
                    <w:left w:val="none" w:sz="0" w:space="0" w:color="auto"/>
                    <w:bottom w:val="none" w:sz="0" w:space="0" w:color="auto"/>
                    <w:right w:val="none" w:sz="0" w:space="0" w:color="auto"/>
                  </w:divBdr>
                  <w:divsChild>
                    <w:div w:id="1866097027">
                      <w:marLeft w:val="0"/>
                      <w:marRight w:val="0"/>
                      <w:marTop w:val="0"/>
                      <w:marBottom w:val="0"/>
                      <w:divBdr>
                        <w:top w:val="none" w:sz="0" w:space="0" w:color="auto"/>
                        <w:left w:val="none" w:sz="0" w:space="0" w:color="auto"/>
                        <w:bottom w:val="none" w:sz="0" w:space="0" w:color="auto"/>
                        <w:right w:val="none" w:sz="0" w:space="0" w:color="auto"/>
                      </w:divBdr>
                    </w:div>
                  </w:divsChild>
                </w:div>
                <w:div w:id="278069394">
                  <w:marLeft w:val="0"/>
                  <w:marRight w:val="0"/>
                  <w:marTop w:val="0"/>
                  <w:marBottom w:val="0"/>
                  <w:divBdr>
                    <w:top w:val="none" w:sz="0" w:space="0" w:color="auto"/>
                    <w:left w:val="none" w:sz="0" w:space="0" w:color="auto"/>
                    <w:bottom w:val="none" w:sz="0" w:space="0" w:color="auto"/>
                    <w:right w:val="none" w:sz="0" w:space="0" w:color="auto"/>
                  </w:divBdr>
                  <w:divsChild>
                    <w:div w:id="202715126">
                      <w:marLeft w:val="0"/>
                      <w:marRight w:val="0"/>
                      <w:marTop w:val="0"/>
                      <w:marBottom w:val="0"/>
                      <w:divBdr>
                        <w:top w:val="none" w:sz="0" w:space="0" w:color="auto"/>
                        <w:left w:val="none" w:sz="0" w:space="0" w:color="auto"/>
                        <w:bottom w:val="none" w:sz="0" w:space="0" w:color="auto"/>
                        <w:right w:val="none" w:sz="0" w:space="0" w:color="auto"/>
                      </w:divBdr>
                    </w:div>
                  </w:divsChild>
                </w:div>
                <w:div w:id="279576713">
                  <w:marLeft w:val="0"/>
                  <w:marRight w:val="0"/>
                  <w:marTop w:val="0"/>
                  <w:marBottom w:val="0"/>
                  <w:divBdr>
                    <w:top w:val="none" w:sz="0" w:space="0" w:color="auto"/>
                    <w:left w:val="none" w:sz="0" w:space="0" w:color="auto"/>
                    <w:bottom w:val="none" w:sz="0" w:space="0" w:color="auto"/>
                    <w:right w:val="none" w:sz="0" w:space="0" w:color="auto"/>
                  </w:divBdr>
                  <w:divsChild>
                    <w:div w:id="1191845240">
                      <w:marLeft w:val="0"/>
                      <w:marRight w:val="0"/>
                      <w:marTop w:val="0"/>
                      <w:marBottom w:val="0"/>
                      <w:divBdr>
                        <w:top w:val="none" w:sz="0" w:space="0" w:color="auto"/>
                        <w:left w:val="none" w:sz="0" w:space="0" w:color="auto"/>
                        <w:bottom w:val="none" w:sz="0" w:space="0" w:color="auto"/>
                        <w:right w:val="none" w:sz="0" w:space="0" w:color="auto"/>
                      </w:divBdr>
                    </w:div>
                  </w:divsChild>
                </w:div>
                <w:div w:id="297996445">
                  <w:marLeft w:val="0"/>
                  <w:marRight w:val="0"/>
                  <w:marTop w:val="0"/>
                  <w:marBottom w:val="0"/>
                  <w:divBdr>
                    <w:top w:val="none" w:sz="0" w:space="0" w:color="auto"/>
                    <w:left w:val="none" w:sz="0" w:space="0" w:color="auto"/>
                    <w:bottom w:val="none" w:sz="0" w:space="0" w:color="auto"/>
                    <w:right w:val="none" w:sz="0" w:space="0" w:color="auto"/>
                  </w:divBdr>
                  <w:divsChild>
                    <w:div w:id="870189834">
                      <w:marLeft w:val="0"/>
                      <w:marRight w:val="0"/>
                      <w:marTop w:val="0"/>
                      <w:marBottom w:val="0"/>
                      <w:divBdr>
                        <w:top w:val="none" w:sz="0" w:space="0" w:color="auto"/>
                        <w:left w:val="none" w:sz="0" w:space="0" w:color="auto"/>
                        <w:bottom w:val="none" w:sz="0" w:space="0" w:color="auto"/>
                        <w:right w:val="none" w:sz="0" w:space="0" w:color="auto"/>
                      </w:divBdr>
                    </w:div>
                  </w:divsChild>
                </w:div>
                <w:div w:id="309291643">
                  <w:marLeft w:val="0"/>
                  <w:marRight w:val="0"/>
                  <w:marTop w:val="0"/>
                  <w:marBottom w:val="0"/>
                  <w:divBdr>
                    <w:top w:val="none" w:sz="0" w:space="0" w:color="auto"/>
                    <w:left w:val="none" w:sz="0" w:space="0" w:color="auto"/>
                    <w:bottom w:val="none" w:sz="0" w:space="0" w:color="auto"/>
                    <w:right w:val="none" w:sz="0" w:space="0" w:color="auto"/>
                  </w:divBdr>
                  <w:divsChild>
                    <w:div w:id="1559121602">
                      <w:marLeft w:val="0"/>
                      <w:marRight w:val="0"/>
                      <w:marTop w:val="0"/>
                      <w:marBottom w:val="0"/>
                      <w:divBdr>
                        <w:top w:val="none" w:sz="0" w:space="0" w:color="auto"/>
                        <w:left w:val="none" w:sz="0" w:space="0" w:color="auto"/>
                        <w:bottom w:val="none" w:sz="0" w:space="0" w:color="auto"/>
                        <w:right w:val="none" w:sz="0" w:space="0" w:color="auto"/>
                      </w:divBdr>
                    </w:div>
                  </w:divsChild>
                </w:div>
                <w:div w:id="312754266">
                  <w:marLeft w:val="0"/>
                  <w:marRight w:val="0"/>
                  <w:marTop w:val="0"/>
                  <w:marBottom w:val="0"/>
                  <w:divBdr>
                    <w:top w:val="none" w:sz="0" w:space="0" w:color="auto"/>
                    <w:left w:val="none" w:sz="0" w:space="0" w:color="auto"/>
                    <w:bottom w:val="none" w:sz="0" w:space="0" w:color="auto"/>
                    <w:right w:val="none" w:sz="0" w:space="0" w:color="auto"/>
                  </w:divBdr>
                  <w:divsChild>
                    <w:div w:id="566650831">
                      <w:marLeft w:val="0"/>
                      <w:marRight w:val="0"/>
                      <w:marTop w:val="0"/>
                      <w:marBottom w:val="0"/>
                      <w:divBdr>
                        <w:top w:val="none" w:sz="0" w:space="0" w:color="auto"/>
                        <w:left w:val="none" w:sz="0" w:space="0" w:color="auto"/>
                        <w:bottom w:val="none" w:sz="0" w:space="0" w:color="auto"/>
                        <w:right w:val="none" w:sz="0" w:space="0" w:color="auto"/>
                      </w:divBdr>
                    </w:div>
                  </w:divsChild>
                </w:div>
                <w:div w:id="334842220">
                  <w:marLeft w:val="0"/>
                  <w:marRight w:val="0"/>
                  <w:marTop w:val="0"/>
                  <w:marBottom w:val="0"/>
                  <w:divBdr>
                    <w:top w:val="none" w:sz="0" w:space="0" w:color="auto"/>
                    <w:left w:val="none" w:sz="0" w:space="0" w:color="auto"/>
                    <w:bottom w:val="none" w:sz="0" w:space="0" w:color="auto"/>
                    <w:right w:val="none" w:sz="0" w:space="0" w:color="auto"/>
                  </w:divBdr>
                  <w:divsChild>
                    <w:div w:id="332101928">
                      <w:marLeft w:val="0"/>
                      <w:marRight w:val="0"/>
                      <w:marTop w:val="0"/>
                      <w:marBottom w:val="0"/>
                      <w:divBdr>
                        <w:top w:val="none" w:sz="0" w:space="0" w:color="auto"/>
                        <w:left w:val="none" w:sz="0" w:space="0" w:color="auto"/>
                        <w:bottom w:val="none" w:sz="0" w:space="0" w:color="auto"/>
                        <w:right w:val="none" w:sz="0" w:space="0" w:color="auto"/>
                      </w:divBdr>
                    </w:div>
                  </w:divsChild>
                </w:div>
                <w:div w:id="343635615">
                  <w:marLeft w:val="0"/>
                  <w:marRight w:val="0"/>
                  <w:marTop w:val="0"/>
                  <w:marBottom w:val="0"/>
                  <w:divBdr>
                    <w:top w:val="none" w:sz="0" w:space="0" w:color="auto"/>
                    <w:left w:val="none" w:sz="0" w:space="0" w:color="auto"/>
                    <w:bottom w:val="none" w:sz="0" w:space="0" w:color="auto"/>
                    <w:right w:val="none" w:sz="0" w:space="0" w:color="auto"/>
                  </w:divBdr>
                  <w:divsChild>
                    <w:div w:id="1599606108">
                      <w:marLeft w:val="0"/>
                      <w:marRight w:val="0"/>
                      <w:marTop w:val="0"/>
                      <w:marBottom w:val="0"/>
                      <w:divBdr>
                        <w:top w:val="none" w:sz="0" w:space="0" w:color="auto"/>
                        <w:left w:val="none" w:sz="0" w:space="0" w:color="auto"/>
                        <w:bottom w:val="none" w:sz="0" w:space="0" w:color="auto"/>
                        <w:right w:val="none" w:sz="0" w:space="0" w:color="auto"/>
                      </w:divBdr>
                    </w:div>
                  </w:divsChild>
                </w:div>
                <w:div w:id="353843013">
                  <w:marLeft w:val="0"/>
                  <w:marRight w:val="0"/>
                  <w:marTop w:val="0"/>
                  <w:marBottom w:val="0"/>
                  <w:divBdr>
                    <w:top w:val="none" w:sz="0" w:space="0" w:color="auto"/>
                    <w:left w:val="none" w:sz="0" w:space="0" w:color="auto"/>
                    <w:bottom w:val="none" w:sz="0" w:space="0" w:color="auto"/>
                    <w:right w:val="none" w:sz="0" w:space="0" w:color="auto"/>
                  </w:divBdr>
                  <w:divsChild>
                    <w:div w:id="1961254946">
                      <w:marLeft w:val="0"/>
                      <w:marRight w:val="0"/>
                      <w:marTop w:val="0"/>
                      <w:marBottom w:val="0"/>
                      <w:divBdr>
                        <w:top w:val="none" w:sz="0" w:space="0" w:color="auto"/>
                        <w:left w:val="none" w:sz="0" w:space="0" w:color="auto"/>
                        <w:bottom w:val="none" w:sz="0" w:space="0" w:color="auto"/>
                        <w:right w:val="none" w:sz="0" w:space="0" w:color="auto"/>
                      </w:divBdr>
                    </w:div>
                  </w:divsChild>
                </w:div>
                <w:div w:id="366609767">
                  <w:marLeft w:val="0"/>
                  <w:marRight w:val="0"/>
                  <w:marTop w:val="0"/>
                  <w:marBottom w:val="0"/>
                  <w:divBdr>
                    <w:top w:val="none" w:sz="0" w:space="0" w:color="auto"/>
                    <w:left w:val="none" w:sz="0" w:space="0" w:color="auto"/>
                    <w:bottom w:val="none" w:sz="0" w:space="0" w:color="auto"/>
                    <w:right w:val="none" w:sz="0" w:space="0" w:color="auto"/>
                  </w:divBdr>
                  <w:divsChild>
                    <w:div w:id="580605411">
                      <w:marLeft w:val="0"/>
                      <w:marRight w:val="0"/>
                      <w:marTop w:val="0"/>
                      <w:marBottom w:val="0"/>
                      <w:divBdr>
                        <w:top w:val="none" w:sz="0" w:space="0" w:color="auto"/>
                        <w:left w:val="none" w:sz="0" w:space="0" w:color="auto"/>
                        <w:bottom w:val="none" w:sz="0" w:space="0" w:color="auto"/>
                        <w:right w:val="none" w:sz="0" w:space="0" w:color="auto"/>
                      </w:divBdr>
                    </w:div>
                  </w:divsChild>
                </w:div>
                <w:div w:id="372386595">
                  <w:marLeft w:val="0"/>
                  <w:marRight w:val="0"/>
                  <w:marTop w:val="0"/>
                  <w:marBottom w:val="0"/>
                  <w:divBdr>
                    <w:top w:val="none" w:sz="0" w:space="0" w:color="auto"/>
                    <w:left w:val="none" w:sz="0" w:space="0" w:color="auto"/>
                    <w:bottom w:val="none" w:sz="0" w:space="0" w:color="auto"/>
                    <w:right w:val="none" w:sz="0" w:space="0" w:color="auto"/>
                  </w:divBdr>
                  <w:divsChild>
                    <w:div w:id="1520771895">
                      <w:marLeft w:val="0"/>
                      <w:marRight w:val="0"/>
                      <w:marTop w:val="0"/>
                      <w:marBottom w:val="0"/>
                      <w:divBdr>
                        <w:top w:val="none" w:sz="0" w:space="0" w:color="auto"/>
                        <w:left w:val="none" w:sz="0" w:space="0" w:color="auto"/>
                        <w:bottom w:val="none" w:sz="0" w:space="0" w:color="auto"/>
                        <w:right w:val="none" w:sz="0" w:space="0" w:color="auto"/>
                      </w:divBdr>
                    </w:div>
                  </w:divsChild>
                </w:div>
                <w:div w:id="388194625">
                  <w:marLeft w:val="0"/>
                  <w:marRight w:val="0"/>
                  <w:marTop w:val="0"/>
                  <w:marBottom w:val="0"/>
                  <w:divBdr>
                    <w:top w:val="none" w:sz="0" w:space="0" w:color="auto"/>
                    <w:left w:val="none" w:sz="0" w:space="0" w:color="auto"/>
                    <w:bottom w:val="none" w:sz="0" w:space="0" w:color="auto"/>
                    <w:right w:val="none" w:sz="0" w:space="0" w:color="auto"/>
                  </w:divBdr>
                  <w:divsChild>
                    <w:div w:id="1519849750">
                      <w:marLeft w:val="0"/>
                      <w:marRight w:val="0"/>
                      <w:marTop w:val="0"/>
                      <w:marBottom w:val="0"/>
                      <w:divBdr>
                        <w:top w:val="none" w:sz="0" w:space="0" w:color="auto"/>
                        <w:left w:val="none" w:sz="0" w:space="0" w:color="auto"/>
                        <w:bottom w:val="none" w:sz="0" w:space="0" w:color="auto"/>
                        <w:right w:val="none" w:sz="0" w:space="0" w:color="auto"/>
                      </w:divBdr>
                    </w:div>
                  </w:divsChild>
                </w:div>
                <w:div w:id="403992626">
                  <w:marLeft w:val="0"/>
                  <w:marRight w:val="0"/>
                  <w:marTop w:val="0"/>
                  <w:marBottom w:val="0"/>
                  <w:divBdr>
                    <w:top w:val="none" w:sz="0" w:space="0" w:color="auto"/>
                    <w:left w:val="none" w:sz="0" w:space="0" w:color="auto"/>
                    <w:bottom w:val="none" w:sz="0" w:space="0" w:color="auto"/>
                    <w:right w:val="none" w:sz="0" w:space="0" w:color="auto"/>
                  </w:divBdr>
                  <w:divsChild>
                    <w:div w:id="418255624">
                      <w:marLeft w:val="0"/>
                      <w:marRight w:val="0"/>
                      <w:marTop w:val="0"/>
                      <w:marBottom w:val="0"/>
                      <w:divBdr>
                        <w:top w:val="none" w:sz="0" w:space="0" w:color="auto"/>
                        <w:left w:val="none" w:sz="0" w:space="0" w:color="auto"/>
                        <w:bottom w:val="none" w:sz="0" w:space="0" w:color="auto"/>
                        <w:right w:val="none" w:sz="0" w:space="0" w:color="auto"/>
                      </w:divBdr>
                    </w:div>
                  </w:divsChild>
                </w:div>
                <w:div w:id="462239955">
                  <w:marLeft w:val="0"/>
                  <w:marRight w:val="0"/>
                  <w:marTop w:val="0"/>
                  <w:marBottom w:val="0"/>
                  <w:divBdr>
                    <w:top w:val="none" w:sz="0" w:space="0" w:color="auto"/>
                    <w:left w:val="none" w:sz="0" w:space="0" w:color="auto"/>
                    <w:bottom w:val="none" w:sz="0" w:space="0" w:color="auto"/>
                    <w:right w:val="none" w:sz="0" w:space="0" w:color="auto"/>
                  </w:divBdr>
                  <w:divsChild>
                    <w:div w:id="340014982">
                      <w:marLeft w:val="0"/>
                      <w:marRight w:val="0"/>
                      <w:marTop w:val="0"/>
                      <w:marBottom w:val="0"/>
                      <w:divBdr>
                        <w:top w:val="none" w:sz="0" w:space="0" w:color="auto"/>
                        <w:left w:val="none" w:sz="0" w:space="0" w:color="auto"/>
                        <w:bottom w:val="none" w:sz="0" w:space="0" w:color="auto"/>
                        <w:right w:val="none" w:sz="0" w:space="0" w:color="auto"/>
                      </w:divBdr>
                    </w:div>
                  </w:divsChild>
                </w:div>
                <w:div w:id="476532120">
                  <w:marLeft w:val="0"/>
                  <w:marRight w:val="0"/>
                  <w:marTop w:val="0"/>
                  <w:marBottom w:val="0"/>
                  <w:divBdr>
                    <w:top w:val="none" w:sz="0" w:space="0" w:color="auto"/>
                    <w:left w:val="none" w:sz="0" w:space="0" w:color="auto"/>
                    <w:bottom w:val="none" w:sz="0" w:space="0" w:color="auto"/>
                    <w:right w:val="none" w:sz="0" w:space="0" w:color="auto"/>
                  </w:divBdr>
                  <w:divsChild>
                    <w:div w:id="664210680">
                      <w:marLeft w:val="0"/>
                      <w:marRight w:val="0"/>
                      <w:marTop w:val="0"/>
                      <w:marBottom w:val="0"/>
                      <w:divBdr>
                        <w:top w:val="none" w:sz="0" w:space="0" w:color="auto"/>
                        <w:left w:val="none" w:sz="0" w:space="0" w:color="auto"/>
                        <w:bottom w:val="none" w:sz="0" w:space="0" w:color="auto"/>
                        <w:right w:val="none" w:sz="0" w:space="0" w:color="auto"/>
                      </w:divBdr>
                    </w:div>
                  </w:divsChild>
                </w:div>
                <w:div w:id="479662081">
                  <w:marLeft w:val="0"/>
                  <w:marRight w:val="0"/>
                  <w:marTop w:val="0"/>
                  <w:marBottom w:val="0"/>
                  <w:divBdr>
                    <w:top w:val="none" w:sz="0" w:space="0" w:color="auto"/>
                    <w:left w:val="none" w:sz="0" w:space="0" w:color="auto"/>
                    <w:bottom w:val="none" w:sz="0" w:space="0" w:color="auto"/>
                    <w:right w:val="none" w:sz="0" w:space="0" w:color="auto"/>
                  </w:divBdr>
                  <w:divsChild>
                    <w:div w:id="1359742343">
                      <w:marLeft w:val="0"/>
                      <w:marRight w:val="0"/>
                      <w:marTop w:val="0"/>
                      <w:marBottom w:val="0"/>
                      <w:divBdr>
                        <w:top w:val="none" w:sz="0" w:space="0" w:color="auto"/>
                        <w:left w:val="none" w:sz="0" w:space="0" w:color="auto"/>
                        <w:bottom w:val="none" w:sz="0" w:space="0" w:color="auto"/>
                        <w:right w:val="none" w:sz="0" w:space="0" w:color="auto"/>
                      </w:divBdr>
                    </w:div>
                  </w:divsChild>
                </w:div>
                <w:div w:id="482505775">
                  <w:marLeft w:val="0"/>
                  <w:marRight w:val="0"/>
                  <w:marTop w:val="0"/>
                  <w:marBottom w:val="0"/>
                  <w:divBdr>
                    <w:top w:val="none" w:sz="0" w:space="0" w:color="auto"/>
                    <w:left w:val="none" w:sz="0" w:space="0" w:color="auto"/>
                    <w:bottom w:val="none" w:sz="0" w:space="0" w:color="auto"/>
                    <w:right w:val="none" w:sz="0" w:space="0" w:color="auto"/>
                  </w:divBdr>
                  <w:divsChild>
                    <w:div w:id="474882608">
                      <w:marLeft w:val="0"/>
                      <w:marRight w:val="0"/>
                      <w:marTop w:val="0"/>
                      <w:marBottom w:val="0"/>
                      <w:divBdr>
                        <w:top w:val="none" w:sz="0" w:space="0" w:color="auto"/>
                        <w:left w:val="none" w:sz="0" w:space="0" w:color="auto"/>
                        <w:bottom w:val="none" w:sz="0" w:space="0" w:color="auto"/>
                        <w:right w:val="none" w:sz="0" w:space="0" w:color="auto"/>
                      </w:divBdr>
                    </w:div>
                  </w:divsChild>
                </w:div>
                <w:div w:id="490289659">
                  <w:marLeft w:val="0"/>
                  <w:marRight w:val="0"/>
                  <w:marTop w:val="0"/>
                  <w:marBottom w:val="0"/>
                  <w:divBdr>
                    <w:top w:val="none" w:sz="0" w:space="0" w:color="auto"/>
                    <w:left w:val="none" w:sz="0" w:space="0" w:color="auto"/>
                    <w:bottom w:val="none" w:sz="0" w:space="0" w:color="auto"/>
                    <w:right w:val="none" w:sz="0" w:space="0" w:color="auto"/>
                  </w:divBdr>
                  <w:divsChild>
                    <w:div w:id="1482581970">
                      <w:marLeft w:val="0"/>
                      <w:marRight w:val="0"/>
                      <w:marTop w:val="0"/>
                      <w:marBottom w:val="0"/>
                      <w:divBdr>
                        <w:top w:val="none" w:sz="0" w:space="0" w:color="auto"/>
                        <w:left w:val="none" w:sz="0" w:space="0" w:color="auto"/>
                        <w:bottom w:val="none" w:sz="0" w:space="0" w:color="auto"/>
                        <w:right w:val="none" w:sz="0" w:space="0" w:color="auto"/>
                      </w:divBdr>
                    </w:div>
                  </w:divsChild>
                </w:div>
                <w:div w:id="500313187">
                  <w:marLeft w:val="0"/>
                  <w:marRight w:val="0"/>
                  <w:marTop w:val="0"/>
                  <w:marBottom w:val="0"/>
                  <w:divBdr>
                    <w:top w:val="none" w:sz="0" w:space="0" w:color="auto"/>
                    <w:left w:val="none" w:sz="0" w:space="0" w:color="auto"/>
                    <w:bottom w:val="none" w:sz="0" w:space="0" w:color="auto"/>
                    <w:right w:val="none" w:sz="0" w:space="0" w:color="auto"/>
                  </w:divBdr>
                  <w:divsChild>
                    <w:div w:id="2129808273">
                      <w:marLeft w:val="0"/>
                      <w:marRight w:val="0"/>
                      <w:marTop w:val="0"/>
                      <w:marBottom w:val="0"/>
                      <w:divBdr>
                        <w:top w:val="none" w:sz="0" w:space="0" w:color="auto"/>
                        <w:left w:val="none" w:sz="0" w:space="0" w:color="auto"/>
                        <w:bottom w:val="none" w:sz="0" w:space="0" w:color="auto"/>
                        <w:right w:val="none" w:sz="0" w:space="0" w:color="auto"/>
                      </w:divBdr>
                    </w:div>
                  </w:divsChild>
                </w:div>
                <w:div w:id="516118474">
                  <w:marLeft w:val="0"/>
                  <w:marRight w:val="0"/>
                  <w:marTop w:val="0"/>
                  <w:marBottom w:val="0"/>
                  <w:divBdr>
                    <w:top w:val="none" w:sz="0" w:space="0" w:color="auto"/>
                    <w:left w:val="none" w:sz="0" w:space="0" w:color="auto"/>
                    <w:bottom w:val="none" w:sz="0" w:space="0" w:color="auto"/>
                    <w:right w:val="none" w:sz="0" w:space="0" w:color="auto"/>
                  </w:divBdr>
                  <w:divsChild>
                    <w:div w:id="1692560309">
                      <w:marLeft w:val="0"/>
                      <w:marRight w:val="0"/>
                      <w:marTop w:val="0"/>
                      <w:marBottom w:val="0"/>
                      <w:divBdr>
                        <w:top w:val="none" w:sz="0" w:space="0" w:color="auto"/>
                        <w:left w:val="none" w:sz="0" w:space="0" w:color="auto"/>
                        <w:bottom w:val="none" w:sz="0" w:space="0" w:color="auto"/>
                        <w:right w:val="none" w:sz="0" w:space="0" w:color="auto"/>
                      </w:divBdr>
                    </w:div>
                  </w:divsChild>
                </w:div>
                <w:div w:id="537470709">
                  <w:marLeft w:val="0"/>
                  <w:marRight w:val="0"/>
                  <w:marTop w:val="0"/>
                  <w:marBottom w:val="0"/>
                  <w:divBdr>
                    <w:top w:val="none" w:sz="0" w:space="0" w:color="auto"/>
                    <w:left w:val="none" w:sz="0" w:space="0" w:color="auto"/>
                    <w:bottom w:val="none" w:sz="0" w:space="0" w:color="auto"/>
                    <w:right w:val="none" w:sz="0" w:space="0" w:color="auto"/>
                  </w:divBdr>
                  <w:divsChild>
                    <w:div w:id="1860436733">
                      <w:marLeft w:val="0"/>
                      <w:marRight w:val="0"/>
                      <w:marTop w:val="0"/>
                      <w:marBottom w:val="0"/>
                      <w:divBdr>
                        <w:top w:val="none" w:sz="0" w:space="0" w:color="auto"/>
                        <w:left w:val="none" w:sz="0" w:space="0" w:color="auto"/>
                        <w:bottom w:val="none" w:sz="0" w:space="0" w:color="auto"/>
                        <w:right w:val="none" w:sz="0" w:space="0" w:color="auto"/>
                      </w:divBdr>
                    </w:div>
                  </w:divsChild>
                </w:div>
                <w:div w:id="554703631">
                  <w:marLeft w:val="0"/>
                  <w:marRight w:val="0"/>
                  <w:marTop w:val="0"/>
                  <w:marBottom w:val="0"/>
                  <w:divBdr>
                    <w:top w:val="none" w:sz="0" w:space="0" w:color="auto"/>
                    <w:left w:val="none" w:sz="0" w:space="0" w:color="auto"/>
                    <w:bottom w:val="none" w:sz="0" w:space="0" w:color="auto"/>
                    <w:right w:val="none" w:sz="0" w:space="0" w:color="auto"/>
                  </w:divBdr>
                  <w:divsChild>
                    <w:div w:id="75447945">
                      <w:marLeft w:val="0"/>
                      <w:marRight w:val="0"/>
                      <w:marTop w:val="0"/>
                      <w:marBottom w:val="0"/>
                      <w:divBdr>
                        <w:top w:val="none" w:sz="0" w:space="0" w:color="auto"/>
                        <w:left w:val="none" w:sz="0" w:space="0" w:color="auto"/>
                        <w:bottom w:val="none" w:sz="0" w:space="0" w:color="auto"/>
                        <w:right w:val="none" w:sz="0" w:space="0" w:color="auto"/>
                      </w:divBdr>
                    </w:div>
                  </w:divsChild>
                </w:div>
                <w:div w:id="562444609">
                  <w:marLeft w:val="0"/>
                  <w:marRight w:val="0"/>
                  <w:marTop w:val="0"/>
                  <w:marBottom w:val="0"/>
                  <w:divBdr>
                    <w:top w:val="none" w:sz="0" w:space="0" w:color="auto"/>
                    <w:left w:val="none" w:sz="0" w:space="0" w:color="auto"/>
                    <w:bottom w:val="none" w:sz="0" w:space="0" w:color="auto"/>
                    <w:right w:val="none" w:sz="0" w:space="0" w:color="auto"/>
                  </w:divBdr>
                  <w:divsChild>
                    <w:div w:id="1261723358">
                      <w:marLeft w:val="0"/>
                      <w:marRight w:val="0"/>
                      <w:marTop w:val="0"/>
                      <w:marBottom w:val="0"/>
                      <w:divBdr>
                        <w:top w:val="none" w:sz="0" w:space="0" w:color="auto"/>
                        <w:left w:val="none" w:sz="0" w:space="0" w:color="auto"/>
                        <w:bottom w:val="none" w:sz="0" w:space="0" w:color="auto"/>
                        <w:right w:val="none" w:sz="0" w:space="0" w:color="auto"/>
                      </w:divBdr>
                    </w:div>
                  </w:divsChild>
                </w:div>
                <w:div w:id="572131947">
                  <w:marLeft w:val="0"/>
                  <w:marRight w:val="0"/>
                  <w:marTop w:val="0"/>
                  <w:marBottom w:val="0"/>
                  <w:divBdr>
                    <w:top w:val="none" w:sz="0" w:space="0" w:color="auto"/>
                    <w:left w:val="none" w:sz="0" w:space="0" w:color="auto"/>
                    <w:bottom w:val="none" w:sz="0" w:space="0" w:color="auto"/>
                    <w:right w:val="none" w:sz="0" w:space="0" w:color="auto"/>
                  </w:divBdr>
                  <w:divsChild>
                    <w:div w:id="1873112126">
                      <w:marLeft w:val="0"/>
                      <w:marRight w:val="0"/>
                      <w:marTop w:val="0"/>
                      <w:marBottom w:val="0"/>
                      <w:divBdr>
                        <w:top w:val="none" w:sz="0" w:space="0" w:color="auto"/>
                        <w:left w:val="none" w:sz="0" w:space="0" w:color="auto"/>
                        <w:bottom w:val="none" w:sz="0" w:space="0" w:color="auto"/>
                        <w:right w:val="none" w:sz="0" w:space="0" w:color="auto"/>
                      </w:divBdr>
                    </w:div>
                  </w:divsChild>
                </w:div>
                <w:div w:id="574631471">
                  <w:marLeft w:val="0"/>
                  <w:marRight w:val="0"/>
                  <w:marTop w:val="0"/>
                  <w:marBottom w:val="0"/>
                  <w:divBdr>
                    <w:top w:val="none" w:sz="0" w:space="0" w:color="auto"/>
                    <w:left w:val="none" w:sz="0" w:space="0" w:color="auto"/>
                    <w:bottom w:val="none" w:sz="0" w:space="0" w:color="auto"/>
                    <w:right w:val="none" w:sz="0" w:space="0" w:color="auto"/>
                  </w:divBdr>
                  <w:divsChild>
                    <w:div w:id="523055725">
                      <w:marLeft w:val="0"/>
                      <w:marRight w:val="0"/>
                      <w:marTop w:val="0"/>
                      <w:marBottom w:val="0"/>
                      <w:divBdr>
                        <w:top w:val="none" w:sz="0" w:space="0" w:color="auto"/>
                        <w:left w:val="none" w:sz="0" w:space="0" w:color="auto"/>
                        <w:bottom w:val="none" w:sz="0" w:space="0" w:color="auto"/>
                        <w:right w:val="none" w:sz="0" w:space="0" w:color="auto"/>
                      </w:divBdr>
                    </w:div>
                  </w:divsChild>
                </w:div>
                <w:div w:id="589967209">
                  <w:marLeft w:val="0"/>
                  <w:marRight w:val="0"/>
                  <w:marTop w:val="0"/>
                  <w:marBottom w:val="0"/>
                  <w:divBdr>
                    <w:top w:val="none" w:sz="0" w:space="0" w:color="auto"/>
                    <w:left w:val="none" w:sz="0" w:space="0" w:color="auto"/>
                    <w:bottom w:val="none" w:sz="0" w:space="0" w:color="auto"/>
                    <w:right w:val="none" w:sz="0" w:space="0" w:color="auto"/>
                  </w:divBdr>
                  <w:divsChild>
                    <w:div w:id="692456807">
                      <w:marLeft w:val="0"/>
                      <w:marRight w:val="0"/>
                      <w:marTop w:val="0"/>
                      <w:marBottom w:val="0"/>
                      <w:divBdr>
                        <w:top w:val="none" w:sz="0" w:space="0" w:color="auto"/>
                        <w:left w:val="none" w:sz="0" w:space="0" w:color="auto"/>
                        <w:bottom w:val="none" w:sz="0" w:space="0" w:color="auto"/>
                        <w:right w:val="none" w:sz="0" w:space="0" w:color="auto"/>
                      </w:divBdr>
                    </w:div>
                  </w:divsChild>
                </w:div>
                <w:div w:id="596207771">
                  <w:marLeft w:val="0"/>
                  <w:marRight w:val="0"/>
                  <w:marTop w:val="0"/>
                  <w:marBottom w:val="0"/>
                  <w:divBdr>
                    <w:top w:val="none" w:sz="0" w:space="0" w:color="auto"/>
                    <w:left w:val="none" w:sz="0" w:space="0" w:color="auto"/>
                    <w:bottom w:val="none" w:sz="0" w:space="0" w:color="auto"/>
                    <w:right w:val="none" w:sz="0" w:space="0" w:color="auto"/>
                  </w:divBdr>
                  <w:divsChild>
                    <w:div w:id="526793269">
                      <w:marLeft w:val="0"/>
                      <w:marRight w:val="0"/>
                      <w:marTop w:val="0"/>
                      <w:marBottom w:val="0"/>
                      <w:divBdr>
                        <w:top w:val="none" w:sz="0" w:space="0" w:color="auto"/>
                        <w:left w:val="none" w:sz="0" w:space="0" w:color="auto"/>
                        <w:bottom w:val="none" w:sz="0" w:space="0" w:color="auto"/>
                        <w:right w:val="none" w:sz="0" w:space="0" w:color="auto"/>
                      </w:divBdr>
                    </w:div>
                  </w:divsChild>
                </w:div>
                <w:div w:id="610283612">
                  <w:marLeft w:val="0"/>
                  <w:marRight w:val="0"/>
                  <w:marTop w:val="0"/>
                  <w:marBottom w:val="0"/>
                  <w:divBdr>
                    <w:top w:val="none" w:sz="0" w:space="0" w:color="auto"/>
                    <w:left w:val="none" w:sz="0" w:space="0" w:color="auto"/>
                    <w:bottom w:val="none" w:sz="0" w:space="0" w:color="auto"/>
                    <w:right w:val="none" w:sz="0" w:space="0" w:color="auto"/>
                  </w:divBdr>
                  <w:divsChild>
                    <w:div w:id="1289819041">
                      <w:marLeft w:val="0"/>
                      <w:marRight w:val="0"/>
                      <w:marTop w:val="0"/>
                      <w:marBottom w:val="0"/>
                      <w:divBdr>
                        <w:top w:val="none" w:sz="0" w:space="0" w:color="auto"/>
                        <w:left w:val="none" w:sz="0" w:space="0" w:color="auto"/>
                        <w:bottom w:val="none" w:sz="0" w:space="0" w:color="auto"/>
                        <w:right w:val="none" w:sz="0" w:space="0" w:color="auto"/>
                      </w:divBdr>
                    </w:div>
                  </w:divsChild>
                </w:div>
                <w:div w:id="617491283">
                  <w:marLeft w:val="0"/>
                  <w:marRight w:val="0"/>
                  <w:marTop w:val="0"/>
                  <w:marBottom w:val="0"/>
                  <w:divBdr>
                    <w:top w:val="none" w:sz="0" w:space="0" w:color="auto"/>
                    <w:left w:val="none" w:sz="0" w:space="0" w:color="auto"/>
                    <w:bottom w:val="none" w:sz="0" w:space="0" w:color="auto"/>
                    <w:right w:val="none" w:sz="0" w:space="0" w:color="auto"/>
                  </w:divBdr>
                  <w:divsChild>
                    <w:div w:id="206837539">
                      <w:marLeft w:val="0"/>
                      <w:marRight w:val="0"/>
                      <w:marTop w:val="0"/>
                      <w:marBottom w:val="0"/>
                      <w:divBdr>
                        <w:top w:val="none" w:sz="0" w:space="0" w:color="auto"/>
                        <w:left w:val="none" w:sz="0" w:space="0" w:color="auto"/>
                        <w:bottom w:val="none" w:sz="0" w:space="0" w:color="auto"/>
                        <w:right w:val="none" w:sz="0" w:space="0" w:color="auto"/>
                      </w:divBdr>
                    </w:div>
                  </w:divsChild>
                </w:div>
                <w:div w:id="684986994">
                  <w:marLeft w:val="0"/>
                  <w:marRight w:val="0"/>
                  <w:marTop w:val="0"/>
                  <w:marBottom w:val="0"/>
                  <w:divBdr>
                    <w:top w:val="none" w:sz="0" w:space="0" w:color="auto"/>
                    <w:left w:val="none" w:sz="0" w:space="0" w:color="auto"/>
                    <w:bottom w:val="none" w:sz="0" w:space="0" w:color="auto"/>
                    <w:right w:val="none" w:sz="0" w:space="0" w:color="auto"/>
                  </w:divBdr>
                  <w:divsChild>
                    <w:div w:id="364718281">
                      <w:marLeft w:val="0"/>
                      <w:marRight w:val="0"/>
                      <w:marTop w:val="0"/>
                      <w:marBottom w:val="0"/>
                      <w:divBdr>
                        <w:top w:val="none" w:sz="0" w:space="0" w:color="auto"/>
                        <w:left w:val="none" w:sz="0" w:space="0" w:color="auto"/>
                        <w:bottom w:val="none" w:sz="0" w:space="0" w:color="auto"/>
                        <w:right w:val="none" w:sz="0" w:space="0" w:color="auto"/>
                      </w:divBdr>
                    </w:div>
                  </w:divsChild>
                </w:div>
                <w:div w:id="717513918">
                  <w:marLeft w:val="0"/>
                  <w:marRight w:val="0"/>
                  <w:marTop w:val="0"/>
                  <w:marBottom w:val="0"/>
                  <w:divBdr>
                    <w:top w:val="none" w:sz="0" w:space="0" w:color="auto"/>
                    <w:left w:val="none" w:sz="0" w:space="0" w:color="auto"/>
                    <w:bottom w:val="none" w:sz="0" w:space="0" w:color="auto"/>
                    <w:right w:val="none" w:sz="0" w:space="0" w:color="auto"/>
                  </w:divBdr>
                  <w:divsChild>
                    <w:div w:id="1320692406">
                      <w:marLeft w:val="0"/>
                      <w:marRight w:val="0"/>
                      <w:marTop w:val="0"/>
                      <w:marBottom w:val="0"/>
                      <w:divBdr>
                        <w:top w:val="none" w:sz="0" w:space="0" w:color="auto"/>
                        <w:left w:val="none" w:sz="0" w:space="0" w:color="auto"/>
                        <w:bottom w:val="none" w:sz="0" w:space="0" w:color="auto"/>
                        <w:right w:val="none" w:sz="0" w:space="0" w:color="auto"/>
                      </w:divBdr>
                    </w:div>
                  </w:divsChild>
                </w:div>
                <w:div w:id="721755140">
                  <w:marLeft w:val="0"/>
                  <w:marRight w:val="0"/>
                  <w:marTop w:val="0"/>
                  <w:marBottom w:val="0"/>
                  <w:divBdr>
                    <w:top w:val="none" w:sz="0" w:space="0" w:color="auto"/>
                    <w:left w:val="none" w:sz="0" w:space="0" w:color="auto"/>
                    <w:bottom w:val="none" w:sz="0" w:space="0" w:color="auto"/>
                    <w:right w:val="none" w:sz="0" w:space="0" w:color="auto"/>
                  </w:divBdr>
                  <w:divsChild>
                    <w:div w:id="1160999244">
                      <w:marLeft w:val="0"/>
                      <w:marRight w:val="0"/>
                      <w:marTop w:val="0"/>
                      <w:marBottom w:val="0"/>
                      <w:divBdr>
                        <w:top w:val="none" w:sz="0" w:space="0" w:color="auto"/>
                        <w:left w:val="none" w:sz="0" w:space="0" w:color="auto"/>
                        <w:bottom w:val="none" w:sz="0" w:space="0" w:color="auto"/>
                        <w:right w:val="none" w:sz="0" w:space="0" w:color="auto"/>
                      </w:divBdr>
                    </w:div>
                  </w:divsChild>
                </w:div>
                <w:div w:id="733821457">
                  <w:marLeft w:val="0"/>
                  <w:marRight w:val="0"/>
                  <w:marTop w:val="0"/>
                  <w:marBottom w:val="0"/>
                  <w:divBdr>
                    <w:top w:val="none" w:sz="0" w:space="0" w:color="auto"/>
                    <w:left w:val="none" w:sz="0" w:space="0" w:color="auto"/>
                    <w:bottom w:val="none" w:sz="0" w:space="0" w:color="auto"/>
                    <w:right w:val="none" w:sz="0" w:space="0" w:color="auto"/>
                  </w:divBdr>
                  <w:divsChild>
                    <w:div w:id="1861117216">
                      <w:marLeft w:val="0"/>
                      <w:marRight w:val="0"/>
                      <w:marTop w:val="0"/>
                      <w:marBottom w:val="0"/>
                      <w:divBdr>
                        <w:top w:val="none" w:sz="0" w:space="0" w:color="auto"/>
                        <w:left w:val="none" w:sz="0" w:space="0" w:color="auto"/>
                        <w:bottom w:val="none" w:sz="0" w:space="0" w:color="auto"/>
                        <w:right w:val="none" w:sz="0" w:space="0" w:color="auto"/>
                      </w:divBdr>
                    </w:div>
                  </w:divsChild>
                </w:div>
                <w:div w:id="747269980">
                  <w:marLeft w:val="0"/>
                  <w:marRight w:val="0"/>
                  <w:marTop w:val="0"/>
                  <w:marBottom w:val="0"/>
                  <w:divBdr>
                    <w:top w:val="none" w:sz="0" w:space="0" w:color="auto"/>
                    <w:left w:val="none" w:sz="0" w:space="0" w:color="auto"/>
                    <w:bottom w:val="none" w:sz="0" w:space="0" w:color="auto"/>
                    <w:right w:val="none" w:sz="0" w:space="0" w:color="auto"/>
                  </w:divBdr>
                  <w:divsChild>
                    <w:div w:id="1112935836">
                      <w:marLeft w:val="0"/>
                      <w:marRight w:val="0"/>
                      <w:marTop w:val="0"/>
                      <w:marBottom w:val="0"/>
                      <w:divBdr>
                        <w:top w:val="none" w:sz="0" w:space="0" w:color="auto"/>
                        <w:left w:val="none" w:sz="0" w:space="0" w:color="auto"/>
                        <w:bottom w:val="none" w:sz="0" w:space="0" w:color="auto"/>
                        <w:right w:val="none" w:sz="0" w:space="0" w:color="auto"/>
                      </w:divBdr>
                    </w:div>
                  </w:divsChild>
                </w:div>
                <w:div w:id="747457401">
                  <w:marLeft w:val="0"/>
                  <w:marRight w:val="0"/>
                  <w:marTop w:val="0"/>
                  <w:marBottom w:val="0"/>
                  <w:divBdr>
                    <w:top w:val="none" w:sz="0" w:space="0" w:color="auto"/>
                    <w:left w:val="none" w:sz="0" w:space="0" w:color="auto"/>
                    <w:bottom w:val="none" w:sz="0" w:space="0" w:color="auto"/>
                    <w:right w:val="none" w:sz="0" w:space="0" w:color="auto"/>
                  </w:divBdr>
                  <w:divsChild>
                    <w:div w:id="1211847567">
                      <w:marLeft w:val="0"/>
                      <w:marRight w:val="0"/>
                      <w:marTop w:val="0"/>
                      <w:marBottom w:val="0"/>
                      <w:divBdr>
                        <w:top w:val="none" w:sz="0" w:space="0" w:color="auto"/>
                        <w:left w:val="none" w:sz="0" w:space="0" w:color="auto"/>
                        <w:bottom w:val="none" w:sz="0" w:space="0" w:color="auto"/>
                        <w:right w:val="none" w:sz="0" w:space="0" w:color="auto"/>
                      </w:divBdr>
                    </w:div>
                  </w:divsChild>
                </w:div>
                <w:div w:id="779494487">
                  <w:marLeft w:val="0"/>
                  <w:marRight w:val="0"/>
                  <w:marTop w:val="0"/>
                  <w:marBottom w:val="0"/>
                  <w:divBdr>
                    <w:top w:val="none" w:sz="0" w:space="0" w:color="auto"/>
                    <w:left w:val="none" w:sz="0" w:space="0" w:color="auto"/>
                    <w:bottom w:val="none" w:sz="0" w:space="0" w:color="auto"/>
                    <w:right w:val="none" w:sz="0" w:space="0" w:color="auto"/>
                  </w:divBdr>
                  <w:divsChild>
                    <w:div w:id="375129196">
                      <w:marLeft w:val="0"/>
                      <w:marRight w:val="0"/>
                      <w:marTop w:val="0"/>
                      <w:marBottom w:val="0"/>
                      <w:divBdr>
                        <w:top w:val="none" w:sz="0" w:space="0" w:color="auto"/>
                        <w:left w:val="none" w:sz="0" w:space="0" w:color="auto"/>
                        <w:bottom w:val="none" w:sz="0" w:space="0" w:color="auto"/>
                        <w:right w:val="none" w:sz="0" w:space="0" w:color="auto"/>
                      </w:divBdr>
                    </w:div>
                  </w:divsChild>
                </w:div>
                <w:div w:id="780491282">
                  <w:marLeft w:val="0"/>
                  <w:marRight w:val="0"/>
                  <w:marTop w:val="0"/>
                  <w:marBottom w:val="0"/>
                  <w:divBdr>
                    <w:top w:val="none" w:sz="0" w:space="0" w:color="auto"/>
                    <w:left w:val="none" w:sz="0" w:space="0" w:color="auto"/>
                    <w:bottom w:val="none" w:sz="0" w:space="0" w:color="auto"/>
                    <w:right w:val="none" w:sz="0" w:space="0" w:color="auto"/>
                  </w:divBdr>
                  <w:divsChild>
                    <w:div w:id="876158612">
                      <w:marLeft w:val="0"/>
                      <w:marRight w:val="0"/>
                      <w:marTop w:val="0"/>
                      <w:marBottom w:val="0"/>
                      <w:divBdr>
                        <w:top w:val="none" w:sz="0" w:space="0" w:color="auto"/>
                        <w:left w:val="none" w:sz="0" w:space="0" w:color="auto"/>
                        <w:bottom w:val="none" w:sz="0" w:space="0" w:color="auto"/>
                        <w:right w:val="none" w:sz="0" w:space="0" w:color="auto"/>
                      </w:divBdr>
                    </w:div>
                  </w:divsChild>
                </w:div>
                <w:div w:id="800925956">
                  <w:marLeft w:val="0"/>
                  <w:marRight w:val="0"/>
                  <w:marTop w:val="0"/>
                  <w:marBottom w:val="0"/>
                  <w:divBdr>
                    <w:top w:val="none" w:sz="0" w:space="0" w:color="auto"/>
                    <w:left w:val="none" w:sz="0" w:space="0" w:color="auto"/>
                    <w:bottom w:val="none" w:sz="0" w:space="0" w:color="auto"/>
                    <w:right w:val="none" w:sz="0" w:space="0" w:color="auto"/>
                  </w:divBdr>
                  <w:divsChild>
                    <w:div w:id="239752272">
                      <w:marLeft w:val="0"/>
                      <w:marRight w:val="0"/>
                      <w:marTop w:val="0"/>
                      <w:marBottom w:val="0"/>
                      <w:divBdr>
                        <w:top w:val="none" w:sz="0" w:space="0" w:color="auto"/>
                        <w:left w:val="none" w:sz="0" w:space="0" w:color="auto"/>
                        <w:bottom w:val="none" w:sz="0" w:space="0" w:color="auto"/>
                        <w:right w:val="none" w:sz="0" w:space="0" w:color="auto"/>
                      </w:divBdr>
                    </w:div>
                  </w:divsChild>
                </w:div>
                <w:div w:id="802775567">
                  <w:marLeft w:val="0"/>
                  <w:marRight w:val="0"/>
                  <w:marTop w:val="0"/>
                  <w:marBottom w:val="0"/>
                  <w:divBdr>
                    <w:top w:val="none" w:sz="0" w:space="0" w:color="auto"/>
                    <w:left w:val="none" w:sz="0" w:space="0" w:color="auto"/>
                    <w:bottom w:val="none" w:sz="0" w:space="0" w:color="auto"/>
                    <w:right w:val="none" w:sz="0" w:space="0" w:color="auto"/>
                  </w:divBdr>
                  <w:divsChild>
                    <w:div w:id="264197300">
                      <w:marLeft w:val="0"/>
                      <w:marRight w:val="0"/>
                      <w:marTop w:val="0"/>
                      <w:marBottom w:val="0"/>
                      <w:divBdr>
                        <w:top w:val="none" w:sz="0" w:space="0" w:color="auto"/>
                        <w:left w:val="none" w:sz="0" w:space="0" w:color="auto"/>
                        <w:bottom w:val="none" w:sz="0" w:space="0" w:color="auto"/>
                        <w:right w:val="none" w:sz="0" w:space="0" w:color="auto"/>
                      </w:divBdr>
                    </w:div>
                  </w:divsChild>
                </w:div>
                <w:div w:id="810824145">
                  <w:marLeft w:val="0"/>
                  <w:marRight w:val="0"/>
                  <w:marTop w:val="0"/>
                  <w:marBottom w:val="0"/>
                  <w:divBdr>
                    <w:top w:val="none" w:sz="0" w:space="0" w:color="auto"/>
                    <w:left w:val="none" w:sz="0" w:space="0" w:color="auto"/>
                    <w:bottom w:val="none" w:sz="0" w:space="0" w:color="auto"/>
                    <w:right w:val="none" w:sz="0" w:space="0" w:color="auto"/>
                  </w:divBdr>
                  <w:divsChild>
                    <w:div w:id="925499473">
                      <w:marLeft w:val="0"/>
                      <w:marRight w:val="0"/>
                      <w:marTop w:val="0"/>
                      <w:marBottom w:val="0"/>
                      <w:divBdr>
                        <w:top w:val="none" w:sz="0" w:space="0" w:color="auto"/>
                        <w:left w:val="none" w:sz="0" w:space="0" w:color="auto"/>
                        <w:bottom w:val="none" w:sz="0" w:space="0" w:color="auto"/>
                        <w:right w:val="none" w:sz="0" w:space="0" w:color="auto"/>
                      </w:divBdr>
                    </w:div>
                  </w:divsChild>
                </w:div>
                <w:div w:id="821047102">
                  <w:marLeft w:val="0"/>
                  <w:marRight w:val="0"/>
                  <w:marTop w:val="0"/>
                  <w:marBottom w:val="0"/>
                  <w:divBdr>
                    <w:top w:val="none" w:sz="0" w:space="0" w:color="auto"/>
                    <w:left w:val="none" w:sz="0" w:space="0" w:color="auto"/>
                    <w:bottom w:val="none" w:sz="0" w:space="0" w:color="auto"/>
                    <w:right w:val="none" w:sz="0" w:space="0" w:color="auto"/>
                  </w:divBdr>
                  <w:divsChild>
                    <w:div w:id="1631863570">
                      <w:marLeft w:val="0"/>
                      <w:marRight w:val="0"/>
                      <w:marTop w:val="0"/>
                      <w:marBottom w:val="0"/>
                      <w:divBdr>
                        <w:top w:val="none" w:sz="0" w:space="0" w:color="auto"/>
                        <w:left w:val="none" w:sz="0" w:space="0" w:color="auto"/>
                        <w:bottom w:val="none" w:sz="0" w:space="0" w:color="auto"/>
                        <w:right w:val="none" w:sz="0" w:space="0" w:color="auto"/>
                      </w:divBdr>
                    </w:div>
                  </w:divsChild>
                </w:div>
                <w:div w:id="867136965">
                  <w:marLeft w:val="0"/>
                  <w:marRight w:val="0"/>
                  <w:marTop w:val="0"/>
                  <w:marBottom w:val="0"/>
                  <w:divBdr>
                    <w:top w:val="none" w:sz="0" w:space="0" w:color="auto"/>
                    <w:left w:val="none" w:sz="0" w:space="0" w:color="auto"/>
                    <w:bottom w:val="none" w:sz="0" w:space="0" w:color="auto"/>
                    <w:right w:val="none" w:sz="0" w:space="0" w:color="auto"/>
                  </w:divBdr>
                  <w:divsChild>
                    <w:div w:id="272713704">
                      <w:marLeft w:val="0"/>
                      <w:marRight w:val="0"/>
                      <w:marTop w:val="0"/>
                      <w:marBottom w:val="0"/>
                      <w:divBdr>
                        <w:top w:val="none" w:sz="0" w:space="0" w:color="auto"/>
                        <w:left w:val="none" w:sz="0" w:space="0" w:color="auto"/>
                        <w:bottom w:val="none" w:sz="0" w:space="0" w:color="auto"/>
                        <w:right w:val="none" w:sz="0" w:space="0" w:color="auto"/>
                      </w:divBdr>
                    </w:div>
                  </w:divsChild>
                </w:div>
                <w:div w:id="872305333">
                  <w:marLeft w:val="0"/>
                  <w:marRight w:val="0"/>
                  <w:marTop w:val="0"/>
                  <w:marBottom w:val="0"/>
                  <w:divBdr>
                    <w:top w:val="none" w:sz="0" w:space="0" w:color="auto"/>
                    <w:left w:val="none" w:sz="0" w:space="0" w:color="auto"/>
                    <w:bottom w:val="none" w:sz="0" w:space="0" w:color="auto"/>
                    <w:right w:val="none" w:sz="0" w:space="0" w:color="auto"/>
                  </w:divBdr>
                  <w:divsChild>
                    <w:div w:id="715666757">
                      <w:marLeft w:val="0"/>
                      <w:marRight w:val="0"/>
                      <w:marTop w:val="0"/>
                      <w:marBottom w:val="0"/>
                      <w:divBdr>
                        <w:top w:val="none" w:sz="0" w:space="0" w:color="auto"/>
                        <w:left w:val="none" w:sz="0" w:space="0" w:color="auto"/>
                        <w:bottom w:val="none" w:sz="0" w:space="0" w:color="auto"/>
                        <w:right w:val="none" w:sz="0" w:space="0" w:color="auto"/>
                      </w:divBdr>
                    </w:div>
                  </w:divsChild>
                </w:div>
                <w:div w:id="894589554">
                  <w:marLeft w:val="0"/>
                  <w:marRight w:val="0"/>
                  <w:marTop w:val="0"/>
                  <w:marBottom w:val="0"/>
                  <w:divBdr>
                    <w:top w:val="none" w:sz="0" w:space="0" w:color="auto"/>
                    <w:left w:val="none" w:sz="0" w:space="0" w:color="auto"/>
                    <w:bottom w:val="none" w:sz="0" w:space="0" w:color="auto"/>
                    <w:right w:val="none" w:sz="0" w:space="0" w:color="auto"/>
                  </w:divBdr>
                  <w:divsChild>
                    <w:div w:id="686103498">
                      <w:marLeft w:val="0"/>
                      <w:marRight w:val="0"/>
                      <w:marTop w:val="0"/>
                      <w:marBottom w:val="0"/>
                      <w:divBdr>
                        <w:top w:val="none" w:sz="0" w:space="0" w:color="auto"/>
                        <w:left w:val="none" w:sz="0" w:space="0" w:color="auto"/>
                        <w:bottom w:val="none" w:sz="0" w:space="0" w:color="auto"/>
                        <w:right w:val="none" w:sz="0" w:space="0" w:color="auto"/>
                      </w:divBdr>
                    </w:div>
                  </w:divsChild>
                </w:div>
                <w:div w:id="905458677">
                  <w:marLeft w:val="0"/>
                  <w:marRight w:val="0"/>
                  <w:marTop w:val="0"/>
                  <w:marBottom w:val="0"/>
                  <w:divBdr>
                    <w:top w:val="none" w:sz="0" w:space="0" w:color="auto"/>
                    <w:left w:val="none" w:sz="0" w:space="0" w:color="auto"/>
                    <w:bottom w:val="none" w:sz="0" w:space="0" w:color="auto"/>
                    <w:right w:val="none" w:sz="0" w:space="0" w:color="auto"/>
                  </w:divBdr>
                  <w:divsChild>
                    <w:div w:id="79182960">
                      <w:marLeft w:val="0"/>
                      <w:marRight w:val="0"/>
                      <w:marTop w:val="0"/>
                      <w:marBottom w:val="0"/>
                      <w:divBdr>
                        <w:top w:val="none" w:sz="0" w:space="0" w:color="auto"/>
                        <w:left w:val="none" w:sz="0" w:space="0" w:color="auto"/>
                        <w:bottom w:val="none" w:sz="0" w:space="0" w:color="auto"/>
                        <w:right w:val="none" w:sz="0" w:space="0" w:color="auto"/>
                      </w:divBdr>
                    </w:div>
                  </w:divsChild>
                </w:div>
                <w:div w:id="909341079">
                  <w:marLeft w:val="0"/>
                  <w:marRight w:val="0"/>
                  <w:marTop w:val="0"/>
                  <w:marBottom w:val="0"/>
                  <w:divBdr>
                    <w:top w:val="none" w:sz="0" w:space="0" w:color="auto"/>
                    <w:left w:val="none" w:sz="0" w:space="0" w:color="auto"/>
                    <w:bottom w:val="none" w:sz="0" w:space="0" w:color="auto"/>
                    <w:right w:val="none" w:sz="0" w:space="0" w:color="auto"/>
                  </w:divBdr>
                  <w:divsChild>
                    <w:div w:id="679309381">
                      <w:marLeft w:val="0"/>
                      <w:marRight w:val="0"/>
                      <w:marTop w:val="0"/>
                      <w:marBottom w:val="0"/>
                      <w:divBdr>
                        <w:top w:val="none" w:sz="0" w:space="0" w:color="auto"/>
                        <w:left w:val="none" w:sz="0" w:space="0" w:color="auto"/>
                        <w:bottom w:val="none" w:sz="0" w:space="0" w:color="auto"/>
                        <w:right w:val="none" w:sz="0" w:space="0" w:color="auto"/>
                      </w:divBdr>
                    </w:div>
                  </w:divsChild>
                </w:div>
                <w:div w:id="915363878">
                  <w:marLeft w:val="0"/>
                  <w:marRight w:val="0"/>
                  <w:marTop w:val="0"/>
                  <w:marBottom w:val="0"/>
                  <w:divBdr>
                    <w:top w:val="none" w:sz="0" w:space="0" w:color="auto"/>
                    <w:left w:val="none" w:sz="0" w:space="0" w:color="auto"/>
                    <w:bottom w:val="none" w:sz="0" w:space="0" w:color="auto"/>
                    <w:right w:val="none" w:sz="0" w:space="0" w:color="auto"/>
                  </w:divBdr>
                  <w:divsChild>
                    <w:div w:id="827092781">
                      <w:marLeft w:val="0"/>
                      <w:marRight w:val="0"/>
                      <w:marTop w:val="0"/>
                      <w:marBottom w:val="0"/>
                      <w:divBdr>
                        <w:top w:val="none" w:sz="0" w:space="0" w:color="auto"/>
                        <w:left w:val="none" w:sz="0" w:space="0" w:color="auto"/>
                        <w:bottom w:val="none" w:sz="0" w:space="0" w:color="auto"/>
                        <w:right w:val="none" w:sz="0" w:space="0" w:color="auto"/>
                      </w:divBdr>
                    </w:div>
                  </w:divsChild>
                </w:div>
                <w:div w:id="917207519">
                  <w:marLeft w:val="0"/>
                  <w:marRight w:val="0"/>
                  <w:marTop w:val="0"/>
                  <w:marBottom w:val="0"/>
                  <w:divBdr>
                    <w:top w:val="none" w:sz="0" w:space="0" w:color="auto"/>
                    <w:left w:val="none" w:sz="0" w:space="0" w:color="auto"/>
                    <w:bottom w:val="none" w:sz="0" w:space="0" w:color="auto"/>
                    <w:right w:val="none" w:sz="0" w:space="0" w:color="auto"/>
                  </w:divBdr>
                  <w:divsChild>
                    <w:div w:id="548297225">
                      <w:marLeft w:val="0"/>
                      <w:marRight w:val="0"/>
                      <w:marTop w:val="0"/>
                      <w:marBottom w:val="0"/>
                      <w:divBdr>
                        <w:top w:val="none" w:sz="0" w:space="0" w:color="auto"/>
                        <w:left w:val="none" w:sz="0" w:space="0" w:color="auto"/>
                        <w:bottom w:val="none" w:sz="0" w:space="0" w:color="auto"/>
                        <w:right w:val="none" w:sz="0" w:space="0" w:color="auto"/>
                      </w:divBdr>
                    </w:div>
                  </w:divsChild>
                </w:div>
                <w:div w:id="921835666">
                  <w:marLeft w:val="0"/>
                  <w:marRight w:val="0"/>
                  <w:marTop w:val="0"/>
                  <w:marBottom w:val="0"/>
                  <w:divBdr>
                    <w:top w:val="none" w:sz="0" w:space="0" w:color="auto"/>
                    <w:left w:val="none" w:sz="0" w:space="0" w:color="auto"/>
                    <w:bottom w:val="none" w:sz="0" w:space="0" w:color="auto"/>
                    <w:right w:val="none" w:sz="0" w:space="0" w:color="auto"/>
                  </w:divBdr>
                  <w:divsChild>
                    <w:div w:id="1006370957">
                      <w:marLeft w:val="0"/>
                      <w:marRight w:val="0"/>
                      <w:marTop w:val="0"/>
                      <w:marBottom w:val="0"/>
                      <w:divBdr>
                        <w:top w:val="none" w:sz="0" w:space="0" w:color="auto"/>
                        <w:left w:val="none" w:sz="0" w:space="0" w:color="auto"/>
                        <w:bottom w:val="none" w:sz="0" w:space="0" w:color="auto"/>
                        <w:right w:val="none" w:sz="0" w:space="0" w:color="auto"/>
                      </w:divBdr>
                    </w:div>
                  </w:divsChild>
                </w:div>
                <w:div w:id="1023822041">
                  <w:marLeft w:val="0"/>
                  <w:marRight w:val="0"/>
                  <w:marTop w:val="0"/>
                  <w:marBottom w:val="0"/>
                  <w:divBdr>
                    <w:top w:val="none" w:sz="0" w:space="0" w:color="auto"/>
                    <w:left w:val="none" w:sz="0" w:space="0" w:color="auto"/>
                    <w:bottom w:val="none" w:sz="0" w:space="0" w:color="auto"/>
                    <w:right w:val="none" w:sz="0" w:space="0" w:color="auto"/>
                  </w:divBdr>
                  <w:divsChild>
                    <w:div w:id="1008017769">
                      <w:marLeft w:val="0"/>
                      <w:marRight w:val="0"/>
                      <w:marTop w:val="0"/>
                      <w:marBottom w:val="0"/>
                      <w:divBdr>
                        <w:top w:val="none" w:sz="0" w:space="0" w:color="auto"/>
                        <w:left w:val="none" w:sz="0" w:space="0" w:color="auto"/>
                        <w:bottom w:val="none" w:sz="0" w:space="0" w:color="auto"/>
                        <w:right w:val="none" w:sz="0" w:space="0" w:color="auto"/>
                      </w:divBdr>
                    </w:div>
                  </w:divsChild>
                </w:div>
                <w:div w:id="1024019064">
                  <w:marLeft w:val="0"/>
                  <w:marRight w:val="0"/>
                  <w:marTop w:val="0"/>
                  <w:marBottom w:val="0"/>
                  <w:divBdr>
                    <w:top w:val="none" w:sz="0" w:space="0" w:color="auto"/>
                    <w:left w:val="none" w:sz="0" w:space="0" w:color="auto"/>
                    <w:bottom w:val="none" w:sz="0" w:space="0" w:color="auto"/>
                    <w:right w:val="none" w:sz="0" w:space="0" w:color="auto"/>
                  </w:divBdr>
                  <w:divsChild>
                    <w:div w:id="1484615649">
                      <w:marLeft w:val="0"/>
                      <w:marRight w:val="0"/>
                      <w:marTop w:val="0"/>
                      <w:marBottom w:val="0"/>
                      <w:divBdr>
                        <w:top w:val="none" w:sz="0" w:space="0" w:color="auto"/>
                        <w:left w:val="none" w:sz="0" w:space="0" w:color="auto"/>
                        <w:bottom w:val="none" w:sz="0" w:space="0" w:color="auto"/>
                        <w:right w:val="none" w:sz="0" w:space="0" w:color="auto"/>
                      </w:divBdr>
                    </w:div>
                  </w:divsChild>
                </w:div>
                <w:div w:id="1029063964">
                  <w:marLeft w:val="0"/>
                  <w:marRight w:val="0"/>
                  <w:marTop w:val="0"/>
                  <w:marBottom w:val="0"/>
                  <w:divBdr>
                    <w:top w:val="none" w:sz="0" w:space="0" w:color="auto"/>
                    <w:left w:val="none" w:sz="0" w:space="0" w:color="auto"/>
                    <w:bottom w:val="none" w:sz="0" w:space="0" w:color="auto"/>
                    <w:right w:val="none" w:sz="0" w:space="0" w:color="auto"/>
                  </w:divBdr>
                  <w:divsChild>
                    <w:div w:id="1467503747">
                      <w:marLeft w:val="0"/>
                      <w:marRight w:val="0"/>
                      <w:marTop w:val="0"/>
                      <w:marBottom w:val="0"/>
                      <w:divBdr>
                        <w:top w:val="none" w:sz="0" w:space="0" w:color="auto"/>
                        <w:left w:val="none" w:sz="0" w:space="0" w:color="auto"/>
                        <w:bottom w:val="none" w:sz="0" w:space="0" w:color="auto"/>
                        <w:right w:val="none" w:sz="0" w:space="0" w:color="auto"/>
                      </w:divBdr>
                    </w:div>
                  </w:divsChild>
                </w:div>
                <w:div w:id="1055851869">
                  <w:marLeft w:val="0"/>
                  <w:marRight w:val="0"/>
                  <w:marTop w:val="0"/>
                  <w:marBottom w:val="0"/>
                  <w:divBdr>
                    <w:top w:val="none" w:sz="0" w:space="0" w:color="auto"/>
                    <w:left w:val="none" w:sz="0" w:space="0" w:color="auto"/>
                    <w:bottom w:val="none" w:sz="0" w:space="0" w:color="auto"/>
                    <w:right w:val="none" w:sz="0" w:space="0" w:color="auto"/>
                  </w:divBdr>
                  <w:divsChild>
                    <w:div w:id="1683358168">
                      <w:marLeft w:val="0"/>
                      <w:marRight w:val="0"/>
                      <w:marTop w:val="0"/>
                      <w:marBottom w:val="0"/>
                      <w:divBdr>
                        <w:top w:val="none" w:sz="0" w:space="0" w:color="auto"/>
                        <w:left w:val="none" w:sz="0" w:space="0" w:color="auto"/>
                        <w:bottom w:val="none" w:sz="0" w:space="0" w:color="auto"/>
                        <w:right w:val="none" w:sz="0" w:space="0" w:color="auto"/>
                      </w:divBdr>
                    </w:div>
                  </w:divsChild>
                </w:div>
                <w:div w:id="1066493023">
                  <w:marLeft w:val="0"/>
                  <w:marRight w:val="0"/>
                  <w:marTop w:val="0"/>
                  <w:marBottom w:val="0"/>
                  <w:divBdr>
                    <w:top w:val="none" w:sz="0" w:space="0" w:color="auto"/>
                    <w:left w:val="none" w:sz="0" w:space="0" w:color="auto"/>
                    <w:bottom w:val="none" w:sz="0" w:space="0" w:color="auto"/>
                    <w:right w:val="none" w:sz="0" w:space="0" w:color="auto"/>
                  </w:divBdr>
                  <w:divsChild>
                    <w:div w:id="1411581213">
                      <w:marLeft w:val="0"/>
                      <w:marRight w:val="0"/>
                      <w:marTop w:val="0"/>
                      <w:marBottom w:val="0"/>
                      <w:divBdr>
                        <w:top w:val="none" w:sz="0" w:space="0" w:color="auto"/>
                        <w:left w:val="none" w:sz="0" w:space="0" w:color="auto"/>
                        <w:bottom w:val="none" w:sz="0" w:space="0" w:color="auto"/>
                        <w:right w:val="none" w:sz="0" w:space="0" w:color="auto"/>
                      </w:divBdr>
                    </w:div>
                  </w:divsChild>
                </w:div>
                <w:div w:id="1069960861">
                  <w:marLeft w:val="0"/>
                  <w:marRight w:val="0"/>
                  <w:marTop w:val="0"/>
                  <w:marBottom w:val="0"/>
                  <w:divBdr>
                    <w:top w:val="none" w:sz="0" w:space="0" w:color="auto"/>
                    <w:left w:val="none" w:sz="0" w:space="0" w:color="auto"/>
                    <w:bottom w:val="none" w:sz="0" w:space="0" w:color="auto"/>
                    <w:right w:val="none" w:sz="0" w:space="0" w:color="auto"/>
                  </w:divBdr>
                  <w:divsChild>
                    <w:div w:id="1723869182">
                      <w:marLeft w:val="0"/>
                      <w:marRight w:val="0"/>
                      <w:marTop w:val="0"/>
                      <w:marBottom w:val="0"/>
                      <w:divBdr>
                        <w:top w:val="none" w:sz="0" w:space="0" w:color="auto"/>
                        <w:left w:val="none" w:sz="0" w:space="0" w:color="auto"/>
                        <w:bottom w:val="none" w:sz="0" w:space="0" w:color="auto"/>
                        <w:right w:val="none" w:sz="0" w:space="0" w:color="auto"/>
                      </w:divBdr>
                    </w:div>
                  </w:divsChild>
                </w:div>
                <w:div w:id="1073696794">
                  <w:marLeft w:val="0"/>
                  <w:marRight w:val="0"/>
                  <w:marTop w:val="0"/>
                  <w:marBottom w:val="0"/>
                  <w:divBdr>
                    <w:top w:val="none" w:sz="0" w:space="0" w:color="auto"/>
                    <w:left w:val="none" w:sz="0" w:space="0" w:color="auto"/>
                    <w:bottom w:val="none" w:sz="0" w:space="0" w:color="auto"/>
                    <w:right w:val="none" w:sz="0" w:space="0" w:color="auto"/>
                  </w:divBdr>
                  <w:divsChild>
                    <w:div w:id="235359289">
                      <w:marLeft w:val="0"/>
                      <w:marRight w:val="0"/>
                      <w:marTop w:val="0"/>
                      <w:marBottom w:val="0"/>
                      <w:divBdr>
                        <w:top w:val="none" w:sz="0" w:space="0" w:color="auto"/>
                        <w:left w:val="none" w:sz="0" w:space="0" w:color="auto"/>
                        <w:bottom w:val="none" w:sz="0" w:space="0" w:color="auto"/>
                        <w:right w:val="none" w:sz="0" w:space="0" w:color="auto"/>
                      </w:divBdr>
                    </w:div>
                  </w:divsChild>
                </w:div>
                <w:div w:id="1104106369">
                  <w:marLeft w:val="0"/>
                  <w:marRight w:val="0"/>
                  <w:marTop w:val="0"/>
                  <w:marBottom w:val="0"/>
                  <w:divBdr>
                    <w:top w:val="none" w:sz="0" w:space="0" w:color="auto"/>
                    <w:left w:val="none" w:sz="0" w:space="0" w:color="auto"/>
                    <w:bottom w:val="none" w:sz="0" w:space="0" w:color="auto"/>
                    <w:right w:val="none" w:sz="0" w:space="0" w:color="auto"/>
                  </w:divBdr>
                  <w:divsChild>
                    <w:div w:id="352536379">
                      <w:marLeft w:val="0"/>
                      <w:marRight w:val="0"/>
                      <w:marTop w:val="0"/>
                      <w:marBottom w:val="0"/>
                      <w:divBdr>
                        <w:top w:val="none" w:sz="0" w:space="0" w:color="auto"/>
                        <w:left w:val="none" w:sz="0" w:space="0" w:color="auto"/>
                        <w:bottom w:val="none" w:sz="0" w:space="0" w:color="auto"/>
                        <w:right w:val="none" w:sz="0" w:space="0" w:color="auto"/>
                      </w:divBdr>
                    </w:div>
                  </w:divsChild>
                </w:div>
                <w:div w:id="1107777350">
                  <w:marLeft w:val="0"/>
                  <w:marRight w:val="0"/>
                  <w:marTop w:val="0"/>
                  <w:marBottom w:val="0"/>
                  <w:divBdr>
                    <w:top w:val="none" w:sz="0" w:space="0" w:color="auto"/>
                    <w:left w:val="none" w:sz="0" w:space="0" w:color="auto"/>
                    <w:bottom w:val="none" w:sz="0" w:space="0" w:color="auto"/>
                    <w:right w:val="none" w:sz="0" w:space="0" w:color="auto"/>
                  </w:divBdr>
                  <w:divsChild>
                    <w:div w:id="1476600446">
                      <w:marLeft w:val="0"/>
                      <w:marRight w:val="0"/>
                      <w:marTop w:val="0"/>
                      <w:marBottom w:val="0"/>
                      <w:divBdr>
                        <w:top w:val="none" w:sz="0" w:space="0" w:color="auto"/>
                        <w:left w:val="none" w:sz="0" w:space="0" w:color="auto"/>
                        <w:bottom w:val="none" w:sz="0" w:space="0" w:color="auto"/>
                        <w:right w:val="none" w:sz="0" w:space="0" w:color="auto"/>
                      </w:divBdr>
                    </w:div>
                  </w:divsChild>
                </w:div>
                <w:div w:id="1118574034">
                  <w:marLeft w:val="0"/>
                  <w:marRight w:val="0"/>
                  <w:marTop w:val="0"/>
                  <w:marBottom w:val="0"/>
                  <w:divBdr>
                    <w:top w:val="none" w:sz="0" w:space="0" w:color="auto"/>
                    <w:left w:val="none" w:sz="0" w:space="0" w:color="auto"/>
                    <w:bottom w:val="none" w:sz="0" w:space="0" w:color="auto"/>
                    <w:right w:val="none" w:sz="0" w:space="0" w:color="auto"/>
                  </w:divBdr>
                  <w:divsChild>
                    <w:div w:id="858005821">
                      <w:marLeft w:val="0"/>
                      <w:marRight w:val="0"/>
                      <w:marTop w:val="0"/>
                      <w:marBottom w:val="0"/>
                      <w:divBdr>
                        <w:top w:val="none" w:sz="0" w:space="0" w:color="auto"/>
                        <w:left w:val="none" w:sz="0" w:space="0" w:color="auto"/>
                        <w:bottom w:val="none" w:sz="0" w:space="0" w:color="auto"/>
                        <w:right w:val="none" w:sz="0" w:space="0" w:color="auto"/>
                      </w:divBdr>
                    </w:div>
                  </w:divsChild>
                </w:div>
                <w:div w:id="1118913175">
                  <w:marLeft w:val="0"/>
                  <w:marRight w:val="0"/>
                  <w:marTop w:val="0"/>
                  <w:marBottom w:val="0"/>
                  <w:divBdr>
                    <w:top w:val="none" w:sz="0" w:space="0" w:color="auto"/>
                    <w:left w:val="none" w:sz="0" w:space="0" w:color="auto"/>
                    <w:bottom w:val="none" w:sz="0" w:space="0" w:color="auto"/>
                    <w:right w:val="none" w:sz="0" w:space="0" w:color="auto"/>
                  </w:divBdr>
                  <w:divsChild>
                    <w:div w:id="2025981657">
                      <w:marLeft w:val="0"/>
                      <w:marRight w:val="0"/>
                      <w:marTop w:val="0"/>
                      <w:marBottom w:val="0"/>
                      <w:divBdr>
                        <w:top w:val="none" w:sz="0" w:space="0" w:color="auto"/>
                        <w:left w:val="none" w:sz="0" w:space="0" w:color="auto"/>
                        <w:bottom w:val="none" w:sz="0" w:space="0" w:color="auto"/>
                        <w:right w:val="none" w:sz="0" w:space="0" w:color="auto"/>
                      </w:divBdr>
                    </w:div>
                  </w:divsChild>
                </w:div>
                <w:div w:id="1125732633">
                  <w:marLeft w:val="0"/>
                  <w:marRight w:val="0"/>
                  <w:marTop w:val="0"/>
                  <w:marBottom w:val="0"/>
                  <w:divBdr>
                    <w:top w:val="none" w:sz="0" w:space="0" w:color="auto"/>
                    <w:left w:val="none" w:sz="0" w:space="0" w:color="auto"/>
                    <w:bottom w:val="none" w:sz="0" w:space="0" w:color="auto"/>
                    <w:right w:val="none" w:sz="0" w:space="0" w:color="auto"/>
                  </w:divBdr>
                  <w:divsChild>
                    <w:div w:id="1258782240">
                      <w:marLeft w:val="0"/>
                      <w:marRight w:val="0"/>
                      <w:marTop w:val="0"/>
                      <w:marBottom w:val="0"/>
                      <w:divBdr>
                        <w:top w:val="none" w:sz="0" w:space="0" w:color="auto"/>
                        <w:left w:val="none" w:sz="0" w:space="0" w:color="auto"/>
                        <w:bottom w:val="none" w:sz="0" w:space="0" w:color="auto"/>
                        <w:right w:val="none" w:sz="0" w:space="0" w:color="auto"/>
                      </w:divBdr>
                    </w:div>
                  </w:divsChild>
                </w:div>
                <w:div w:id="1141579102">
                  <w:marLeft w:val="0"/>
                  <w:marRight w:val="0"/>
                  <w:marTop w:val="0"/>
                  <w:marBottom w:val="0"/>
                  <w:divBdr>
                    <w:top w:val="none" w:sz="0" w:space="0" w:color="auto"/>
                    <w:left w:val="none" w:sz="0" w:space="0" w:color="auto"/>
                    <w:bottom w:val="none" w:sz="0" w:space="0" w:color="auto"/>
                    <w:right w:val="none" w:sz="0" w:space="0" w:color="auto"/>
                  </w:divBdr>
                  <w:divsChild>
                    <w:div w:id="1701198574">
                      <w:marLeft w:val="0"/>
                      <w:marRight w:val="0"/>
                      <w:marTop w:val="0"/>
                      <w:marBottom w:val="0"/>
                      <w:divBdr>
                        <w:top w:val="none" w:sz="0" w:space="0" w:color="auto"/>
                        <w:left w:val="none" w:sz="0" w:space="0" w:color="auto"/>
                        <w:bottom w:val="none" w:sz="0" w:space="0" w:color="auto"/>
                        <w:right w:val="none" w:sz="0" w:space="0" w:color="auto"/>
                      </w:divBdr>
                    </w:div>
                  </w:divsChild>
                </w:div>
                <w:div w:id="1149860725">
                  <w:marLeft w:val="0"/>
                  <w:marRight w:val="0"/>
                  <w:marTop w:val="0"/>
                  <w:marBottom w:val="0"/>
                  <w:divBdr>
                    <w:top w:val="none" w:sz="0" w:space="0" w:color="auto"/>
                    <w:left w:val="none" w:sz="0" w:space="0" w:color="auto"/>
                    <w:bottom w:val="none" w:sz="0" w:space="0" w:color="auto"/>
                    <w:right w:val="none" w:sz="0" w:space="0" w:color="auto"/>
                  </w:divBdr>
                  <w:divsChild>
                    <w:div w:id="150218877">
                      <w:marLeft w:val="0"/>
                      <w:marRight w:val="0"/>
                      <w:marTop w:val="0"/>
                      <w:marBottom w:val="0"/>
                      <w:divBdr>
                        <w:top w:val="none" w:sz="0" w:space="0" w:color="auto"/>
                        <w:left w:val="none" w:sz="0" w:space="0" w:color="auto"/>
                        <w:bottom w:val="none" w:sz="0" w:space="0" w:color="auto"/>
                        <w:right w:val="none" w:sz="0" w:space="0" w:color="auto"/>
                      </w:divBdr>
                    </w:div>
                  </w:divsChild>
                </w:div>
                <w:div w:id="1176993186">
                  <w:marLeft w:val="0"/>
                  <w:marRight w:val="0"/>
                  <w:marTop w:val="0"/>
                  <w:marBottom w:val="0"/>
                  <w:divBdr>
                    <w:top w:val="none" w:sz="0" w:space="0" w:color="auto"/>
                    <w:left w:val="none" w:sz="0" w:space="0" w:color="auto"/>
                    <w:bottom w:val="none" w:sz="0" w:space="0" w:color="auto"/>
                    <w:right w:val="none" w:sz="0" w:space="0" w:color="auto"/>
                  </w:divBdr>
                  <w:divsChild>
                    <w:div w:id="1176572127">
                      <w:marLeft w:val="0"/>
                      <w:marRight w:val="0"/>
                      <w:marTop w:val="0"/>
                      <w:marBottom w:val="0"/>
                      <w:divBdr>
                        <w:top w:val="none" w:sz="0" w:space="0" w:color="auto"/>
                        <w:left w:val="none" w:sz="0" w:space="0" w:color="auto"/>
                        <w:bottom w:val="none" w:sz="0" w:space="0" w:color="auto"/>
                        <w:right w:val="none" w:sz="0" w:space="0" w:color="auto"/>
                      </w:divBdr>
                    </w:div>
                  </w:divsChild>
                </w:div>
                <w:div w:id="1181241877">
                  <w:marLeft w:val="0"/>
                  <w:marRight w:val="0"/>
                  <w:marTop w:val="0"/>
                  <w:marBottom w:val="0"/>
                  <w:divBdr>
                    <w:top w:val="none" w:sz="0" w:space="0" w:color="auto"/>
                    <w:left w:val="none" w:sz="0" w:space="0" w:color="auto"/>
                    <w:bottom w:val="none" w:sz="0" w:space="0" w:color="auto"/>
                    <w:right w:val="none" w:sz="0" w:space="0" w:color="auto"/>
                  </w:divBdr>
                  <w:divsChild>
                    <w:div w:id="477845518">
                      <w:marLeft w:val="0"/>
                      <w:marRight w:val="0"/>
                      <w:marTop w:val="0"/>
                      <w:marBottom w:val="0"/>
                      <w:divBdr>
                        <w:top w:val="none" w:sz="0" w:space="0" w:color="auto"/>
                        <w:left w:val="none" w:sz="0" w:space="0" w:color="auto"/>
                        <w:bottom w:val="none" w:sz="0" w:space="0" w:color="auto"/>
                        <w:right w:val="none" w:sz="0" w:space="0" w:color="auto"/>
                      </w:divBdr>
                    </w:div>
                  </w:divsChild>
                </w:div>
                <w:div w:id="1195192056">
                  <w:marLeft w:val="0"/>
                  <w:marRight w:val="0"/>
                  <w:marTop w:val="0"/>
                  <w:marBottom w:val="0"/>
                  <w:divBdr>
                    <w:top w:val="none" w:sz="0" w:space="0" w:color="auto"/>
                    <w:left w:val="none" w:sz="0" w:space="0" w:color="auto"/>
                    <w:bottom w:val="none" w:sz="0" w:space="0" w:color="auto"/>
                    <w:right w:val="none" w:sz="0" w:space="0" w:color="auto"/>
                  </w:divBdr>
                  <w:divsChild>
                    <w:div w:id="1486629869">
                      <w:marLeft w:val="0"/>
                      <w:marRight w:val="0"/>
                      <w:marTop w:val="0"/>
                      <w:marBottom w:val="0"/>
                      <w:divBdr>
                        <w:top w:val="none" w:sz="0" w:space="0" w:color="auto"/>
                        <w:left w:val="none" w:sz="0" w:space="0" w:color="auto"/>
                        <w:bottom w:val="none" w:sz="0" w:space="0" w:color="auto"/>
                        <w:right w:val="none" w:sz="0" w:space="0" w:color="auto"/>
                      </w:divBdr>
                    </w:div>
                  </w:divsChild>
                </w:div>
                <w:div w:id="1207643190">
                  <w:marLeft w:val="0"/>
                  <w:marRight w:val="0"/>
                  <w:marTop w:val="0"/>
                  <w:marBottom w:val="0"/>
                  <w:divBdr>
                    <w:top w:val="none" w:sz="0" w:space="0" w:color="auto"/>
                    <w:left w:val="none" w:sz="0" w:space="0" w:color="auto"/>
                    <w:bottom w:val="none" w:sz="0" w:space="0" w:color="auto"/>
                    <w:right w:val="none" w:sz="0" w:space="0" w:color="auto"/>
                  </w:divBdr>
                  <w:divsChild>
                    <w:div w:id="1658070107">
                      <w:marLeft w:val="0"/>
                      <w:marRight w:val="0"/>
                      <w:marTop w:val="0"/>
                      <w:marBottom w:val="0"/>
                      <w:divBdr>
                        <w:top w:val="none" w:sz="0" w:space="0" w:color="auto"/>
                        <w:left w:val="none" w:sz="0" w:space="0" w:color="auto"/>
                        <w:bottom w:val="none" w:sz="0" w:space="0" w:color="auto"/>
                        <w:right w:val="none" w:sz="0" w:space="0" w:color="auto"/>
                      </w:divBdr>
                    </w:div>
                  </w:divsChild>
                </w:div>
                <w:div w:id="1210148522">
                  <w:marLeft w:val="0"/>
                  <w:marRight w:val="0"/>
                  <w:marTop w:val="0"/>
                  <w:marBottom w:val="0"/>
                  <w:divBdr>
                    <w:top w:val="none" w:sz="0" w:space="0" w:color="auto"/>
                    <w:left w:val="none" w:sz="0" w:space="0" w:color="auto"/>
                    <w:bottom w:val="none" w:sz="0" w:space="0" w:color="auto"/>
                    <w:right w:val="none" w:sz="0" w:space="0" w:color="auto"/>
                  </w:divBdr>
                  <w:divsChild>
                    <w:div w:id="1941066703">
                      <w:marLeft w:val="0"/>
                      <w:marRight w:val="0"/>
                      <w:marTop w:val="0"/>
                      <w:marBottom w:val="0"/>
                      <w:divBdr>
                        <w:top w:val="none" w:sz="0" w:space="0" w:color="auto"/>
                        <w:left w:val="none" w:sz="0" w:space="0" w:color="auto"/>
                        <w:bottom w:val="none" w:sz="0" w:space="0" w:color="auto"/>
                        <w:right w:val="none" w:sz="0" w:space="0" w:color="auto"/>
                      </w:divBdr>
                    </w:div>
                  </w:divsChild>
                </w:div>
                <w:div w:id="1220169493">
                  <w:marLeft w:val="0"/>
                  <w:marRight w:val="0"/>
                  <w:marTop w:val="0"/>
                  <w:marBottom w:val="0"/>
                  <w:divBdr>
                    <w:top w:val="none" w:sz="0" w:space="0" w:color="auto"/>
                    <w:left w:val="none" w:sz="0" w:space="0" w:color="auto"/>
                    <w:bottom w:val="none" w:sz="0" w:space="0" w:color="auto"/>
                    <w:right w:val="none" w:sz="0" w:space="0" w:color="auto"/>
                  </w:divBdr>
                  <w:divsChild>
                    <w:div w:id="737359444">
                      <w:marLeft w:val="0"/>
                      <w:marRight w:val="0"/>
                      <w:marTop w:val="0"/>
                      <w:marBottom w:val="0"/>
                      <w:divBdr>
                        <w:top w:val="none" w:sz="0" w:space="0" w:color="auto"/>
                        <w:left w:val="none" w:sz="0" w:space="0" w:color="auto"/>
                        <w:bottom w:val="none" w:sz="0" w:space="0" w:color="auto"/>
                        <w:right w:val="none" w:sz="0" w:space="0" w:color="auto"/>
                      </w:divBdr>
                    </w:div>
                  </w:divsChild>
                </w:div>
                <w:div w:id="1220484225">
                  <w:marLeft w:val="0"/>
                  <w:marRight w:val="0"/>
                  <w:marTop w:val="0"/>
                  <w:marBottom w:val="0"/>
                  <w:divBdr>
                    <w:top w:val="none" w:sz="0" w:space="0" w:color="auto"/>
                    <w:left w:val="none" w:sz="0" w:space="0" w:color="auto"/>
                    <w:bottom w:val="none" w:sz="0" w:space="0" w:color="auto"/>
                    <w:right w:val="none" w:sz="0" w:space="0" w:color="auto"/>
                  </w:divBdr>
                  <w:divsChild>
                    <w:div w:id="1736390588">
                      <w:marLeft w:val="0"/>
                      <w:marRight w:val="0"/>
                      <w:marTop w:val="0"/>
                      <w:marBottom w:val="0"/>
                      <w:divBdr>
                        <w:top w:val="none" w:sz="0" w:space="0" w:color="auto"/>
                        <w:left w:val="none" w:sz="0" w:space="0" w:color="auto"/>
                        <w:bottom w:val="none" w:sz="0" w:space="0" w:color="auto"/>
                        <w:right w:val="none" w:sz="0" w:space="0" w:color="auto"/>
                      </w:divBdr>
                    </w:div>
                  </w:divsChild>
                </w:div>
                <w:div w:id="1237857858">
                  <w:marLeft w:val="0"/>
                  <w:marRight w:val="0"/>
                  <w:marTop w:val="0"/>
                  <w:marBottom w:val="0"/>
                  <w:divBdr>
                    <w:top w:val="none" w:sz="0" w:space="0" w:color="auto"/>
                    <w:left w:val="none" w:sz="0" w:space="0" w:color="auto"/>
                    <w:bottom w:val="none" w:sz="0" w:space="0" w:color="auto"/>
                    <w:right w:val="none" w:sz="0" w:space="0" w:color="auto"/>
                  </w:divBdr>
                  <w:divsChild>
                    <w:div w:id="1400056236">
                      <w:marLeft w:val="0"/>
                      <w:marRight w:val="0"/>
                      <w:marTop w:val="0"/>
                      <w:marBottom w:val="0"/>
                      <w:divBdr>
                        <w:top w:val="none" w:sz="0" w:space="0" w:color="auto"/>
                        <w:left w:val="none" w:sz="0" w:space="0" w:color="auto"/>
                        <w:bottom w:val="none" w:sz="0" w:space="0" w:color="auto"/>
                        <w:right w:val="none" w:sz="0" w:space="0" w:color="auto"/>
                      </w:divBdr>
                    </w:div>
                  </w:divsChild>
                </w:div>
                <w:div w:id="1272976775">
                  <w:marLeft w:val="0"/>
                  <w:marRight w:val="0"/>
                  <w:marTop w:val="0"/>
                  <w:marBottom w:val="0"/>
                  <w:divBdr>
                    <w:top w:val="none" w:sz="0" w:space="0" w:color="auto"/>
                    <w:left w:val="none" w:sz="0" w:space="0" w:color="auto"/>
                    <w:bottom w:val="none" w:sz="0" w:space="0" w:color="auto"/>
                    <w:right w:val="none" w:sz="0" w:space="0" w:color="auto"/>
                  </w:divBdr>
                  <w:divsChild>
                    <w:div w:id="442962654">
                      <w:marLeft w:val="0"/>
                      <w:marRight w:val="0"/>
                      <w:marTop w:val="0"/>
                      <w:marBottom w:val="0"/>
                      <w:divBdr>
                        <w:top w:val="none" w:sz="0" w:space="0" w:color="auto"/>
                        <w:left w:val="none" w:sz="0" w:space="0" w:color="auto"/>
                        <w:bottom w:val="none" w:sz="0" w:space="0" w:color="auto"/>
                        <w:right w:val="none" w:sz="0" w:space="0" w:color="auto"/>
                      </w:divBdr>
                    </w:div>
                  </w:divsChild>
                </w:div>
                <w:div w:id="1279028712">
                  <w:marLeft w:val="0"/>
                  <w:marRight w:val="0"/>
                  <w:marTop w:val="0"/>
                  <w:marBottom w:val="0"/>
                  <w:divBdr>
                    <w:top w:val="none" w:sz="0" w:space="0" w:color="auto"/>
                    <w:left w:val="none" w:sz="0" w:space="0" w:color="auto"/>
                    <w:bottom w:val="none" w:sz="0" w:space="0" w:color="auto"/>
                    <w:right w:val="none" w:sz="0" w:space="0" w:color="auto"/>
                  </w:divBdr>
                  <w:divsChild>
                    <w:div w:id="1760760365">
                      <w:marLeft w:val="0"/>
                      <w:marRight w:val="0"/>
                      <w:marTop w:val="0"/>
                      <w:marBottom w:val="0"/>
                      <w:divBdr>
                        <w:top w:val="none" w:sz="0" w:space="0" w:color="auto"/>
                        <w:left w:val="none" w:sz="0" w:space="0" w:color="auto"/>
                        <w:bottom w:val="none" w:sz="0" w:space="0" w:color="auto"/>
                        <w:right w:val="none" w:sz="0" w:space="0" w:color="auto"/>
                      </w:divBdr>
                    </w:div>
                  </w:divsChild>
                </w:div>
                <w:div w:id="1290740080">
                  <w:marLeft w:val="0"/>
                  <w:marRight w:val="0"/>
                  <w:marTop w:val="0"/>
                  <w:marBottom w:val="0"/>
                  <w:divBdr>
                    <w:top w:val="none" w:sz="0" w:space="0" w:color="auto"/>
                    <w:left w:val="none" w:sz="0" w:space="0" w:color="auto"/>
                    <w:bottom w:val="none" w:sz="0" w:space="0" w:color="auto"/>
                    <w:right w:val="none" w:sz="0" w:space="0" w:color="auto"/>
                  </w:divBdr>
                  <w:divsChild>
                    <w:div w:id="1873221455">
                      <w:marLeft w:val="0"/>
                      <w:marRight w:val="0"/>
                      <w:marTop w:val="0"/>
                      <w:marBottom w:val="0"/>
                      <w:divBdr>
                        <w:top w:val="none" w:sz="0" w:space="0" w:color="auto"/>
                        <w:left w:val="none" w:sz="0" w:space="0" w:color="auto"/>
                        <w:bottom w:val="none" w:sz="0" w:space="0" w:color="auto"/>
                        <w:right w:val="none" w:sz="0" w:space="0" w:color="auto"/>
                      </w:divBdr>
                    </w:div>
                  </w:divsChild>
                </w:div>
                <w:div w:id="1290933548">
                  <w:marLeft w:val="0"/>
                  <w:marRight w:val="0"/>
                  <w:marTop w:val="0"/>
                  <w:marBottom w:val="0"/>
                  <w:divBdr>
                    <w:top w:val="none" w:sz="0" w:space="0" w:color="auto"/>
                    <w:left w:val="none" w:sz="0" w:space="0" w:color="auto"/>
                    <w:bottom w:val="none" w:sz="0" w:space="0" w:color="auto"/>
                    <w:right w:val="none" w:sz="0" w:space="0" w:color="auto"/>
                  </w:divBdr>
                  <w:divsChild>
                    <w:div w:id="604045601">
                      <w:marLeft w:val="0"/>
                      <w:marRight w:val="0"/>
                      <w:marTop w:val="0"/>
                      <w:marBottom w:val="0"/>
                      <w:divBdr>
                        <w:top w:val="none" w:sz="0" w:space="0" w:color="auto"/>
                        <w:left w:val="none" w:sz="0" w:space="0" w:color="auto"/>
                        <w:bottom w:val="none" w:sz="0" w:space="0" w:color="auto"/>
                        <w:right w:val="none" w:sz="0" w:space="0" w:color="auto"/>
                      </w:divBdr>
                    </w:div>
                  </w:divsChild>
                </w:div>
                <w:div w:id="1333485617">
                  <w:marLeft w:val="0"/>
                  <w:marRight w:val="0"/>
                  <w:marTop w:val="0"/>
                  <w:marBottom w:val="0"/>
                  <w:divBdr>
                    <w:top w:val="none" w:sz="0" w:space="0" w:color="auto"/>
                    <w:left w:val="none" w:sz="0" w:space="0" w:color="auto"/>
                    <w:bottom w:val="none" w:sz="0" w:space="0" w:color="auto"/>
                    <w:right w:val="none" w:sz="0" w:space="0" w:color="auto"/>
                  </w:divBdr>
                  <w:divsChild>
                    <w:div w:id="433284088">
                      <w:marLeft w:val="0"/>
                      <w:marRight w:val="0"/>
                      <w:marTop w:val="0"/>
                      <w:marBottom w:val="0"/>
                      <w:divBdr>
                        <w:top w:val="none" w:sz="0" w:space="0" w:color="auto"/>
                        <w:left w:val="none" w:sz="0" w:space="0" w:color="auto"/>
                        <w:bottom w:val="none" w:sz="0" w:space="0" w:color="auto"/>
                        <w:right w:val="none" w:sz="0" w:space="0" w:color="auto"/>
                      </w:divBdr>
                    </w:div>
                  </w:divsChild>
                </w:div>
                <w:div w:id="1341547767">
                  <w:marLeft w:val="0"/>
                  <w:marRight w:val="0"/>
                  <w:marTop w:val="0"/>
                  <w:marBottom w:val="0"/>
                  <w:divBdr>
                    <w:top w:val="none" w:sz="0" w:space="0" w:color="auto"/>
                    <w:left w:val="none" w:sz="0" w:space="0" w:color="auto"/>
                    <w:bottom w:val="none" w:sz="0" w:space="0" w:color="auto"/>
                    <w:right w:val="none" w:sz="0" w:space="0" w:color="auto"/>
                  </w:divBdr>
                  <w:divsChild>
                    <w:div w:id="813061572">
                      <w:marLeft w:val="0"/>
                      <w:marRight w:val="0"/>
                      <w:marTop w:val="0"/>
                      <w:marBottom w:val="0"/>
                      <w:divBdr>
                        <w:top w:val="none" w:sz="0" w:space="0" w:color="auto"/>
                        <w:left w:val="none" w:sz="0" w:space="0" w:color="auto"/>
                        <w:bottom w:val="none" w:sz="0" w:space="0" w:color="auto"/>
                        <w:right w:val="none" w:sz="0" w:space="0" w:color="auto"/>
                      </w:divBdr>
                    </w:div>
                  </w:divsChild>
                </w:div>
                <w:div w:id="1349524070">
                  <w:marLeft w:val="0"/>
                  <w:marRight w:val="0"/>
                  <w:marTop w:val="0"/>
                  <w:marBottom w:val="0"/>
                  <w:divBdr>
                    <w:top w:val="none" w:sz="0" w:space="0" w:color="auto"/>
                    <w:left w:val="none" w:sz="0" w:space="0" w:color="auto"/>
                    <w:bottom w:val="none" w:sz="0" w:space="0" w:color="auto"/>
                    <w:right w:val="none" w:sz="0" w:space="0" w:color="auto"/>
                  </w:divBdr>
                  <w:divsChild>
                    <w:div w:id="2109763671">
                      <w:marLeft w:val="0"/>
                      <w:marRight w:val="0"/>
                      <w:marTop w:val="0"/>
                      <w:marBottom w:val="0"/>
                      <w:divBdr>
                        <w:top w:val="none" w:sz="0" w:space="0" w:color="auto"/>
                        <w:left w:val="none" w:sz="0" w:space="0" w:color="auto"/>
                        <w:bottom w:val="none" w:sz="0" w:space="0" w:color="auto"/>
                        <w:right w:val="none" w:sz="0" w:space="0" w:color="auto"/>
                      </w:divBdr>
                    </w:div>
                  </w:divsChild>
                </w:div>
                <w:div w:id="1359089574">
                  <w:marLeft w:val="0"/>
                  <w:marRight w:val="0"/>
                  <w:marTop w:val="0"/>
                  <w:marBottom w:val="0"/>
                  <w:divBdr>
                    <w:top w:val="none" w:sz="0" w:space="0" w:color="auto"/>
                    <w:left w:val="none" w:sz="0" w:space="0" w:color="auto"/>
                    <w:bottom w:val="none" w:sz="0" w:space="0" w:color="auto"/>
                    <w:right w:val="none" w:sz="0" w:space="0" w:color="auto"/>
                  </w:divBdr>
                  <w:divsChild>
                    <w:div w:id="1483157026">
                      <w:marLeft w:val="0"/>
                      <w:marRight w:val="0"/>
                      <w:marTop w:val="0"/>
                      <w:marBottom w:val="0"/>
                      <w:divBdr>
                        <w:top w:val="none" w:sz="0" w:space="0" w:color="auto"/>
                        <w:left w:val="none" w:sz="0" w:space="0" w:color="auto"/>
                        <w:bottom w:val="none" w:sz="0" w:space="0" w:color="auto"/>
                        <w:right w:val="none" w:sz="0" w:space="0" w:color="auto"/>
                      </w:divBdr>
                    </w:div>
                  </w:divsChild>
                </w:div>
                <w:div w:id="1399788107">
                  <w:marLeft w:val="0"/>
                  <w:marRight w:val="0"/>
                  <w:marTop w:val="0"/>
                  <w:marBottom w:val="0"/>
                  <w:divBdr>
                    <w:top w:val="none" w:sz="0" w:space="0" w:color="auto"/>
                    <w:left w:val="none" w:sz="0" w:space="0" w:color="auto"/>
                    <w:bottom w:val="none" w:sz="0" w:space="0" w:color="auto"/>
                    <w:right w:val="none" w:sz="0" w:space="0" w:color="auto"/>
                  </w:divBdr>
                  <w:divsChild>
                    <w:div w:id="1279945337">
                      <w:marLeft w:val="0"/>
                      <w:marRight w:val="0"/>
                      <w:marTop w:val="0"/>
                      <w:marBottom w:val="0"/>
                      <w:divBdr>
                        <w:top w:val="none" w:sz="0" w:space="0" w:color="auto"/>
                        <w:left w:val="none" w:sz="0" w:space="0" w:color="auto"/>
                        <w:bottom w:val="none" w:sz="0" w:space="0" w:color="auto"/>
                        <w:right w:val="none" w:sz="0" w:space="0" w:color="auto"/>
                      </w:divBdr>
                    </w:div>
                  </w:divsChild>
                </w:div>
                <w:div w:id="1421290823">
                  <w:marLeft w:val="0"/>
                  <w:marRight w:val="0"/>
                  <w:marTop w:val="0"/>
                  <w:marBottom w:val="0"/>
                  <w:divBdr>
                    <w:top w:val="none" w:sz="0" w:space="0" w:color="auto"/>
                    <w:left w:val="none" w:sz="0" w:space="0" w:color="auto"/>
                    <w:bottom w:val="none" w:sz="0" w:space="0" w:color="auto"/>
                    <w:right w:val="none" w:sz="0" w:space="0" w:color="auto"/>
                  </w:divBdr>
                  <w:divsChild>
                    <w:div w:id="1083457586">
                      <w:marLeft w:val="0"/>
                      <w:marRight w:val="0"/>
                      <w:marTop w:val="0"/>
                      <w:marBottom w:val="0"/>
                      <w:divBdr>
                        <w:top w:val="none" w:sz="0" w:space="0" w:color="auto"/>
                        <w:left w:val="none" w:sz="0" w:space="0" w:color="auto"/>
                        <w:bottom w:val="none" w:sz="0" w:space="0" w:color="auto"/>
                        <w:right w:val="none" w:sz="0" w:space="0" w:color="auto"/>
                      </w:divBdr>
                    </w:div>
                  </w:divsChild>
                </w:div>
                <w:div w:id="1441994961">
                  <w:marLeft w:val="0"/>
                  <w:marRight w:val="0"/>
                  <w:marTop w:val="0"/>
                  <w:marBottom w:val="0"/>
                  <w:divBdr>
                    <w:top w:val="none" w:sz="0" w:space="0" w:color="auto"/>
                    <w:left w:val="none" w:sz="0" w:space="0" w:color="auto"/>
                    <w:bottom w:val="none" w:sz="0" w:space="0" w:color="auto"/>
                    <w:right w:val="none" w:sz="0" w:space="0" w:color="auto"/>
                  </w:divBdr>
                  <w:divsChild>
                    <w:div w:id="967931527">
                      <w:marLeft w:val="0"/>
                      <w:marRight w:val="0"/>
                      <w:marTop w:val="0"/>
                      <w:marBottom w:val="0"/>
                      <w:divBdr>
                        <w:top w:val="none" w:sz="0" w:space="0" w:color="auto"/>
                        <w:left w:val="none" w:sz="0" w:space="0" w:color="auto"/>
                        <w:bottom w:val="none" w:sz="0" w:space="0" w:color="auto"/>
                        <w:right w:val="none" w:sz="0" w:space="0" w:color="auto"/>
                      </w:divBdr>
                    </w:div>
                  </w:divsChild>
                </w:div>
                <w:div w:id="1467968389">
                  <w:marLeft w:val="0"/>
                  <w:marRight w:val="0"/>
                  <w:marTop w:val="0"/>
                  <w:marBottom w:val="0"/>
                  <w:divBdr>
                    <w:top w:val="none" w:sz="0" w:space="0" w:color="auto"/>
                    <w:left w:val="none" w:sz="0" w:space="0" w:color="auto"/>
                    <w:bottom w:val="none" w:sz="0" w:space="0" w:color="auto"/>
                    <w:right w:val="none" w:sz="0" w:space="0" w:color="auto"/>
                  </w:divBdr>
                  <w:divsChild>
                    <w:div w:id="1300961834">
                      <w:marLeft w:val="0"/>
                      <w:marRight w:val="0"/>
                      <w:marTop w:val="0"/>
                      <w:marBottom w:val="0"/>
                      <w:divBdr>
                        <w:top w:val="none" w:sz="0" w:space="0" w:color="auto"/>
                        <w:left w:val="none" w:sz="0" w:space="0" w:color="auto"/>
                        <w:bottom w:val="none" w:sz="0" w:space="0" w:color="auto"/>
                        <w:right w:val="none" w:sz="0" w:space="0" w:color="auto"/>
                      </w:divBdr>
                    </w:div>
                  </w:divsChild>
                </w:div>
                <w:div w:id="1471286836">
                  <w:marLeft w:val="0"/>
                  <w:marRight w:val="0"/>
                  <w:marTop w:val="0"/>
                  <w:marBottom w:val="0"/>
                  <w:divBdr>
                    <w:top w:val="none" w:sz="0" w:space="0" w:color="auto"/>
                    <w:left w:val="none" w:sz="0" w:space="0" w:color="auto"/>
                    <w:bottom w:val="none" w:sz="0" w:space="0" w:color="auto"/>
                    <w:right w:val="none" w:sz="0" w:space="0" w:color="auto"/>
                  </w:divBdr>
                  <w:divsChild>
                    <w:div w:id="1358315924">
                      <w:marLeft w:val="0"/>
                      <w:marRight w:val="0"/>
                      <w:marTop w:val="0"/>
                      <w:marBottom w:val="0"/>
                      <w:divBdr>
                        <w:top w:val="none" w:sz="0" w:space="0" w:color="auto"/>
                        <w:left w:val="none" w:sz="0" w:space="0" w:color="auto"/>
                        <w:bottom w:val="none" w:sz="0" w:space="0" w:color="auto"/>
                        <w:right w:val="none" w:sz="0" w:space="0" w:color="auto"/>
                      </w:divBdr>
                    </w:div>
                  </w:divsChild>
                </w:div>
                <w:div w:id="1488284833">
                  <w:marLeft w:val="0"/>
                  <w:marRight w:val="0"/>
                  <w:marTop w:val="0"/>
                  <w:marBottom w:val="0"/>
                  <w:divBdr>
                    <w:top w:val="none" w:sz="0" w:space="0" w:color="auto"/>
                    <w:left w:val="none" w:sz="0" w:space="0" w:color="auto"/>
                    <w:bottom w:val="none" w:sz="0" w:space="0" w:color="auto"/>
                    <w:right w:val="none" w:sz="0" w:space="0" w:color="auto"/>
                  </w:divBdr>
                  <w:divsChild>
                    <w:div w:id="1160848259">
                      <w:marLeft w:val="0"/>
                      <w:marRight w:val="0"/>
                      <w:marTop w:val="0"/>
                      <w:marBottom w:val="0"/>
                      <w:divBdr>
                        <w:top w:val="none" w:sz="0" w:space="0" w:color="auto"/>
                        <w:left w:val="none" w:sz="0" w:space="0" w:color="auto"/>
                        <w:bottom w:val="none" w:sz="0" w:space="0" w:color="auto"/>
                        <w:right w:val="none" w:sz="0" w:space="0" w:color="auto"/>
                      </w:divBdr>
                    </w:div>
                  </w:divsChild>
                </w:div>
                <w:div w:id="1531339081">
                  <w:marLeft w:val="0"/>
                  <w:marRight w:val="0"/>
                  <w:marTop w:val="0"/>
                  <w:marBottom w:val="0"/>
                  <w:divBdr>
                    <w:top w:val="none" w:sz="0" w:space="0" w:color="auto"/>
                    <w:left w:val="none" w:sz="0" w:space="0" w:color="auto"/>
                    <w:bottom w:val="none" w:sz="0" w:space="0" w:color="auto"/>
                    <w:right w:val="none" w:sz="0" w:space="0" w:color="auto"/>
                  </w:divBdr>
                  <w:divsChild>
                    <w:div w:id="210073761">
                      <w:marLeft w:val="0"/>
                      <w:marRight w:val="0"/>
                      <w:marTop w:val="0"/>
                      <w:marBottom w:val="0"/>
                      <w:divBdr>
                        <w:top w:val="none" w:sz="0" w:space="0" w:color="auto"/>
                        <w:left w:val="none" w:sz="0" w:space="0" w:color="auto"/>
                        <w:bottom w:val="none" w:sz="0" w:space="0" w:color="auto"/>
                        <w:right w:val="none" w:sz="0" w:space="0" w:color="auto"/>
                      </w:divBdr>
                    </w:div>
                  </w:divsChild>
                </w:div>
                <w:div w:id="1560283754">
                  <w:marLeft w:val="0"/>
                  <w:marRight w:val="0"/>
                  <w:marTop w:val="0"/>
                  <w:marBottom w:val="0"/>
                  <w:divBdr>
                    <w:top w:val="none" w:sz="0" w:space="0" w:color="auto"/>
                    <w:left w:val="none" w:sz="0" w:space="0" w:color="auto"/>
                    <w:bottom w:val="none" w:sz="0" w:space="0" w:color="auto"/>
                    <w:right w:val="none" w:sz="0" w:space="0" w:color="auto"/>
                  </w:divBdr>
                  <w:divsChild>
                    <w:div w:id="1840844466">
                      <w:marLeft w:val="0"/>
                      <w:marRight w:val="0"/>
                      <w:marTop w:val="0"/>
                      <w:marBottom w:val="0"/>
                      <w:divBdr>
                        <w:top w:val="none" w:sz="0" w:space="0" w:color="auto"/>
                        <w:left w:val="none" w:sz="0" w:space="0" w:color="auto"/>
                        <w:bottom w:val="none" w:sz="0" w:space="0" w:color="auto"/>
                        <w:right w:val="none" w:sz="0" w:space="0" w:color="auto"/>
                      </w:divBdr>
                    </w:div>
                  </w:divsChild>
                </w:div>
                <w:div w:id="1617978967">
                  <w:marLeft w:val="0"/>
                  <w:marRight w:val="0"/>
                  <w:marTop w:val="0"/>
                  <w:marBottom w:val="0"/>
                  <w:divBdr>
                    <w:top w:val="none" w:sz="0" w:space="0" w:color="auto"/>
                    <w:left w:val="none" w:sz="0" w:space="0" w:color="auto"/>
                    <w:bottom w:val="none" w:sz="0" w:space="0" w:color="auto"/>
                    <w:right w:val="none" w:sz="0" w:space="0" w:color="auto"/>
                  </w:divBdr>
                  <w:divsChild>
                    <w:div w:id="757287386">
                      <w:marLeft w:val="0"/>
                      <w:marRight w:val="0"/>
                      <w:marTop w:val="0"/>
                      <w:marBottom w:val="0"/>
                      <w:divBdr>
                        <w:top w:val="none" w:sz="0" w:space="0" w:color="auto"/>
                        <w:left w:val="none" w:sz="0" w:space="0" w:color="auto"/>
                        <w:bottom w:val="none" w:sz="0" w:space="0" w:color="auto"/>
                        <w:right w:val="none" w:sz="0" w:space="0" w:color="auto"/>
                      </w:divBdr>
                    </w:div>
                  </w:divsChild>
                </w:div>
                <w:div w:id="1636443132">
                  <w:marLeft w:val="0"/>
                  <w:marRight w:val="0"/>
                  <w:marTop w:val="0"/>
                  <w:marBottom w:val="0"/>
                  <w:divBdr>
                    <w:top w:val="none" w:sz="0" w:space="0" w:color="auto"/>
                    <w:left w:val="none" w:sz="0" w:space="0" w:color="auto"/>
                    <w:bottom w:val="none" w:sz="0" w:space="0" w:color="auto"/>
                    <w:right w:val="none" w:sz="0" w:space="0" w:color="auto"/>
                  </w:divBdr>
                  <w:divsChild>
                    <w:div w:id="166752867">
                      <w:marLeft w:val="0"/>
                      <w:marRight w:val="0"/>
                      <w:marTop w:val="0"/>
                      <w:marBottom w:val="0"/>
                      <w:divBdr>
                        <w:top w:val="none" w:sz="0" w:space="0" w:color="auto"/>
                        <w:left w:val="none" w:sz="0" w:space="0" w:color="auto"/>
                        <w:bottom w:val="none" w:sz="0" w:space="0" w:color="auto"/>
                        <w:right w:val="none" w:sz="0" w:space="0" w:color="auto"/>
                      </w:divBdr>
                    </w:div>
                  </w:divsChild>
                </w:div>
                <w:div w:id="1695692848">
                  <w:marLeft w:val="0"/>
                  <w:marRight w:val="0"/>
                  <w:marTop w:val="0"/>
                  <w:marBottom w:val="0"/>
                  <w:divBdr>
                    <w:top w:val="none" w:sz="0" w:space="0" w:color="auto"/>
                    <w:left w:val="none" w:sz="0" w:space="0" w:color="auto"/>
                    <w:bottom w:val="none" w:sz="0" w:space="0" w:color="auto"/>
                    <w:right w:val="none" w:sz="0" w:space="0" w:color="auto"/>
                  </w:divBdr>
                  <w:divsChild>
                    <w:div w:id="443381220">
                      <w:marLeft w:val="0"/>
                      <w:marRight w:val="0"/>
                      <w:marTop w:val="0"/>
                      <w:marBottom w:val="0"/>
                      <w:divBdr>
                        <w:top w:val="none" w:sz="0" w:space="0" w:color="auto"/>
                        <w:left w:val="none" w:sz="0" w:space="0" w:color="auto"/>
                        <w:bottom w:val="none" w:sz="0" w:space="0" w:color="auto"/>
                        <w:right w:val="none" w:sz="0" w:space="0" w:color="auto"/>
                      </w:divBdr>
                    </w:div>
                  </w:divsChild>
                </w:div>
                <w:div w:id="1708338697">
                  <w:marLeft w:val="0"/>
                  <w:marRight w:val="0"/>
                  <w:marTop w:val="0"/>
                  <w:marBottom w:val="0"/>
                  <w:divBdr>
                    <w:top w:val="none" w:sz="0" w:space="0" w:color="auto"/>
                    <w:left w:val="none" w:sz="0" w:space="0" w:color="auto"/>
                    <w:bottom w:val="none" w:sz="0" w:space="0" w:color="auto"/>
                    <w:right w:val="none" w:sz="0" w:space="0" w:color="auto"/>
                  </w:divBdr>
                  <w:divsChild>
                    <w:div w:id="615867258">
                      <w:marLeft w:val="0"/>
                      <w:marRight w:val="0"/>
                      <w:marTop w:val="0"/>
                      <w:marBottom w:val="0"/>
                      <w:divBdr>
                        <w:top w:val="none" w:sz="0" w:space="0" w:color="auto"/>
                        <w:left w:val="none" w:sz="0" w:space="0" w:color="auto"/>
                        <w:bottom w:val="none" w:sz="0" w:space="0" w:color="auto"/>
                        <w:right w:val="none" w:sz="0" w:space="0" w:color="auto"/>
                      </w:divBdr>
                    </w:div>
                  </w:divsChild>
                </w:div>
                <w:div w:id="1711496807">
                  <w:marLeft w:val="0"/>
                  <w:marRight w:val="0"/>
                  <w:marTop w:val="0"/>
                  <w:marBottom w:val="0"/>
                  <w:divBdr>
                    <w:top w:val="none" w:sz="0" w:space="0" w:color="auto"/>
                    <w:left w:val="none" w:sz="0" w:space="0" w:color="auto"/>
                    <w:bottom w:val="none" w:sz="0" w:space="0" w:color="auto"/>
                    <w:right w:val="none" w:sz="0" w:space="0" w:color="auto"/>
                  </w:divBdr>
                  <w:divsChild>
                    <w:div w:id="75828157">
                      <w:marLeft w:val="0"/>
                      <w:marRight w:val="0"/>
                      <w:marTop w:val="0"/>
                      <w:marBottom w:val="0"/>
                      <w:divBdr>
                        <w:top w:val="none" w:sz="0" w:space="0" w:color="auto"/>
                        <w:left w:val="none" w:sz="0" w:space="0" w:color="auto"/>
                        <w:bottom w:val="none" w:sz="0" w:space="0" w:color="auto"/>
                        <w:right w:val="none" w:sz="0" w:space="0" w:color="auto"/>
                      </w:divBdr>
                    </w:div>
                  </w:divsChild>
                </w:div>
                <w:div w:id="1729260173">
                  <w:marLeft w:val="0"/>
                  <w:marRight w:val="0"/>
                  <w:marTop w:val="0"/>
                  <w:marBottom w:val="0"/>
                  <w:divBdr>
                    <w:top w:val="none" w:sz="0" w:space="0" w:color="auto"/>
                    <w:left w:val="none" w:sz="0" w:space="0" w:color="auto"/>
                    <w:bottom w:val="none" w:sz="0" w:space="0" w:color="auto"/>
                    <w:right w:val="none" w:sz="0" w:space="0" w:color="auto"/>
                  </w:divBdr>
                  <w:divsChild>
                    <w:div w:id="1898279813">
                      <w:marLeft w:val="0"/>
                      <w:marRight w:val="0"/>
                      <w:marTop w:val="0"/>
                      <w:marBottom w:val="0"/>
                      <w:divBdr>
                        <w:top w:val="none" w:sz="0" w:space="0" w:color="auto"/>
                        <w:left w:val="none" w:sz="0" w:space="0" w:color="auto"/>
                        <w:bottom w:val="none" w:sz="0" w:space="0" w:color="auto"/>
                        <w:right w:val="none" w:sz="0" w:space="0" w:color="auto"/>
                      </w:divBdr>
                    </w:div>
                  </w:divsChild>
                </w:div>
                <w:div w:id="1748838971">
                  <w:marLeft w:val="0"/>
                  <w:marRight w:val="0"/>
                  <w:marTop w:val="0"/>
                  <w:marBottom w:val="0"/>
                  <w:divBdr>
                    <w:top w:val="none" w:sz="0" w:space="0" w:color="auto"/>
                    <w:left w:val="none" w:sz="0" w:space="0" w:color="auto"/>
                    <w:bottom w:val="none" w:sz="0" w:space="0" w:color="auto"/>
                    <w:right w:val="none" w:sz="0" w:space="0" w:color="auto"/>
                  </w:divBdr>
                  <w:divsChild>
                    <w:div w:id="1409305775">
                      <w:marLeft w:val="0"/>
                      <w:marRight w:val="0"/>
                      <w:marTop w:val="0"/>
                      <w:marBottom w:val="0"/>
                      <w:divBdr>
                        <w:top w:val="none" w:sz="0" w:space="0" w:color="auto"/>
                        <w:left w:val="none" w:sz="0" w:space="0" w:color="auto"/>
                        <w:bottom w:val="none" w:sz="0" w:space="0" w:color="auto"/>
                        <w:right w:val="none" w:sz="0" w:space="0" w:color="auto"/>
                      </w:divBdr>
                    </w:div>
                  </w:divsChild>
                </w:div>
                <w:div w:id="1752656274">
                  <w:marLeft w:val="0"/>
                  <w:marRight w:val="0"/>
                  <w:marTop w:val="0"/>
                  <w:marBottom w:val="0"/>
                  <w:divBdr>
                    <w:top w:val="none" w:sz="0" w:space="0" w:color="auto"/>
                    <w:left w:val="none" w:sz="0" w:space="0" w:color="auto"/>
                    <w:bottom w:val="none" w:sz="0" w:space="0" w:color="auto"/>
                    <w:right w:val="none" w:sz="0" w:space="0" w:color="auto"/>
                  </w:divBdr>
                  <w:divsChild>
                    <w:div w:id="771126690">
                      <w:marLeft w:val="0"/>
                      <w:marRight w:val="0"/>
                      <w:marTop w:val="0"/>
                      <w:marBottom w:val="0"/>
                      <w:divBdr>
                        <w:top w:val="none" w:sz="0" w:space="0" w:color="auto"/>
                        <w:left w:val="none" w:sz="0" w:space="0" w:color="auto"/>
                        <w:bottom w:val="none" w:sz="0" w:space="0" w:color="auto"/>
                        <w:right w:val="none" w:sz="0" w:space="0" w:color="auto"/>
                      </w:divBdr>
                    </w:div>
                  </w:divsChild>
                </w:div>
                <w:div w:id="1757747240">
                  <w:marLeft w:val="0"/>
                  <w:marRight w:val="0"/>
                  <w:marTop w:val="0"/>
                  <w:marBottom w:val="0"/>
                  <w:divBdr>
                    <w:top w:val="none" w:sz="0" w:space="0" w:color="auto"/>
                    <w:left w:val="none" w:sz="0" w:space="0" w:color="auto"/>
                    <w:bottom w:val="none" w:sz="0" w:space="0" w:color="auto"/>
                    <w:right w:val="none" w:sz="0" w:space="0" w:color="auto"/>
                  </w:divBdr>
                  <w:divsChild>
                    <w:div w:id="1520197645">
                      <w:marLeft w:val="0"/>
                      <w:marRight w:val="0"/>
                      <w:marTop w:val="0"/>
                      <w:marBottom w:val="0"/>
                      <w:divBdr>
                        <w:top w:val="none" w:sz="0" w:space="0" w:color="auto"/>
                        <w:left w:val="none" w:sz="0" w:space="0" w:color="auto"/>
                        <w:bottom w:val="none" w:sz="0" w:space="0" w:color="auto"/>
                        <w:right w:val="none" w:sz="0" w:space="0" w:color="auto"/>
                      </w:divBdr>
                    </w:div>
                  </w:divsChild>
                </w:div>
                <w:div w:id="1770736229">
                  <w:marLeft w:val="0"/>
                  <w:marRight w:val="0"/>
                  <w:marTop w:val="0"/>
                  <w:marBottom w:val="0"/>
                  <w:divBdr>
                    <w:top w:val="none" w:sz="0" w:space="0" w:color="auto"/>
                    <w:left w:val="none" w:sz="0" w:space="0" w:color="auto"/>
                    <w:bottom w:val="none" w:sz="0" w:space="0" w:color="auto"/>
                    <w:right w:val="none" w:sz="0" w:space="0" w:color="auto"/>
                  </w:divBdr>
                  <w:divsChild>
                    <w:div w:id="120851776">
                      <w:marLeft w:val="0"/>
                      <w:marRight w:val="0"/>
                      <w:marTop w:val="0"/>
                      <w:marBottom w:val="0"/>
                      <w:divBdr>
                        <w:top w:val="none" w:sz="0" w:space="0" w:color="auto"/>
                        <w:left w:val="none" w:sz="0" w:space="0" w:color="auto"/>
                        <w:bottom w:val="none" w:sz="0" w:space="0" w:color="auto"/>
                        <w:right w:val="none" w:sz="0" w:space="0" w:color="auto"/>
                      </w:divBdr>
                    </w:div>
                  </w:divsChild>
                </w:div>
                <w:div w:id="1772781309">
                  <w:marLeft w:val="0"/>
                  <w:marRight w:val="0"/>
                  <w:marTop w:val="0"/>
                  <w:marBottom w:val="0"/>
                  <w:divBdr>
                    <w:top w:val="none" w:sz="0" w:space="0" w:color="auto"/>
                    <w:left w:val="none" w:sz="0" w:space="0" w:color="auto"/>
                    <w:bottom w:val="none" w:sz="0" w:space="0" w:color="auto"/>
                    <w:right w:val="none" w:sz="0" w:space="0" w:color="auto"/>
                  </w:divBdr>
                  <w:divsChild>
                    <w:div w:id="1508976966">
                      <w:marLeft w:val="0"/>
                      <w:marRight w:val="0"/>
                      <w:marTop w:val="0"/>
                      <w:marBottom w:val="0"/>
                      <w:divBdr>
                        <w:top w:val="none" w:sz="0" w:space="0" w:color="auto"/>
                        <w:left w:val="none" w:sz="0" w:space="0" w:color="auto"/>
                        <w:bottom w:val="none" w:sz="0" w:space="0" w:color="auto"/>
                        <w:right w:val="none" w:sz="0" w:space="0" w:color="auto"/>
                      </w:divBdr>
                    </w:div>
                  </w:divsChild>
                </w:div>
                <w:div w:id="1775712040">
                  <w:marLeft w:val="0"/>
                  <w:marRight w:val="0"/>
                  <w:marTop w:val="0"/>
                  <w:marBottom w:val="0"/>
                  <w:divBdr>
                    <w:top w:val="none" w:sz="0" w:space="0" w:color="auto"/>
                    <w:left w:val="none" w:sz="0" w:space="0" w:color="auto"/>
                    <w:bottom w:val="none" w:sz="0" w:space="0" w:color="auto"/>
                    <w:right w:val="none" w:sz="0" w:space="0" w:color="auto"/>
                  </w:divBdr>
                  <w:divsChild>
                    <w:div w:id="113333240">
                      <w:marLeft w:val="0"/>
                      <w:marRight w:val="0"/>
                      <w:marTop w:val="0"/>
                      <w:marBottom w:val="0"/>
                      <w:divBdr>
                        <w:top w:val="none" w:sz="0" w:space="0" w:color="auto"/>
                        <w:left w:val="none" w:sz="0" w:space="0" w:color="auto"/>
                        <w:bottom w:val="none" w:sz="0" w:space="0" w:color="auto"/>
                        <w:right w:val="none" w:sz="0" w:space="0" w:color="auto"/>
                      </w:divBdr>
                    </w:div>
                  </w:divsChild>
                </w:div>
                <w:div w:id="1779174401">
                  <w:marLeft w:val="0"/>
                  <w:marRight w:val="0"/>
                  <w:marTop w:val="0"/>
                  <w:marBottom w:val="0"/>
                  <w:divBdr>
                    <w:top w:val="none" w:sz="0" w:space="0" w:color="auto"/>
                    <w:left w:val="none" w:sz="0" w:space="0" w:color="auto"/>
                    <w:bottom w:val="none" w:sz="0" w:space="0" w:color="auto"/>
                    <w:right w:val="none" w:sz="0" w:space="0" w:color="auto"/>
                  </w:divBdr>
                  <w:divsChild>
                    <w:div w:id="71390273">
                      <w:marLeft w:val="0"/>
                      <w:marRight w:val="0"/>
                      <w:marTop w:val="0"/>
                      <w:marBottom w:val="0"/>
                      <w:divBdr>
                        <w:top w:val="none" w:sz="0" w:space="0" w:color="auto"/>
                        <w:left w:val="none" w:sz="0" w:space="0" w:color="auto"/>
                        <w:bottom w:val="none" w:sz="0" w:space="0" w:color="auto"/>
                        <w:right w:val="none" w:sz="0" w:space="0" w:color="auto"/>
                      </w:divBdr>
                    </w:div>
                  </w:divsChild>
                </w:div>
                <w:div w:id="1808937154">
                  <w:marLeft w:val="0"/>
                  <w:marRight w:val="0"/>
                  <w:marTop w:val="0"/>
                  <w:marBottom w:val="0"/>
                  <w:divBdr>
                    <w:top w:val="none" w:sz="0" w:space="0" w:color="auto"/>
                    <w:left w:val="none" w:sz="0" w:space="0" w:color="auto"/>
                    <w:bottom w:val="none" w:sz="0" w:space="0" w:color="auto"/>
                    <w:right w:val="none" w:sz="0" w:space="0" w:color="auto"/>
                  </w:divBdr>
                  <w:divsChild>
                    <w:div w:id="1689717133">
                      <w:marLeft w:val="0"/>
                      <w:marRight w:val="0"/>
                      <w:marTop w:val="0"/>
                      <w:marBottom w:val="0"/>
                      <w:divBdr>
                        <w:top w:val="none" w:sz="0" w:space="0" w:color="auto"/>
                        <w:left w:val="none" w:sz="0" w:space="0" w:color="auto"/>
                        <w:bottom w:val="none" w:sz="0" w:space="0" w:color="auto"/>
                        <w:right w:val="none" w:sz="0" w:space="0" w:color="auto"/>
                      </w:divBdr>
                    </w:div>
                  </w:divsChild>
                </w:div>
                <w:div w:id="1843279624">
                  <w:marLeft w:val="0"/>
                  <w:marRight w:val="0"/>
                  <w:marTop w:val="0"/>
                  <w:marBottom w:val="0"/>
                  <w:divBdr>
                    <w:top w:val="none" w:sz="0" w:space="0" w:color="auto"/>
                    <w:left w:val="none" w:sz="0" w:space="0" w:color="auto"/>
                    <w:bottom w:val="none" w:sz="0" w:space="0" w:color="auto"/>
                    <w:right w:val="none" w:sz="0" w:space="0" w:color="auto"/>
                  </w:divBdr>
                  <w:divsChild>
                    <w:div w:id="21974962">
                      <w:marLeft w:val="0"/>
                      <w:marRight w:val="0"/>
                      <w:marTop w:val="0"/>
                      <w:marBottom w:val="0"/>
                      <w:divBdr>
                        <w:top w:val="none" w:sz="0" w:space="0" w:color="auto"/>
                        <w:left w:val="none" w:sz="0" w:space="0" w:color="auto"/>
                        <w:bottom w:val="none" w:sz="0" w:space="0" w:color="auto"/>
                        <w:right w:val="none" w:sz="0" w:space="0" w:color="auto"/>
                      </w:divBdr>
                    </w:div>
                  </w:divsChild>
                </w:div>
                <w:div w:id="1849101871">
                  <w:marLeft w:val="0"/>
                  <w:marRight w:val="0"/>
                  <w:marTop w:val="0"/>
                  <w:marBottom w:val="0"/>
                  <w:divBdr>
                    <w:top w:val="none" w:sz="0" w:space="0" w:color="auto"/>
                    <w:left w:val="none" w:sz="0" w:space="0" w:color="auto"/>
                    <w:bottom w:val="none" w:sz="0" w:space="0" w:color="auto"/>
                    <w:right w:val="none" w:sz="0" w:space="0" w:color="auto"/>
                  </w:divBdr>
                  <w:divsChild>
                    <w:div w:id="20791026">
                      <w:marLeft w:val="0"/>
                      <w:marRight w:val="0"/>
                      <w:marTop w:val="0"/>
                      <w:marBottom w:val="0"/>
                      <w:divBdr>
                        <w:top w:val="none" w:sz="0" w:space="0" w:color="auto"/>
                        <w:left w:val="none" w:sz="0" w:space="0" w:color="auto"/>
                        <w:bottom w:val="none" w:sz="0" w:space="0" w:color="auto"/>
                        <w:right w:val="none" w:sz="0" w:space="0" w:color="auto"/>
                      </w:divBdr>
                    </w:div>
                  </w:divsChild>
                </w:div>
                <w:div w:id="1861434471">
                  <w:marLeft w:val="0"/>
                  <w:marRight w:val="0"/>
                  <w:marTop w:val="0"/>
                  <w:marBottom w:val="0"/>
                  <w:divBdr>
                    <w:top w:val="none" w:sz="0" w:space="0" w:color="auto"/>
                    <w:left w:val="none" w:sz="0" w:space="0" w:color="auto"/>
                    <w:bottom w:val="none" w:sz="0" w:space="0" w:color="auto"/>
                    <w:right w:val="none" w:sz="0" w:space="0" w:color="auto"/>
                  </w:divBdr>
                  <w:divsChild>
                    <w:div w:id="766386595">
                      <w:marLeft w:val="0"/>
                      <w:marRight w:val="0"/>
                      <w:marTop w:val="0"/>
                      <w:marBottom w:val="0"/>
                      <w:divBdr>
                        <w:top w:val="none" w:sz="0" w:space="0" w:color="auto"/>
                        <w:left w:val="none" w:sz="0" w:space="0" w:color="auto"/>
                        <w:bottom w:val="none" w:sz="0" w:space="0" w:color="auto"/>
                        <w:right w:val="none" w:sz="0" w:space="0" w:color="auto"/>
                      </w:divBdr>
                    </w:div>
                  </w:divsChild>
                </w:div>
                <w:div w:id="1879539650">
                  <w:marLeft w:val="0"/>
                  <w:marRight w:val="0"/>
                  <w:marTop w:val="0"/>
                  <w:marBottom w:val="0"/>
                  <w:divBdr>
                    <w:top w:val="none" w:sz="0" w:space="0" w:color="auto"/>
                    <w:left w:val="none" w:sz="0" w:space="0" w:color="auto"/>
                    <w:bottom w:val="none" w:sz="0" w:space="0" w:color="auto"/>
                    <w:right w:val="none" w:sz="0" w:space="0" w:color="auto"/>
                  </w:divBdr>
                  <w:divsChild>
                    <w:div w:id="137847491">
                      <w:marLeft w:val="0"/>
                      <w:marRight w:val="0"/>
                      <w:marTop w:val="0"/>
                      <w:marBottom w:val="0"/>
                      <w:divBdr>
                        <w:top w:val="none" w:sz="0" w:space="0" w:color="auto"/>
                        <w:left w:val="none" w:sz="0" w:space="0" w:color="auto"/>
                        <w:bottom w:val="none" w:sz="0" w:space="0" w:color="auto"/>
                        <w:right w:val="none" w:sz="0" w:space="0" w:color="auto"/>
                      </w:divBdr>
                    </w:div>
                  </w:divsChild>
                </w:div>
                <w:div w:id="1884632795">
                  <w:marLeft w:val="0"/>
                  <w:marRight w:val="0"/>
                  <w:marTop w:val="0"/>
                  <w:marBottom w:val="0"/>
                  <w:divBdr>
                    <w:top w:val="none" w:sz="0" w:space="0" w:color="auto"/>
                    <w:left w:val="none" w:sz="0" w:space="0" w:color="auto"/>
                    <w:bottom w:val="none" w:sz="0" w:space="0" w:color="auto"/>
                    <w:right w:val="none" w:sz="0" w:space="0" w:color="auto"/>
                  </w:divBdr>
                  <w:divsChild>
                    <w:div w:id="2125073088">
                      <w:marLeft w:val="0"/>
                      <w:marRight w:val="0"/>
                      <w:marTop w:val="0"/>
                      <w:marBottom w:val="0"/>
                      <w:divBdr>
                        <w:top w:val="none" w:sz="0" w:space="0" w:color="auto"/>
                        <w:left w:val="none" w:sz="0" w:space="0" w:color="auto"/>
                        <w:bottom w:val="none" w:sz="0" w:space="0" w:color="auto"/>
                        <w:right w:val="none" w:sz="0" w:space="0" w:color="auto"/>
                      </w:divBdr>
                    </w:div>
                  </w:divsChild>
                </w:div>
                <w:div w:id="1900556346">
                  <w:marLeft w:val="0"/>
                  <w:marRight w:val="0"/>
                  <w:marTop w:val="0"/>
                  <w:marBottom w:val="0"/>
                  <w:divBdr>
                    <w:top w:val="none" w:sz="0" w:space="0" w:color="auto"/>
                    <w:left w:val="none" w:sz="0" w:space="0" w:color="auto"/>
                    <w:bottom w:val="none" w:sz="0" w:space="0" w:color="auto"/>
                    <w:right w:val="none" w:sz="0" w:space="0" w:color="auto"/>
                  </w:divBdr>
                  <w:divsChild>
                    <w:div w:id="1300920098">
                      <w:marLeft w:val="0"/>
                      <w:marRight w:val="0"/>
                      <w:marTop w:val="0"/>
                      <w:marBottom w:val="0"/>
                      <w:divBdr>
                        <w:top w:val="none" w:sz="0" w:space="0" w:color="auto"/>
                        <w:left w:val="none" w:sz="0" w:space="0" w:color="auto"/>
                        <w:bottom w:val="none" w:sz="0" w:space="0" w:color="auto"/>
                        <w:right w:val="none" w:sz="0" w:space="0" w:color="auto"/>
                      </w:divBdr>
                    </w:div>
                  </w:divsChild>
                </w:div>
                <w:div w:id="1901868106">
                  <w:marLeft w:val="0"/>
                  <w:marRight w:val="0"/>
                  <w:marTop w:val="0"/>
                  <w:marBottom w:val="0"/>
                  <w:divBdr>
                    <w:top w:val="none" w:sz="0" w:space="0" w:color="auto"/>
                    <w:left w:val="none" w:sz="0" w:space="0" w:color="auto"/>
                    <w:bottom w:val="none" w:sz="0" w:space="0" w:color="auto"/>
                    <w:right w:val="none" w:sz="0" w:space="0" w:color="auto"/>
                  </w:divBdr>
                  <w:divsChild>
                    <w:div w:id="1798527072">
                      <w:marLeft w:val="0"/>
                      <w:marRight w:val="0"/>
                      <w:marTop w:val="0"/>
                      <w:marBottom w:val="0"/>
                      <w:divBdr>
                        <w:top w:val="none" w:sz="0" w:space="0" w:color="auto"/>
                        <w:left w:val="none" w:sz="0" w:space="0" w:color="auto"/>
                        <w:bottom w:val="none" w:sz="0" w:space="0" w:color="auto"/>
                        <w:right w:val="none" w:sz="0" w:space="0" w:color="auto"/>
                      </w:divBdr>
                    </w:div>
                  </w:divsChild>
                </w:div>
                <w:div w:id="1932810028">
                  <w:marLeft w:val="0"/>
                  <w:marRight w:val="0"/>
                  <w:marTop w:val="0"/>
                  <w:marBottom w:val="0"/>
                  <w:divBdr>
                    <w:top w:val="none" w:sz="0" w:space="0" w:color="auto"/>
                    <w:left w:val="none" w:sz="0" w:space="0" w:color="auto"/>
                    <w:bottom w:val="none" w:sz="0" w:space="0" w:color="auto"/>
                    <w:right w:val="none" w:sz="0" w:space="0" w:color="auto"/>
                  </w:divBdr>
                  <w:divsChild>
                    <w:div w:id="870189383">
                      <w:marLeft w:val="0"/>
                      <w:marRight w:val="0"/>
                      <w:marTop w:val="0"/>
                      <w:marBottom w:val="0"/>
                      <w:divBdr>
                        <w:top w:val="none" w:sz="0" w:space="0" w:color="auto"/>
                        <w:left w:val="none" w:sz="0" w:space="0" w:color="auto"/>
                        <w:bottom w:val="none" w:sz="0" w:space="0" w:color="auto"/>
                        <w:right w:val="none" w:sz="0" w:space="0" w:color="auto"/>
                      </w:divBdr>
                    </w:div>
                  </w:divsChild>
                </w:div>
                <w:div w:id="1944454999">
                  <w:marLeft w:val="0"/>
                  <w:marRight w:val="0"/>
                  <w:marTop w:val="0"/>
                  <w:marBottom w:val="0"/>
                  <w:divBdr>
                    <w:top w:val="none" w:sz="0" w:space="0" w:color="auto"/>
                    <w:left w:val="none" w:sz="0" w:space="0" w:color="auto"/>
                    <w:bottom w:val="none" w:sz="0" w:space="0" w:color="auto"/>
                    <w:right w:val="none" w:sz="0" w:space="0" w:color="auto"/>
                  </w:divBdr>
                  <w:divsChild>
                    <w:div w:id="1365330652">
                      <w:marLeft w:val="0"/>
                      <w:marRight w:val="0"/>
                      <w:marTop w:val="0"/>
                      <w:marBottom w:val="0"/>
                      <w:divBdr>
                        <w:top w:val="none" w:sz="0" w:space="0" w:color="auto"/>
                        <w:left w:val="none" w:sz="0" w:space="0" w:color="auto"/>
                        <w:bottom w:val="none" w:sz="0" w:space="0" w:color="auto"/>
                        <w:right w:val="none" w:sz="0" w:space="0" w:color="auto"/>
                      </w:divBdr>
                    </w:div>
                  </w:divsChild>
                </w:div>
                <w:div w:id="1948542423">
                  <w:marLeft w:val="0"/>
                  <w:marRight w:val="0"/>
                  <w:marTop w:val="0"/>
                  <w:marBottom w:val="0"/>
                  <w:divBdr>
                    <w:top w:val="none" w:sz="0" w:space="0" w:color="auto"/>
                    <w:left w:val="none" w:sz="0" w:space="0" w:color="auto"/>
                    <w:bottom w:val="none" w:sz="0" w:space="0" w:color="auto"/>
                    <w:right w:val="none" w:sz="0" w:space="0" w:color="auto"/>
                  </w:divBdr>
                  <w:divsChild>
                    <w:div w:id="1482652110">
                      <w:marLeft w:val="0"/>
                      <w:marRight w:val="0"/>
                      <w:marTop w:val="0"/>
                      <w:marBottom w:val="0"/>
                      <w:divBdr>
                        <w:top w:val="none" w:sz="0" w:space="0" w:color="auto"/>
                        <w:left w:val="none" w:sz="0" w:space="0" w:color="auto"/>
                        <w:bottom w:val="none" w:sz="0" w:space="0" w:color="auto"/>
                        <w:right w:val="none" w:sz="0" w:space="0" w:color="auto"/>
                      </w:divBdr>
                    </w:div>
                  </w:divsChild>
                </w:div>
                <w:div w:id="1955938811">
                  <w:marLeft w:val="0"/>
                  <w:marRight w:val="0"/>
                  <w:marTop w:val="0"/>
                  <w:marBottom w:val="0"/>
                  <w:divBdr>
                    <w:top w:val="none" w:sz="0" w:space="0" w:color="auto"/>
                    <w:left w:val="none" w:sz="0" w:space="0" w:color="auto"/>
                    <w:bottom w:val="none" w:sz="0" w:space="0" w:color="auto"/>
                    <w:right w:val="none" w:sz="0" w:space="0" w:color="auto"/>
                  </w:divBdr>
                  <w:divsChild>
                    <w:div w:id="1573343894">
                      <w:marLeft w:val="0"/>
                      <w:marRight w:val="0"/>
                      <w:marTop w:val="0"/>
                      <w:marBottom w:val="0"/>
                      <w:divBdr>
                        <w:top w:val="none" w:sz="0" w:space="0" w:color="auto"/>
                        <w:left w:val="none" w:sz="0" w:space="0" w:color="auto"/>
                        <w:bottom w:val="none" w:sz="0" w:space="0" w:color="auto"/>
                        <w:right w:val="none" w:sz="0" w:space="0" w:color="auto"/>
                      </w:divBdr>
                    </w:div>
                  </w:divsChild>
                </w:div>
                <w:div w:id="1963149332">
                  <w:marLeft w:val="0"/>
                  <w:marRight w:val="0"/>
                  <w:marTop w:val="0"/>
                  <w:marBottom w:val="0"/>
                  <w:divBdr>
                    <w:top w:val="none" w:sz="0" w:space="0" w:color="auto"/>
                    <w:left w:val="none" w:sz="0" w:space="0" w:color="auto"/>
                    <w:bottom w:val="none" w:sz="0" w:space="0" w:color="auto"/>
                    <w:right w:val="none" w:sz="0" w:space="0" w:color="auto"/>
                  </w:divBdr>
                  <w:divsChild>
                    <w:div w:id="2005236878">
                      <w:marLeft w:val="0"/>
                      <w:marRight w:val="0"/>
                      <w:marTop w:val="0"/>
                      <w:marBottom w:val="0"/>
                      <w:divBdr>
                        <w:top w:val="none" w:sz="0" w:space="0" w:color="auto"/>
                        <w:left w:val="none" w:sz="0" w:space="0" w:color="auto"/>
                        <w:bottom w:val="none" w:sz="0" w:space="0" w:color="auto"/>
                        <w:right w:val="none" w:sz="0" w:space="0" w:color="auto"/>
                      </w:divBdr>
                    </w:div>
                  </w:divsChild>
                </w:div>
                <w:div w:id="1967076060">
                  <w:marLeft w:val="0"/>
                  <w:marRight w:val="0"/>
                  <w:marTop w:val="0"/>
                  <w:marBottom w:val="0"/>
                  <w:divBdr>
                    <w:top w:val="none" w:sz="0" w:space="0" w:color="auto"/>
                    <w:left w:val="none" w:sz="0" w:space="0" w:color="auto"/>
                    <w:bottom w:val="none" w:sz="0" w:space="0" w:color="auto"/>
                    <w:right w:val="none" w:sz="0" w:space="0" w:color="auto"/>
                  </w:divBdr>
                  <w:divsChild>
                    <w:div w:id="656806943">
                      <w:marLeft w:val="0"/>
                      <w:marRight w:val="0"/>
                      <w:marTop w:val="0"/>
                      <w:marBottom w:val="0"/>
                      <w:divBdr>
                        <w:top w:val="none" w:sz="0" w:space="0" w:color="auto"/>
                        <w:left w:val="none" w:sz="0" w:space="0" w:color="auto"/>
                        <w:bottom w:val="none" w:sz="0" w:space="0" w:color="auto"/>
                        <w:right w:val="none" w:sz="0" w:space="0" w:color="auto"/>
                      </w:divBdr>
                    </w:div>
                  </w:divsChild>
                </w:div>
                <w:div w:id="1981880827">
                  <w:marLeft w:val="0"/>
                  <w:marRight w:val="0"/>
                  <w:marTop w:val="0"/>
                  <w:marBottom w:val="0"/>
                  <w:divBdr>
                    <w:top w:val="none" w:sz="0" w:space="0" w:color="auto"/>
                    <w:left w:val="none" w:sz="0" w:space="0" w:color="auto"/>
                    <w:bottom w:val="none" w:sz="0" w:space="0" w:color="auto"/>
                    <w:right w:val="none" w:sz="0" w:space="0" w:color="auto"/>
                  </w:divBdr>
                  <w:divsChild>
                    <w:div w:id="1504391138">
                      <w:marLeft w:val="0"/>
                      <w:marRight w:val="0"/>
                      <w:marTop w:val="0"/>
                      <w:marBottom w:val="0"/>
                      <w:divBdr>
                        <w:top w:val="none" w:sz="0" w:space="0" w:color="auto"/>
                        <w:left w:val="none" w:sz="0" w:space="0" w:color="auto"/>
                        <w:bottom w:val="none" w:sz="0" w:space="0" w:color="auto"/>
                        <w:right w:val="none" w:sz="0" w:space="0" w:color="auto"/>
                      </w:divBdr>
                    </w:div>
                  </w:divsChild>
                </w:div>
                <w:div w:id="2011791251">
                  <w:marLeft w:val="0"/>
                  <w:marRight w:val="0"/>
                  <w:marTop w:val="0"/>
                  <w:marBottom w:val="0"/>
                  <w:divBdr>
                    <w:top w:val="none" w:sz="0" w:space="0" w:color="auto"/>
                    <w:left w:val="none" w:sz="0" w:space="0" w:color="auto"/>
                    <w:bottom w:val="none" w:sz="0" w:space="0" w:color="auto"/>
                    <w:right w:val="none" w:sz="0" w:space="0" w:color="auto"/>
                  </w:divBdr>
                  <w:divsChild>
                    <w:div w:id="423575623">
                      <w:marLeft w:val="0"/>
                      <w:marRight w:val="0"/>
                      <w:marTop w:val="0"/>
                      <w:marBottom w:val="0"/>
                      <w:divBdr>
                        <w:top w:val="none" w:sz="0" w:space="0" w:color="auto"/>
                        <w:left w:val="none" w:sz="0" w:space="0" w:color="auto"/>
                        <w:bottom w:val="none" w:sz="0" w:space="0" w:color="auto"/>
                        <w:right w:val="none" w:sz="0" w:space="0" w:color="auto"/>
                      </w:divBdr>
                    </w:div>
                  </w:divsChild>
                </w:div>
                <w:div w:id="2035187614">
                  <w:marLeft w:val="0"/>
                  <w:marRight w:val="0"/>
                  <w:marTop w:val="0"/>
                  <w:marBottom w:val="0"/>
                  <w:divBdr>
                    <w:top w:val="none" w:sz="0" w:space="0" w:color="auto"/>
                    <w:left w:val="none" w:sz="0" w:space="0" w:color="auto"/>
                    <w:bottom w:val="none" w:sz="0" w:space="0" w:color="auto"/>
                    <w:right w:val="none" w:sz="0" w:space="0" w:color="auto"/>
                  </w:divBdr>
                  <w:divsChild>
                    <w:div w:id="1191139007">
                      <w:marLeft w:val="0"/>
                      <w:marRight w:val="0"/>
                      <w:marTop w:val="0"/>
                      <w:marBottom w:val="0"/>
                      <w:divBdr>
                        <w:top w:val="none" w:sz="0" w:space="0" w:color="auto"/>
                        <w:left w:val="none" w:sz="0" w:space="0" w:color="auto"/>
                        <w:bottom w:val="none" w:sz="0" w:space="0" w:color="auto"/>
                        <w:right w:val="none" w:sz="0" w:space="0" w:color="auto"/>
                      </w:divBdr>
                    </w:div>
                  </w:divsChild>
                </w:div>
                <w:div w:id="2042316760">
                  <w:marLeft w:val="0"/>
                  <w:marRight w:val="0"/>
                  <w:marTop w:val="0"/>
                  <w:marBottom w:val="0"/>
                  <w:divBdr>
                    <w:top w:val="none" w:sz="0" w:space="0" w:color="auto"/>
                    <w:left w:val="none" w:sz="0" w:space="0" w:color="auto"/>
                    <w:bottom w:val="none" w:sz="0" w:space="0" w:color="auto"/>
                    <w:right w:val="none" w:sz="0" w:space="0" w:color="auto"/>
                  </w:divBdr>
                  <w:divsChild>
                    <w:div w:id="137849263">
                      <w:marLeft w:val="0"/>
                      <w:marRight w:val="0"/>
                      <w:marTop w:val="0"/>
                      <w:marBottom w:val="0"/>
                      <w:divBdr>
                        <w:top w:val="none" w:sz="0" w:space="0" w:color="auto"/>
                        <w:left w:val="none" w:sz="0" w:space="0" w:color="auto"/>
                        <w:bottom w:val="none" w:sz="0" w:space="0" w:color="auto"/>
                        <w:right w:val="none" w:sz="0" w:space="0" w:color="auto"/>
                      </w:divBdr>
                    </w:div>
                  </w:divsChild>
                </w:div>
                <w:div w:id="2047101309">
                  <w:marLeft w:val="0"/>
                  <w:marRight w:val="0"/>
                  <w:marTop w:val="0"/>
                  <w:marBottom w:val="0"/>
                  <w:divBdr>
                    <w:top w:val="none" w:sz="0" w:space="0" w:color="auto"/>
                    <w:left w:val="none" w:sz="0" w:space="0" w:color="auto"/>
                    <w:bottom w:val="none" w:sz="0" w:space="0" w:color="auto"/>
                    <w:right w:val="none" w:sz="0" w:space="0" w:color="auto"/>
                  </w:divBdr>
                  <w:divsChild>
                    <w:div w:id="436750694">
                      <w:marLeft w:val="0"/>
                      <w:marRight w:val="0"/>
                      <w:marTop w:val="0"/>
                      <w:marBottom w:val="0"/>
                      <w:divBdr>
                        <w:top w:val="none" w:sz="0" w:space="0" w:color="auto"/>
                        <w:left w:val="none" w:sz="0" w:space="0" w:color="auto"/>
                        <w:bottom w:val="none" w:sz="0" w:space="0" w:color="auto"/>
                        <w:right w:val="none" w:sz="0" w:space="0" w:color="auto"/>
                      </w:divBdr>
                    </w:div>
                  </w:divsChild>
                </w:div>
                <w:div w:id="2052152181">
                  <w:marLeft w:val="0"/>
                  <w:marRight w:val="0"/>
                  <w:marTop w:val="0"/>
                  <w:marBottom w:val="0"/>
                  <w:divBdr>
                    <w:top w:val="none" w:sz="0" w:space="0" w:color="auto"/>
                    <w:left w:val="none" w:sz="0" w:space="0" w:color="auto"/>
                    <w:bottom w:val="none" w:sz="0" w:space="0" w:color="auto"/>
                    <w:right w:val="none" w:sz="0" w:space="0" w:color="auto"/>
                  </w:divBdr>
                  <w:divsChild>
                    <w:div w:id="1594699465">
                      <w:marLeft w:val="0"/>
                      <w:marRight w:val="0"/>
                      <w:marTop w:val="0"/>
                      <w:marBottom w:val="0"/>
                      <w:divBdr>
                        <w:top w:val="none" w:sz="0" w:space="0" w:color="auto"/>
                        <w:left w:val="none" w:sz="0" w:space="0" w:color="auto"/>
                        <w:bottom w:val="none" w:sz="0" w:space="0" w:color="auto"/>
                        <w:right w:val="none" w:sz="0" w:space="0" w:color="auto"/>
                      </w:divBdr>
                    </w:div>
                  </w:divsChild>
                </w:div>
                <w:div w:id="2056076353">
                  <w:marLeft w:val="0"/>
                  <w:marRight w:val="0"/>
                  <w:marTop w:val="0"/>
                  <w:marBottom w:val="0"/>
                  <w:divBdr>
                    <w:top w:val="none" w:sz="0" w:space="0" w:color="auto"/>
                    <w:left w:val="none" w:sz="0" w:space="0" w:color="auto"/>
                    <w:bottom w:val="none" w:sz="0" w:space="0" w:color="auto"/>
                    <w:right w:val="none" w:sz="0" w:space="0" w:color="auto"/>
                  </w:divBdr>
                  <w:divsChild>
                    <w:div w:id="1945961662">
                      <w:marLeft w:val="0"/>
                      <w:marRight w:val="0"/>
                      <w:marTop w:val="0"/>
                      <w:marBottom w:val="0"/>
                      <w:divBdr>
                        <w:top w:val="none" w:sz="0" w:space="0" w:color="auto"/>
                        <w:left w:val="none" w:sz="0" w:space="0" w:color="auto"/>
                        <w:bottom w:val="none" w:sz="0" w:space="0" w:color="auto"/>
                        <w:right w:val="none" w:sz="0" w:space="0" w:color="auto"/>
                      </w:divBdr>
                    </w:div>
                  </w:divsChild>
                </w:div>
                <w:div w:id="2077391511">
                  <w:marLeft w:val="0"/>
                  <w:marRight w:val="0"/>
                  <w:marTop w:val="0"/>
                  <w:marBottom w:val="0"/>
                  <w:divBdr>
                    <w:top w:val="none" w:sz="0" w:space="0" w:color="auto"/>
                    <w:left w:val="none" w:sz="0" w:space="0" w:color="auto"/>
                    <w:bottom w:val="none" w:sz="0" w:space="0" w:color="auto"/>
                    <w:right w:val="none" w:sz="0" w:space="0" w:color="auto"/>
                  </w:divBdr>
                  <w:divsChild>
                    <w:div w:id="1504932221">
                      <w:marLeft w:val="0"/>
                      <w:marRight w:val="0"/>
                      <w:marTop w:val="0"/>
                      <w:marBottom w:val="0"/>
                      <w:divBdr>
                        <w:top w:val="none" w:sz="0" w:space="0" w:color="auto"/>
                        <w:left w:val="none" w:sz="0" w:space="0" w:color="auto"/>
                        <w:bottom w:val="none" w:sz="0" w:space="0" w:color="auto"/>
                        <w:right w:val="none" w:sz="0" w:space="0" w:color="auto"/>
                      </w:divBdr>
                    </w:div>
                  </w:divsChild>
                </w:div>
                <w:div w:id="2085565939">
                  <w:marLeft w:val="0"/>
                  <w:marRight w:val="0"/>
                  <w:marTop w:val="0"/>
                  <w:marBottom w:val="0"/>
                  <w:divBdr>
                    <w:top w:val="none" w:sz="0" w:space="0" w:color="auto"/>
                    <w:left w:val="none" w:sz="0" w:space="0" w:color="auto"/>
                    <w:bottom w:val="none" w:sz="0" w:space="0" w:color="auto"/>
                    <w:right w:val="none" w:sz="0" w:space="0" w:color="auto"/>
                  </w:divBdr>
                  <w:divsChild>
                    <w:div w:id="75396488">
                      <w:marLeft w:val="0"/>
                      <w:marRight w:val="0"/>
                      <w:marTop w:val="0"/>
                      <w:marBottom w:val="0"/>
                      <w:divBdr>
                        <w:top w:val="none" w:sz="0" w:space="0" w:color="auto"/>
                        <w:left w:val="none" w:sz="0" w:space="0" w:color="auto"/>
                        <w:bottom w:val="none" w:sz="0" w:space="0" w:color="auto"/>
                        <w:right w:val="none" w:sz="0" w:space="0" w:color="auto"/>
                      </w:divBdr>
                    </w:div>
                  </w:divsChild>
                </w:div>
                <w:div w:id="2118403596">
                  <w:marLeft w:val="0"/>
                  <w:marRight w:val="0"/>
                  <w:marTop w:val="0"/>
                  <w:marBottom w:val="0"/>
                  <w:divBdr>
                    <w:top w:val="none" w:sz="0" w:space="0" w:color="auto"/>
                    <w:left w:val="none" w:sz="0" w:space="0" w:color="auto"/>
                    <w:bottom w:val="none" w:sz="0" w:space="0" w:color="auto"/>
                    <w:right w:val="none" w:sz="0" w:space="0" w:color="auto"/>
                  </w:divBdr>
                  <w:divsChild>
                    <w:div w:id="1208759206">
                      <w:marLeft w:val="0"/>
                      <w:marRight w:val="0"/>
                      <w:marTop w:val="0"/>
                      <w:marBottom w:val="0"/>
                      <w:divBdr>
                        <w:top w:val="none" w:sz="0" w:space="0" w:color="auto"/>
                        <w:left w:val="none" w:sz="0" w:space="0" w:color="auto"/>
                        <w:bottom w:val="none" w:sz="0" w:space="0" w:color="auto"/>
                        <w:right w:val="none" w:sz="0" w:space="0" w:color="auto"/>
                      </w:divBdr>
                    </w:div>
                  </w:divsChild>
                </w:div>
                <w:div w:id="2137866083">
                  <w:marLeft w:val="0"/>
                  <w:marRight w:val="0"/>
                  <w:marTop w:val="0"/>
                  <w:marBottom w:val="0"/>
                  <w:divBdr>
                    <w:top w:val="none" w:sz="0" w:space="0" w:color="auto"/>
                    <w:left w:val="none" w:sz="0" w:space="0" w:color="auto"/>
                    <w:bottom w:val="none" w:sz="0" w:space="0" w:color="auto"/>
                    <w:right w:val="none" w:sz="0" w:space="0" w:color="auto"/>
                  </w:divBdr>
                  <w:divsChild>
                    <w:div w:id="1870794286">
                      <w:marLeft w:val="0"/>
                      <w:marRight w:val="0"/>
                      <w:marTop w:val="0"/>
                      <w:marBottom w:val="0"/>
                      <w:divBdr>
                        <w:top w:val="none" w:sz="0" w:space="0" w:color="auto"/>
                        <w:left w:val="none" w:sz="0" w:space="0" w:color="auto"/>
                        <w:bottom w:val="none" w:sz="0" w:space="0" w:color="auto"/>
                        <w:right w:val="none" w:sz="0" w:space="0" w:color="auto"/>
                      </w:divBdr>
                    </w:div>
                  </w:divsChild>
                </w:div>
                <w:div w:id="2145196760">
                  <w:marLeft w:val="0"/>
                  <w:marRight w:val="0"/>
                  <w:marTop w:val="0"/>
                  <w:marBottom w:val="0"/>
                  <w:divBdr>
                    <w:top w:val="none" w:sz="0" w:space="0" w:color="auto"/>
                    <w:left w:val="none" w:sz="0" w:space="0" w:color="auto"/>
                    <w:bottom w:val="none" w:sz="0" w:space="0" w:color="auto"/>
                    <w:right w:val="none" w:sz="0" w:space="0" w:color="auto"/>
                  </w:divBdr>
                  <w:divsChild>
                    <w:div w:id="18428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8212">
      <w:bodyDiv w:val="1"/>
      <w:marLeft w:val="0"/>
      <w:marRight w:val="0"/>
      <w:marTop w:val="0"/>
      <w:marBottom w:val="0"/>
      <w:divBdr>
        <w:top w:val="none" w:sz="0" w:space="0" w:color="auto"/>
        <w:left w:val="none" w:sz="0" w:space="0" w:color="auto"/>
        <w:bottom w:val="none" w:sz="0" w:space="0" w:color="auto"/>
        <w:right w:val="none" w:sz="0" w:space="0" w:color="auto"/>
      </w:divBdr>
    </w:div>
    <w:div w:id="107046179">
      <w:bodyDiv w:val="1"/>
      <w:marLeft w:val="0"/>
      <w:marRight w:val="0"/>
      <w:marTop w:val="0"/>
      <w:marBottom w:val="0"/>
      <w:divBdr>
        <w:top w:val="none" w:sz="0" w:space="0" w:color="auto"/>
        <w:left w:val="none" w:sz="0" w:space="0" w:color="auto"/>
        <w:bottom w:val="none" w:sz="0" w:space="0" w:color="auto"/>
        <w:right w:val="none" w:sz="0" w:space="0" w:color="auto"/>
      </w:divBdr>
    </w:div>
    <w:div w:id="139465559">
      <w:bodyDiv w:val="1"/>
      <w:marLeft w:val="0"/>
      <w:marRight w:val="0"/>
      <w:marTop w:val="0"/>
      <w:marBottom w:val="0"/>
      <w:divBdr>
        <w:top w:val="none" w:sz="0" w:space="0" w:color="auto"/>
        <w:left w:val="none" w:sz="0" w:space="0" w:color="auto"/>
        <w:bottom w:val="none" w:sz="0" w:space="0" w:color="auto"/>
        <w:right w:val="none" w:sz="0" w:space="0" w:color="auto"/>
      </w:divBdr>
    </w:div>
    <w:div w:id="150751999">
      <w:bodyDiv w:val="1"/>
      <w:marLeft w:val="0"/>
      <w:marRight w:val="0"/>
      <w:marTop w:val="0"/>
      <w:marBottom w:val="0"/>
      <w:divBdr>
        <w:top w:val="none" w:sz="0" w:space="0" w:color="auto"/>
        <w:left w:val="none" w:sz="0" w:space="0" w:color="auto"/>
        <w:bottom w:val="none" w:sz="0" w:space="0" w:color="auto"/>
        <w:right w:val="none" w:sz="0" w:space="0" w:color="auto"/>
      </w:divBdr>
      <w:divsChild>
        <w:div w:id="672682427">
          <w:marLeft w:val="0"/>
          <w:marRight w:val="0"/>
          <w:marTop w:val="0"/>
          <w:marBottom w:val="0"/>
          <w:divBdr>
            <w:top w:val="none" w:sz="0" w:space="0" w:color="auto"/>
            <w:left w:val="none" w:sz="0" w:space="0" w:color="auto"/>
            <w:bottom w:val="none" w:sz="0" w:space="0" w:color="auto"/>
            <w:right w:val="none" w:sz="0" w:space="0" w:color="auto"/>
          </w:divBdr>
        </w:div>
        <w:div w:id="682508921">
          <w:marLeft w:val="0"/>
          <w:marRight w:val="0"/>
          <w:marTop w:val="0"/>
          <w:marBottom w:val="0"/>
          <w:divBdr>
            <w:top w:val="none" w:sz="0" w:space="0" w:color="auto"/>
            <w:left w:val="none" w:sz="0" w:space="0" w:color="auto"/>
            <w:bottom w:val="none" w:sz="0" w:space="0" w:color="auto"/>
            <w:right w:val="none" w:sz="0" w:space="0" w:color="auto"/>
          </w:divBdr>
        </w:div>
        <w:div w:id="865019490">
          <w:marLeft w:val="0"/>
          <w:marRight w:val="0"/>
          <w:marTop w:val="0"/>
          <w:marBottom w:val="0"/>
          <w:divBdr>
            <w:top w:val="none" w:sz="0" w:space="0" w:color="auto"/>
            <w:left w:val="none" w:sz="0" w:space="0" w:color="auto"/>
            <w:bottom w:val="none" w:sz="0" w:space="0" w:color="auto"/>
            <w:right w:val="none" w:sz="0" w:space="0" w:color="auto"/>
          </w:divBdr>
        </w:div>
        <w:div w:id="1461654727">
          <w:marLeft w:val="0"/>
          <w:marRight w:val="0"/>
          <w:marTop w:val="0"/>
          <w:marBottom w:val="0"/>
          <w:divBdr>
            <w:top w:val="none" w:sz="0" w:space="0" w:color="auto"/>
            <w:left w:val="none" w:sz="0" w:space="0" w:color="auto"/>
            <w:bottom w:val="none" w:sz="0" w:space="0" w:color="auto"/>
            <w:right w:val="none" w:sz="0" w:space="0" w:color="auto"/>
          </w:divBdr>
          <w:divsChild>
            <w:div w:id="10690024">
              <w:marLeft w:val="-75"/>
              <w:marRight w:val="0"/>
              <w:marTop w:val="30"/>
              <w:marBottom w:val="30"/>
              <w:divBdr>
                <w:top w:val="none" w:sz="0" w:space="0" w:color="auto"/>
                <w:left w:val="none" w:sz="0" w:space="0" w:color="auto"/>
                <w:bottom w:val="none" w:sz="0" w:space="0" w:color="auto"/>
                <w:right w:val="none" w:sz="0" w:space="0" w:color="auto"/>
              </w:divBdr>
              <w:divsChild>
                <w:div w:id="56362642">
                  <w:marLeft w:val="0"/>
                  <w:marRight w:val="0"/>
                  <w:marTop w:val="0"/>
                  <w:marBottom w:val="0"/>
                  <w:divBdr>
                    <w:top w:val="none" w:sz="0" w:space="0" w:color="auto"/>
                    <w:left w:val="none" w:sz="0" w:space="0" w:color="auto"/>
                    <w:bottom w:val="none" w:sz="0" w:space="0" w:color="auto"/>
                    <w:right w:val="none" w:sz="0" w:space="0" w:color="auto"/>
                  </w:divBdr>
                  <w:divsChild>
                    <w:div w:id="89662446">
                      <w:marLeft w:val="0"/>
                      <w:marRight w:val="0"/>
                      <w:marTop w:val="0"/>
                      <w:marBottom w:val="0"/>
                      <w:divBdr>
                        <w:top w:val="none" w:sz="0" w:space="0" w:color="auto"/>
                        <w:left w:val="none" w:sz="0" w:space="0" w:color="auto"/>
                        <w:bottom w:val="none" w:sz="0" w:space="0" w:color="auto"/>
                        <w:right w:val="none" w:sz="0" w:space="0" w:color="auto"/>
                      </w:divBdr>
                    </w:div>
                  </w:divsChild>
                </w:div>
                <w:div w:id="362830135">
                  <w:marLeft w:val="0"/>
                  <w:marRight w:val="0"/>
                  <w:marTop w:val="0"/>
                  <w:marBottom w:val="0"/>
                  <w:divBdr>
                    <w:top w:val="none" w:sz="0" w:space="0" w:color="auto"/>
                    <w:left w:val="none" w:sz="0" w:space="0" w:color="auto"/>
                    <w:bottom w:val="none" w:sz="0" w:space="0" w:color="auto"/>
                    <w:right w:val="none" w:sz="0" w:space="0" w:color="auto"/>
                  </w:divBdr>
                  <w:divsChild>
                    <w:div w:id="1733888058">
                      <w:marLeft w:val="0"/>
                      <w:marRight w:val="0"/>
                      <w:marTop w:val="0"/>
                      <w:marBottom w:val="0"/>
                      <w:divBdr>
                        <w:top w:val="none" w:sz="0" w:space="0" w:color="auto"/>
                        <w:left w:val="none" w:sz="0" w:space="0" w:color="auto"/>
                        <w:bottom w:val="none" w:sz="0" w:space="0" w:color="auto"/>
                        <w:right w:val="none" w:sz="0" w:space="0" w:color="auto"/>
                      </w:divBdr>
                    </w:div>
                  </w:divsChild>
                </w:div>
                <w:div w:id="666715544">
                  <w:marLeft w:val="0"/>
                  <w:marRight w:val="0"/>
                  <w:marTop w:val="0"/>
                  <w:marBottom w:val="0"/>
                  <w:divBdr>
                    <w:top w:val="none" w:sz="0" w:space="0" w:color="auto"/>
                    <w:left w:val="none" w:sz="0" w:space="0" w:color="auto"/>
                    <w:bottom w:val="none" w:sz="0" w:space="0" w:color="auto"/>
                    <w:right w:val="none" w:sz="0" w:space="0" w:color="auto"/>
                  </w:divBdr>
                  <w:divsChild>
                    <w:div w:id="195510027">
                      <w:marLeft w:val="0"/>
                      <w:marRight w:val="0"/>
                      <w:marTop w:val="0"/>
                      <w:marBottom w:val="0"/>
                      <w:divBdr>
                        <w:top w:val="none" w:sz="0" w:space="0" w:color="auto"/>
                        <w:left w:val="none" w:sz="0" w:space="0" w:color="auto"/>
                        <w:bottom w:val="none" w:sz="0" w:space="0" w:color="auto"/>
                        <w:right w:val="none" w:sz="0" w:space="0" w:color="auto"/>
                      </w:divBdr>
                    </w:div>
                  </w:divsChild>
                </w:div>
                <w:div w:id="678194688">
                  <w:marLeft w:val="0"/>
                  <w:marRight w:val="0"/>
                  <w:marTop w:val="0"/>
                  <w:marBottom w:val="0"/>
                  <w:divBdr>
                    <w:top w:val="none" w:sz="0" w:space="0" w:color="auto"/>
                    <w:left w:val="none" w:sz="0" w:space="0" w:color="auto"/>
                    <w:bottom w:val="none" w:sz="0" w:space="0" w:color="auto"/>
                    <w:right w:val="none" w:sz="0" w:space="0" w:color="auto"/>
                  </w:divBdr>
                  <w:divsChild>
                    <w:div w:id="2112704011">
                      <w:marLeft w:val="0"/>
                      <w:marRight w:val="0"/>
                      <w:marTop w:val="0"/>
                      <w:marBottom w:val="0"/>
                      <w:divBdr>
                        <w:top w:val="none" w:sz="0" w:space="0" w:color="auto"/>
                        <w:left w:val="none" w:sz="0" w:space="0" w:color="auto"/>
                        <w:bottom w:val="none" w:sz="0" w:space="0" w:color="auto"/>
                        <w:right w:val="none" w:sz="0" w:space="0" w:color="auto"/>
                      </w:divBdr>
                    </w:div>
                  </w:divsChild>
                </w:div>
                <w:div w:id="910426596">
                  <w:marLeft w:val="0"/>
                  <w:marRight w:val="0"/>
                  <w:marTop w:val="0"/>
                  <w:marBottom w:val="0"/>
                  <w:divBdr>
                    <w:top w:val="none" w:sz="0" w:space="0" w:color="auto"/>
                    <w:left w:val="none" w:sz="0" w:space="0" w:color="auto"/>
                    <w:bottom w:val="none" w:sz="0" w:space="0" w:color="auto"/>
                    <w:right w:val="none" w:sz="0" w:space="0" w:color="auto"/>
                  </w:divBdr>
                  <w:divsChild>
                    <w:div w:id="1017926917">
                      <w:marLeft w:val="0"/>
                      <w:marRight w:val="0"/>
                      <w:marTop w:val="0"/>
                      <w:marBottom w:val="0"/>
                      <w:divBdr>
                        <w:top w:val="none" w:sz="0" w:space="0" w:color="auto"/>
                        <w:left w:val="none" w:sz="0" w:space="0" w:color="auto"/>
                        <w:bottom w:val="none" w:sz="0" w:space="0" w:color="auto"/>
                        <w:right w:val="none" w:sz="0" w:space="0" w:color="auto"/>
                      </w:divBdr>
                    </w:div>
                  </w:divsChild>
                </w:div>
                <w:div w:id="999892050">
                  <w:marLeft w:val="0"/>
                  <w:marRight w:val="0"/>
                  <w:marTop w:val="0"/>
                  <w:marBottom w:val="0"/>
                  <w:divBdr>
                    <w:top w:val="none" w:sz="0" w:space="0" w:color="auto"/>
                    <w:left w:val="none" w:sz="0" w:space="0" w:color="auto"/>
                    <w:bottom w:val="none" w:sz="0" w:space="0" w:color="auto"/>
                    <w:right w:val="none" w:sz="0" w:space="0" w:color="auto"/>
                  </w:divBdr>
                  <w:divsChild>
                    <w:div w:id="1483153795">
                      <w:marLeft w:val="0"/>
                      <w:marRight w:val="0"/>
                      <w:marTop w:val="0"/>
                      <w:marBottom w:val="0"/>
                      <w:divBdr>
                        <w:top w:val="none" w:sz="0" w:space="0" w:color="auto"/>
                        <w:left w:val="none" w:sz="0" w:space="0" w:color="auto"/>
                        <w:bottom w:val="none" w:sz="0" w:space="0" w:color="auto"/>
                        <w:right w:val="none" w:sz="0" w:space="0" w:color="auto"/>
                      </w:divBdr>
                    </w:div>
                  </w:divsChild>
                </w:div>
                <w:div w:id="1136529394">
                  <w:marLeft w:val="0"/>
                  <w:marRight w:val="0"/>
                  <w:marTop w:val="0"/>
                  <w:marBottom w:val="0"/>
                  <w:divBdr>
                    <w:top w:val="none" w:sz="0" w:space="0" w:color="auto"/>
                    <w:left w:val="none" w:sz="0" w:space="0" w:color="auto"/>
                    <w:bottom w:val="none" w:sz="0" w:space="0" w:color="auto"/>
                    <w:right w:val="none" w:sz="0" w:space="0" w:color="auto"/>
                  </w:divBdr>
                  <w:divsChild>
                    <w:div w:id="215706246">
                      <w:marLeft w:val="0"/>
                      <w:marRight w:val="0"/>
                      <w:marTop w:val="0"/>
                      <w:marBottom w:val="0"/>
                      <w:divBdr>
                        <w:top w:val="none" w:sz="0" w:space="0" w:color="auto"/>
                        <w:left w:val="none" w:sz="0" w:space="0" w:color="auto"/>
                        <w:bottom w:val="none" w:sz="0" w:space="0" w:color="auto"/>
                        <w:right w:val="none" w:sz="0" w:space="0" w:color="auto"/>
                      </w:divBdr>
                    </w:div>
                  </w:divsChild>
                </w:div>
                <w:div w:id="1194344940">
                  <w:marLeft w:val="0"/>
                  <w:marRight w:val="0"/>
                  <w:marTop w:val="0"/>
                  <w:marBottom w:val="0"/>
                  <w:divBdr>
                    <w:top w:val="none" w:sz="0" w:space="0" w:color="auto"/>
                    <w:left w:val="none" w:sz="0" w:space="0" w:color="auto"/>
                    <w:bottom w:val="none" w:sz="0" w:space="0" w:color="auto"/>
                    <w:right w:val="none" w:sz="0" w:space="0" w:color="auto"/>
                  </w:divBdr>
                  <w:divsChild>
                    <w:div w:id="491336656">
                      <w:marLeft w:val="0"/>
                      <w:marRight w:val="0"/>
                      <w:marTop w:val="0"/>
                      <w:marBottom w:val="0"/>
                      <w:divBdr>
                        <w:top w:val="none" w:sz="0" w:space="0" w:color="auto"/>
                        <w:left w:val="none" w:sz="0" w:space="0" w:color="auto"/>
                        <w:bottom w:val="none" w:sz="0" w:space="0" w:color="auto"/>
                        <w:right w:val="none" w:sz="0" w:space="0" w:color="auto"/>
                      </w:divBdr>
                    </w:div>
                  </w:divsChild>
                </w:div>
                <w:div w:id="1429233034">
                  <w:marLeft w:val="0"/>
                  <w:marRight w:val="0"/>
                  <w:marTop w:val="0"/>
                  <w:marBottom w:val="0"/>
                  <w:divBdr>
                    <w:top w:val="none" w:sz="0" w:space="0" w:color="auto"/>
                    <w:left w:val="none" w:sz="0" w:space="0" w:color="auto"/>
                    <w:bottom w:val="none" w:sz="0" w:space="0" w:color="auto"/>
                    <w:right w:val="none" w:sz="0" w:space="0" w:color="auto"/>
                  </w:divBdr>
                  <w:divsChild>
                    <w:div w:id="1592663681">
                      <w:marLeft w:val="0"/>
                      <w:marRight w:val="0"/>
                      <w:marTop w:val="0"/>
                      <w:marBottom w:val="0"/>
                      <w:divBdr>
                        <w:top w:val="none" w:sz="0" w:space="0" w:color="auto"/>
                        <w:left w:val="none" w:sz="0" w:space="0" w:color="auto"/>
                        <w:bottom w:val="none" w:sz="0" w:space="0" w:color="auto"/>
                        <w:right w:val="none" w:sz="0" w:space="0" w:color="auto"/>
                      </w:divBdr>
                    </w:div>
                  </w:divsChild>
                </w:div>
                <w:div w:id="1640304807">
                  <w:marLeft w:val="0"/>
                  <w:marRight w:val="0"/>
                  <w:marTop w:val="0"/>
                  <w:marBottom w:val="0"/>
                  <w:divBdr>
                    <w:top w:val="none" w:sz="0" w:space="0" w:color="auto"/>
                    <w:left w:val="none" w:sz="0" w:space="0" w:color="auto"/>
                    <w:bottom w:val="none" w:sz="0" w:space="0" w:color="auto"/>
                    <w:right w:val="none" w:sz="0" w:space="0" w:color="auto"/>
                  </w:divBdr>
                  <w:divsChild>
                    <w:div w:id="584923936">
                      <w:marLeft w:val="0"/>
                      <w:marRight w:val="0"/>
                      <w:marTop w:val="0"/>
                      <w:marBottom w:val="0"/>
                      <w:divBdr>
                        <w:top w:val="none" w:sz="0" w:space="0" w:color="auto"/>
                        <w:left w:val="none" w:sz="0" w:space="0" w:color="auto"/>
                        <w:bottom w:val="none" w:sz="0" w:space="0" w:color="auto"/>
                        <w:right w:val="none" w:sz="0" w:space="0" w:color="auto"/>
                      </w:divBdr>
                    </w:div>
                  </w:divsChild>
                </w:div>
                <w:div w:id="1835293429">
                  <w:marLeft w:val="0"/>
                  <w:marRight w:val="0"/>
                  <w:marTop w:val="0"/>
                  <w:marBottom w:val="0"/>
                  <w:divBdr>
                    <w:top w:val="none" w:sz="0" w:space="0" w:color="auto"/>
                    <w:left w:val="none" w:sz="0" w:space="0" w:color="auto"/>
                    <w:bottom w:val="none" w:sz="0" w:space="0" w:color="auto"/>
                    <w:right w:val="none" w:sz="0" w:space="0" w:color="auto"/>
                  </w:divBdr>
                  <w:divsChild>
                    <w:div w:id="375357001">
                      <w:marLeft w:val="0"/>
                      <w:marRight w:val="0"/>
                      <w:marTop w:val="0"/>
                      <w:marBottom w:val="0"/>
                      <w:divBdr>
                        <w:top w:val="none" w:sz="0" w:space="0" w:color="auto"/>
                        <w:left w:val="none" w:sz="0" w:space="0" w:color="auto"/>
                        <w:bottom w:val="none" w:sz="0" w:space="0" w:color="auto"/>
                        <w:right w:val="none" w:sz="0" w:space="0" w:color="auto"/>
                      </w:divBdr>
                    </w:div>
                  </w:divsChild>
                </w:div>
                <w:div w:id="1867400258">
                  <w:marLeft w:val="0"/>
                  <w:marRight w:val="0"/>
                  <w:marTop w:val="0"/>
                  <w:marBottom w:val="0"/>
                  <w:divBdr>
                    <w:top w:val="none" w:sz="0" w:space="0" w:color="auto"/>
                    <w:left w:val="none" w:sz="0" w:space="0" w:color="auto"/>
                    <w:bottom w:val="none" w:sz="0" w:space="0" w:color="auto"/>
                    <w:right w:val="none" w:sz="0" w:space="0" w:color="auto"/>
                  </w:divBdr>
                  <w:divsChild>
                    <w:div w:id="509100750">
                      <w:marLeft w:val="0"/>
                      <w:marRight w:val="0"/>
                      <w:marTop w:val="0"/>
                      <w:marBottom w:val="0"/>
                      <w:divBdr>
                        <w:top w:val="none" w:sz="0" w:space="0" w:color="auto"/>
                        <w:left w:val="none" w:sz="0" w:space="0" w:color="auto"/>
                        <w:bottom w:val="none" w:sz="0" w:space="0" w:color="auto"/>
                        <w:right w:val="none" w:sz="0" w:space="0" w:color="auto"/>
                      </w:divBdr>
                    </w:div>
                  </w:divsChild>
                </w:div>
                <w:div w:id="2059933211">
                  <w:marLeft w:val="0"/>
                  <w:marRight w:val="0"/>
                  <w:marTop w:val="0"/>
                  <w:marBottom w:val="0"/>
                  <w:divBdr>
                    <w:top w:val="none" w:sz="0" w:space="0" w:color="auto"/>
                    <w:left w:val="none" w:sz="0" w:space="0" w:color="auto"/>
                    <w:bottom w:val="none" w:sz="0" w:space="0" w:color="auto"/>
                    <w:right w:val="none" w:sz="0" w:space="0" w:color="auto"/>
                  </w:divBdr>
                  <w:divsChild>
                    <w:div w:id="2110083511">
                      <w:marLeft w:val="0"/>
                      <w:marRight w:val="0"/>
                      <w:marTop w:val="0"/>
                      <w:marBottom w:val="0"/>
                      <w:divBdr>
                        <w:top w:val="none" w:sz="0" w:space="0" w:color="auto"/>
                        <w:left w:val="none" w:sz="0" w:space="0" w:color="auto"/>
                        <w:bottom w:val="none" w:sz="0" w:space="0" w:color="auto"/>
                        <w:right w:val="none" w:sz="0" w:space="0" w:color="auto"/>
                      </w:divBdr>
                    </w:div>
                  </w:divsChild>
                </w:div>
                <w:div w:id="2108845833">
                  <w:marLeft w:val="0"/>
                  <w:marRight w:val="0"/>
                  <w:marTop w:val="0"/>
                  <w:marBottom w:val="0"/>
                  <w:divBdr>
                    <w:top w:val="none" w:sz="0" w:space="0" w:color="auto"/>
                    <w:left w:val="none" w:sz="0" w:space="0" w:color="auto"/>
                    <w:bottom w:val="none" w:sz="0" w:space="0" w:color="auto"/>
                    <w:right w:val="none" w:sz="0" w:space="0" w:color="auto"/>
                  </w:divBdr>
                  <w:divsChild>
                    <w:div w:id="901871274">
                      <w:marLeft w:val="0"/>
                      <w:marRight w:val="0"/>
                      <w:marTop w:val="0"/>
                      <w:marBottom w:val="0"/>
                      <w:divBdr>
                        <w:top w:val="none" w:sz="0" w:space="0" w:color="auto"/>
                        <w:left w:val="none" w:sz="0" w:space="0" w:color="auto"/>
                        <w:bottom w:val="none" w:sz="0" w:space="0" w:color="auto"/>
                        <w:right w:val="none" w:sz="0" w:space="0" w:color="auto"/>
                      </w:divBdr>
                    </w:div>
                  </w:divsChild>
                </w:div>
                <w:div w:id="2115124901">
                  <w:marLeft w:val="0"/>
                  <w:marRight w:val="0"/>
                  <w:marTop w:val="0"/>
                  <w:marBottom w:val="0"/>
                  <w:divBdr>
                    <w:top w:val="none" w:sz="0" w:space="0" w:color="auto"/>
                    <w:left w:val="none" w:sz="0" w:space="0" w:color="auto"/>
                    <w:bottom w:val="none" w:sz="0" w:space="0" w:color="auto"/>
                    <w:right w:val="none" w:sz="0" w:space="0" w:color="auto"/>
                  </w:divBdr>
                  <w:divsChild>
                    <w:div w:id="1380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7927">
      <w:bodyDiv w:val="1"/>
      <w:marLeft w:val="0"/>
      <w:marRight w:val="0"/>
      <w:marTop w:val="0"/>
      <w:marBottom w:val="0"/>
      <w:divBdr>
        <w:top w:val="none" w:sz="0" w:space="0" w:color="auto"/>
        <w:left w:val="none" w:sz="0" w:space="0" w:color="auto"/>
        <w:bottom w:val="none" w:sz="0" w:space="0" w:color="auto"/>
        <w:right w:val="none" w:sz="0" w:space="0" w:color="auto"/>
      </w:divBdr>
    </w:div>
    <w:div w:id="176770688">
      <w:bodyDiv w:val="1"/>
      <w:marLeft w:val="0"/>
      <w:marRight w:val="0"/>
      <w:marTop w:val="0"/>
      <w:marBottom w:val="0"/>
      <w:divBdr>
        <w:top w:val="none" w:sz="0" w:space="0" w:color="auto"/>
        <w:left w:val="none" w:sz="0" w:space="0" w:color="auto"/>
        <w:bottom w:val="none" w:sz="0" w:space="0" w:color="auto"/>
        <w:right w:val="none" w:sz="0" w:space="0" w:color="auto"/>
      </w:divBdr>
      <w:divsChild>
        <w:div w:id="60643828">
          <w:marLeft w:val="0"/>
          <w:marRight w:val="0"/>
          <w:marTop w:val="0"/>
          <w:marBottom w:val="0"/>
          <w:divBdr>
            <w:top w:val="none" w:sz="0" w:space="0" w:color="auto"/>
            <w:left w:val="none" w:sz="0" w:space="0" w:color="auto"/>
            <w:bottom w:val="none" w:sz="0" w:space="0" w:color="auto"/>
            <w:right w:val="none" w:sz="0" w:space="0" w:color="auto"/>
          </w:divBdr>
        </w:div>
        <w:div w:id="187793284">
          <w:marLeft w:val="0"/>
          <w:marRight w:val="0"/>
          <w:marTop w:val="0"/>
          <w:marBottom w:val="0"/>
          <w:divBdr>
            <w:top w:val="none" w:sz="0" w:space="0" w:color="auto"/>
            <w:left w:val="none" w:sz="0" w:space="0" w:color="auto"/>
            <w:bottom w:val="none" w:sz="0" w:space="0" w:color="auto"/>
            <w:right w:val="none" w:sz="0" w:space="0" w:color="auto"/>
          </w:divBdr>
        </w:div>
        <w:div w:id="647323638">
          <w:marLeft w:val="0"/>
          <w:marRight w:val="0"/>
          <w:marTop w:val="0"/>
          <w:marBottom w:val="0"/>
          <w:divBdr>
            <w:top w:val="none" w:sz="0" w:space="0" w:color="auto"/>
            <w:left w:val="none" w:sz="0" w:space="0" w:color="auto"/>
            <w:bottom w:val="none" w:sz="0" w:space="0" w:color="auto"/>
            <w:right w:val="none" w:sz="0" w:space="0" w:color="auto"/>
          </w:divBdr>
        </w:div>
        <w:div w:id="914315958">
          <w:marLeft w:val="0"/>
          <w:marRight w:val="0"/>
          <w:marTop w:val="0"/>
          <w:marBottom w:val="0"/>
          <w:divBdr>
            <w:top w:val="none" w:sz="0" w:space="0" w:color="auto"/>
            <w:left w:val="none" w:sz="0" w:space="0" w:color="auto"/>
            <w:bottom w:val="none" w:sz="0" w:space="0" w:color="auto"/>
            <w:right w:val="none" w:sz="0" w:space="0" w:color="auto"/>
          </w:divBdr>
          <w:divsChild>
            <w:div w:id="8994419">
              <w:marLeft w:val="0"/>
              <w:marRight w:val="0"/>
              <w:marTop w:val="0"/>
              <w:marBottom w:val="0"/>
              <w:divBdr>
                <w:top w:val="none" w:sz="0" w:space="0" w:color="auto"/>
                <w:left w:val="none" w:sz="0" w:space="0" w:color="auto"/>
                <w:bottom w:val="none" w:sz="0" w:space="0" w:color="auto"/>
                <w:right w:val="none" w:sz="0" w:space="0" w:color="auto"/>
              </w:divBdr>
            </w:div>
            <w:div w:id="59062894">
              <w:marLeft w:val="0"/>
              <w:marRight w:val="0"/>
              <w:marTop w:val="0"/>
              <w:marBottom w:val="0"/>
              <w:divBdr>
                <w:top w:val="none" w:sz="0" w:space="0" w:color="auto"/>
                <w:left w:val="none" w:sz="0" w:space="0" w:color="auto"/>
                <w:bottom w:val="none" w:sz="0" w:space="0" w:color="auto"/>
                <w:right w:val="none" w:sz="0" w:space="0" w:color="auto"/>
              </w:divBdr>
            </w:div>
            <w:div w:id="868685208">
              <w:marLeft w:val="0"/>
              <w:marRight w:val="0"/>
              <w:marTop w:val="0"/>
              <w:marBottom w:val="0"/>
              <w:divBdr>
                <w:top w:val="none" w:sz="0" w:space="0" w:color="auto"/>
                <w:left w:val="none" w:sz="0" w:space="0" w:color="auto"/>
                <w:bottom w:val="none" w:sz="0" w:space="0" w:color="auto"/>
                <w:right w:val="none" w:sz="0" w:space="0" w:color="auto"/>
              </w:divBdr>
            </w:div>
            <w:div w:id="923538595">
              <w:marLeft w:val="0"/>
              <w:marRight w:val="0"/>
              <w:marTop w:val="0"/>
              <w:marBottom w:val="0"/>
              <w:divBdr>
                <w:top w:val="none" w:sz="0" w:space="0" w:color="auto"/>
                <w:left w:val="none" w:sz="0" w:space="0" w:color="auto"/>
                <w:bottom w:val="none" w:sz="0" w:space="0" w:color="auto"/>
                <w:right w:val="none" w:sz="0" w:space="0" w:color="auto"/>
              </w:divBdr>
            </w:div>
            <w:div w:id="1660042241">
              <w:marLeft w:val="0"/>
              <w:marRight w:val="0"/>
              <w:marTop w:val="0"/>
              <w:marBottom w:val="0"/>
              <w:divBdr>
                <w:top w:val="none" w:sz="0" w:space="0" w:color="auto"/>
                <w:left w:val="none" w:sz="0" w:space="0" w:color="auto"/>
                <w:bottom w:val="none" w:sz="0" w:space="0" w:color="auto"/>
                <w:right w:val="none" w:sz="0" w:space="0" w:color="auto"/>
              </w:divBdr>
            </w:div>
          </w:divsChild>
        </w:div>
        <w:div w:id="960915522">
          <w:marLeft w:val="0"/>
          <w:marRight w:val="0"/>
          <w:marTop w:val="0"/>
          <w:marBottom w:val="0"/>
          <w:divBdr>
            <w:top w:val="none" w:sz="0" w:space="0" w:color="auto"/>
            <w:left w:val="none" w:sz="0" w:space="0" w:color="auto"/>
            <w:bottom w:val="none" w:sz="0" w:space="0" w:color="auto"/>
            <w:right w:val="none" w:sz="0" w:space="0" w:color="auto"/>
          </w:divBdr>
          <w:divsChild>
            <w:div w:id="253518081">
              <w:marLeft w:val="0"/>
              <w:marRight w:val="0"/>
              <w:marTop w:val="0"/>
              <w:marBottom w:val="0"/>
              <w:divBdr>
                <w:top w:val="none" w:sz="0" w:space="0" w:color="auto"/>
                <w:left w:val="none" w:sz="0" w:space="0" w:color="auto"/>
                <w:bottom w:val="none" w:sz="0" w:space="0" w:color="auto"/>
                <w:right w:val="none" w:sz="0" w:space="0" w:color="auto"/>
              </w:divBdr>
            </w:div>
            <w:div w:id="592275242">
              <w:marLeft w:val="0"/>
              <w:marRight w:val="0"/>
              <w:marTop w:val="0"/>
              <w:marBottom w:val="0"/>
              <w:divBdr>
                <w:top w:val="none" w:sz="0" w:space="0" w:color="auto"/>
                <w:left w:val="none" w:sz="0" w:space="0" w:color="auto"/>
                <w:bottom w:val="none" w:sz="0" w:space="0" w:color="auto"/>
                <w:right w:val="none" w:sz="0" w:space="0" w:color="auto"/>
              </w:divBdr>
            </w:div>
            <w:div w:id="1595281399">
              <w:marLeft w:val="0"/>
              <w:marRight w:val="0"/>
              <w:marTop w:val="0"/>
              <w:marBottom w:val="0"/>
              <w:divBdr>
                <w:top w:val="none" w:sz="0" w:space="0" w:color="auto"/>
                <w:left w:val="none" w:sz="0" w:space="0" w:color="auto"/>
                <w:bottom w:val="none" w:sz="0" w:space="0" w:color="auto"/>
                <w:right w:val="none" w:sz="0" w:space="0" w:color="auto"/>
              </w:divBdr>
            </w:div>
            <w:div w:id="1963922134">
              <w:marLeft w:val="0"/>
              <w:marRight w:val="0"/>
              <w:marTop w:val="0"/>
              <w:marBottom w:val="0"/>
              <w:divBdr>
                <w:top w:val="none" w:sz="0" w:space="0" w:color="auto"/>
                <w:left w:val="none" w:sz="0" w:space="0" w:color="auto"/>
                <w:bottom w:val="none" w:sz="0" w:space="0" w:color="auto"/>
                <w:right w:val="none" w:sz="0" w:space="0" w:color="auto"/>
              </w:divBdr>
            </w:div>
            <w:div w:id="2084911326">
              <w:marLeft w:val="0"/>
              <w:marRight w:val="0"/>
              <w:marTop w:val="0"/>
              <w:marBottom w:val="0"/>
              <w:divBdr>
                <w:top w:val="none" w:sz="0" w:space="0" w:color="auto"/>
                <w:left w:val="none" w:sz="0" w:space="0" w:color="auto"/>
                <w:bottom w:val="none" w:sz="0" w:space="0" w:color="auto"/>
                <w:right w:val="none" w:sz="0" w:space="0" w:color="auto"/>
              </w:divBdr>
            </w:div>
          </w:divsChild>
        </w:div>
        <w:div w:id="1007755613">
          <w:marLeft w:val="0"/>
          <w:marRight w:val="0"/>
          <w:marTop w:val="0"/>
          <w:marBottom w:val="0"/>
          <w:divBdr>
            <w:top w:val="none" w:sz="0" w:space="0" w:color="auto"/>
            <w:left w:val="none" w:sz="0" w:space="0" w:color="auto"/>
            <w:bottom w:val="none" w:sz="0" w:space="0" w:color="auto"/>
            <w:right w:val="none" w:sz="0" w:space="0" w:color="auto"/>
          </w:divBdr>
        </w:div>
        <w:div w:id="1083526916">
          <w:marLeft w:val="0"/>
          <w:marRight w:val="0"/>
          <w:marTop w:val="0"/>
          <w:marBottom w:val="0"/>
          <w:divBdr>
            <w:top w:val="none" w:sz="0" w:space="0" w:color="auto"/>
            <w:left w:val="none" w:sz="0" w:space="0" w:color="auto"/>
            <w:bottom w:val="none" w:sz="0" w:space="0" w:color="auto"/>
            <w:right w:val="none" w:sz="0" w:space="0" w:color="auto"/>
          </w:divBdr>
        </w:div>
        <w:div w:id="1131706159">
          <w:marLeft w:val="0"/>
          <w:marRight w:val="0"/>
          <w:marTop w:val="0"/>
          <w:marBottom w:val="0"/>
          <w:divBdr>
            <w:top w:val="none" w:sz="0" w:space="0" w:color="auto"/>
            <w:left w:val="none" w:sz="0" w:space="0" w:color="auto"/>
            <w:bottom w:val="none" w:sz="0" w:space="0" w:color="auto"/>
            <w:right w:val="none" w:sz="0" w:space="0" w:color="auto"/>
          </w:divBdr>
          <w:divsChild>
            <w:div w:id="155266446">
              <w:marLeft w:val="0"/>
              <w:marRight w:val="0"/>
              <w:marTop w:val="0"/>
              <w:marBottom w:val="0"/>
              <w:divBdr>
                <w:top w:val="none" w:sz="0" w:space="0" w:color="auto"/>
                <w:left w:val="none" w:sz="0" w:space="0" w:color="auto"/>
                <w:bottom w:val="none" w:sz="0" w:space="0" w:color="auto"/>
                <w:right w:val="none" w:sz="0" w:space="0" w:color="auto"/>
              </w:divBdr>
            </w:div>
            <w:div w:id="475026838">
              <w:marLeft w:val="0"/>
              <w:marRight w:val="0"/>
              <w:marTop w:val="0"/>
              <w:marBottom w:val="0"/>
              <w:divBdr>
                <w:top w:val="none" w:sz="0" w:space="0" w:color="auto"/>
                <w:left w:val="none" w:sz="0" w:space="0" w:color="auto"/>
                <w:bottom w:val="none" w:sz="0" w:space="0" w:color="auto"/>
                <w:right w:val="none" w:sz="0" w:space="0" w:color="auto"/>
              </w:divBdr>
            </w:div>
            <w:div w:id="1759018354">
              <w:marLeft w:val="0"/>
              <w:marRight w:val="0"/>
              <w:marTop w:val="0"/>
              <w:marBottom w:val="0"/>
              <w:divBdr>
                <w:top w:val="none" w:sz="0" w:space="0" w:color="auto"/>
                <w:left w:val="none" w:sz="0" w:space="0" w:color="auto"/>
                <w:bottom w:val="none" w:sz="0" w:space="0" w:color="auto"/>
                <w:right w:val="none" w:sz="0" w:space="0" w:color="auto"/>
              </w:divBdr>
            </w:div>
          </w:divsChild>
        </w:div>
        <w:div w:id="1163351819">
          <w:marLeft w:val="0"/>
          <w:marRight w:val="0"/>
          <w:marTop w:val="0"/>
          <w:marBottom w:val="0"/>
          <w:divBdr>
            <w:top w:val="none" w:sz="0" w:space="0" w:color="auto"/>
            <w:left w:val="none" w:sz="0" w:space="0" w:color="auto"/>
            <w:bottom w:val="none" w:sz="0" w:space="0" w:color="auto"/>
            <w:right w:val="none" w:sz="0" w:space="0" w:color="auto"/>
          </w:divBdr>
        </w:div>
        <w:div w:id="1473251566">
          <w:marLeft w:val="0"/>
          <w:marRight w:val="0"/>
          <w:marTop w:val="0"/>
          <w:marBottom w:val="0"/>
          <w:divBdr>
            <w:top w:val="none" w:sz="0" w:space="0" w:color="auto"/>
            <w:left w:val="none" w:sz="0" w:space="0" w:color="auto"/>
            <w:bottom w:val="none" w:sz="0" w:space="0" w:color="auto"/>
            <w:right w:val="none" w:sz="0" w:space="0" w:color="auto"/>
          </w:divBdr>
        </w:div>
        <w:div w:id="1508520212">
          <w:marLeft w:val="0"/>
          <w:marRight w:val="0"/>
          <w:marTop w:val="0"/>
          <w:marBottom w:val="0"/>
          <w:divBdr>
            <w:top w:val="none" w:sz="0" w:space="0" w:color="auto"/>
            <w:left w:val="none" w:sz="0" w:space="0" w:color="auto"/>
            <w:bottom w:val="none" w:sz="0" w:space="0" w:color="auto"/>
            <w:right w:val="none" w:sz="0" w:space="0" w:color="auto"/>
          </w:divBdr>
        </w:div>
        <w:div w:id="1622420319">
          <w:marLeft w:val="0"/>
          <w:marRight w:val="0"/>
          <w:marTop w:val="0"/>
          <w:marBottom w:val="0"/>
          <w:divBdr>
            <w:top w:val="none" w:sz="0" w:space="0" w:color="auto"/>
            <w:left w:val="none" w:sz="0" w:space="0" w:color="auto"/>
            <w:bottom w:val="none" w:sz="0" w:space="0" w:color="auto"/>
            <w:right w:val="none" w:sz="0" w:space="0" w:color="auto"/>
          </w:divBdr>
        </w:div>
        <w:div w:id="1731270335">
          <w:marLeft w:val="0"/>
          <w:marRight w:val="0"/>
          <w:marTop w:val="0"/>
          <w:marBottom w:val="0"/>
          <w:divBdr>
            <w:top w:val="none" w:sz="0" w:space="0" w:color="auto"/>
            <w:left w:val="none" w:sz="0" w:space="0" w:color="auto"/>
            <w:bottom w:val="none" w:sz="0" w:space="0" w:color="auto"/>
            <w:right w:val="none" w:sz="0" w:space="0" w:color="auto"/>
          </w:divBdr>
        </w:div>
        <w:div w:id="1838809641">
          <w:marLeft w:val="0"/>
          <w:marRight w:val="0"/>
          <w:marTop w:val="0"/>
          <w:marBottom w:val="0"/>
          <w:divBdr>
            <w:top w:val="none" w:sz="0" w:space="0" w:color="auto"/>
            <w:left w:val="none" w:sz="0" w:space="0" w:color="auto"/>
            <w:bottom w:val="none" w:sz="0" w:space="0" w:color="auto"/>
            <w:right w:val="none" w:sz="0" w:space="0" w:color="auto"/>
          </w:divBdr>
          <w:divsChild>
            <w:div w:id="501043795">
              <w:marLeft w:val="-75"/>
              <w:marRight w:val="0"/>
              <w:marTop w:val="30"/>
              <w:marBottom w:val="30"/>
              <w:divBdr>
                <w:top w:val="none" w:sz="0" w:space="0" w:color="auto"/>
                <w:left w:val="none" w:sz="0" w:space="0" w:color="auto"/>
                <w:bottom w:val="none" w:sz="0" w:space="0" w:color="auto"/>
                <w:right w:val="none" w:sz="0" w:space="0" w:color="auto"/>
              </w:divBdr>
              <w:divsChild>
                <w:div w:id="60103621">
                  <w:marLeft w:val="0"/>
                  <w:marRight w:val="0"/>
                  <w:marTop w:val="0"/>
                  <w:marBottom w:val="0"/>
                  <w:divBdr>
                    <w:top w:val="none" w:sz="0" w:space="0" w:color="auto"/>
                    <w:left w:val="none" w:sz="0" w:space="0" w:color="auto"/>
                    <w:bottom w:val="none" w:sz="0" w:space="0" w:color="auto"/>
                    <w:right w:val="none" w:sz="0" w:space="0" w:color="auto"/>
                  </w:divBdr>
                  <w:divsChild>
                    <w:div w:id="883903068">
                      <w:marLeft w:val="0"/>
                      <w:marRight w:val="0"/>
                      <w:marTop w:val="0"/>
                      <w:marBottom w:val="0"/>
                      <w:divBdr>
                        <w:top w:val="none" w:sz="0" w:space="0" w:color="auto"/>
                        <w:left w:val="none" w:sz="0" w:space="0" w:color="auto"/>
                        <w:bottom w:val="none" w:sz="0" w:space="0" w:color="auto"/>
                        <w:right w:val="none" w:sz="0" w:space="0" w:color="auto"/>
                      </w:divBdr>
                    </w:div>
                    <w:div w:id="1217814266">
                      <w:marLeft w:val="0"/>
                      <w:marRight w:val="0"/>
                      <w:marTop w:val="0"/>
                      <w:marBottom w:val="0"/>
                      <w:divBdr>
                        <w:top w:val="none" w:sz="0" w:space="0" w:color="auto"/>
                        <w:left w:val="none" w:sz="0" w:space="0" w:color="auto"/>
                        <w:bottom w:val="none" w:sz="0" w:space="0" w:color="auto"/>
                        <w:right w:val="none" w:sz="0" w:space="0" w:color="auto"/>
                      </w:divBdr>
                    </w:div>
                    <w:div w:id="1408919629">
                      <w:marLeft w:val="0"/>
                      <w:marRight w:val="0"/>
                      <w:marTop w:val="0"/>
                      <w:marBottom w:val="0"/>
                      <w:divBdr>
                        <w:top w:val="none" w:sz="0" w:space="0" w:color="auto"/>
                        <w:left w:val="none" w:sz="0" w:space="0" w:color="auto"/>
                        <w:bottom w:val="none" w:sz="0" w:space="0" w:color="auto"/>
                        <w:right w:val="none" w:sz="0" w:space="0" w:color="auto"/>
                      </w:divBdr>
                    </w:div>
                  </w:divsChild>
                </w:div>
                <w:div w:id="65033590">
                  <w:marLeft w:val="0"/>
                  <w:marRight w:val="0"/>
                  <w:marTop w:val="0"/>
                  <w:marBottom w:val="0"/>
                  <w:divBdr>
                    <w:top w:val="none" w:sz="0" w:space="0" w:color="auto"/>
                    <w:left w:val="none" w:sz="0" w:space="0" w:color="auto"/>
                    <w:bottom w:val="none" w:sz="0" w:space="0" w:color="auto"/>
                    <w:right w:val="none" w:sz="0" w:space="0" w:color="auto"/>
                  </w:divBdr>
                  <w:divsChild>
                    <w:div w:id="1688675561">
                      <w:marLeft w:val="0"/>
                      <w:marRight w:val="0"/>
                      <w:marTop w:val="0"/>
                      <w:marBottom w:val="0"/>
                      <w:divBdr>
                        <w:top w:val="none" w:sz="0" w:space="0" w:color="auto"/>
                        <w:left w:val="none" w:sz="0" w:space="0" w:color="auto"/>
                        <w:bottom w:val="none" w:sz="0" w:space="0" w:color="auto"/>
                        <w:right w:val="none" w:sz="0" w:space="0" w:color="auto"/>
                      </w:divBdr>
                    </w:div>
                  </w:divsChild>
                </w:div>
                <w:div w:id="68771199">
                  <w:marLeft w:val="0"/>
                  <w:marRight w:val="0"/>
                  <w:marTop w:val="0"/>
                  <w:marBottom w:val="0"/>
                  <w:divBdr>
                    <w:top w:val="none" w:sz="0" w:space="0" w:color="auto"/>
                    <w:left w:val="none" w:sz="0" w:space="0" w:color="auto"/>
                    <w:bottom w:val="none" w:sz="0" w:space="0" w:color="auto"/>
                    <w:right w:val="none" w:sz="0" w:space="0" w:color="auto"/>
                  </w:divBdr>
                  <w:divsChild>
                    <w:div w:id="678965268">
                      <w:marLeft w:val="0"/>
                      <w:marRight w:val="0"/>
                      <w:marTop w:val="0"/>
                      <w:marBottom w:val="0"/>
                      <w:divBdr>
                        <w:top w:val="none" w:sz="0" w:space="0" w:color="auto"/>
                        <w:left w:val="none" w:sz="0" w:space="0" w:color="auto"/>
                        <w:bottom w:val="none" w:sz="0" w:space="0" w:color="auto"/>
                        <w:right w:val="none" w:sz="0" w:space="0" w:color="auto"/>
                      </w:divBdr>
                    </w:div>
                  </w:divsChild>
                </w:div>
                <w:div w:id="78794634">
                  <w:marLeft w:val="0"/>
                  <w:marRight w:val="0"/>
                  <w:marTop w:val="0"/>
                  <w:marBottom w:val="0"/>
                  <w:divBdr>
                    <w:top w:val="none" w:sz="0" w:space="0" w:color="auto"/>
                    <w:left w:val="none" w:sz="0" w:space="0" w:color="auto"/>
                    <w:bottom w:val="none" w:sz="0" w:space="0" w:color="auto"/>
                    <w:right w:val="none" w:sz="0" w:space="0" w:color="auto"/>
                  </w:divBdr>
                  <w:divsChild>
                    <w:div w:id="929583653">
                      <w:marLeft w:val="0"/>
                      <w:marRight w:val="0"/>
                      <w:marTop w:val="0"/>
                      <w:marBottom w:val="0"/>
                      <w:divBdr>
                        <w:top w:val="none" w:sz="0" w:space="0" w:color="auto"/>
                        <w:left w:val="none" w:sz="0" w:space="0" w:color="auto"/>
                        <w:bottom w:val="none" w:sz="0" w:space="0" w:color="auto"/>
                        <w:right w:val="none" w:sz="0" w:space="0" w:color="auto"/>
                      </w:divBdr>
                    </w:div>
                  </w:divsChild>
                </w:div>
                <w:div w:id="127209455">
                  <w:marLeft w:val="0"/>
                  <w:marRight w:val="0"/>
                  <w:marTop w:val="0"/>
                  <w:marBottom w:val="0"/>
                  <w:divBdr>
                    <w:top w:val="none" w:sz="0" w:space="0" w:color="auto"/>
                    <w:left w:val="none" w:sz="0" w:space="0" w:color="auto"/>
                    <w:bottom w:val="none" w:sz="0" w:space="0" w:color="auto"/>
                    <w:right w:val="none" w:sz="0" w:space="0" w:color="auto"/>
                  </w:divBdr>
                  <w:divsChild>
                    <w:div w:id="392236236">
                      <w:marLeft w:val="0"/>
                      <w:marRight w:val="0"/>
                      <w:marTop w:val="0"/>
                      <w:marBottom w:val="0"/>
                      <w:divBdr>
                        <w:top w:val="none" w:sz="0" w:space="0" w:color="auto"/>
                        <w:left w:val="none" w:sz="0" w:space="0" w:color="auto"/>
                        <w:bottom w:val="none" w:sz="0" w:space="0" w:color="auto"/>
                        <w:right w:val="none" w:sz="0" w:space="0" w:color="auto"/>
                      </w:divBdr>
                    </w:div>
                  </w:divsChild>
                </w:div>
                <w:div w:id="131021273">
                  <w:marLeft w:val="0"/>
                  <w:marRight w:val="0"/>
                  <w:marTop w:val="0"/>
                  <w:marBottom w:val="0"/>
                  <w:divBdr>
                    <w:top w:val="none" w:sz="0" w:space="0" w:color="auto"/>
                    <w:left w:val="none" w:sz="0" w:space="0" w:color="auto"/>
                    <w:bottom w:val="none" w:sz="0" w:space="0" w:color="auto"/>
                    <w:right w:val="none" w:sz="0" w:space="0" w:color="auto"/>
                  </w:divBdr>
                  <w:divsChild>
                    <w:div w:id="613556340">
                      <w:marLeft w:val="0"/>
                      <w:marRight w:val="0"/>
                      <w:marTop w:val="0"/>
                      <w:marBottom w:val="0"/>
                      <w:divBdr>
                        <w:top w:val="none" w:sz="0" w:space="0" w:color="auto"/>
                        <w:left w:val="none" w:sz="0" w:space="0" w:color="auto"/>
                        <w:bottom w:val="none" w:sz="0" w:space="0" w:color="auto"/>
                        <w:right w:val="none" w:sz="0" w:space="0" w:color="auto"/>
                      </w:divBdr>
                    </w:div>
                  </w:divsChild>
                </w:div>
                <w:div w:id="144712538">
                  <w:marLeft w:val="0"/>
                  <w:marRight w:val="0"/>
                  <w:marTop w:val="0"/>
                  <w:marBottom w:val="0"/>
                  <w:divBdr>
                    <w:top w:val="none" w:sz="0" w:space="0" w:color="auto"/>
                    <w:left w:val="none" w:sz="0" w:space="0" w:color="auto"/>
                    <w:bottom w:val="none" w:sz="0" w:space="0" w:color="auto"/>
                    <w:right w:val="none" w:sz="0" w:space="0" w:color="auto"/>
                  </w:divBdr>
                  <w:divsChild>
                    <w:div w:id="215626389">
                      <w:marLeft w:val="0"/>
                      <w:marRight w:val="0"/>
                      <w:marTop w:val="0"/>
                      <w:marBottom w:val="0"/>
                      <w:divBdr>
                        <w:top w:val="none" w:sz="0" w:space="0" w:color="auto"/>
                        <w:left w:val="none" w:sz="0" w:space="0" w:color="auto"/>
                        <w:bottom w:val="none" w:sz="0" w:space="0" w:color="auto"/>
                        <w:right w:val="none" w:sz="0" w:space="0" w:color="auto"/>
                      </w:divBdr>
                    </w:div>
                  </w:divsChild>
                </w:div>
                <w:div w:id="146943321">
                  <w:marLeft w:val="0"/>
                  <w:marRight w:val="0"/>
                  <w:marTop w:val="0"/>
                  <w:marBottom w:val="0"/>
                  <w:divBdr>
                    <w:top w:val="none" w:sz="0" w:space="0" w:color="auto"/>
                    <w:left w:val="none" w:sz="0" w:space="0" w:color="auto"/>
                    <w:bottom w:val="none" w:sz="0" w:space="0" w:color="auto"/>
                    <w:right w:val="none" w:sz="0" w:space="0" w:color="auto"/>
                  </w:divBdr>
                  <w:divsChild>
                    <w:div w:id="183447382">
                      <w:marLeft w:val="0"/>
                      <w:marRight w:val="0"/>
                      <w:marTop w:val="0"/>
                      <w:marBottom w:val="0"/>
                      <w:divBdr>
                        <w:top w:val="none" w:sz="0" w:space="0" w:color="auto"/>
                        <w:left w:val="none" w:sz="0" w:space="0" w:color="auto"/>
                        <w:bottom w:val="none" w:sz="0" w:space="0" w:color="auto"/>
                        <w:right w:val="none" w:sz="0" w:space="0" w:color="auto"/>
                      </w:divBdr>
                    </w:div>
                  </w:divsChild>
                </w:div>
                <w:div w:id="151915783">
                  <w:marLeft w:val="0"/>
                  <w:marRight w:val="0"/>
                  <w:marTop w:val="0"/>
                  <w:marBottom w:val="0"/>
                  <w:divBdr>
                    <w:top w:val="none" w:sz="0" w:space="0" w:color="auto"/>
                    <w:left w:val="none" w:sz="0" w:space="0" w:color="auto"/>
                    <w:bottom w:val="none" w:sz="0" w:space="0" w:color="auto"/>
                    <w:right w:val="none" w:sz="0" w:space="0" w:color="auto"/>
                  </w:divBdr>
                  <w:divsChild>
                    <w:div w:id="1252004141">
                      <w:marLeft w:val="0"/>
                      <w:marRight w:val="0"/>
                      <w:marTop w:val="0"/>
                      <w:marBottom w:val="0"/>
                      <w:divBdr>
                        <w:top w:val="none" w:sz="0" w:space="0" w:color="auto"/>
                        <w:left w:val="none" w:sz="0" w:space="0" w:color="auto"/>
                        <w:bottom w:val="none" w:sz="0" w:space="0" w:color="auto"/>
                        <w:right w:val="none" w:sz="0" w:space="0" w:color="auto"/>
                      </w:divBdr>
                    </w:div>
                  </w:divsChild>
                </w:div>
                <w:div w:id="158161438">
                  <w:marLeft w:val="0"/>
                  <w:marRight w:val="0"/>
                  <w:marTop w:val="0"/>
                  <w:marBottom w:val="0"/>
                  <w:divBdr>
                    <w:top w:val="none" w:sz="0" w:space="0" w:color="auto"/>
                    <w:left w:val="none" w:sz="0" w:space="0" w:color="auto"/>
                    <w:bottom w:val="none" w:sz="0" w:space="0" w:color="auto"/>
                    <w:right w:val="none" w:sz="0" w:space="0" w:color="auto"/>
                  </w:divBdr>
                  <w:divsChild>
                    <w:div w:id="1940943693">
                      <w:marLeft w:val="0"/>
                      <w:marRight w:val="0"/>
                      <w:marTop w:val="0"/>
                      <w:marBottom w:val="0"/>
                      <w:divBdr>
                        <w:top w:val="none" w:sz="0" w:space="0" w:color="auto"/>
                        <w:left w:val="none" w:sz="0" w:space="0" w:color="auto"/>
                        <w:bottom w:val="none" w:sz="0" w:space="0" w:color="auto"/>
                        <w:right w:val="none" w:sz="0" w:space="0" w:color="auto"/>
                      </w:divBdr>
                    </w:div>
                  </w:divsChild>
                </w:div>
                <w:div w:id="161244083">
                  <w:marLeft w:val="0"/>
                  <w:marRight w:val="0"/>
                  <w:marTop w:val="0"/>
                  <w:marBottom w:val="0"/>
                  <w:divBdr>
                    <w:top w:val="none" w:sz="0" w:space="0" w:color="auto"/>
                    <w:left w:val="none" w:sz="0" w:space="0" w:color="auto"/>
                    <w:bottom w:val="none" w:sz="0" w:space="0" w:color="auto"/>
                    <w:right w:val="none" w:sz="0" w:space="0" w:color="auto"/>
                  </w:divBdr>
                  <w:divsChild>
                    <w:div w:id="1331710501">
                      <w:marLeft w:val="0"/>
                      <w:marRight w:val="0"/>
                      <w:marTop w:val="0"/>
                      <w:marBottom w:val="0"/>
                      <w:divBdr>
                        <w:top w:val="none" w:sz="0" w:space="0" w:color="auto"/>
                        <w:left w:val="none" w:sz="0" w:space="0" w:color="auto"/>
                        <w:bottom w:val="none" w:sz="0" w:space="0" w:color="auto"/>
                        <w:right w:val="none" w:sz="0" w:space="0" w:color="auto"/>
                      </w:divBdr>
                    </w:div>
                  </w:divsChild>
                </w:div>
                <w:div w:id="187186754">
                  <w:marLeft w:val="0"/>
                  <w:marRight w:val="0"/>
                  <w:marTop w:val="0"/>
                  <w:marBottom w:val="0"/>
                  <w:divBdr>
                    <w:top w:val="none" w:sz="0" w:space="0" w:color="auto"/>
                    <w:left w:val="none" w:sz="0" w:space="0" w:color="auto"/>
                    <w:bottom w:val="none" w:sz="0" w:space="0" w:color="auto"/>
                    <w:right w:val="none" w:sz="0" w:space="0" w:color="auto"/>
                  </w:divBdr>
                  <w:divsChild>
                    <w:div w:id="922378587">
                      <w:marLeft w:val="0"/>
                      <w:marRight w:val="0"/>
                      <w:marTop w:val="0"/>
                      <w:marBottom w:val="0"/>
                      <w:divBdr>
                        <w:top w:val="none" w:sz="0" w:space="0" w:color="auto"/>
                        <w:left w:val="none" w:sz="0" w:space="0" w:color="auto"/>
                        <w:bottom w:val="none" w:sz="0" w:space="0" w:color="auto"/>
                        <w:right w:val="none" w:sz="0" w:space="0" w:color="auto"/>
                      </w:divBdr>
                    </w:div>
                  </w:divsChild>
                </w:div>
                <w:div w:id="198780109">
                  <w:marLeft w:val="0"/>
                  <w:marRight w:val="0"/>
                  <w:marTop w:val="0"/>
                  <w:marBottom w:val="0"/>
                  <w:divBdr>
                    <w:top w:val="none" w:sz="0" w:space="0" w:color="auto"/>
                    <w:left w:val="none" w:sz="0" w:space="0" w:color="auto"/>
                    <w:bottom w:val="none" w:sz="0" w:space="0" w:color="auto"/>
                    <w:right w:val="none" w:sz="0" w:space="0" w:color="auto"/>
                  </w:divBdr>
                  <w:divsChild>
                    <w:div w:id="1407872702">
                      <w:marLeft w:val="0"/>
                      <w:marRight w:val="0"/>
                      <w:marTop w:val="0"/>
                      <w:marBottom w:val="0"/>
                      <w:divBdr>
                        <w:top w:val="none" w:sz="0" w:space="0" w:color="auto"/>
                        <w:left w:val="none" w:sz="0" w:space="0" w:color="auto"/>
                        <w:bottom w:val="none" w:sz="0" w:space="0" w:color="auto"/>
                        <w:right w:val="none" w:sz="0" w:space="0" w:color="auto"/>
                      </w:divBdr>
                    </w:div>
                  </w:divsChild>
                </w:div>
                <w:div w:id="245114205">
                  <w:marLeft w:val="0"/>
                  <w:marRight w:val="0"/>
                  <w:marTop w:val="0"/>
                  <w:marBottom w:val="0"/>
                  <w:divBdr>
                    <w:top w:val="none" w:sz="0" w:space="0" w:color="auto"/>
                    <w:left w:val="none" w:sz="0" w:space="0" w:color="auto"/>
                    <w:bottom w:val="none" w:sz="0" w:space="0" w:color="auto"/>
                    <w:right w:val="none" w:sz="0" w:space="0" w:color="auto"/>
                  </w:divBdr>
                  <w:divsChild>
                    <w:div w:id="1005479009">
                      <w:marLeft w:val="0"/>
                      <w:marRight w:val="0"/>
                      <w:marTop w:val="0"/>
                      <w:marBottom w:val="0"/>
                      <w:divBdr>
                        <w:top w:val="none" w:sz="0" w:space="0" w:color="auto"/>
                        <w:left w:val="none" w:sz="0" w:space="0" w:color="auto"/>
                        <w:bottom w:val="none" w:sz="0" w:space="0" w:color="auto"/>
                        <w:right w:val="none" w:sz="0" w:space="0" w:color="auto"/>
                      </w:divBdr>
                    </w:div>
                  </w:divsChild>
                </w:div>
                <w:div w:id="270094311">
                  <w:marLeft w:val="0"/>
                  <w:marRight w:val="0"/>
                  <w:marTop w:val="0"/>
                  <w:marBottom w:val="0"/>
                  <w:divBdr>
                    <w:top w:val="none" w:sz="0" w:space="0" w:color="auto"/>
                    <w:left w:val="none" w:sz="0" w:space="0" w:color="auto"/>
                    <w:bottom w:val="none" w:sz="0" w:space="0" w:color="auto"/>
                    <w:right w:val="none" w:sz="0" w:space="0" w:color="auto"/>
                  </w:divBdr>
                  <w:divsChild>
                    <w:div w:id="419572172">
                      <w:marLeft w:val="0"/>
                      <w:marRight w:val="0"/>
                      <w:marTop w:val="0"/>
                      <w:marBottom w:val="0"/>
                      <w:divBdr>
                        <w:top w:val="none" w:sz="0" w:space="0" w:color="auto"/>
                        <w:left w:val="none" w:sz="0" w:space="0" w:color="auto"/>
                        <w:bottom w:val="none" w:sz="0" w:space="0" w:color="auto"/>
                        <w:right w:val="none" w:sz="0" w:space="0" w:color="auto"/>
                      </w:divBdr>
                    </w:div>
                  </w:divsChild>
                </w:div>
                <w:div w:id="333991873">
                  <w:marLeft w:val="0"/>
                  <w:marRight w:val="0"/>
                  <w:marTop w:val="0"/>
                  <w:marBottom w:val="0"/>
                  <w:divBdr>
                    <w:top w:val="none" w:sz="0" w:space="0" w:color="auto"/>
                    <w:left w:val="none" w:sz="0" w:space="0" w:color="auto"/>
                    <w:bottom w:val="none" w:sz="0" w:space="0" w:color="auto"/>
                    <w:right w:val="none" w:sz="0" w:space="0" w:color="auto"/>
                  </w:divBdr>
                  <w:divsChild>
                    <w:div w:id="288128643">
                      <w:marLeft w:val="0"/>
                      <w:marRight w:val="0"/>
                      <w:marTop w:val="0"/>
                      <w:marBottom w:val="0"/>
                      <w:divBdr>
                        <w:top w:val="none" w:sz="0" w:space="0" w:color="auto"/>
                        <w:left w:val="none" w:sz="0" w:space="0" w:color="auto"/>
                        <w:bottom w:val="none" w:sz="0" w:space="0" w:color="auto"/>
                        <w:right w:val="none" w:sz="0" w:space="0" w:color="auto"/>
                      </w:divBdr>
                    </w:div>
                  </w:divsChild>
                </w:div>
                <w:div w:id="387993187">
                  <w:marLeft w:val="0"/>
                  <w:marRight w:val="0"/>
                  <w:marTop w:val="0"/>
                  <w:marBottom w:val="0"/>
                  <w:divBdr>
                    <w:top w:val="none" w:sz="0" w:space="0" w:color="auto"/>
                    <w:left w:val="none" w:sz="0" w:space="0" w:color="auto"/>
                    <w:bottom w:val="none" w:sz="0" w:space="0" w:color="auto"/>
                    <w:right w:val="none" w:sz="0" w:space="0" w:color="auto"/>
                  </w:divBdr>
                  <w:divsChild>
                    <w:div w:id="2143493680">
                      <w:marLeft w:val="0"/>
                      <w:marRight w:val="0"/>
                      <w:marTop w:val="0"/>
                      <w:marBottom w:val="0"/>
                      <w:divBdr>
                        <w:top w:val="none" w:sz="0" w:space="0" w:color="auto"/>
                        <w:left w:val="none" w:sz="0" w:space="0" w:color="auto"/>
                        <w:bottom w:val="none" w:sz="0" w:space="0" w:color="auto"/>
                        <w:right w:val="none" w:sz="0" w:space="0" w:color="auto"/>
                      </w:divBdr>
                    </w:div>
                  </w:divsChild>
                </w:div>
                <w:div w:id="389504728">
                  <w:marLeft w:val="0"/>
                  <w:marRight w:val="0"/>
                  <w:marTop w:val="0"/>
                  <w:marBottom w:val="0"/>
                  <w:divBdr>
                    <w:top w:val="none" w:sz="0" w:space="0" w:color="auto"/>
                    <w:left w:val="none" w:sz="0" w:space="0" w:color="auto"/>
                    <w:bottom w:val="none" w:sz="0" w:space="0" w:color="auto"/>
                    <w:right w:val="none" w:sz="0" w:space="0" w:color="auto"/>
                  </w:divBdr>
                  <w:divsChild>
                    <w:div w:id="370033202">
                      <w:marLeft w:val="0"/>
                      <w:marRight w:val="0"/>
                      <w:marTop w:val="0"/>
                      <w:marBottom w:val="0"/>
                      <w:divBdr>
                        <w:top w:val="none" w:sz="0" w:space="0" w:color="auto"/>
                        <w:left w:val="none" w:sz="0" w:space="0" w:color="auto"/>
                        <w:bottom w:val="none" w:sz="0" w:space="0" w:color="auto"/>
                        <w:right w:val="none" w:sz="0" w:space="0" w:color="auto"/>
                      </w:divBdr>
                    </w:div>
                  </w:divsChild>
                </w:div>
                <w:div w:id="423652265">
                  <w:marLeft w:val="0"/>
                  <w:marRight w:val="0"/>
                  <w:marTop w:val="0"/>
                  <w:marBottom w:val="0"/>
                  <w:divBdr>
                    <w:top w:val="none" w:sz="0" w:space="0" w:color="auto"/>
                    <w:left w:val="none" w:sz="0" w:space="0" w:color="auto"/>
                    <w:bottom w:val="none" w:sz="0" w:space="0" w:color="auto"/>
                    <w:right w:val="none" w:sz="0" w:space="0" w:color="auto"/>
                  </w:divBdr>
                  <w:divsChild>
                    <w:div w:id="2033919553">
                      <w:marLeft w:val="0"/>
                      <w:marRight w:val="0"/>
                      <w:marTop w:val="0"/>
                      <w:marBottom w:val="0"/>
                      <w:divBdr>
                        <w:top w:val="none" w:sz="0" w:space="0" w:color="auto"/>
                        <w:left w:val="none" w:sz="0" w:space="0" w:color="auto"/>
                        <w:bottom w:val="none" w:sz="0" w:space="0" w:color="auto"/>
                        <w:right w:val="none" w:sz="0" w:space="0" w:color="auto"/>
                      </w:divBdr>
                    </w:div>
                  </w:divsChild>
                </w:div>
                <w:div w:id="454714641">
                  <w:marLeft w:val="0"/>
                  <w:marRight w:val="0"/>
                  <w:marTop w:val="0"/>
                  <w:marBottom w:val="0"/>
                  <w:divBdr>
                    <w:top w:val="none" w:sz="0" w:space="0" w:color="auto"/>
                    <w:left w:val="none" w:sz="0" w:space="0" w:color="auto"/>
                    <w:bottom w:val="none" w:sz="0" w:space="0" w:color="auto"/>
                    <w:right w:val="none" w:sz="0" w:space="0" w:color="auto"/>
                  </w:divBdr>
                  <w:divsChild>
                    <w:div w:id="1648241711">
                      <w:marLeft w:val="0"/>
                      <w:marRight w:val="0"/>
                      <w:marTop w:val="0"/>
                      <w:marBottom w:val="0"/>
                      <w:divBdr>
                        <w:top w:val="none" w:sz="0" w:space="0" w:color="auto"/>
                        <w:left w:val="none" w:sz="0" w:space="0" w:color="auto"/>
                        <w:bottom w:val="none" w:sz="0" w:space="0" w:color="auto"/>
                        <w:right w:val="none" w:sz="0" w:space="0" w:color="auto"/>
                      </w:divBdr>
                    </w:div>
                  </w:divsChild>
                </w:div>
                <w:div w:id="454757146">
                  <w:marLeft w:val="0"/>
                  <w:marRight w:val="0"/>
                  <w:marTop w:val="0"/>
                  <w:marBottom w:val="0"/>
                  <w:divBdr>
                    <w:top w:val="none" w:sz="0" w:space="0" w:color="auto"/>
                    <w:left w:val="none" w:sz="0" w:space="0" w:color="auto"/>
                    <w:bottom w:val="none" w:sz="0" w:space="0" w:color="auto"/>
                    <w:right w:val="none" w:sz="0" w:space="0" w:color="auto"/>
                  </w:divBdr>
                  <w:divsChild>
                    <w:div w:id="2096317168">
                      <w:marLeft w:val="0"/>
                      <w:marRight w:val="0"/>
                      <w:marTop w:val="0"/>
                      <w:marBottom w:val="0"/>
                      <w:divBdr>
                        <w:top w:val="none" w:sz="0" w:space="0" w:color="auto"/>
                        <w:left w:val="none" w:sz="0" w:space="0" w:color="auto"/>
                        <w:bottom w:val="none" w:sz="0" w:space="0" w:color="auto"/>
                        <w:right w:val="none" w:sz="0" w:space="0" w:color="auto"/>
                      </w:divBdr>
                    </w:div>
                  </w:divsChild>
                </w:div>
                <w:div w:id="469254460">
                  <w:marLeft w:val="0"/>
                  <w:marRight w:val="0"/>
                  <w:marTop w:val="0"/>
                  <w:marBottom w:val="0"/>
                  <w:divBdr>
                    <w:top w:val="none" w:sz="0" w:space="0" w:color="auto"/>
                    <w:left w:val="none" w:sz="0" w:space="0" w:color="auto"/>
                    <w:bottom w:val="none" w:sz="0" w:space="0" w:color="auto"/>
                    <w:right w:val="none" w:sz="0" w:space="0" w:color="auto"/>
                  </w:divBdr>
                  <w:divsChild>
                    <w:div w:id="1081177981">
                      <w:marLeft w:val="0"/>
                      <w:marRight w:val="0"/>
                      <w:marTop w:val="0"/>
                      <w:marBottom w:val="0"/>
                      <w:divBdr>
                        <w:top w:val="none" w:sz="0" w:space="0" w:color="auto"/>
                        <w:left w:val="none" w:sz="0" w:space="0" w:color="auto"/>
                        <w:bottom w:val="none" w:sz="0" w:space="0" w:color="auto"/>
                        <w:right w:val="none" w:sz="0" w:space="0" w:color="auto"/>
                      </w:divBdr>
                    </w:div>
                  </w:divsChild>
                </w:div>
                <w:div w:id="527136479">
                  <w:marLeft w:val="0"/>
                  <w:marRight w:val="0"/>
                  <w:marTop w:val="0"/>
                  <w:marBottom w:val="0"/>
                  <w:divBdr>
                    <w:top w:val="none" w:sz="0" w:space="0" w:color="auto"/>
                    <w:left w:val="none" w:sz="0" w:space="0" w:color="auto"/>
                    <w:bottom w:val="none" w:sz="0" w:space="0" w:color="auto"/>
                    <w:right w:val="none" w:sz="0" w:space="0" w:color="auto"/>
                  </w:divBdr>
                  <w:divsChild>
                    <w:div w:id="1802990124">
                      <w:marLeft w:val="0"/>
                      <w:marRight w:val="0"/>
                      <w:marTop w:val="0"/>
                      <w:marBottom w:val="0"/>
                      <w:divBdr>
                        <w:top w:val="none" w:sz="0" w:space="0" w:color="auto"/>
                        <w:left w:val="none" w:sz="0" w:space="0" w:color="auto"/>
                        <w:bottom w:val="none" w:sz="0" w:space="0" w:color="auto"/>
                        <w:right w:val="none" w:sz="0" w:space="0" w:color="auto"/>
                      </w:divBdr>
                    </w:div>
                  </w:divsChild>
                </w:div>
                <w:div w:id="570970429">
                  <w:marLeft w:val="0"/>
                  <w:marRight w:val="0"/>
                  <w:marTop w:val="0"/>
                  <w:marBottom w:val="0"/>
                  <w:divBdr>
                    <w:top w:val="none" w:sz="0" w:space="0" w:color="auto"/>
                    <w:left w:val="none" w:sz="0" w:space="0" w:color="auto"/>
                    <w:bottom w:val="none" w:sz="0" w:space="0" w:color="auto"/>
                    <w:right w:val="none" w:sz="0" w:space="0" w:color="auto"/>
                  </w:divBdr>
                  <w:divsChild>
                    <w:div w:id="334456179">
                      <w:marLeft w:val="0"/>
                      <w:marRight w:val="0"/>
                      <w:marTop w:val="0"/>
                      <w:marBottom w:val="0"/>
                      <w:divBdr>
                        <w:top w:val="none" w:sz="0" w:space="0" w:color="auto"/>
                        <w:left w:val="none" w:sz="0" w:space="0" w:color="auto"/>
                        <w:bottom w:val="none" w:sz="0" w:space="0" w:color="auto"/>
                        <w:right w:val="none" w:sz="0" w:space="0" w:color="auto"/>
                      </w:divBdr>
                    </w:div>
                  </w:divsChild>
                </w:div>
                <w:div w:id="618293384">
                  <w:marLeft w:val="0"/>
                  <w:marRight w:val="0"/>
                  <w:marTop w:val="0"/>
                  <w:marBottom w:val="0"/>
                  <w:divBdr>
                    <w:top w:val="none" w:sz="0" w:space="0" w:color="auto"/>
                    <w:left w:val="none" w:sz="0" w:space="0" w:color="auto"/>
                    <w:bottom w:val="none" w:sz="0" w:space="0" w:color="auto"/>
                    <w:right w:val="none" w:sz="0" w:space="0" w:color="auto"/>
                  </w:divBdr>
                  <w:divsChild>
                    <w:div w:id="297614017">
                      <w:marLeft w:val="0"/>
                      <w:marRight w:val="0"/>
                      <w:marTop w:val="0"/>
                      <w:marBottom w:val="0"/>
                      <w:divBdr>
                        <w:top w:val="none" w:sz="0" w:space="0" w:color="auto"/>
                        <w:left w:val="none" w:sz="0" w:space="0" w:color="auto"/>
                        <w:bottom w:val="none" w:sz="0" w:space="0" w:color="auto"/>
                        <w:right w:val="none" w:sz="0" w:space="0" w:color="auto"/>
                      </w:divBdr>
                    </w:div>
                  </w:divsChild>
                </w:div>
                <w:div w:id="618489158">
                  <w:marLeft w:val="0"/>
                  <w:marRight w:val="0"/>
                  <w:marTop w:val="0"/>
                  <w:marBottom w:val="0"/>
                  <w:divBdr>
                    <w:top w:val="none" w:sz="0" w:space="0" w:color="auto"/>
                    <w:left w:val="none" w:sz="0" w:space="0" w:color="auto"/>
                    <w:bottom w:val="none" w:sz="0" w:space="0" w:color="auto"/>
                    <w:right w:val="none" w:sz="0" w:space="0" w:color="auto"/>
                  </w:divBdr>
                  <w:divsChild>
                    <w:div w:id="48459398">
                      <w:marLeft w:val="0"/>
                      <w:marRight w:val="0"/>
                      <w:marTop w:val="0"/>
                      <w:marBottom w:val="0"/>
                      <w:divBdr>
                        <w:top w:val="none" w:sz="0" w:space="0" w:color="auto"/>
                        <w:left w:val="none" w:sz="0" w:space="0" w:color="auto"/>
                        <w:bottom w:val="none" w:sz="0" w:space="0" w:color="auto"/>
                        <w:right w:val="none" w:sz="0" w:space="0" w:color="auto"/>
                      </w:divBdr>
                    </w:div>
                  </w:divsChild>
                </w:div>
                <w:div w:id="640573829">
                  <w:marLeft w:val="0"/>
                  <w:marRight w:val="0"/>
                  <w:marTop w:val="0"/>
                  <w:marBottom w:val="0"/>
                  <w:divBdr>
                    <w:top w:val="none" w:sz="0" w:space="0" w:color="auto"/>
                    <w:left w:val="none" w:sz="0" w:space="0" w:color="auto"/>
                    <w:bottom w:val="none" w:sz="0" w:space="0" w:color="auto"/>
                    <w:right w:val="none" w:sz="0" w:space="0" w:color="auto"/>
                  </w:divBdr>
                  <w:divsChild>
                    <w:div w:id="1228951542">
                      <w:marLeft w:val="0"/>
                      <w:marRight w:val="0"/>
                      <w:marTop w:val="0"/>
                      <w:marBottom w:val="0"/>
                      <w:divBdr>
                        <w:top w:val="none" w:sz="0" w:space="0" w:color="auto"/>
                        <w:left w:val="none" w:sz="0" w:space="0" w:color="auto"/>
                        <w:bottom w:val="none" w:sz="0" w:space="0" w:color="auto"/>
                        <w:right w:val="none" w:sz="0" w:space="0" w:color="auto"/>
                      </w:divBdr>
                    </w:div>
                  </w:divsChild>
                </w:div>
                <w:div w:id="645428149">
                  <w:marLeft w:val="0"/>
                  <w:marRight w:val="0"/>
                  <w:marTop w:val="0"/>
                  <w:marBottom w:val="0"/>
                  <w:divBdr>
                    <w:top w:val="none" w:sz="0" w:space="0" w:color="auto"/>
                    <w:left w:val="none" w:sz="0" w:space="0" w:color="auto"/>
                    <w:bottom w:val="none" w:sz="0" w:space="0" w:color="auto"/>
                    <w:right w:val="none" w:sz="0" w:space="0" w:color="auto"/>
                  </w:divBdr>
                  <w:divsChild>
                    <w:div w:id="2095856235">
                      <w:marLeft w:val="0"/>
                      <w:marRight w:val="0"/>
                      <w:marTop w:val="0"/>
                      <w:marBottom w:val="0"/>
                      <w:divBdr>
                        <w:top w:val="none" w:sz="0" w:space="0" w:color="auto"/>
                        <w:left w:val="none" w:sz="0" w:space="0" w:color="auto"/>
                        <w:bottom w:val="none" w:sz="0" w:space="0" w:color="auto"/>
                        <w:right w:val="none" w:sz="0" w:space="0" w:color="auto"/>
                      </w:divBdr>
                    </w:div>
                  </w:divsChild>
                </w:div>
                <w:div w:id="731008220">
                  <w:marLeft w:val="0"/>
                  <w:marRight w:val="0"/>
                  <w:marTop w:val="0"/>
                  <w:marBottom w:val="0"/>
                  <w:divBdr>
                    <w:top w:val="none" w:sz="0" w:space="0" w:color="auto"/>
                    <w:left w:val="none" w:sz="0" w:space="0" w:color="auto"/>
                    <w:bottom w:val="none" w:sz="0" w:space="0" w:color="auto"/>
                    <w:right w:val="none" w:sz="0" w:space="0" w:color="auto"/>
                  </w:divBdr>
                  <w:divsChild>
                    <w:div w:id="1566600417">
                      <w:marLeft w:val="0"/>
                      <w:marRight w:val="0"/>
                      <w:marTop w:val="0"/>
                      <w:marBottom w:val="0"/>
                      <w:divBdr>
                        <w:top w:val="none" w:sz="0" w:space="0" w:color="auto"/>
                        <w:left w:val="none" w:sz="0" w:space="0" w:color="auto"/>
                        <w:bottom w:val="none" w:sz="0" w:space="0" w:color="auto"/>
                        <w:right w:val="none" w:sz="0" w:space="0" w:color="auto"/>
                      </w:divBdr>
                    </w:div>
                  </w:divsChild>
                </w:div>
                <w:div w:id="748428902">
                  <w:marLeft w:val="0"/>
                  <w:marRight w:val="0"/>
                  <w:marTop w:val="0"/>
                  <w:marBottom w:val="0"/>
                  <w:divBdr>
                    <w:top w:val="none" w:sz="0" w:space="0" w:color="auto"/>
                    <w:left w:val="none" w:sz="0" w:space="0" w:color="auto"/>
                    <w:bottom w:val="none" w:sz="0" w:space="0" w:color="auto"/>
                    <w:right w:val="none" w:sz="0" w:space="0" w:color="auto"/>
                  </w:divBdr>
                  <w:divsChild>
                    <w:div w:id="1643465244">
                      <w:marLeft w:val="0"/>
                      <w:marRight w:val="0"/>
                      <w:marTop w:val="0"/>
                      <w:marBottom w:val="0"/>
                      <w:divBdr>
                        <w:top w:val="none" w:sz="0" w:space="0" w:color="auto"/>
                        <w:left w:val="none" w:sz="0" w:space="0" w:color="auto"/>
                        <w:bottom w:val="none" w:sz="0" w:space="0" w:color="auto"/>
                        <w:right w:val="none" w:sz="0" w:space="0" w:color="auto"/>
                      </w:divBdr>
                    </w:div>
                  </w:divsChild>
                </w:div>
                <w:div w:id="773136675">
                  <w:marLeft w:val="0"/>
                  <w:marRight w:val="0"/>
                  <w:marTop w:val="0"/>
                  <w:marBottom w:val="0"/>
                  <w:divBdr>
                    <w:top w:val="none" w:sz="0" w:space="0" w:color="auto"/>
                    <w:left w:val="none" w:sz="0" w:space="0" w:color="auto"/>
                    <w:bottom w:val="none" w:sz="0" w:space="0" w:color="auto"/>
                    <w:right w:val="none" w:sz="0" w:space="0" w:color="auto"/>
                  </w:divBdr>
                  <w:divsChild>
                    <w:div w:id="1223905066">
                      <w:marLeft w:val="0"/>
                      <w:marRight w:val="0"/>
                      <w:marTop w:val="0"/>
                      <w:marBottom w:val="0"/>
                      <w:divBdr>
                        <w:top w:val="none" w:sz="0" w:space="0" w:color="auto"/>
                        <w:left w:val="none" w:sz="0" w:space="0" w:color="auto"/>
                        <w:bottom w:val="none" w:sz="0" w:space="0" w:color="auto"/>
                        <w:right w:val="none" w:sz="0" w:space="0" w:color="auto"/>
                      </w:divBdr>
                    </w:div>
                  </w:divsChild>
                </w:div>
                <w:div w:id="841167978">
                  <w:marLeft w:val="0"/>
                  <w:marRight w:val="0"/>
                  <w:marTop w:val="0"/>
                  <w:marBottom w:val="0"/>
                  <w:divBdr>
                    <w:top w:val="none" w:sz="0" w:space="0" w:color="auto"/>
                    <w:left w:val="none" w:sz="0" w:space="0" w:color="auto"/>
                    <w:bottom w:val="none" w:sz="0" w:space="0" w:color="auto"/>
                    <w:right w:val="none" w:sz="0" w:space="0" w:color="auto"/>
                  </w:divBdr>
                  <w:divsChild>
                    <w:div w:id="1275942069">
                      <w:marLeft w:val="0"/>
                      <w:marRight w:val="0"/>
                      <w:marTop w:val="0"/>
                      <w:marBottom w:val="0"/>
                      <w:divBdr>
                        <w:top w:val="none" w:sz="0" w:space="0" w:color="auto"/>
                        <w:left w:val="none" w:sz="0" w:space="0" w:color="auto"/>
                        <w:bottom w:val="none" w:sz="0" w:space="0" w:color="auto"/>
                        <w:right w:val="none" w:sz="0" w:space="0" w:color="auto"/>
                      </w:divBdr>
                    </w:div>
                  </w:divsChild>
                </w:div>
                <w:div w:id="845093849">
                  <w:marLeft w:val="0"/>
                  <w:marRight w:val="0"/>
                  <w:marTop w:val="0"/>
                  <w:marBottom w:val="0"/>
                  <w:divBdr>
                    <w:top w:val="none" w:sz="0" w:space="0" w:color="auto"/>
                    <w:left w:val="none" w:sz="0" w:space="0" w:color="auto"/>
                    <w:bottom w:val="none" w:sz="0" w:space="0" w:color="auto"/>
                    <w:right w:val="none" w:sz="0" w:space="0" w:color="auto"/>
                  </w:divBdr>
                  <w:divsChild>
                    <w:div w:id="1287931243">
                      <w:marLeft w:val="0"/>
                      <w:marRight w:val="0"/>
                      <w:marTop w:val="0"/>
                      <w:marBottom w:val="0"/>
                      <w:divBdr>
                        <w:top w:val="none" w:sz="0" w:space="0" w:color="auto"/>
                        <w:left w:val="none" w:sz="0" w:space="0" w:color="auto"/>
                        <w:bottom w:val="none" w:sz="0" w:space="0" w:color="auto"/>
                        <w:right w:val="none" w:sz="0" w:space="0" w:color="auto"/>
                      </w:divBdr>
                    </w:div>
                  </w:divsChild>
                </w:div>
                <w:div w:id="869805191">
                  <w:marLeft w:val="0"/>
                  <w:marRight w:val="0"/>
                  <w:marTop w:val="0"/>
                  <w:marBottom w:val="0"/>
                  <w:divBdr>
                    <w:top w:val="none" w:sz="0" w:space="0" w:color="auto"/>
                    <w:left w:val="none" w:sz="0" w:space="0" w:color="auto"/>
                    <w:bottom w:val="none" w:sz="0" w:space="0" w:color="auto"/>
                    <w:right w:val="none" w:sz="0" w:space="0" w:color="auto"/>
                  </w:divBdr>
                  <w:divsChild>
                    <w:div w:id="1410733329">
                      <w:marLeft w:val="0"/>
                      <w:marRight w:val="0"/>
                      <w:marTop w:val="0"/>
                      <w:marBottom w:val="0"/>
                      <w:divBdr>
                        <w:top w:val="none" w:sz="0" w:space="0" w:color="auto"/>
                        <w:left w:val="none" w:sz="0" w:space="0" w:color="auto"/>
                        <w:bottom w:val="none" w:sz="0" w:space="0" w:color="auto"/>
                        <w:right w:val="none" w:sz="0" w:space="0" w:color="auto"/>
                      </w:divBdr>
                    </w:div>
                  </w:divsChild>
                </w:div>
                <w:div w:id="879711717">
                  <w:marLeft w:val="0"/>
                  <w:marRight w:val="0"/>
                  <w:marTop w:val="0"/>
                  <w:marBottom w:val="0"/>
                  <w:divBdr>
                    <w:top w:val="none" w:sz="0" w:space="0" w:color="auto"/>
                    <w:left w:val="none" w:sz="0" w:space="0" w:color="auto"/>
                    <w:bottom w:val="none" w:sz="0" w:space="0" w:color="auto"/>
                    <w:right w:val="none" w:sz="0" w:space="0" w:color="auto"/>
                  </w:divBdr>
                  <w:divsChild>
                    <w:div w:id="202863595">
                      <w:marLeft w:val="0"/>
                      <w:marRight w:val="0"/>
                      <w:marTop w:val="0"/>
                      <w:marBottom w:val="0"/>
                      <w:divBdr>
                        <w:top w:val="none" w:sz="0" w:space="0" w:color="auto"/>
                        <w:left w:val="none" w:sz="0" w:space="0" w:color="auto"/>
                        <w:bottom w:val="none" w:sz="0" w:space="0" w:color="auto"/>
                        <w:right w:val="none" w:sz="0" w:space="0" w:color="auto"/>
                      </w:divBdr>
                    </w:div>
                  </w:divsChild>
                </w:div>
                <w:div w:id="884561022">
                  <w:marLeft w:val="0"/>
                  <w:marRight w:val="0"/>
                  <w:marTop w:val="0"/>
                  <w:marBottom w:val="0"/>
                  <w:divBdr>
                    <w:top w:val="none" w:sz="0" w:space="0" w:color="auto"/>
                    <w:left w:val="none" w:sz="0" w:space="0" w:color="auto"/>
                    <w:bottom w:val="none" w:sz="0" w:space="0" w:color="auto"/>
                    <w:right w:val="none" w:sz="0" w:space="0" w:color="auto"/>
                  </w:divBdr>
                  <w:divsChild>
                    <w:div w:id="1813862104">
                      <w:marLeft w:val="0"/>
                      <w:marRight w:val="0"/>
                      <w:marTop w:val="0"/>
                      <w:marBottom w:val="0"/>
                      <w:divBdr>
                        <w:top w:val="none" w:sz="0" w:space="0" w:color="auto"/>
                        <w:left w:val="none" w:sz="0" w:space="0" w:color="auto"/>
                        <w:bottom w:val="none" w:sz="0" w:space="0" w:color="auto"/>
                        <w:right w:val="none" w:sz="0" w:space="0" w:color="auto"/>
                      </w:divBdr>
                    </w:div>
                  </w:divsChild>
                </w:div>
                <w:div w:id="884945836">
                  <w:marLeft w:val="0"/>
                  <w:marRight w:val="0"/>
                  <w:marTop w:val="0"/>
                  <w:marBottom w:val="0"/>
                  <w:divBdr>
                    <w:top w:val="none" w:sz="0" w:space="0" w:color="auto"/>
                    <w:left w:val="none" w:sz="0" w:space="0" w:color="auto"/>
                    <w:bottom w:val="none" w:sz="0" w:space="0" w:color="auto"/>
                    <w:right w:val="none" w:sz="0" w:space="0" w:color="auto"/>
                  </w:divBdr>
                  <w:divsChild>
                    <w:div w:id="101925497">
                      <w:marLeft w:val="0"/>
                      <w:marRight w:val="0"/>
                      <w:marTop w:val="0"/>
                      <w:marBottom w:val="0"/>
                      <w:divBdr>
                        <w:top w:val="none" w:sz="0" w:space="0" w:color="auto"/>
                        <w:left w:val="none" w:sz="0" w:space="0" w:color="auto"/>
                        <w:bottom w:val="none" w:sz="0" w:space="0" w:color="auto"/>
                        <w:right w:val="none" w:sz="0" w:space="0" w:color="auto"/>
                      </w:divBdr>
                    </w:div>
                  </w:divsChild>
                </w:div>
                <w:div w:id="888999693">
                  <w:marLeft w:val="0"/>
                  <w:marRight w:val="0"/>
                  <w:marTop w:val="0"/>
                  <w:marBottom w:val="0"/>
                  <w:divBdr>
                    <w:top w:val="none" w:sz="0" w:space="0" w:color="auto"/>
                    <w:left w:val="none" w:sz="0" w:space="0" w:color="auto"/>
                    <w:bottom w:val="none" w:sz="0" w:space="0" w:color="auto"/>
                    <w:right w:val="none" w:sz="0" w:space="0" w:color="auto"/>
                  </w:divBdr>
                  <w:divsChild>
                    <w:div w:id="49882760">
                      <w:marLeft w:val="0"/>
                      <w:marRight w:val="0"/>
                      <w:marTop w:val="0"/>
                      <w:marBottom w:val="0"/>
                      <w:divBdr>
                        <w:top w:val="none" w:sz="0" w:space="0" w:color="auto"/>
                        <w:left w:val="none" w:sz="0" w:space="0" w:color="auto"/>
                        <w:bottom w:val="none" w:sz="0" w:space="0" w:color="auto"/>
                        <w:right w:val="none" w:sz="0" w:space="0" w:color="auto"/>
                      </w:divBdr>
                    </w:div>
                  </w:divsChild>
                </w:div>
                <w:div w:id="913321071">
                  <w:marLeft w:val="0"/>
                  <w:marRight w:val="0"/>
                  <w:marTop w:val="0"/>
                  <w:marBottom w:val="0"/>
                  <w:divBdr>
                    <w:top w:val="none" w:sz="0" w:space="0" w:color="auto"/>
                    <w:left w:val="none" w:sz="0" w:space="0" w:color="auto"/>
                    <w:bottom w:val="none" w:sz="0" w:space="0" w:color="auto"/>
                    <w:right w:val="none" w:sz="0" w:space="0" w:color="auto"/>
                  </w:divBdr>
                  <w:divsChild>
                    <w:div w:id="755520653">
                      <w:marLeft w:val="0"/>
                      <w:marRight w:val="0"/>
                      <w:marTop w:val="0"/>
                      <w:marBottom w:val="0"/>
                      <w:divBdr>
                        <w:top w:val="none" w:sz="0" w:space="0" w:color="auto"/>
                        <w:left w:val="none" w:sz="0" w:space="0" w:color="auto"/>
                        <w:bottom w:val="none" w:sz="0" w:space="0" w:color="auto"/>
                        <w:right w:val="none" w:sz="0" w:space="0" w:color="auto"/>
                      </w:divBdr>
                    </w:div>
                  </w:divsChild>
                </w:div>
                <w:div w:id="942148909">
                  <w:marLeft w:val="0"/>
                  <w:marRight w:val="0"/>
                  <w:marTop w:val="0"/>
                  <w:marBottom w:val="0"/>
                  <w:divBdr>
                    <w:top w:val="none" w:sz="0" w:space="0" w:color="auto"/>
                    <w:left w:val="none" w:sz="0" w:space="0" w:color="auto"/>
                    <w:bottom w:val="none" w:sz="0" w:space="0" w:color="auto"/>
                    <w:right w:val="none" w:sz="0" w:space="0" w:color="auto"/>
                  </w:divBdr>
                  <w:divsChild>
                    <w:div w:id="1213272764">
                      <w:marLeft w:val="0"/>
                      <w:marRight w:val="0"/>
                      <w:marTop w:val="0"/>
                      <w:marBottom w:val="0"/>
                      <w:divBdr>
                        <w:top w:val="none" w:sz="0" w:space="0" w:color="auto"/>
                        <w:left w:val="none" w:sz="0" w:space="0" w:color="auto"/>
                        <w:bottom w:val="none" w:sz="0" w:space="0" w:color="auto"/>
                        <w:right w:val="none" w:sz="0" w:space="0" w:color="auto"/>
                      </w:divBdr>
                    </w:div>
                  </w:divsChild>
                </w:div>
                <w:div w:id="955256606">
                  <w:marLeft w:val="0"/>
                  <w:marRight w:val="0"/>
                  <w:marTop w:val="0"/>
                  <w:marBottom w:val="0"/>
                  <w:divBdr>
                    <w:top w:val="none" w:sz="0" w:space="0" w:color="auto"/>
                    <w:left w:val="none" w:sz="0" w:space="0" w:color="auto"/>
                    <w:bottom w:val="none" w:sz="0" w:space="0" w:color="auto"/>
                    <w:right w:val="none" w:sz="0" w:space="0" w:color="auto"/>
                  </w:divBdr>
                  <w:divsChild>
                    <w:div w:id="1383211682">
                      <w:marLeft w:val="0"/>
                      <w:marRight w:val="0"/>
                      <w:marTop w:val="0"/>
                      <w:marBottom w:val="0"/>
                      <w:divBdr>
                        <w:top w:val="none" w:sz="0" w:space="0" w:color="auto"/>
                        <w:left w:val="none" w:sz="0" w:space="0" w:color="auto"/>
                        <w:bottom w:val="none" w:sz="0" w:space="0" w:color="auto"/>
                        <w:right w:val="none" w:sz="0" w:space="0" w:color="auto"/>
                      </w:divBdr>
                    </w:div>
                  </w:divsChild>
                </w:div>
                <w:div w:id="976303326">
                  <w:marLeft w:val="0"/>
                  <w:marRight w:val="0"/>
                  <w:marTop w:val="0"/>
                  <w:marBottom w:val="0"/>
                  <w:divBdr>
                    <w:top w:val="none" w:sz="0" w:space="0" w:color="auto"/>
                    <w:left w:val="none" w:sz="0" w:space="0" w:color="auto"/>
                    <w:bottom w:val="none" w:sz="0" w:space="0" w:color="auto"/>
                    <w:right w:val="none" w:sz="0" w:space="0" w:color="auto"/>
                  </w:divBdr>
                  <w:divsChild>
                    <w:div w:id="250164389">
                      <w:marLeft w:val="0"/>
                      <w:marRight w:val="0"/>
                      <w:marTop w:val="0"/>
                      <w:marBottom w:val="0"/>
                      <w:divBdr>
                        <w:top w:val="none" w:sz="0" w:space="0" w:color="auto"/>
                        <w:left w:val="none" w:sz="0" w:space="0" w:color="auto"/>
                        <w:bottom w:val="none" w:sz="0" w:space="0" w:color="auto"/>
                        <w:right w:val="none" w:sz="0" w:space="0" w:color="auto"/>
                      </w:divBdr>
                    </w:div>
                  </w:divsChild>
                </w:div>
                <w:div w:id="986741623">
                  <w:marLeft w:val="0"/>
                  <w:marRight w:val="0"/>
                  <w:marTop w:val="0"/>
                  <w:marBottom w:val="0"/>
                  <w:divBdr>
                    <w:top w:val="none" w:sz="0" w:space="0" w:color="auto"/>
                    <w:left w:val="none" w:sz="0" w:space="0" w:color="auto"/>
                    <w:bottom w:val="none" w:sz="0" w:space="0" w:color="auto"/>
                    <w:right w:val="none" w:sz="0" w:space="0" w:color="auto"/>
                  </w:divBdr>
                  <w:divsChild>
                    <w:div w:id="1008366224">
                      <w:marLeft w:val="0"/>
                      <w:marRight w:val="0"/>
                      <w:marTop w:val="0"/>
                      <w:marBottom w:val="0"/>
                      <w:divBdr>
                        <w:top w:val="none" w:sz="0" w:space="0" w:color="auto"/>
                        <w:left w:val="none" w:sz="0" w:space="0" w:color="auto"/>
                        <w:bottom w:val="none" w:sz="0" w:space="0" w:color="auto"/>
                        <w:right w:val="none" w:sz="0" w:space="0" w:color="auto"/>
                      </w:divBdr>
                    </w:div>
                  </w:divsChild>
                </w:div>
                <w:div w:id="992491849">
                  <w:marLeft w:val="0"/>
                  <w:marRight w:val="0"/>
                  <w:marTop w:val="0"/>
                  <w:marBottom w:val="0"/>
                  <w:divBdr>
                    <w:top w:val="none" w:sz="0" w:space="0" w:color="auto"/>
                    <w:left w:val="none" w:sz="0" w:space="0" w:color="auto"/>
                    <w:bottom w:val="none" w:sz="0" w:space="0" w:color="auto"/>
                    <w:right w:val="none" w:sz="0" w:space="0" w:color="auto"/>
                  </w:divBdr>
                  <w:divsChild>
                    <w:div w:id="1118716387">
                      <w:marLeft w:val="0"/>
                      <w:marRight w:val="0"/>
                      <w:marTop w:val="0"/>
                      <w:marBottom w:val="0"/>
                      <w:divBdr>
                        <w:top w:val="none" w:sz="0" w:space="0" w:color="auto"/>
                        <w:left w:val="none" w:sz="0" w:space="0" w:color="auto"/>
                        <w:bottom w:val="none" w:sz="0" w:space="0" w:color="auto"/>
                        <w:right w:val="none" w:sz="0" w:space="0" w:color="auto"/>
                      </w:divBdr>
                    </w:div>
                  </w:divsChild>
                </w:div>
                <w:div w:id="1048186090">
                  <w:marLeft w:val="0"/>
                  <w:marRight w:val="0"/>
                  <w:marTop w:val="0"/>
                  <w:marBottom w:val="0"/>
                  <w:divBdr>
                    <w:top w:val="none" w:sz="0" w:space="0" w:color="auto"/>
                    <w:left w:val="none" w:sz="0" w:space="0" w:color="auto"/>
                    <w:bottom w:val="none" w:sz="0" w:space="0" w:color="auto"/>
                    <w:right w:val="none" w:sz="0" w:space="0" w:color="auto"/>
                  </w:divBdr>
                  <w:divsChild>
                    <w:div w:id="2127190094">
                      <w:marLeft w:val="0"/>
                      <w:marRight w:val="0"/>
                      <w:marTop w:val="0"/>
                      <w:marBottom w:val="0"/>
                      <w:divBdr>
                        <w:top w:val="none" w:sz="0" w:space="0" w:color="auto"/>
                        <w:left w:val="none" w:sz="0" w:space="0" w:color="auto"/>
                        <w:bottom w:val="none" w:sz="0" w:space="0" w:color="auto"/>
                        <w:right w:val="none" w:sz="0" w:space="0" w:color="auto"/>
                      </w:divBdr>
                    </w:div>
                  </w:divsChild>
                </w:div>
                <w:div w:id="1063062722">
                  <w:marLeft w:val="0"/>
                  <w:marRight w:val="0"/>
                  <w:marTop w:val="0"/>
                  <w:marBottom w:val="0"/>
                  <w:divBdr>
                    <w:top w:val="none" w:sz="0" w:space="0" w:color="auto"/>
                    <w:left w:val="none" w:sz="0" w:space="0" w:color="auto"/>
                    <w:bottom w:val="none" w:sz="0" w:space="0" w:color="auto"/>
                    <w:right w:val="none" w:sz="0" w:space="0" w:color="auto"/>
                  </w:divBdr>
                  <w:divsChild>
                    <w:div w:id="1363899455">
                      <w:marLeft w:val="0"/>
                      <w:marRight w:val="0"/>
                      <w:marTop w:val="0"/>
                      <w:marBottom w:val="0"/>
                      <w:divBdr>
                        <w:top w:val="none" w:sz="0" w:space="0" w:color="auto"/>
                        <w:left w:val="none" w:sz="0" w:space="0" w:color="auto"/>
                        <w:bottom w:val="none" w:sz="0" w:space="0" w:color="auto"/>
                        <w:right w:val="none" w:sz="0" w:space="0" w:color="auto"/>
                      </w:divBdr>
                    </w:div>
                  </w:divsChild>
                </w:div>
                <w:div w:id="1073812760">
                  <w:marLeft w:val="0"/>
                  <w:marRight w:val="0"/>
                  <w:marTop w:val="0"/>
                  <w:marBottom w:val="0"/>
                  <w:divBdr>
                    <w:top w:val="none" w:sz="0" w:space="0" w:color="auto"/>
                    <w:left w:val="none" w:sz="0" w:space="0" w:color="auto"/>
                    <w:bottom w:val="none" w:sz="0" w:space="0" w:color="auto"/>
                    <w:right w:val="none" w:sz="0" w:space="0" w:color="auto"/>
                  </w:divBdr>
                  <w:divsChild>
                    <w:div w:id="1423719290">
                      <w:marLeft w:val="0"/>
                      <w:marRight w:val="0"/>
                      <w:marTop w:val="0"/>
                      <w:marBottom w:val="0"/>
                      <w:divBdr>
                        <w:top w:val="none" w:sz="0" w:space="0" w:color="auto"/>
                        <w:left w:val="none" w:sz="0" w:space="0" w:color="auto"/>
                        <w:bottom w:val="none" w:sz="0" w:space="0" w:color="auto"/>
                        <w:right w:val="none" w:sz="0" w:space="0" w:color="auto"/>
                      </w:divBdr>
                    </w:div>
                  </w:divsChild>
                </w:div>
                <w:div w:id="1088767332">
                  <w:marLeft w:val="0"/>
                  <w:marRight w:val="0"/>
                  <w:marTop w:val="0"/>
                  <w:marBottom w:val="0"/>
                  <w:divBdr>
                    <w:top w:val="none" w:sz="0" w:space="0" w:color="auto"/>
                    <w:left w:val="none" w:sz="0" w:space="0" w:color="auto"/>
                    <w:bottom w:val="none" w:sz="0" w:space="0" w:color="auto"/>
                    <w:right w:val="none" w:sz="0" w:space="0" w:color="auto"/>
                  </w:divBdr>
                  <w:divsChild>
                    <w:div w:id="76169949">
                      <w:marLeft w:val="0"/>
                      <w:marRight w:val="0"/>
                      <w:marTop w:val="0"/>
                      <w:marBottom w:val="0"/>
                      <w:divBdr>
                        <w:top w:val="none" w:sz="0" w:space="0" w:color="auto"/>
                        <w:left w:val="none" w:sz="0" w:space="0" w:color="auto"/>
                        <w:bottom w:val="none" w:sz="0" w:space="0" w:color="auto"/>
                        <w:right w:val="none" w:sz="0" w:space="0" w:color="auto"/>
                      </w:divBdr>
                    </w:div>
                  </w:divsChild>
                </w:div>
                <w:div w:id="1100292866">
                  <w:marLeft w:val="0"/>
                  <w:marRight w:val="0"/>
                  <w:marTop w:val="0"/>
                  <w:marBottom w:val="0"/>
                  <w:divBdr>
                    <w:top w:val="none" w:sz="0" w:space="0" w:color="auto"/>
                    <w:left w:val="none" w:sz="0" w:space="0" w:color="auto"/>
                    <w:bottom w:val="none" w:sz="0" w:space="0" w:color="auto"/>
                    <w:right w:val="none" w:sz="0" w:space="0" w:color="auto"/>
                  </w:divBdr>
                  <w:divsChild>
                    <w:div w:id="1489057133">
                      <w:marLeft w:val="0"/>
                      <w:marRight w:val="0"/>
                      <w:marTop w:val="0"/>
                      <w:marBottom w:val="0"/>
                      <w:divBdr>
                        <w:top w:val="none" w:sz="0" w:space="0" w:color="auto"/>
                        <w:left w:val="none" w:sz="0" w:space="0" w:color="auto"/>
                        <w:bottom w:val="none" w:sz="0" w:space="0" w:color="auto"/>
                        <w:right w:val="none" w:sz="0" w:space="0" w:color="auto"/>
                      </w:divBdr>
                    </w:div>
                  </w:divsChild>
                </w:div>
                <w:div w:id="1115056684">
                  <w:marLeft w:val="0"/>
                  <w:marRight w:val="0"/>
                  <w:marTop w:val="0"/>
                  <w:marBottom w:val="0"/>
                  <w:divBdr>
                    <w:top w:val="none" w:sz="0" w:space="0" w:color="auto"/>
                    <w:left w:val="none" w:sz="0" w:space="0" w:color="auto"/>
                    <w:bottom w:val="none" w:sz="0" w:space="0" w:color="auto"/>
                    <w:right w:val="none" w:sz="0" w:space="0" w:color="auto"/>
                  </w:divBdr>
                  <w:divsChild>
                    <w:div w:id="540439568">
                      <w:marLeft w:val="0"/>
                      <w:marRight w:val="0"/>
                      <w:marTop w:val="0"/>
                      <w:marBottom w:val="0"/>
                      <w:divBdr>
                        <w:top w:val="none" w:sz="0" w:space="0" w:color="auto"/>
                        <w:left w:val="none" w:sz="0" w:space="0" w:color="auto"/>
                        <w:bottom w:val="none" w:sz="0" w:space="0" w:color="auto"/>
                        <w:right w:val="none" w:sz="0" w:space="0" w:color="auto"/>
                      </w:divBdr>
                    </w:div>
                  </w:divsChild>
                </w:div>
                <w:div w:id="1116170653">
                  <w:marLeft w:val="0"/>
                  <w:marRight w:val="0"/>
                  <w:marTop w:val="0"/>
                  <w:marBottom w:val="0"/>
                  <w:divBdr>
                    <w:top w:val="none" w:sz="0" w:space="0" w:color="auto"/>
                    <w:left w:val="none" w:sz="0" w:space="0" w:color="auto"/>
                    <w:bottom w:val="none" w:sz="0" w:space="0" w:color="auto"/>
                    <w:right w:val="none" w:sz="0" w:space="0" w:color="auto"/>
                  </w:divBdr>
                  <w:divsChild>
                    <w:div w:id="1342976222">
                      <w:marLeft w:val="0"/>
                      <w:marRight w:val="0"/>
                      <w:marTop w:val="0"/>
                      <w:marBottom w:val="0"/>
                      <w:divBdr>
                        <w:top w:val="none" w:sz="0" w:space="0" w:color="auto"/>
                        <w:left w:val="none" w:sz="0" w:space="0" w:color="auto"/>
                        <w:bottom w:val="none" w:sz="0" w:space="0" w:color="auto"/>
                        <w:right w:val="none" w:sz="0" w:space="0" w:color="auto"/>
                      </w:divBdr>
                    </w:div>
                  </w:divsChild>
                </w:div>
                <w:div w:id="1124731481">
                  <w:marLeft w:val="0"/>
                  <w:marRight w:val="0"/>
                  <w:marTop w:val="0"/>
                  <w:marBottom w:val="0"/>
                  <w:divBdr>
                    <w:top w:val="none" w:sz="0" w:space="0" w:color="auto"/>
                    <w:left w:val="none" w:sz="0" w:space="0" w:color="auto"/>
                    <w:bottom w:val="none" w:sz="0" w:space="0" w:color="auto"/>
                    <w:right w:val="none" w:sz="0" w:space="0" w:color="auto"/>
                  </w:divBdr>
                  <w:divsChild>
                    <w:div w:id="951979858">
                      <w:marLeft w:val="0"/>
                      <w:marRight w:val="0"/>
                      <w:marTop w:val="0"/>
                      <w:marBottom w:val="0"/>
                      <w:divBdr>
                        <w:top w:val="none" w:sz="0" w:space="0" w:color="auto"/>
                        <w:left w:val="none" w:sz="0" w:space="0" w:color="auto"/>
                        <w:bottom w:val="none" w:sz="0" w:space="0" w:color="auto"/>
                        <w:right w:val="none" w:sz="0" w:space="0" w:color="auto"/>
                      </w:divBdr>
                    </w:div>
                  </w:divsChild>
                </w:div>
                <w:div w:id="1198856647">
                  <w:marLeft w:val="0"/>
                  <w:marRight w:val="0"/>
                  <w:marTop w:val="0"/>
                  <w:marBottom w:val="0"/>
                  <w:divBdr>
                    <w:top w:val="none" w:sz="0" w:space="0" w:color="auto"/>
                    <w:left w:val="none" w:sz="0" w:space="0" w:color="auto"/>
                    <w:bottom w:val="none" w:sz="0" w:space="0" w:color="auto"/>
                    <w:right w:val="none" w:sz="0" w:space="0" w:color="auto"/>
                  </w:divBdr>
                  <w:divsChild>
                    <w:div w:id="1213496180">
                      <w:marLeft w:val="0"/>
                      <w:marRight w:val="0"/>
                      <w:marTop w:val="0"/>
                      <w:marBottom w:val="0"/>
                      <w:divBdr>
                        <w:top w:val="none" w:sz="0" w:space="0" w:color="auto"/>
                        <w:left w:val="none" w:sz="0" w:space="0" w:color="auto"/>
                        <w:bottom w:val="none" w:sz="0" w:space="0" w:color="auto"/>
                        <w:right w:val="none" w:sz="0" w:space="0" w:color="auto"/>
                      </w:divBdr>
                    </w:div>
                  </w:divsChild>
                </w:div>
                <w:div w:id="1210462268">
                  <w:marLeft w:val="0"/>
                  <w:marRight w:val="0"/>
                  <w:marTop w:val="0"/>
                  <w:marBottom w:val="0"/>
                  <w:divBdr>
                    <w:top w:val="none" w:sz="0" w:space="0" w:color="auto"/>
                    <w:left w:val="none" w:sz="0" w:space="0" w:color="auto"/>
                    <w:bottom w:val="none" w:sz="0" w:space="0" w:color="auto"/>
                    <w:right w:val="none" w:sz="0" w:space="0" w:color="auto"/>
                  </w:divBdr>
                  <w:divsChild>
                    <w:div w:id="1139569741">
                      <w:marLeft w:val="0"/>
                      <w:marRight w:val="0"/>
                      <w:marTop w:val="0"/>
                      <w:marBottom w:val="0"/>
                      <w:divBdr>
                        <w:top w:val="none" w:sz="0" w:space="0" w:color="auto"/>
                        <w:left w:val="none" w:sz="0" w:space="0" w:color="auto"/>
                        <w:bottom w:val="none" w:sz="0" w:space="0" w:color="auto"/>
                        <w:right w:val="none" w:sz="0" w:space="0" w:color="auto"/>
                      </w:divBdr>
                    </w:div>
                  </w:divsChild>
                </w:div>
                <w:div w:id="1220479309">
                  <w:marLeft w:val="0"/>
                  <w:marRight w:val="0"/>
                  <w:marTop w:val="0"/>
                  <w:marBottom w:val="0"/>
                  <w:divBdr>
                    <w:top w:val="none" w:sz="0" w:space="0" w:color="auto"/>
                    <w:left w:val="none" w:sz="0" w:space="0" w:color="auto"/>
                    <w:bottom w:val="none" w:sz="0" w:space="0" w:color="auto"/>
                    <w:right w:val="none" w:sz="0" w:space="0" w:color="auto"/>
                  </w:divBdr>
                  <w:divsChild>
                    <w:div w:id="840849466">
                      <w:marLeft w:val="0"/>
                      <w:marRight w:val="0"/>
                      <w:marTop w:val="0"/>
                      <w:marBottom w:val="0"/>
                      <w:divBdr>
                        <w:top w:val="none" w:sz="0" w:space="0" w:color="auto"/>
                        <w:left w:val="none" w:sz="0" w:space="0" w:color="auto"/>
                        <w:bottom w:val="none" w:sz="0" w:space="0" w:color="auto"/>
                        <w:right w:val="none" w:sz="0" w:space="0" w:color="auto"/>
                      </w:divBdr>
                    </w:div>
                  </w:divsChild>
                </w:div>
                <w:div w:id="1238442622">
                  <w:marLeft w:val="0"/>
                  <w:marRight w:val="0"/>
                  <w:marTop w:val="0"/>
                  <w:marBottom w:val="0"/>
                  <w:divBdr>
                    <w:top w:val="none" w:sz="0" w:space="0" w:color="auto"/>
                    <w:left w:val="none" w:sz="0" w:space="0" w:color="auto"/>
                    <w:bottom w:val="none" w:sz="0" w:space="0" w:color="auto"/>
                    <w:right w:val="none" w:sz="0" w:space="0" w:color="auto"/>
                  </w:divBdr>
                  <w:divsChild>
                    <w:div w:id="421142522">
                      <w:marLeft w:val="0"/>
                      <w:marRight w:val="0"/>
                      <w:marTop w:val="0"/>
                      <w:marBottom w:val="0"/>
                      <w:divBdr>
                        <w:top w:val="none" w:sz="0" w:space="0" w:color="auto"/>
                        <w:left w:val="none" w:sz="0" w:space="0" w:color="auto"/>
                        <w:bottom w:val="none" w:sz="0" w:space="0" w:color="auto"/>
                        <w:right w:val="none" w:sz="0" w:space="0" w:color="auto"/>
                      </w:divBdr>
                    </w:div>
                  </w:divsChild>
                </w:div>
                <w:div w:id="1288048269">
                  <w:marLeft w:val="0"/>
                  <w:marRight w:val="0"/>
                  <w:marTop w:val="0"/>
                  <w:marBottom w:val="0"/>
                  <w:divBdr>
                    <w:top w:val="none" w:sz="0" w:space="0" w:color="auto"/>
                    <w:left w:val="none" w:sz="0" w:space="0" w:color="auto"/>
                    <w:bottom w:val="none" w:sz="0" w:space="0" w:color="auto"/>
                    <w:right w:val="none" w:sz="0" w:space="0" w:color="auto"/>
                  </w:divBdr>
                  <w:divsChild>
                    <w:div w:id="2134057671">
                      <w:marLeft w:val="0"/>
                      <w:marRight w:val="0"/>
                      <w:marTop w:val="0"/>
                      <w:marBottom w:val="0"/>
                      <w:divBdr>
                        <w:top w:val="none" w:sz="0" w:space="0" w:color="auto"/>
                        <w:left w:val="none" w:sz="0" w:space="0" w:color="auto"/>
                        <w:bottom w:val="none" w:sz="0" w:space="0" w:color="auto"/>
                        <w:right w:val="none" w:sz="0" w:space="0" w:color="auto"/>
                      </w:divBdr>
                    </w:div>
                  </w:divsChild>
                </w:div>
                <w:div w:id="1307778855">
                  <w:marLeft w:val="0"/>
                  <w:marRight w:val="0"/>
                  <w:marTop w:val="0"/>
                  <w:marBottom w:val="0"/>
                  <w:divBdr>
                    <w:top w:val="none" w:sz="0" w:space="0" w:color="auto"/>
                    <w:left w:val="none" w:sz="0" w:space="0" w:color="auto"/>
                    <w:bottom w:val="none" w:sz="0" w:space="0" w:color="auto"/>
                    <w:right w:val="none" w:sz="0" w:space="0" w:color="auto"/>
                  </w:divBdr>
                  <w:divsChild>
                    <w:div w:id="1643195233">
                      <w:marLeft w:val="0"/>
                      <w:marRight w:val="0"/>
                      <w:marTop w:val="0"/>
                      <w:marBottom w:val="0"/>
                      <w:divBdr>
                        <w:top w:val="none" w:sz="0" w:space="0" w:color="auto"/>
                        <w:left w:val="none" w:sz="0" w:space="0" w:color="auto"/>
                        <w:bottom w:val="none" w:sz="0" w:space="0" w:color="auto"/>
                        <w:right w:val="none" w:sz="0" w:space="0" w:color="auto"/>
                      </w:divBdr>
                    </w:div>
                  </w:divsChild>
                </w:div>
                <w:div w:id="1309169296">
                  <w:marLeft w:val="0"/>
                  <w:marRight w:val="0"/>
                  <w:marTop w:val="0"/>
                  <w:marBottom w:val="0"/>
                  <w:divBdr>
                    <w:top w:val="none" w:sz="0" w:space="0" w:color="auto"/>
                    <w:left w:val="none" w:sz="0" w:space="0" w:color="auto"/>
                    <w:bottom w:val="none" w:sz="0" w:space="0" w:color="auto"/>
                    <w:right w:val="none" w:sz="0" w:space="0" w:color="auto"/>
                  </w:divBdr>
                  <w:divsChild>
                    <w:div w:id="1345860020">
                      <w:marLeft w:val="0"/>
                      <w:marRight w:val="0"/>
                      <w:marTop w:val="0"/>
                      <w:marBottom w:val="0"/>
                      <w:divBdr>
                        <w:top w:val="none" w:sz="0" w:space="0" w:color="auto"/>
                        <w:left w:val="none" w:sz="0" w:space="0" w:color="auto"/>
                        <w:bottom w:val="none" w:sz="0" w:space="0" w:color="auto"/>
                        <w:right w:val="none" w:sz="0" w:space="0" w:color="auto"/>
                      </w:divBdr>
                    </w:div>
                  </w:divsChild>
                </w:div>
                <w:div w:id="1320579475">
                  <w:marLeft w:val="0"/>
                  <w:marRight w:val="0"/>
                  <w:marTop w:val="0"/>
                  <w:marBottom w:val="0"/>
                  <w:divBdr>
                    <w:top w:val="none" w:sz="0" w:space="0" w:color="auto"/>
                    <w:left w:val="none" w:sz="0" w:space="0" w:color="auto"/>
                    <w:bottom w:val="none" w:sz="0" w:space="0" w:color="auto"/>
                    <w:right w:val="none" w:sz="0" w:space="0" w:color="auto"/>
                  </w:divBdr>
                  <w:divsChild>
                    <w:div w:id="1380977260">
                      <w:marLeft w:val="0"/>
                      <w:marRight w:val="0"/>
                      <w:marTop w:val="0"/>
                      <w:marBottom w:val="0"/>
                      <w:divBdr>
                        <w:top w:val="none" w:sz="0" w:space="0" w:color="auto"/>
                        <w:left w:val="none" w:sz="0" w:space="0" w:color="auto"/>
                        <w:bottom w:val="none" w:sz="0" w:space="0" w:color="auto"/>
                        <w:right w:val="none" w:sz="0" w:space="0" w:color="auto"/>
                      </w:divBdr>
                    </w:div>
                  </w:divsChild>
                </w:div>
                <w:div w:id="1320698079">
                  <w:marLeft w:val="0"/>
                  <w:marRight w:val="0"/>
                  <w:marTop w:val="0"/>
                  <w:marBottom w:val="0"/>
                  <w:divBdr>
                    <w:top w:val="none" w:sz="0" w:space="0" w:color="auto"/>
                    <w:left w:val="none" w:sz="0" w:space="0" w:color="auto"/>
                    <w:bottom w:val="none" w:sz="0" w:space="0" w:color="auto"/>
                    <w:right w:val="none" w:sz="0" w:space="0" w:color="auto"/>
                  </w:divBdr>
                  <w:divsChild>
                    <w:div w:id="1130248722">
                      <w:marLeft w:val="0"/>
                      <w:marRight w:val="0"/>
                      <w:marTop w:val="0"/>
                      <w:marBottom w:val="0"/>
                      <w:divBdr>
                        <w:top w:val="none" w:sz="0" w:space="0" w:color="auto"/>
                        <w:left w:val="none" w:sz="0" w:space="0" w:color="auto"/>
                        <w:bottom w:val="none" w:sz="0" w:space="0" w:color="auto"/>
                        <w:right w:val="none" w:sz="0" w:space="0" w:color="auto"/>
                      </w:divBdr>
                    </w:div>
                  </w:divsChild>
                </w:div>
                <w:div w:id="1327780966">
                  <w:marLeft w:val="0"/>
                  <w:marRight w:val="0"/>
                  <w:marTop w:val="0"/>
                  <w:marBottom w:val="0"/>
                  <w:divBdr>
                    <w:top w:val="none" w:sz="0" w:space="0" w:color="auto"/>
                    <w:left w:val="none" w:sz="0" w:space="0" w:color="auto"/>
                    <w:bottom w:val="none" w:sz="0" w:space="0" w:color="auto"/>
                    <w:right w:val="none" w:sz="0" w:space="0" w:color="auto"/>
                  </w:divBdr>
                  <w:divsChild>
                    <w:div w:id="1089083846">
                      <w:marLeft w:val="0"/>
                      <w:marRight w:val="0"/>
                      <w:marTop w:val="0"/>
                      <w:marBottom w:val="0"/>
                      <w:divBdr>
                        <w:top w:val="none" w:sz="0" w:space="0" w:color="auto"/>
                        <w:left w:val="none" w:sz="0" w:space="0" w:color="auto"/>
                        <w:bottom w:val="none" w:sz="0" w:space="0" w:color="auto"/>
                        <w:right w:val="none" w:sz="0" w:space="0" w:color="auto"/>
                      </w:divBdr>
                    </w:div>
                  </w:divsChild>
                </w:div>
                <w:div w:id="1337145739">
                  <w:marLeft w:val="0"/>
                  <w:marRight w:val="0"/>
                  <w:marTop w:val="0"/>
                  <w:marBottom w:val="0"/>
                  <w:divBdr>
                    <w:top w:val="none" w:sz="0" w:space="0" w:color="auto"/>
                    <w:left w:val="none" w:sz="0" w:space="0" w:color="auto"/>
                    <w:bottom w:val="none" w:sz="0" w:space="0" w:color="auto"/>
                    <w:right w:val="none" w:sz="0" w:space="0" w:color="auto"/>
                  </w:divBdr>
                  <w:divsChild>
                    <w:div w:id="937829377">
                      <w:marLeft w:val="0"/>
                      <w:marRight w:val="0"/>
                      <w:marTop w:val="0"/>
                      <w:marBottom w:val="0"/>
                      <w:divBdr>
                        <w:top w:val="none" w:sz="0" w:space="0" w:color="auto"/>
                        <w:left w:val="none" w:sz="0" w:space="0" w:color="auto"/>
                        <w:bottom w:val="none" w:sz="0" w:space="0" w:color="auto"/>
                        <w:right w:val="none" w:sz="0" w:space="0" w:color="auto"/>
                      </w:divBdr>
                    </w:div>
                    <w:div w:id="2046710347">
                      <w:marLeft w:val="0"/>
                      <w:marRight w:val="0"/>
                      <w:marTop w:val="0"/>
                      <w:marBottom w:val="0"/>
                      <w:divBdr>
                        <w:top w:val="none" w:sz="0" w:space="0" w:color="auto"/>
                        <w:left w:val="none" w:sz="0" w:space="0" w:color="auto"/>
                        <w:bottom w:val="none" w:sz="0" w:space="0" w:color="auto"/>
                        <w:right w:val="none" w:sz="0" w:space="0" w:color="auto"/>
                      </w:divBdr>
                    </w:div>
                  </w:divsChild>
                </w:div>
                <w:div w:id="1348287367">
                  <w:marLeft w:val="0"/>
                  <w:marRight w:val="0"/>
                  <w:marTop w:val="0"/>
                  <w:marBottom w:val="0"/>
                  <w:divBdr>
                    <w:top w:val="none" w:sz="0" w:space="0" w:color="auto"/>
                    <w:left w:val="none" w:sz="0" w:space="0" w:color="auto"/>
                    <w:bottom w:val="none" w:sz="0" w:space="0" w:color="auto"/>
                    <w:right w:val="none" w:sz="0" w:space="0" w:color="auto"/>
                  </w:divBdr>
                  <w:divsChild>
                    <w:div w:id="1275400582">
                      <w:marLeft w:val="0"/>
                      <w:marRight w:val="0"/>
                      <w:marTop w:val="0"/>
                      <w:marBottom w:val="0"/>
                      <w:divBdr>
                        <w:top w:val="none" w:sz="0" w:space="0" w:color="auto"/>
                        <w:left w:val="none" w:sz="0" w:space="0" w:color="auto"/>
                        <w:bottom w:val="none" w:sz="0" w:space="0" w:color="auto"/>
                        <w:right w:val="none" w:sz="0" w:space="0" w:color="auto"/>
                      </w:divBdr>
                    </w:div>
                  </w:divsChild>
                </w:div>
                <w:div w:id="1352874428">
                  <w:marLeft w:val="0"/>
                  <w:marRight w:val="0"/>
                  <w:marTop w:val="0"/>
                  <w:marBottom w:val="0"/>
                  <w:divBdr>
                    <w:top w:val="none" w:sz="0" w:space="0" w:color="auto"/>
                    <w:left w:val="none" w:sz="0" w:space="0" w:color="auto"/>
                    <w:bottom w:val="none" w:sz="0" w:space="0" w:color="auto"/>
                    <w:right w:val="none" w:sz="0" w:space="0" w:color="auto"/>
                  </w:divBdr>
                  <w:divsChild>
                    <w:div w:id="314720312">
                      <w:marLeft w:val="0"/>
                      <w:marRight w:val="0"/>
                      <w:marTop w:val="0"/>
                      <w:marBottom w:val="0"/>
                      <w:divBdr>
                        <w:top w:val="none" w:sz="0" w:space="0" w:color="auto"/>
                        <w:left w:val="none" w:sz="0" w:space="0" w:color="auto"/>
                        <w:bottom w:val="none" w:sz="0" w:space="0" w:color="auto"/>
                        <w:right w:val="none" w:sz="0" w:space="0" w:color="auto"/>
                      </w:divBdr>
                    </w:div>
                  </w:divsChild>
                </w:div>
                <w:div w:id="1380864786">
                  <w:marLeft w:val="0"/>
                  <w:marRight w:val="0"/>
                  <w:marTop w:val="0"/>
                  <w:marBottom w:val="0"/>
                  <w:divBdr>
                    <w:top w:val="none" w:sz="0" w:space="0" w:color="auto"/>
                    <w:left w:val="none" w:sz="0" w:space="0" w:color="auto"/>
                    <w:bottom w:val="none" w:sz="0" w:space="0" w:color="auto"/>
                    <w:right w:val="none" w:sz="0" w:space="0" w:color="auto"/>
                  </w:divBdr>
                  <w:divsChild>
                    <w:div w:id="962464040">
                      <w:marLeft w:val="0"/>
                      <w:marRight w:val="0"/>
                      <w:marTop w:val="0"/>
                      <w:marBottom w:val="0"/>
                      <w:divBdr>
                        <w:top w:val="none" w:sz="0" w:space="0" w:color="auto"/>
                        <w:left w:val="none" w:sz="0" w:space="0" w:color="auto"/>
                        <w:bottom w:val="none" w:sz="0" w:space="0" w:color="auto"/>
                        <w:right w:val="none" w:sz="0" w:space="0" w:color="auto"/>
                      </w:divBdr>
                    </w:div>
                  </w:divsChild>
                </w:div>
                <w:div w:id="1382054431">
                  <w:marLeft w:val="0"/>
                  <w:marRight w:val="0"/>
                  <w:marTop w:val="0"/>
                  <w:marBottom w:val="0"/>
                  <w:divBdr>
                    <w:top w:val="none" w:sz="0" w:space="0" w:color="auto"/>
                    <w:left w:val="none" w:sz="0" w:space="0" w:color="auto"/>
                    <w:bottom w:val="none" w:sz="0" w:space="0" w:color="auto"/>
                    <w:right w:val="none" w:sz="0" w:space="0" w:color="auto"/>
                  </w:divBdr>
                  <w:divsChild>
                    <w:div w:id="842358399">
                      <w:marLeft w:val="0"/>
                      <w:marRight w:val="0"/>
                      <w:marTop w:val="0"/>
                      <w:marBottom w:val="0"/>
                      <w:divBdr>
                        <w:top w:val="none" w:sz="0" w:space="0" w:color="auto"/>
                        <w:left w:val="none" w:sz="0" w:space="0" w:color="auto"/>
                        <w:bottom w:val="none" w:sz="0" w:space="0" w:color="auto"/>
                        <w:right w:val="none" w:sz="0" w:space="0" w:color="auto"/>
                      </w:divBdr>
                    </w:div>
                  </w:divsChild>
                </w:div>
                <w:div w:id="1397321247">
                  <w:marLeft w:val="0"/>
                  <w:marRight w:val="0"/>
                  <w:marTop w:val="0"/>
                  <w:marBottom w:val="0"/>
                  <w:divBdr>
                    <w:top w:val="none" w:sz="0" w:space="0" w:color="auto"/>
                    <w:left w:val="none" w:sz="0" w:space="0" w:color="auto"/>
                    <w:bottom w:val="none" w:sz="0" w:space="0" w:color="auto"/>
                    <w:right w:val="none" w:sz="0" w:space="0" w:color="auto"/>
                  </w:divBdr>
                  <w:divsChild>
                    <w:div w:id="1001541967">
                      <w:marLeft w:val="0"/>
                      <w:marRight w:val="0"/>
                      <w:marTop w:val="0"/>
                      <w:marBottom w:val="0"/>
                      <w:divBdr>
                        <w:top w:val="none" w:sz="0" w:space="0" w:color="auto"/>
                        <w:left w:val="none" w:sz="0" w:space="0" w:color="auto"/>
                        <w:bottom w:val="none" w:sz="0" w:space="0" w:color="auto"/>
                        <w:right w:val="none" w:sz="0" w:space="0" w:color="auto"/>
                      </w:divBdr>
                    </w:div>
                  </w:divsChild>
                </w:div>
                <w:div w:id="1409302232">
                  <w:marLeft w:val="0"/>
                  <w:marRight w:val="0"/>
                  <w:marTop w:val="0"/>
                  <w:marBottom w:val="0"/>
                  <w:divBdr>
                    <w:top w:val="none" w:sz="0" w:space="0" w:color="auto"/>
                    <w:left w:val="none" w:sz="0" w:space="0" w:color="auto"/>
                    <w:bottom w:val="none" w:sz="0" w:space="0" w:color="auto"/>
                    <w:right w:val="none" w:sz="0" w:space="0" w:color="auto"/>
                  </w:divBdr>
                  <w:divsChild>
                    <w:div w:id="1549023655">
                      <w:marLeft w:val="0"/>
                      <w:marRight w:val="0"/>
                      <w:marTop w:val="0"/>
                      <w:marBottom w:val="0"/>
                      <w:divBdr>
                        <w:top w:val="none" w:sz="0" w:space="0" w:color="auto"/>
                        <w:left w:val="none" w:sz="0" w:space="0" w:color="auto"/>
                        <w:bottom w:val="none" w:sz="0" w:space="0" w:color="auto"/>
                        <w:right w:val="none" w:sz="0" w:space="0" w:color="auto"/>
                      </w:divBdr>
                    </w:div>
                  </w:divsChild>
                </w:div>
                <w:div w:id="1411658147">
                  <w:marLeft w:val="0"/>
                  <w:marRight w:val="0"/>
                  <w:marTop w:val="0"/>
                  <w:marBottom w:val="0"/>
                  <w:divBdr>
                    <w:top w:val="none" w:sz="0" w:space="0" w:color="auto"/>
                    <w:left w:val="none" w:sz="0" w:space="0" w:color="auto"/>
                    <w:bottom w:val="none" w:sz="0" w:space="0" w:color="auto"/>
                    <w:right w:val="none" w:sz="0" w:space="0" w:color="auto"/>
                  </w:divBdr>
                  <w:divsChild>
                    <w:div w:id="1966811444">
                      <w:marLeft w:val="0"/>
                      <w:marRight w:val="0"/>
                      <w:marTop w:val="0"/>
                      <w:marBottom w:val="0"/>
                      <w:divBdr>
                        <w:top w:val="none" w:sz="0" w:space="0" w:color="auto"/>
                        <w:left w:val="none" w:sz="0" w:space="0" w:color="auto"/>
                        <w:bottom w:val="none" w:sz="0" w:space="0" w:color="auto"/>
                        <w:right w:val="none" w:sz="0" w:space="0" w:color="auto"/>
                      </w:divBdr>
                    </w:div>
                  </w:divsChild>
                </w:div>
                <w:div w:id="1421023626">
                  <w:marLeft w:val="0"/>
                  <w:marRight w:val="0"/>
                  <w:marTop w:val="0"/>
                  <w:marBottom w:val="0"/>
                  <w:divBdr>
                    <w:top w:val="none" w:sz="0" w:space="0" w:color="auto"/>
                    <w:left w:val="none" w:sz="0" w:space="0" w:color="auto"/>
                    <w:bottom w:val="none" w:sz="0" w:space="0" w:color="auto"/>
                    <w:right w:val="none" w:sz="0" w:space="0" w:color="auto"/>
                  </w:divBdr>
                  <w:divsChild>
                    <w:div w:id="56438242">
                      <w:marLeft w:val="0"/>
                      <w:marRight w:val="0"/>
                      <w:marTop w:val="0"/>
                      <w:marBottom w:val="0"/>
                      <w:divBdr>
                        <w:top w:val="none" w:sz="0" w:space="0" w:color="auto"/>
                        <w:left w:val="none" w:sz="0" w:space="0" w:color="auto"/>
                        <w:bottom w:val="none" w:sz="0" w:space="0" w:color="auto"/>
                        <w:right w:val="none" w:sz="0" w:space="0" w:color="auto"/>
                      </w:divBdr>
                    </w:div>
                  </w:divsChild>
                </w:div>
                <w:div w:id="1434011118">
                  <w:marLeft w:val="0"/>
                  <w:marRight w:val="0"/>
                  <w:marTop w:val="0"/>
                  <w:marBottom w:val="0"/>
                  <w:divBdr>
                    <w:top w:val="none" w:sz="0" w:space="0" w:color="auto"/>
                    <w:left w:val="none" w:sz="0" w:space="0" w:color="auto"/>
                    <w:bottom w:val="none" w:sz="0" w:space="0" w:color="auto"/>
                    <w:right w:val="none" w:sz="0" w:space="0" w:color="auto"/>
                  </w:divBdr>
                  <w:divsChild>
                    <w:div w:id="866220099">
                      <w:marLeft w:val="0"/>
                      <w:marRight w:val="0"/>
                      <w:marTop w:val="0"/>
                      <w:marBottom w:val="0"/>
                      <w:divBdr>
                        <w:top w:val="none" w:sz="0" w:space="0" w:color="auto"/>
                        <w:left w:val="none" w:sz="0" w:space="0" w:color="auto"/>
                        <w:bottom w:val="none" w:sz="0" w:space="0" w:color="auto"/>
                        <w:right w:val="none" w:sz="0" w:space="0" w:color="auto"/>
                      </w:divBdr>
                    </w:div>
                  </w:divsChild>
                </w:div>
                <w:div w:id="1446778229">
                  <w:marLeft w:val="0"/>
                  <w:marRight w:val="0"/>
                  <w:marTop w:val="0"/>
                  <w:marBottom w:val="0"/>
                  <w:divBdr>
                    <w:top w:val="none" w:sz="0" w:space="0" w:color="auto"/>
                    <w:left w:val="none" w:sz="0" w:space="0" w:color="auto"/>
                    <w:bottom w:val="none" w:sz="0" w:space="0" w:color="auto"/>
                    <w:right w:val="none" w:sz="0" w:space="0" w:color="auto"/>
                  </w:divBdr>
                  <w:divsChild>
                    <w:div w:id="1703506637">
                      <w:marLeft w:val="0"/>
                      <w:marRight w:val="0"/>
                      <w:marTop w:val="0"/>
                      <w:marBottom w:val="0"/>
                      <w:divBdr>
                        <w:top w:val="none" w:sz="0" w:space="0" w:color="auto"/>
                        <w:left w:val="none" w:sz="0" w:space="0" w:color="auto"/>
                        <w:bottom w:val="none" w:sz="0" w:space="0" w:color="auto"/>
                        <w:right w:val="none" w:sz="0" w:space="0" w:color="auto"/>
                      </w:divBdr>
                    </w:div>
                  </w:divsChild>
                </w:div>
                <w:div w:id="1458992167">
                  <w:marLeft w:val="0"/>
                  <w:marRight w:val="0"/>
                  <w:marTop w:val="0"/>
                  <w:marBottom w:val="0"/>
                  <w:divBdr>
                    <w:top w:val="none" w:sz="0" w:space="0" w:color="auto"/>
                    <w:left w:val="none" w:sz="0" w:space="0" w:color="auto"/>
                    <w:bottom w:val="none" w:sz="0" w:space="0" w:color="auto"/>
                    <w:right w:val="none" w:sz="0" w:space="0" w:color="auto"/>
                  </w:divBdr>
                  <w:divsChild>
                    <w:div w:id="1527402824">
                      <w:marLeft w:val="0"/>
                      <w:marRight w:val="0"/>
                      <w:marTop w:val="0"/>
                      <w:marBottom w:val="0"/>
                      <w:divBdr>
                        <w:top w:val="none" w:sz="0" w:space="0" w:color="auto"/>
                        <w:left w:val="none" w:sz="0" w:space="0" w:color="auto"/>
                        <w:bottom w:val="none" w:sz="0" w:space="0" w:color="auto"/>
                        <w:right w:val="none" w:sz="0" w:space="0" w:color="auto"/>
                      </w:divBdr>
                    </w:div>
                  </w:divsChild>
                </w:div>
                <w:div w:id="1468082750">
                  <w:marLeft w:val="0"/>
                  <w:marRight w:val="0"/>
                  <w:marTop w:val="0"/>
                  <w:marBottom w:val="0"/>
                  <w:divBdr>
                    <w:top w:val="none" w:sz="0" w:space="0" w:color="auto"/>
                    <w:left w:val="none" w:sz="0" w:space="0" w:color="auto"/>
                    <w:bottom w:val="none" w:sz="0" w:space="0" w:color="auto"/>
                    <w:right w:val="none" w:sz="0" w:space="0" w:color="auto"/>
                  </w:divBdr>
                  <w:divsChild>
                    <w:div w:id="545025304">
                      <w:marLeft w:val="0"/>
                      <w:marRight w:val="0"/>
                      <w:marTop w:val="0"/>
                      <w:marBottom w:val="0"/>
                      <w:divBdr>
                        <w:top w:val="none" w:sz="0" w:space="0" w:color="auto"/>
                        <w:left w:val="none" w:sz="0" w:space="0" w:color="auto"/>
                        <w:bottom w:val="none" w:sz="0" w:space="0" w:color="auto"/>
                        <w:right w:val="none" w:sz="0" w:space="0" w:color="auto"/>
                      </w:divBdr>
                    </w:div>
                  </w:divsChild>
                </w:div>
                <w:div w:id="1469742397">
                  <w:marLeft w:val="0"/>
                  <w:marRight w:val="0"/>
                  <w:marTop w:val="0"/>
                  <w:marBottom w:val="0"/>
                  <w:divBdr>
                    <w:top w:val="none" w:sz="0" w:space="0" w:color="auto"/>
                    <w:left w:val="none" w:sz="0" w:space="0" w:color="auto"/>
                    <w:bottom w:val="none" w:sz="0" w:space="0" w:color="auto"/>
                    <w:right w:val="none" w:sz="0" w:space="0" w:color="auto"/>
                  </w:divBdr>
                  <w:divsChild>
                    <w:div w:id="1261986645">
                      <w:marLeft w:val="0"/>
                      <w:marRight w:val="0"/>
                      <w:marTop w:val="0"/>
                      <w:marBottom w:val="0"/>
                      <w:divBdr>
                        <w:top w:val="none" w:sz="0" w:space="0" w:color="auto"/>
                        <w:left w:val="none" w:sz="0" w:space="0" w:color="auto"/>
                        <w:bottom w:val="none" w:sz="0" w:space="0" w:color="auto"/>
                        <w:right w:val="none" w:sz="0" w:space="0" w:color="auto"/>
                      </w:divBdr>
                    </w:div>
                  </w:divsChild>
                </w:div>
                <w:div w:id="1487554874">
                  <w:marLeft w:val="0"/>
                  <w:marRight w:val="0"/>
                  <w:marTop w:val="0"/>
                  <w:marBottom w:val="0"/>
                  <w:divBdr>
                    <w:top w:val="none" w:sz="0" w:space="0" w:color="auto"/>
                    <w:left w:val="none" w:sz="0" w:space="0" w:color="auto"/>
                    <w:bottom w:val="none" w:sz="0" w:space="0" w:color="auto"/>
                    <w:right w:val="none" w:sz="0" w:space="0" w:color="auto"/>
                  </w:divBdr>
                  <w:divsChild>
                    <w:div w:id="1555504246">
                      <w:marLeft w:val="0"/>
                      <w:marRight w:val="0"/>
                      <w:marTop w:val="0"/>
                      <w:marBottom w:val="0"/>
                      <w:divBdr>
                        <w:top w:val="none" w:sz="0" w:space="0" w:color="auto"/>
                        <w:left w:val="none" w:sz="0" w:space="0" w:color="auto"/>
                        <w:bottom w:val="none" w:sz="0" w:space="0" w:color="auto"/>
                        <w:right w:val="none" w:sz="0" w:space="0" w:color="auto"/>
                      </w:divBdr>
                    </w:div>
                  </w:divsChild>
                </w:div>
                <w:div w:id="1497184621">
                  <w:marLeft w:val="0"/>
                  <w:marRight w:val="0"/>
                  <w:marTop w:val="0"/>
                  <w:marBottom w:val="0"/>
                  <w:divBdr>
                    <w:top w:val="none" w:sz="0" w:space="0" w:color="auto"/>
                    <w:left w:val="none" w:sz="0" w:space="0" w:color="auto"/>
                    <w:bottom w:val="none" w:sz="0" w:space="0" w:color="auto"/>
                    <w:right w:val="none" w:sz="0" w:space="0" w:color="auto"/>
                  </w:divBdr>
                  <w:divsChild>
                    <w:div w:id="963656734">
                      <w:marLeft w:val="0"/>
                      <w:marRight w:val="0"/>
                      <w:marTop w:val="0"/>
                      <w:marBottom w:val="0"/>
                      <w:divBdr>
                        <w:top w:val="none" w:sz="0" w:space="0" w:color="auto"/>
                        <w:left w:val="none" w:sz="0" w:space="0" w:color="auto"/>
                        <w:bottom w:val="none" w:sz="0" w:space="0" w:color="auto"/>
                        <w:right w:val="none" w:sz="0" w:space="0" w:color="auto"/>
                      </w:divBdr>
                    </w:div>
                  </w:divsChild>
                </w:div>
                <w:div w:id="1508137722">
                  <w:marLeft w:val="0"/>
                  <w:marRight w:val="0"/>
                  <w:marTop w:val="0"/>
                  <w:marBottom w:val="0"/>
                  <w:divBdr>
                    <w:top w:val="none" w:sz="0" w:space="0" w:color="auto"/>
                    <w:left w:val="none" w:sz="0" w:space="0" w:color="auto"/>
                    <w:bottom w:val="none" w:sz="0" w:space="0" w:color="auto"/>
                    <w:right w:val="none" w:sz="0" w:space="0" w:color="auto"/>
                  </w:divBdr>
                  <w:divsChild>
                    <w:div w:id="1981376278">
                      <w:marLeft w:val="0"/>
                      <w:marRight w:val="0"/>
                      <w:marTop w:val="0"/>
                      <w:marBottom w:val="0"/>
                      <w:divBdr>
                        <w:top w:val="none" w:sz="0" w:space="0" w:color="auto"/>
                        <w:left w:val="none" w:sz="0" w:space="0" w:color="auto"/>
                        <w:bottom w:val="none" w:sz="0" w:space="0" w:color="auto"/>
                        <w:right w:val="none" w:sz="0" w:space="0" w:color="auto"/>
                      </w:divBdr>
                    </w:div>
                  </w:divsChild>
                </w:div>
                <w:div w:id="1530144050">
                  <w:marLeft w:val="0"/>
                  <w:marRight w:val="0"/>
                  <w:marTop w:val="0"/>
                  <w:marBottom w:val="0"/>
                  <w:divBdr>
                    <w:top w:val="none" w:sz="0" w:space="0" w:color="auto"/>
                    <w:left w:val="none" w:sz="0" w:space="0" w:color="auto"/>
                    <w:bottom w:val="none" w:sz="0" w:space="0" w:color="auto"/>
                    <w:right w:val="none" w:sz="0" w:space="0" w:color="auto"/>
                  </w:divBdr>
                  <w:divsChild>
                    <w:div w:id="1004479039">
                      <w:marLeft w:val="0"/>
                      <w:marRight w:val="0"/>
                      <w:marTop w:val="0"/>
                      <w:marBottom w:val="0"/>
                      <w:divBdr>
                        <w:top w:val="none" w:sz="0" w:space="0" w:color="auto"/>
                        <w:left w:val="none" w:sz="0" w:space="0" w:color="auto"/>
                        <w:bottom w:val="none" w:sz="0" w:space="0" w:color="auto"/>
                        <w:right w:val="none" w:sz="0" w:space="0" w:color="auto"/>
                      </w:divBdr>
                    </w:div>
                  </w:divsChild>
                </w:div>
                <w:div w:id="1560050657">
                  <w:marLeft w:val="0"/>
                  <w:marRight w:val="0"/>
                  <w:marTop w:val="0"/>
                  <w:marBottom w:val="0"/>
                  <w:divBdr>
                    <w:top w:val="none" w:sz="0" w:space="0" w:color="auto"/>
                    <w:left w:val="none" w:sz="0" w:space="0" w:color="auto"/>
                    <w:bottom w:val="none" w:sz="0" w:space="0" w:color="auto"/>
                    <w:right w:val="none" w:sz="0" w:space="0" w:color="auto"/>
                  </w:divBdr>
                  <w:divsChild>
                    <w:div w:id="407653947">
                      <w:marLeft w:val="0"/>
                      <w:marRight w:val="0"/>
                      <w:marTop w:val="0"/>
                      <w:marBottom w:val="0"/>
                      <w:divBdr>
                        <w:top w:val="none" w:sz="0" w:space="0" w:color="auto"/>
                        <w:left w:val="none" w:sz="0" w:space="0" w:color="auto"/>
                        <w:bottom w:val="none" w:sz="0" w:space="0" w:color="auto"/>
                        <w:right w:val="none" w:sz="0" w:space="0" w:color="auto"/>
                      </w:divBdr>
                    </w:div>
                  </w:divsChild>
                </w:div>
                <w:div w:id="1564176225">
                  <w:marLeft w:val="0"/>
                  <w:marRight w:val="0"/>
                  <w:marTop w:val="0"/>
                  <w:marBottom w:val="0"/>
                  <w:divBdr>
                    <w:top w:val="none" w:sz="0" w:space="0" w:color="auto"/>
                    <w:left w:val="none" w:sz="0" w:space="0" w:color="auto"/>
                    <w:bottom w:val="none" w:sz="0" w:space="0" w:color="auto"/>
                    <w:right w:val="none" w:sz="0" w:space="0" w:color="auto"/>
                  </w:divBdr>
                  <w:divsChild>
                    <w:div w:id="47582375">
                      <w:marLeft w:val="0"/>
                      <w:marRight w:val="0"/>
                      <w:marTop w:val="0"/>
                      <w:marBottom w:val="0"/>
                      <w:divBdr>
                        <w:top w:val="none" w:sz="0" w:space="0" w:color="auto"/>
                        <w:left w:val="none" w:sz="0" w:space="0" w:color="auto"/>
                        <w:bottom w:val="none" w:sz="0" w:space="0" w:color="auto"/>
                        <w:right w:val="none" w:sz="0" w:space="0" w:color="auto"/>
                      </w:divBdr>
                    </w:div>
                  </w:divsChild>
                </w:div>
                <w:div w:id="1564216474">
                  <w:marLeft w:val="0"/>
                  <w:marRight w:val="0"/>
                  <w:marTop w:val="0"/>
                  <w:marBottom w:val="0"/>
                  <w:divBdr>
                    <w:top w:val="none" w:sz="0" w:space="0" w:color="auto"/>
                    <w:left w:val="none" w:sz="0" w:space="0" w:color="auto"/>
                    <w:bottom w:val="none" w:sz="0" w:space="0" w:color="auto"/>
                    <w:right w:val="none" w:sz="0" w:space="0" w:color="auto"/>
                  </w:divBdr>
                  <w:divsChild>
                    <w:div w:id="1331375006">
                      <w:marLeft w:val="0"/>
                      <w:marRight w:val="0"/>
                      <w:marTop w:val="0"/>
                      <w:marBottom w:val="0"/>
                      <w:divBdr>
                        <w:top w:val="none" w:sz="0" w:space="0" w:color="auto"/>
                        <w:left w:val="none" w:sz="0" w:space="0" w:color="auto"/>
                        <w:bottom w:val="none" w:sz="0" w:space="0" w:color="auto"/>
                        <w:right w:val="none" w:sz="0" w:space="0" w:color="auto"/>
                      </w:divBdr>
                    </w:div>
                  </w:divsChild>
                </w:div>
                <w:div w:id="1601135565">
                  <w:marLeft w:val="0"/>
                  <w:marRight w:val="0"/>
                  <w:marTop w:val="0"/>
                  <w:marBottom w:val="0"/>
                  <w:divBdr>
                    <w:top w:val="none" w:sz="0" w:space="0" w:color="auto"/>
                    <w:left w:val="none" w:sz="0" w:space="0" w:color="auto"/>
                    <w:bottom w:val="none" w:sz="0" w:space="0" w:color="auto"/>
                    <w:right w:val="none" w:sz="0" w:space="0" w:color="auto"/>
                  </w:divBdr>
                  <w:divsChild>
                    <w:div w:id="359626673">
                      <w:marLeft w:val="0"/>
                      <w:marRight w:val="0"/>
                      <w:marTop w:val="0"/>
                      <w:marBottom w:val="0"/>
                      <w:divBdr>
                        <w:top w:val="none" w:sz="0" w:space="0" w:color="auto"/>
                        <w:left w:val="none" w:sz="0" w:space="0" w:color="auto"/>
                        <w:bottom w:val="none" w:sz="0" w:space="0" w:color="auto"/>
                        <w:right w:val="none" w:sz="0" w:space="0" w:color="auto"/>
                      </w:divBdr>
                    </w:div>
                  </w:divsChild>
                </w:div>
                <w:div w:id="1614902361">
                  <w:marLeft w:val="0"/>
                  <w:marRight w:val="0"/>
                  <w:marTop w:val="0"/>
                  <w:marBottom w:val="0"/>
                  <w:divBdr>
                    <w:top w:val="none" w:sz="0" w:space="0" w:color="auto"/>
                    <w:left w:val="none" w:sz="0" w:space="0" w:color="auto"/>
                    <w:bottom w:val="none" w:sz="0" w:space="0" w:color="auto"/>
                    <w:right w:val="none" w:sz="0" w:space="0" w:color="auto"/>
                  </w:divBdr>
                  <w:divsChild>
                    <w:div w:id="1888638097">
                      <w:marLeft w:val="0"/>
                      <w:marRight w:val="0"/>
                      <w:marTop w:val="0"/>
                      <w:marBottom w:val="0"/>
                      <w:divBdr>
                        <w:top w:val="none" w:sz="0" w:space="0" w:color="auto"/>
                        <w:left w:val="none" w:sz="0" w:space="0" w:color="auto"/>
                        <w:bottom w:val="none" w:sz="0" w:space="0" w:color="auto"/>
                        <w:right w:val="none" w:sz="0" w:space="0" w:color="auto"/>
                      </w:divBdr>
                    </w:div>
                  </w:divsChild>
                </w:div>
                <w:div w:id="1622805808">
                  <w:marLeft w:val="0"/>
                  <w:marRight w:val="0"/>
                  <w:marTop w:val="0"/>
                  <w:marBottom w:val="0"/>
                  <w:divBdr>
                    <w:top w:val="none" w:sz="0" w:space="0" w:color="auto"/>
                    <w:left w:val="none" w:sz="0" w:space="0" w:color="auto"/>
                    <w:bottom w:val="none" w:sz="0" w:space="0" w:color="auto"/>
                    <w:right w:val="none" w:sz="0" w:space="0" w:color="auto"/>
                  </w:divBdr>
                  <w:divsChild>
                    <w:div w:id="825558015">
                      <w:marLeft w:val="0"/>
                      <w:marRight w:val="0"/>
                      <w:marTop w:val="0"/>
                      <w:marBottom w:val="0"/>
                      <w:divBdr>
                        <w:top w:val="none" w:sz="0" w:space="0" w:color="auto"/>
                        <w:left w:val="none" w:sz="0" w:space="0" w:color="auto"/>
                        <w:bottom w:val="none" w:sz="0" w:space="0" w:color="auto"/>
                        <w:right w:val="none" w:sz="0" w:space="0" w:color="auto"/>
                      </w:divBdr>
                    </w:div>
                  </w:divsChild>
                </w:div>
                <w:div w:id="1637031948">
                  <w:marLeft w:val="0"/>
                  <w:marRight w:val="0"/>
                  <w:marTop w:val="0"/>
                  <w:marBottom w:val="0"/>
                  <w:divBdr>
                    <w:top w:val="none" w:sz="0" w:space="0" w:color="auto"/>
                    <w:left w:val="none" w:sz="0" w:space="0" w:color="auto"/>
                    <w:bottom w:val="none" w:sz="0" w:space="0" w:color="auto"/>
                    <w:right w:val="none" w:sz="0" w:space="0" w:color="auto"/>
                  </w:divBdr>
                  <w:divsChild>
                    <w:div w:id="1225988027">
                      <w:marLeft w:val="0"/>
                      <w:marRight w:val="0"/>
                      <w:marTop w:val="0"/>
                      <w:marBottom w:val="0"/>
                      <w:divBdr>
                        <w:top w:val="none" w:sz="0" w:space="0" w:color="auto"/>
                        <w:left w:val="none" w:sz="0" w:space="0" w:color="auto"/>
                        <w:bottom w:val="none" w:sz="0" w:space="0" w:color="auto"/>
                        <w:right w:val="none" w:sz="0" w:space="0" w:color="auto"/>
                      </w:divBdr>
                    </w:div>
                  </w:divsChild>
                </w:div>
                <w:div w:id="1649093997">
                  <w:marLeft w:val="0"/>
                  <w:marRight w:val="0"/>
                  <w:marTop w:val="0"/>
                  <w:marBottom w:val="0"/>
                  <w:divBdr>
                    <w:top w:val="none" w:sz="0" w:space="0" w:color="auto"/>
                    <w:left w:val="none" w:sz="0" w:space="0" w:color="auto"/>
                    <w:bottom w:val="none" w:sz="0" w:space="0" w:color="auto"/>
                    <w:right w:val="none" w:sz="0" w:space="0" w:color="auto"/>
                  </w:divBdr>
                  <w:divsChild>
                    <w:div w:id="1630042323">
                      <w:marLeft w:val="0"/>
                      <w:marRight w:val="0"/>
                      <w:marTop w:val="0"/>
                      <w:marBottom w:val="0"/>
                      <w:divBdr>
                        <w:top w:val="none" w:sz="0" w:space="0" w:color="auto"/>
                        <w:left w:val="none" w:sz="0" w:space="0" w:color="auto"/>
                        <w:bottom w:val="none" w:sz="0" w:space="0" w:color="auto"/>
                        <w:right w:val="none" w:sz="0" w:space="0" w:color="auto"/>
                      </w:divBdr>
                    </w:div>
                  </w:divsChild>
                </w:div>
                <w:div w:id="1656643282">
                  <w:marLeft w:val="0"/>
                  <w:marRight w:val="0"/>
                  <w:marTop w:val="0"/>
                  <w:marBottom w:val="0"/>
                  <w:divBdr>
                    <w:top w:val="none" w:sz="0" w:space="0" w:color="auto"/>
                    <w:left w:val="none" w:sz="0" w:space="0" w:color="auto"/>
                    <w:bottom w:val="none" w:sz="0" w:space="0" w:color="auto"/>
                    <w:right w:val="none" w:sz="0" w:space="0" w:color="auto"/>
                  </w:divBdr>
                  <w:divsChild>
                    <w:div w:id="830754424">
                      <w:marLeft w:val="0"/>
                      <w:marRight w:val="0"/>
                      <w:marTop w:val="0"/>
                      <w:marBottom w:val="0"/>
                      <w:divBdr>
                        <w:top w:val="none" w:sz="0" w:space="0" w:color="auto"/>
                        <w:left w:val="none" w:sz="0" w:space="0" w:color="auto"/>
                        <w:bottom w:val="none" w:sz="0" w:space="0" w:color="auto"/>
                        <w:right w:val="none" w:sz="0" w:space="0" w:color="auto"/>
                      </w:divBdr>
                    </w:div>
                  </w:divsChild>
                </w:div>
                <w:div w:id="1666862553">
                  <w:marLeft w:val="0"/>
                  <w:marRight w:val="0"/>
                  <w:marTop w:val="0"/>
                  <w:marBottom w:val="0"/>
                  <w:divBdr>
                    <w:top w:val="none" w:sz="0" w:space="0" w:color="auto"/>
                    <w:left w:val="none" w:sz="0" w:space="0" w:color="auto"/>
                    <w:bottom w:val="none" w:sz="0" w:space="0" w:color="auto"/>
                    <w:right w:val="none" w:sz="0" w:space="0" w:color="auto"/>
                  </w:divBdr>
                  <w:divsChild>
                    <w:div w:id="198590377">
                      <w:marLeft w:val="0"/>
                      <w:marRight w:val="0"/>
                      <w:marTop w:val="0"/>
                      <w:marBottom w:val="0"/>
                      <w:divBdr>
                        <w:top w:val="none" w:sz="0" w:space="0" w:color="auto"/>
                        <w:left w:val="none" w:sz="0" w:space="0" w:color="auto"/>
                        <w:bottom w:val="none" w:sz="0" w:space="0" w:color="auto"/>
                        <w:right w:val="none" w:sz="0" w:space="0" w:color="auto"/>
                      </w:divBdr>
                    </w:div>
                  </w:divsChild>
                </w:div>
                <w:div w:id="1693413086">
                  <w:marLeft w:val="0"/>
                  <w:marRight w:val="0"/>
                  <w:marTop w:val="0"/>
                  <w:marBottom w:val="0"/>
                  <w:divBdr>
                    <w:top w:val="none" w:sz="0" w:space="0" w:color="auto"/>
                    <w:left w:val="none" w:sz="0" w:space="0" w:color="auto"/>
                    <w:bottom w:val="none" w:sz="0" w:space="0" w:color="auto"/>
                    <w:right w:val="none" w:sz="0" w:space="0" w:color="auto"/>
                  </w:divBdr>
                  <w:divsChild>
                    <w:div w:id="2000762810">
                      <w:marLeft w:val="0"/>
                      <w:marRight w:val="0"/>
                      <w:marTop w:val="0"/>
                      <w:marBottom w:val="0"/>
                      <w:divBdr>
                        <w:top w:val="none" w:sz="0" w:space="0" w:color="auto"/>
                        <w:left w:val="none" w:sz="0" w:space="0" w:color="auto"/>
                        <w:bottom w:val="none" w:sz="0" w:space="0" w:color="auto"/>
                        <w:right w:val="none" w:sz="0" w:space="0" w:color="auto"/>
                      </w:divBdr>
                    </w:div>
                  </w:divsChild>
                </w:div>
                <w:div w:id="1705791130">
                  <w:marLeft w:val="0"/>
                  <w:marRight w:val="0"/>
                  <w:marTop w:val="0"/>
                  <w:marBottom w:val="0"/>
                  <w:divBdr>
                    <w:top w:val="none" w:sz="0" w:space="0" w:color="auto"/>
                    <w:left w:val="none" w:sz="0" w:space="0" w:color="auto"/>
                    <w:bottom w:val="none" w:sz="0" w:space="0" w:color="auto"/>
                    <w:right w:val="none" w:sz="0" w:space="0" w:color="auto"/>
                  </w:divBdr>
                  <w:divsChild>
                    <w:div w:id="1634364923">
                      <w:marLeft w:val="0"/>
                      <w:marRight w:val="0"/>
                      <w:marTop w:val="0"/>
                      <w:marBottom w:val="0"/>
                      <w:divBdr>
                        <w:top w:val="none" w:sz="0" w:space="0" w:color="auto"/>
                        <w:left w:val="none" w:sz="0" w:space="0" w:color="auto"/>
                        <w:bottom w:val="none" w:sz="0" w:space="0" w:color="auto"/>
                        <w:right w:val="none" w:sz="0" w:space="0" w:color="auto"/>
                      </w:divBdr>
                    </w:div>
                  </w:divsChild>
                </w:div>
                <w:div w:id="1708530925">
                  <w:marLeft w:val="0"/>
                  <w:marRight w:val="0"/>
                  <w:marTop w:val="0"/>
                  <w:marBottom w:val="0"/>
                  <w:divBdr>
                    <w:top w:val="none" w:sz="0" w:space="0" w:color="auto"/>
                    <w:left w:val="none" w:sz="0" w:space="0" w:color="auto"/>
                    <w:bottom w:val="none" w:sz="0" w:space="0" w:color="auto"/>
                    <w:right w:val="none" w:sz="0" w:space="0" w:color="auto"/>
                  </w:divBdr>
                  <w:divsChild>
                    <w:div w:id="2100252340">
                      <w:marLeft w:val="0"/>
                      <w:marRight w:val="0"/>
                      <w:marTop w:val="0"/>
                      <w:marBottom w:val="0"/>
                      <w:divBdr>
                        <w:top w:val="none" w:sz="0" w:space="0" w:color="auto"/>
                        <w:left w:val="none" w:sz="0" w:space="0" w:color="auto"/>
                        <w:bottom w:val="none" w:sz="0" w:space="0" w:color="auto"/>
                        <w:right w:val="none" w:sz="0" w:space="0" w:color="auto"/>
                      </w:divBdr>
                    </w:div>
                  </w:divsChild>
                </w:div>
                <w:div w:id="1726874000">
                  <w:marLeft w:val="0"/>
                  <w:marRight w:val="0"/>
                  <w:marTop w:val="0"/>
                  <w:marBottom w:val="0"/>
                  <w:divBdr>
                    <w:top w:val="none" w:sz="0" w:space="0" w:color="auto"/>
                    <w:left w:val="none" w:sz="0" w:space="0" w:color="auto"/>
                    <w:bottom w:val="none" w:sz="0" w:space="0" w:color="auto"/>
                    <w:right w:val="none" w:sz="0" w:space="0" w:color="auto"/>
                  </w:divBdr>
                  <w:divsChild>
                    <w:div w:id="1280335544">
                      <w:marLeft w:val="0"/>
                      <w:marRight w:val="0"/>
                      <w:marTop w:val="0"/>
                      <w:marBottom w:val="0"/>
                      <w:divBdr>
                        <w:top w:val="none" w:sz="0" w:space="0" w:color="auto"/>
                        <w:left w:val="none" w:sz="0" w:space="0" w:color="auto"/>
                        <w:bottom w:val="none" w:sz="0" w:space="0" w:color="auto"/>
                        <w:right w:val="none" w:sz="0" w:space="0" w:color="auto"/>
                      </w:divBdr>
                    </w:div>
                  </w:divsChild>
                </w:div>
                <w:div w:id="1735346920">
                  <w:marLeft w:val="0"/>
                  <w:marRight w:val="0"/>
                  <w:marTop w:val="0"/>
                  <w:marBottom w:val="0"/>
                  <w:divBdr>
                    <w:top w:val="none" w:sz="0" w:space="0" w:color="auto"/>
                    <w:left w:val="none" w:sz="0" w:space="0" w:color="auto"/>
                    <w:bottom w:val="none" w:sz="0" w:space="0" w:color="auto"/>
                    <w:right w:val="none" w:sz="0" w:space="0" w:color="auto"/>
                  </w:divBdr>
                  <w:divsChild>
                    <w:div w:id="1270237081">
                      <w:marLeft w:val="0"/>
                      <w:marRight w:val="0"/>
                      <w:marTop w:val="0"/>
                      <w:marBottom w:val="0"/>
                      <w:divBdr>
                        <w:top w:val="none" w:sz="0" w:space="0" w:color="auto"/>
                        <w:left w:val="none" w:sz="0" w:space="0" w:color="auto"/>
                        <w:bottom w:val="none" w:sz="0" w:space="0" w:color="auto"/>
                        <w:right w:val="none" w:sz="0" w:space="0" w:color="auto"/>
                      </w:divBdr>
                    </w:div>
                  </w:divsChild>
                </w:div>
                <w:div w:id="1763380238">
                  <w:marLeft w:val="0"/>
                  <w:marRight w:val="0"/>
                  <w:marTop w:val="0"/>
                  <w:marBottom w:val="0"/>
                  <w:divBdr>
                    <w:top w:val="none" w:sz="0" w:space="0" w:color="auto"/>
                    <w:left w:val="none" w:sz="0" w:space="0" w:color="auto"/>
                    <w:bottom w:val="none" w:sz="0" w:space="0" w:color="auto"/>
                    <w:right w:val="none" w:sz="0" w:space="0" w:color="auto"/>
                  </w:divBdr>
                  <w:divsChild>
                    <w:div w:id="1783454185">
                      <w:marLeft w:val="0"/>
                      <w:marRight w:val="0"/>
                      <w:marTop w:val="0"/>
                      <w:marBottom w:val="0"/>
                      <w:divBdr>
                        <w:top w:val="none" w:sz="0" w:space="0" w:color="auto"/>
                        <w:left w:val="none" w:sz="0" w:space="0" w:color="auto"/>
                        <w:bottom w:val="none" w:sz="0" w:space="0" w:color="auto"/>
                        <w:right w:val="none" w:sz="0" w:space="0" w:color="auto"/>
                      </w:divBdr>
                    </w:div>
                  </w:divsChild>
                </w:div>
                <w:div w:id="1778476582">
                  <w:marLeft w:val="0"/>
                  <w:marRight w:val="0"/>
                  <w:marTop w:val="0"/>
                  <w:marBottom w:val="0"/>
                  <w:divBdr>
                    <w:top w:val="none" w:sz="0" w:space="0" w:color="auto"/>
                    <w:left w:val="none" w:sz="0" w:space="0" w:color="auto"/>
                    <w:bottom w:val="none" w:sz="0" w:space="0" w:color="auto"/>
                    <w:right w:val="none" w:sz="0" w:space="0" w:color="auto"/>
                  </w:divBdr>
                  <w:divsChild>
                    <w:div w:id="2108579496">
                      <w:marLeft w:val="0"/>
                      <w:marRight w:val="0"/>
                      <w:marTop w:val="0"/>
                      <w:marBottom w:val="0"/>
                      <w:divBdr>
                        <w:top w:val="none" w:sz="0" w:space="0" w:color="auto"/>
                        <w:left w:val="none" w:sz="0" w:space="0" w:color="auto"/>
                        <w:bottom w:val="none" w:sz="0" w:space="0" w:color="auto"/>
                        <w:right w:val="none" w:sz="0" w:space="0" w:color="auto"/>
                      </w:divBdr>
                    </w:div>
                  </w:divsChild>
                </w:div>
                <w:div w:id="1800144258">
                  <w:marLeft w:val="0"/>
                  <w:marRight w:val="0"/>
                  <w:marTop w:val="0"/>
                  <w:marBottom w:val="0"/>
                  <w:divBdr>
                    <w:top w:val="none" w:sz="0" w:space="0" w:color="auto"/>
                    <w:left w:val="none" w:sz="0" w:space="0" w:color="auto"/>
                    <w:bottom w:val="none" w:sz="0" w:space="0" w:color="auto"/>
                    <w:right w:val="none" w:sz="0" w:space="0" w:color="auto"/>
                  </w:divBdr>
                  <w:divsChild>
                    <w:div w:id="620495918">
                      <w:marLeft w:val="0"/>
                      <w:marRight w:val="0"/>
                      <w:marTop w:val="0"/>
                      <w:marBottom w:val="0"/>
                      <w:divBdr>
                        <w:top w:val="none" w:sz="0" w:space="0" w:color="auto"/>
                        <w:left w:val="none" w:sz="0" w:space="0" w:color="auto"/>
                        <w:bottom w:val="none" w:sz="0" w:space="0" w:color="auto"/>
                        <w:right w:val="none" w:sz="0" w:space="0" w:color="auto"/>
                      </w:divBdr>
                    </w:div>
                  </w:divsChild>
                </w:div>
                <w:div w:id="1800344686">
                  <w:marLeft w:val="0"/>
                  <w:marRight w:val="0"/>
                  <w:marTop w:val="0"/>
                  <w:marBottom w:val="0"/>
                  <w:divBdr>
                    <w:top w:val="none" w:sz="0" w:space="0" w:color="auto"/>
                    <w:left w:val="none" w:sz="0" w:space="0" w:color="auto"/>
                    <w:bottom w:val="none" w:sz="0" w:space="0" w:color="auto"/>
                    <w:right w:val="none" w:sz="0" w:space="0" w:color="auto"/>
                  </w:divBdr>
                  <w:divsChild>
                    <w:div w:id="1517311792">
                      <w:marLeft w:val="0"/>
                      <w:marRight w:val="0"/>
                      <w:marTop w:val="0"/>
                      <w:marBottom w:val="0"/>
                      <w:divBdr>
                        <w:top w:val="none" w:sz="0" w:space="0" w:color="auto"/>
                        <w:left w:val="none" w:sz="0" w:space="0" w:color="auto"/>
                        <w:bottom w:val="none" w:sz="0" w:space="0" w:color="auto"/>
                        <w:right w:val="none" w:sz="0" w:space="0" w:color="auto"/>
                      </w:divBdr>
                    </w:div>
                  </w:divsChild>
                </w:div>
                <w:div w:id="1816795401">
                  <w:marLeft w:val="0"/>
                  <w:marRight w:val="0"/>
                  <w:marTop w:val="0"/>
                  <w:marBottom w:val="0"/>
                  <w:divBdr>
                    <w:top w:val="none" w:sz="0" w:space="0" w:color="auto"/>
                    <w:left w:val="none" w:sz="0" w:space="0" w:color="auto"/>
                    <w:bottom w:val="none" w:sz="0" w:space="0" w:color="auto"/>
                    <w:right w:val="none" w:sz="0" w:space="0" w:color="auto"/>
                  </w:divBdr>
                  <w:divsChild>
                    <w:div w:id="50662614">
                      <w:marLeft w:val="0"/>
                      <w:marRight w:val="0"/>
                      <w:marTop w:val="0"/>
                      <w:marBottom w:val="0"/>
                      <w:divBdr>
                        <w:top w:val="none" w:sz="0" w:space="0" w:color="auto"/>
                        <w:left w:val="none" w:sz="0" w:space="0" w:color="auto"/>
                        <w:bottom w:val="none" w:sz="0" w:space="0" w:color="auto"/>
                        <w:right w:val="none" w:sz="0" w:space="0" w:color="auto"/>
                      </w:divBdr>
                    </w:div>
                  </w:divsChild>
                </w:div>
                <w:div w:id="1822312017">
                  <w:marLeft w:val="0"/>
                  <w:marRight w:val="0"/>
                  <w:marTop w:val="0"/>
                  <w:marBottom w:val="0"/>
                  <w:divBdr>
                    <w:top w:val="none" w:sz="0" w:space="0" w:color="auto"/>
                    <w:left w:val="none" w:sz="0" w:space="0" w:color="auto"/>
                    <w:bottom w:val="none" w:sz="0" w:space="0" w:color="auto"/>
                    <w:right w:val="none" w:sz="0" w:space="0" w:color="auto"/>
                  </w:divBdr>
                  <w:divsChild>
                    <w:div w:id="176119500">
                      <w:marLeft w:val="0"/>
                      <w:marRight w:val="0"/>
                      <w:marTop w:val="0"/>
                      <w:marBottom w:val="0"/>
                      <w:divBdr>
                        <w:top w:val="none" w:sz="0" w:space="0" w:color="auto"/>
                        <w:left w:val="none" w:sz="0" w:space="0" w:color="auto"/>
                        <w:bottom w:val="none" w:sz="0" w:space="0" w:color="auto"/>
                        <w:right w:val="none" w:sz="0" w:space="0" w:color="auto"/>
                      </w:divBdr>
                    </w:div>
                  </w:divsChild>
                </w:div>
                <w:div w:id="1836454333">
                  <w:marLeft w:val="0"/>
                  <w:marRight w:val="0"/>
                  <w:marTop w:val="0"/>
                  <w:marBottom w:val="0"/>
                  <w:divBdr>
                    <w:top w:val="none" w:sz="0" w:space="0" w:color="auto"/>
                    <w:left w:val="none" w:sz="0" w:space="0" w:color="auto"/>
                    <w:bottom w:val="none" w:sz="0" w:space="0" w:color="auto"/>
                    <w:right w:val="none" w:sz="0" w:space="0" w:color="auto"/>
                  </w:divBdr>
                  <w:divsChild>
                    <w:div w:id="1363087978">
                      <w:marLeft w:val="0"/>
                      <w:marRight w:val="0"/>
                      <w:marTop w:val="0"/>
                      <w:marBottom w:val="0"/>
                      <w:divBdr>
                        <w:top w:val="none" w:sz="0" w:space="0" w:color="auto"/>
                        <w:left w:val="none" w:sz="0" w:space="0" w:color="auto"/>
                        <w:bottom w:val="none" w:sz="0" w:space="0" w:color="auto"/>
                        <w:right w:val="none" w:sz="0" w:space="0" w:color="auto"/>
                      </w:divBdr>
                    </w:div>
                  </w:divsChild>
                </w:div>
                <w:div w:id="1841311539">
                  <w:marLeft w:val="0"/>
                  <w:marRight w:val="0"/>
                  <w:marTop w:val="0"/>
                  <w:marBottom w:val="0"/>
                  <w:divBdr>
                    <w:top w:val="none" w:sz="0" w:space="0" w:color="auto"/>
                    <w:left w:val="none" w:sz="0" w:space="0" w:color="auto"/>
                    <w:bottom w:val="none" w:sz="0" w:space="0" w:color="auto"/>
                    <w:right w:val="none" w:sz="0" w:space="0" w:color="auto"/>
                  </w:divBdr>
                  <w:divsChild>
                    <w:div w:id="56712491">
                      <w:marLeft w:val="0"/>
                      <w:marRight w:val="0"/>
                      <w:marTop w:val="0"/>
                      <w:marBottom w:val="0"/>
                      <w:divBdr>
                        <w:top w:val="none" w:sz="0" w:space="0" w:color="auto"/>
                        <w:left w:val="none" w:sz="0" w:space="0" w:color="auto"/>
                        <w:bottom w:val="none" w:sz="0" w:space="0" w:color="auto"/>
                        <w:right w:val="none" w:sz="0" w:space="0" w:color="auto"/>
                      </w:divBdr>
                    </w:div>
                  </w:divsChild>
                </w:div>
                <w:div w:id="1854145577">
                  <w:marLeft w:val="0"/>
                  <w:marRight w:val="0"/>
                  <w:marTop w:val="0"/>
                  <w:marBottom w:val="0"/>
                  <w:divBdr>
                    <w:top w:val="none" w:sz="0" w:space="0" w:color="auto"/>
                    <w:left w:val="none" w:sz="0" w:space="0" w:color="auto"/>
                    <w:bottom w:val="none" w:sz="0" w:space="0" w:color="auto"/>
                    <w:right w:val="none" w:sz="0" w:space="0" w:color="auto"/>
                  </w:divBdr>
                  <w:divsChild>
                    <w:div w:id="1123965794">
                      <w:marLeft w:val="0"/>
                      <w:marRight w:val="0"/>
                      <w:marTop w:val="0"/>
                      <w:marBottom w:val="0"/>
                      <w:divBdr>
                        <w:top w:val="none" w:sz="0" w:space="0" w:color="auto"/>
                        <w:left w:val="none" w:sz="0" w:space="0" w:color="auto"/>
                        <w:bottom w:val="none" w:sz="0" w:space="0" w:color="auto"/>
                        <w:right w:val="none" w:sz="0" w:space="0" w:color="auto"/>
                      </w:divBdr>
                    </w:div>
                  </w:divsChild>
                </w:div>
                <w:div w:id="1859538941">
                  <w:marLeft w:val="0"/>
                  <w:marRight w:val="0"/>
                  <w:marTop w:val="0"/>
                  <w:marBottom w:val="0"/>
                  <w:divBdr>
                    <w:top w:val="none" w:sz="0" w:space="0" w:color="auto"/>
                    <w:left w:val="none" w:sz="0" w:space="0" w:color="auto"/>
                    <w:bottom w:val="none" w:sz="0" w:space="0" w:color="auto"/>
                    <w:right w:val="none" w:sz="0" w:space="0" w:color="auto"/>
                  </w:divBdr>
                  <w:divsChild>
                    <w:div w:id="587420450">
                      <w:marLeft w:val="0"/>
                      <w:marRight w:val="0"/>
                      <w:marTop w:val="0"/>
                      <w:marBottom w:val="0"/>
                      <w:divBdr>
                        <w:top w:val="none" w:sz="0" w:space="0" w:color="auto"/>
                        <w:left w:val="none" w:sz="0" w:space="0" w:color="auto"/>
                        <w:bottom w:val="none" w:sz="0" w:space="0" w:color="auto"/>
                        <w:right w:val="none" w:sz="0" w:space="0" w:color="auto"/>
                      </w:divBdr>
                    </w:div>
                  </w:divsChild>
                </w:div>
                <w:div w:id="1928804322">
                  <w:marLeft w:val="0"/>
                  <w:marRight w:val="0"/>
                  <w:marTop w:val="0"/>
                  <w:marBottom w:val="0"/>
                  <w:divBdr>
                    <w:top w:val="none" w:sz="0" w:space="0" w:color="auto"/>
                    <w:left w:val="none" w:sz="0" w:space="0" w:color="auto"/>
                    <w:bottom w:val="none" w:sz="0" w:space="0" w:color="auto"/>
                    <w:right w:val="none" w:sz="0" w:space="0" w:color="auto"/>
                  </w:divBdr>
                  <w:divsChild>
                    <w:div w:id="114756024">
                      <w:marLeft w:val="0"/>
                      <w:marRight w:val="0"/>
                      <w:marTop w:val="0"/>
                      <w:marBottom w:val="0"/>
                      <w:divBdr>
                        <w:top w:val="none" w:sz="0" w:space="0" w:color="auto"/>
                        <w:left w:val="none" w:sz="0" w:space="0" w:color="auto"/>
                        <w:bottom w:val="none" w:sz="0" w:space="0" w:color="auto"/>
                        <w:right w:val="none" w:sz="0" w:space="0" w:color="auto"/>
                      </w:divBdr>
                    </w:div>
                  </w:divsChild>
                </w:div>
                <w:div w:id="1945259451">
                  <w:marLeft w:val="0"/>
                  <w:marRight w:val="0"/>
                  <w:marTop w:val="0"/>
                  <w:marBottom w:val="0"/>
                  <w:divBdr>
                    <w:top w:val="none" w:sz="0" w:space="0" w:color="auto"/>
                    <w:left w:val="none" w:sz="0" w:space="0" w:color="auto"/>
                    <w:bottom w:val="none" w:sz="0" w:space="0" w:color="auto"/>
                    <w:right w:val="none" w:sz="0" w:space="0" w:color="auto"/>
                  </w:divBdr>
                  <w:divsChild>
                    <w:div w:id="1990288217">
                      <w:marLeft w:val="0"/>
                      <w:marRight w:val="0"/>
                      <w:marTop w:val="0"/>
                      <w:marBottom w:val="0"/>
                      <w:divBdr>
                        <w:top w:val="none" w:sz="0" w:space="0" w:color="auto"/>
                        <w:left w:val="none" w:sz="0" w:space="0" w:color="auto"/>
                        <w:bottom w:val="none" w:sz="0" w:space="0" w:color="auto"/>
                        <w:right w:val="none" w:sz="0" w:space="0" w:color="auto"/>
                      </w:divBdr>
                    </w:div>
                  </w:divsChild>
                </w:div>
                <w:div w:id="1946230276">
                  <w:marLeft w:val="0"/>
                  <w:marRight w:val="0"/>
                  <w:marTop w:val="0"/>
                  <w:marBottom w:val="0"/>
                  <w:divBdr>
                    <w:top w:val="none" w:sz="0" w:space="0" w:color="auto"/>
                    <w:left w:val="none" w:sz="0" w:space="0" w:color="auto"/>
                    <w:bottom w:val="none" w:sz="0" w:space="0" w:color="auto"/>
                    <w:right w:val="none" w:sz="0" w:space="0" w:color="auto"/>
                  </w:divBdr>
                  <w:divsChild>
                    <w:div w:id="1238785350">
                      <w:marLeft w:val="0"/>
                      <w:marRight w:val="0"/>
                      <w:marTop w:val="0"/>
                      <w:marBottom w:val="0"/>
                      <w:divBdr>
                        <w:top w:val="none" w:sz="0" w:space="0" w:color="auto"/>
                        <w:left w:val="none" w:sz="0" w:space="0" w:color="auto"/>
                        <w:bottom w:val="none" w:sz="0" w:space="0" w:color="auto"/>
                        <w:right w:val="none" w:sz="0" w:space="0" w:color="auto"/>
                      </w:divBdr>
                    </w:div>
                  </w:divsChild>
                </w:div>
                <w:div w:id="1949850421">
                  <w:marLeft w:val="0"/>
                  <w:marRight w:val="0"/>
                  <w:marTop w:val="0"/>
                  <w:marBottom w:val="0"/>
                  <w:divBdr>
                    <w:top w:val="none" w:sz="0" w:space="0" w:color="auto"/>
                    <w:left w:val="none" w:sz="0" w:space="0" w:color="auto"/>
                    <w:bottom w:val="none" w:sz="0" w:space="0" w:color="auto"/>
                    <w:right w:val="none" w:sz="0" w:space="0" w:color="auto"/>
                  </w:divBdr>
                  <w:divsChild>
                    <w:div w:id="1926724940">
                      <w:marLeft w:val="0"/>
                      <w:marRight w:val="0"/>
                      <w:marTop w:val="0"/>
                      <w:marBottom w:val="0"/>
                      <w:divBdr>
                        <w:top w:val="none" w:sz="0" w:space="0" w:color="auto"/>
                        <w:left w:val="none" w:sz="0" w:space="0" w:color="auto"/>
                        <w:bottom w:val="none" w:sz="0" w:space="0" w:color="auto"/>
                        <w:right w:val="none" w:sz="0" w:space="0" w:color="auto"/>
                      </w:divBdr>
                    </w:div>
                  </w:divsChild>
                </w:div>
                <w:div w:id="1957717538">
                  <w:marLeft w:val="0"/>
                  <w:marRight w:val="0"/>
                  <w:marTop w:val="0"/>
                  <w:marBottom w:val="0"/>
                  <w:divBdr>
                    <w:top w:val="none" w:sz="0" w:space="0" w:color="auto"/>
                    <w:left w:val="none" w:sz="0" w:space="0" w:color="auto"/>
                    <w:bottom w:val="none" w:sz="0" w:space="0" w:color="auto"/>
                    <w:right w:val="none" w:sz="0" w:space="0" w:color="auto"/>
                  </w:divBdr>
                  <w:divsChild>
                    <w:div w:id="2018725363">
                      <w:marLeft w:val="0"/>
                      <w:marRight w:val="0"/>
                      <w:marTop w:val="0"/>
                      <w:marBottom w:val="0"/>
                      <w:divBdr>
                        <w:top w:val="none" w:sz="0" w:space="0" w:color="auto"/>
                        <w:left w:val="none" w:sz="0" w:space="0" w:color="auto"/>
                        <w:bottom w:val="none" w:sz="0" w:space="0" w:color="auto"/>
                        <w:right w:val="none" w:sz="0" w:space="0" w:color="auto"/>
                      </w:divBdr>
                    </w:div>
                  </w:divsChild>
                </w:div>
                <w:div w:id="2010866602">
                  <w:marLeft w:val="0"/>
                  <w:marRight w:val="0"/>
                  <w:marTop w:val="0"/>
                  <w:marBottom w:val="0"/>
                  <w:divBdr>
                    <w:top w:val="none" w:sz="0" w:space="0" w:color="auto"/>
                    <w:left w:val="none" w:sz="0" w:space="0" w:color="auto"/>
                    <w:bottom w:val="none" w:sz="0" w:space="0" w:color="auto"/>
                    <w:right w:val="none" w:sz="0" w:space="0" w:color="auto"/>
                  </w:divBdr>
                  <w:divsChild>
                    <w:div w:id="695084935">
                      <w:marLeft w:val="0"/>
                      <w:marRight w:val="0"/>
                      <w:marTop w:val="0"/>
                      <w:marBottom w:val="0"/>
                      <w:divBdr>
                        <w:top w:val="none" w:sz="0" w:space="0" w:color="auto"/>
                        <w:left w:val="none" w:sz="0" w:space="0" w:color="auto"/>
                        <w:bottom w:val="none" w:sz="0" w:space="0" w:color="auto"/>
                        <w:right w:val="none" w:sz="0" w:space="0" w:color="auto"/>
                      </w:divBdr>
                    </w:div>
                  </w:divsChild>
                </w:div>
                <w:div w:id="2020155104">
                  <w:marLeft w:val="0"/>
                  <w:marRight w:val="0"/>
                  <w:marTop w:val="0"/>
                  <w:marBottom w:val="0"/>
                  <w:divBdr>
                    <w:top w:val="none" w:sz="0" w:space="0" w:color="auto"/>
                    <w:left w:val="none" w:sz="0" w:space="0" w:color="auto"/>
                    <w:bottom w:val="none" w:sz="0" w:space="0" w:color="auto"/>
                    <w:right w:val="none" w:sz="0" w:space="0" w:color="auto"/>
                  </w:divBdr>
                  <w:divsChild>
                    <w:div w:id="1497379076">
                      <w:marLeft w:val="0"/>
                      <w:marRight w:val="0"/>
                      <w:marTop w:val="0"/>
                      <w:marBottom w:val="0"/>
                      <w:divBdr>
                        <w:top w:val="none" w:sz="0" w:space="0" w:color="auto"/>
                        <w:left w:val="none" w:sz="0" w:space="0" w:color="auto"/>
                        <w:bottom w:val="none" w:sz="0" w:space="0" w:color="auto"/>
                        <w:right w:val="none" w:sz="0" w:space="0" w:color="auto"/>
                      </w:divBdr>
                    </w:div>
                  </w:divsChild>
                </w:div>
                <w:div w:id="2031226104">
                  <w:marLeft w:val="0"/>
                  <w:marRight w:val="0"/>
                  <w:marTop w:val="0"/>
                  <w:marBottom w:val="0"/>
                  <w:divBdr>
                    <w:top w:val="none" w:sz="0" w:space="0" w:color="auto"/>
                    <w:left w:val="none" w:sz="0" w:space="0" w:color="auto"/>
                    <w:bottom w:val="none" w:sz="0" w:space="0" w:color="auto"/>
                    <w:right w:val="none" w:sz="0" w:space="0" w:color="auto"/>
                  </w:divBdr>
                  <w:divsChild>
                    <w:div w:id="189077659">
                      <w:marLeft w:val="0"/>
                      <w:marRight w:val="0"/>
                      <w:marTop w:val="0"/>
                      <w:marBottom w:val="0"/>
                      <w:divBdr>
                        <w:top w:val="none" w:sz="0" w:space="0" w:color="auto"/>
                        <w:left w:val="none" w:sz="0" w:space="0" w:color="auto"/>
                        <w:bottom w:val="none" w:sz="0" w:space="0" w:color="auto"/>
                        <w:right w:val="none" w:sz="0" w:space="0" w:color="auto"/>
                      </w:divBdr>
                    </w:div>
                  </w:divsChild>
                </w:div>
                <w:div w:id="2041855498">
                  <w:marLeft w:val="0"/>
                  <w:marRight w:val="0"/>
                  <w:marTop w:val="0"/>
                  <w:marBottom w:val="0"/>
                  <w:divBdr>
                    <w:top w:val="none" w:sz="0" w:space="0" w:color="auto"/>
                    <w:left w:val="none" w:sz="0" w:space="0" w:color="auto"/>
                    <w:bottom w:val="none" w:sz="0" w:space="0" w:color="auto"/>
                    <w:right w:val="none" w:sz="0" w:space="0" w:color="auto"/>
                  </w:divBdr>
                  <w:divsChild>
                    <w:div w:id="1605769698">
                      <w:marLeft w:val="0"/>
                      <w:marRight w:val="0"/>
                      <w:marTop w:val="0"/>
                      <w:marBottom w:val="0"/>
                      <w:divBdr>
                        <w:top w:val="none" w:sz="0" w:space="0" w:color="auto"/>
                        <w:left w:val="none" w:sz="0" w:space="0" w:color="auto"/>
                        <w:bottom w:val="none" w:sz="0" w:space="0" w:color="auto"/>
                        <w:right w:val="none" w:sz="0" w:space="0" w:color="auto"/>
                      </w:divBdr>
                    </w:div>
                  </w:divsChild>
                </w:div>
                <w:div w:id="2068605537">
                  <w:marLeft w:val="0"/>
                  <w:marRight w:val="0"/>
                  <w:marTop w:val="0"/>
                  <w:marBottom w:val="0"/>
                  <w:divBdr>
                    <w:top w:val="none" w:sz="0" w:space="0" w:color="auto"/>
                    <w:left w:val="none" w:sz="0" w:space="0" w:color="auto"/>
                    <w:bottom w:val="none" w:sz="0" w:space="0" w:color="auto"/>
                    <w:right w:val="none" w:sz="0" w:space="0" w:color="auto"/>
                  </w:divBdr>
                  <w:divsChild>
                    <w:div w:id="170417255">
                      <w:marLeft w:val="0"/>
                      <w:marRight w:val="0"/>
                      <w:marTop w:val="0"/>
                      <w:marBottom w:val="0"/>
                      <w:divBdr>
                        <w:top w:val="none" w:sz="0" w:space="0" w:color="auto"/>
                        <w:left w:val="none" w:sz="0" w:space="0" w:color="auto"/>
                        <w:bottom w:val="none" w:sz="0" w:space="0" w:color="auto"/>
                        <w:right w:val="none" w:sz="0" w:space="0" w:color="auto"/>
                      </w:divBdr>
                    </w:div>
                  </w:divsChild>
                </w:div>
                <w:div w:id="2073237806">
                  <w:marLeft w:val="0"/>
                  <w:marRight w:val="0"/>
                  <w:marTop w:val="0"/>
                  <w:marBottom w:val="0"/>
                  <w:divBdr>
                    <w:top w:val="none" w:sz="0" w:space="0" w:color="auto"/>
                    <w:left w:val="none" w:sz="0" w:space="0" w:color="auto"/>
                    <w:bottom w:val="none" w:sz="0" w:space="0" w:color="auto"/>
                    <w:right w:val="none" w:sz="0" w:space="0" w:color="auto"/>
                  </w:divBdr>
                  <w:divsChild>
                    <w:div w:id="46147396">
                      <w:marLeft w:val="0"/>
                      <w:marRight w:val="0"/>
                      <w:marTop w:val="0"/>
                      <w:marBottom w:val="0"/>
                      <w:divBdr>
                        <w:top w:val="none" w:sz="0" w:space="0" w:color="auto"/>
                        <w:left w:val="none" w:sz="0" w:space="0" w:color="auto"/>
                        <w:bottom w:val="none" w:sz="0" w:space="0" w:color="auto"/>
                        <w:right w:val="none" w:sz="0" w:space="0" w:color="auto"/>
                      </w:divBdr>
                    </w:div>
                  </w:divsChild>
                </w:div>
                <w:div w:id="2077627577">
                  <w:marLeft w:val="0"/>
                  <w:marRight w:val="0"/>
                  <w:marTop w:val="0"/>
                  <w:marBottom w:val="0"/>
                  <w:divBdr>
                    <w:top w:val="none" w:sz="0" w:space="0" w:color="auto"/>
                    <w:left w:val="none" w:sz="0" w:space="0" w:color="auto"/>
                    <w:bottom w:val="none" w:sz="0" w:space="0" w:color="auto"/>
                    <w:right w:val="none" w:sz="0" w:space="0" w:color="auto"/>
                  </w:divBdr>
                  <w:divsChild>
                    <w:div w:id="1220172039">
                      <w:marLeft w:val="0"/>
                      <w:marRight w:val="0"/>
                      <w:marTop w:val="0"/>
                      <w:marBottom w:val="0"/>
                      <w:divBdr>
                        <w:top w:val="none" w:sz="0" w:space="0" w:color="auto"/>
                        <w:left w:val="none" w:sz="0" w:space="0" w:color="auto"/>
                        <w:bottom w:val="none" w:sz="0" w:space="0" w:color="auto"/>
                        <w:right w:val="none" w:sz="0" w:space="0" w:color="auto"/>
                      </w:divBdr>
                    </w:div>
                  </w:divsChild>
                </w:div>
                <w:div w:id="2081949229">
                  <w:marLeft w:val="0"/>
                  <w:marRight w:val="0"/>
                  <w:marTop w:val="0"/>
                  <w:marBottom w:val="0"/>
                  <w:divBdr>
                    <w:top w:val="none" w:sz="0" w:space="0" w:color="auto"/>
                    <w:left w:val="none" w:sz="0" w:space="0" w:color="auto"/>
                    <w:bottom w:val="none" w:sz="0" w:space="0" w:color="auto"/>
                    <w:right w:val="none" w:sz="0" w:space="0" w:color="auto"/>
                  </w:divBdr>
                  <w:divsChild>
                    <w:div w:id="1297761788">
                      <w:marLeft w:val="0"/>
                      <w:marRight w:val="0"/>
                      <w:marTop w:val="0"/>
                      <w:marBottom w:val="0"/>
                      <w:divBdr>
                        <w:top w:val="none" w:sz="0" w:space="0" w:color="auto"/>
                        <w:left w:val="none" w:sz="0" w:space="0" w:color="auto"/>
                        <w:bottom w:val="none" w:sz="0" w:space="0" w:color="auto"/>
                        <w:right w:val="none" w:sz="0" w:space="0" w:color="auto"/>
                      </w:divBdr>
                    </w:div>
                  </w:divsChild>
                </w:div>
                <w:div w:id="2093158116">
                  <w:marLeft w:val="0"/>
                  <w:marRight w:val="0"/>
                  <w:marTop w:val="0"/>
                  <w:marBottom w:val="0"/>
                  <w:divBdr>
                    <w:top w:val="none" w:sz="0" w:space="0" w:color="auto"/>
                    <w:left w:val="none" w:sz="0" w:space="0" w:color="auto"/>
                    <w:bottom w:val="none" w:sz="0" w:space="0" w:color="auto"/>
                    <w:right w:val="none" w:sz="0" w:space="0" w:color="auto"/>
                  </w:divBdr>
                  <w:divsChild>
                    <w:div w:id="800534371">
                      <w:marLeft w:val="0"/>
                      <w:marRight w:val="0"/>
                      <w:marTop w:val="0"/>
                      <w:marBottom w:val="0"/>
                      <w:divBdr>
                        <w:top w:val="none" w:sz="0" w:space="0" w:color="auto"/>
                        <w:left w:val="none" w:sz="0" w:space="0" w:color="auto"/>
                        <w:bottom w:val="none" w:sz="0" w:space="0" w:color="auto"/>
                        <w:right w:val="none" w:sz="0" w:space="0" w:color="auto"/>
                      </w:divBdr>
                    </w:div>
                  </w:divsChild>
                </w:div>
                <w:div w:id="2096318358">
                  <w:marLeft w:val="0"/>
                  <w:marRight w:val="0"/>
                  <w:marTop w:val="0"/>
                  <w:marBottom w:val="0"/>
                  <w:divBdr>
                    <w:top w:val="none" w:sz="0" w:space="0" w:color="auto"/>
                    <w:left w:val="none" w:sz="0" w:space="0" w:color="auto"/>
                    <w:bottom w:val="none" w:sz="0" w:space="0" w:color="auto"/>
                    <w:right w:val="none" w:sz="0" w:space="0" w:color="auto"/>
                  </w:divBdr>
                  <w:divsChild>
                    <w:div w:id="2037659078">
                      <w:marLeft w:val="0"/>
                      <w:marRight w:val="0"/>
                      <w:marTop w:val="0"/>
                      <w:marBottom w:val="0"/>
                      <w:divBdr>
                        <w:top w:val="none" w:sz="0" w:space="0" w:color="auto"/>
                        <w:left w:val="none" w:sz="0" w:space="0" w:color="auto"/>
                        <w:bottom w:val="none" w:sz="0" w:space="0" w:color="auto"/>
                        <w:right w:val="none" w:sz="0" w:space="0" w:color="auto"/>
                      </w:divBdr>
                    </w:div>
                  </w:divsChild>
                </w:div>
                <w:div w:id="2117865466">
                  <w:marLeft w:val="0"/>
                  <w:marRight w:val="0"/>
                  <w:marTop w:val="0"/>
                  <w:marBottom w:val="0"/>
                  <w:divBdr>
                    <w:top w:val="none" w:sz="0" w:space="0" w:color="auto"/>
                    <w:left w:val="none" w:sz="0" w:space="0" w:color="auto"/>
                    <w:bottom w:val="none" w:sz="0" w:space="0" w:color="auto"/>
                    <w:right w:val="none" w:sz="0" w:space="0" w:color="auto"/>
                  </w:divBdr>
                  <w:divsChild>
                    <w:div w:id="10708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631177">
      <w:bodyDiv w:val="1"/>
      <w:marLeft w:val="0"/>
      <w:marRight w:val="0"/>
      <w:marTop w:val="0"/>
      <w:marBottom w:val="0"/>
      <w:divBdr>
        <w:top w:val="none" w:sz="0" w:space="0" w:color="auto"/>
        <w:left w:val="none" w:sz="0" w:space="0" w:color="auto"/>
        <w:bottom w:val="none" w:sz="0" w:space="0" w:color="auto"/>
        <w:right w:val="none" w:sz="0" w:space="0" w:color="auto"/>
      </w:divBdr>
    </w:div>
    <w:div w:id="301665890">
      <w:bodyDiv w:val="1"/>
      <w:marLeft w:val="0"/>
      <w:marRight w:val="0"/>
      <w:marTop w:val="0"/>
      <w:marBottom w:val="0"/>
      <w:divBdr>
        <w:top w:val="none" w:sz="0" w:space="0" w:color="auto"/>
        <w:left w:val="none" w:sz="0" w:space="0" w:color="auto"/>
        <w:bottom w:val="none" w:sz="0" w:space="0" w:color="auto"/>
        <w:right w:val="none" w:sz="0" w:space="0" w:color="auto"/>
      </w:divBdr>
      <w:divsChild>
        <w:div w:id="14623335">
          <w:marLeft w:val="0"/>
          <w:marRight w:val="0"/>
          <w:marTop w:val="0"/>
          <w:marBottom w:val="0"/>
          <w:divBdr>
            <w:top w:val="none" w:sz="0" w:space="0" w:color="auto"/>
            <w:left w:val="none" w:sz="0" w:space="0" w:color="auto"/>
            <w:bottom w:val="none" w:sz="0" w:space="0" w:color="auto"/>
            <w:right w:val="none" w:sz="0" w:space="0" w:color="auto"/>
          </w:divBdr>
        </w:div>
        <w:div w:id="377508868">
          <w:marLeft w:val="0"/>
          <w:marRight w:val="0"/>
          <w:marTop w:val="0"/>
          <w:marBottom w:val="0"/>
          <w:divBdr>
            <w:top w:val="none" w:sz="0" w:space="0" w:color="auto"/>
            <w:left w:val="none" w:sz="0" w:space="0" w:color="auto"/>
            <w:bottom w:val="none" w:sz="0" w:space="0" w:color="auto"/>
            <w:right w:val="none" w:sz="0" w:space="0" w:color="auto"/>
          </w:divBdr>
        </w:div>
        <w:div w:id="955256860">
          <w:marLeft w:val="0"/>
          <w:marRight w:val="0"/>
          <w:marTop w:val="0"/>
          <w:marBottom w:val="0"/>
          <w:divBdr>
            <w:top w:val="none" w:sz="0" w:space="0" w:color="auto"/>
            <w:left w:val="none" w:sz="0" w:space="0" w:color="auto"/>
            <w:bottom w:val="none" w:sz="0" w:space="0" w:color="auto"/>
            <w:right w:val="none" w:sz="0" w:space="0" w:color="auto"/>
          </w:divBdr>
        </w:div>
        <w:div w:id="1319305423">
          <w:marLeft w:val="0"/>
          <w:marRight w:val="0"/>
          <w:marTop w:val="0"/>
          <w:marBottom w:val="0"/>
          <w:divBdr>
            <w:top w:val="none" w:sz="0" w:space="0" w:color="auto"/>
            <w:left w:val="none" w:sz="0" w:space="0" w:color="auto"/>
            <w:bottom w:val="none" w:sz="0" w:space="0" w:color="auto"/>
            <w:right w:val="none" w:sz="0" w:space="0" w:color="auto"/>
          </w:divBdr>
        </w:div>
        <w:div w:id="1745838341">
          <w:marLeft w:val="0"/>
          <w:marRight w:val="0"/>
          <w:marTop w:val="0"/>
          <w:marBottom w:val="0"/>
          <w:divBdr>
            <w:top w:val="none" w:sz="0" w:space="0" w:color="auto"/>
            <w:left w:val="none" w:sz="0" w:space="0" w:color="auto"/>
            <w:bottom w:val="none" w:sz="0" w:space="0" w:color="auto"/>
            <w:right w:val="none" w:sz="0" w:space="0" w:color="auto"/>
          </w:divBdr>
        </w:div>
        <w:div w:id="1757480639">
          <w:marLeft w:val="0"/>
          <w:marRight w:val="0"/>
          <w:marTop w:val="0"/>
          <w:marBottom w:val="0"/>
          <w:divBdr>
            <w:top w:val="none" w:sz="0" w:space="0" w:color="auto"/>
            <w:left w:val="none" w:sz="0" w:space="0" w:color="auto"/>
            <w:bottom w:val="none" w:sz="0" w:space="0" w:color="auto"/>
            <w:right w:val="none" w:sz="0" w:space="0" w:color="auto"/>
          </w:divBdr>
        </w:div>
      </w:divsChild>
    </w:div>
    <w:div w:id="306203375">
      <w:bodyDiv w:val="1"/>
      <w:marLeft w:val="0"/>
      <w:marRight w:val="0"/>
      <w:marTop w:val="0"/>
      <w:marBottom w:val="0"/>
      <w:divBdr>
        <w:top w:val="none" w:sz="0" w:space="0" w:color="auto"/>
        <w:left w:val="none" w:sz="0" w:space="0" w:color="auto"/>
        <w:bottom w:val="none" w:sz="0" w:space="0" w:color="auto"/>
        <w:right w:val="none" w:sz="0" w:space="0" w:color="auto"/>
      </w:divBdr>
    </w:div>
    <w:div w:id="332758223">
      <w:bodyDiv w:val="1"/>
      <w:marLeft w:val="0"/>
      <w:marRight w:val="0"/>
      <w:marTop w:val="0"/>
      <w:marBottom w:val="0"/>
      <w:divBdr>
        <w:top w:val="none" w:sz="0" w:space="0" w:color="auto"/>
        <w:left w:val="none" w:sz="0" w:space="0" w:color="auto"/>
        <w:bottom w:val="none" w:sz="0" w:space="0" w:color="auto"/>
        <w:right w:val="none" w:sz="0" w:space="0" w:color="auto"/>
      </w:divBdr>
      <w:divsChild>
        <w:div w:id="5376291">
          <w:marLeft w:val="0"/>
          <w:marRight w:val="0"/>
          <w:marTop w:val="0"/>
          <w:marBottom w:val="0"/>
          <w:divBdr>
            <w:top w:val="none" w:sz="0" w:space="0" w:color="auto"/>
            <w:left w:val="none" w:sz="0" w:space="0" w:color="auto"/>
            <w:bottom w:val="none" w:sz="0" w:space="0" w:color="auto"/>
            <w:right w:val="none" w:sz="0" w:space="0" w:color="auto"/>
          </w:divBdr>
        </w:div>
        <w:div w:id="448859987">
          <w:marLeft w:val="0"/>
          <w:marRight w:val="0"/>
          <w:marTop w:val="0"/>
          <w:marBottom w:val="0"/>
          <w:divBdr>
            <w:top w:val="none" w:sz="0" w:space="0" w:color="auto"/>
            <w:left w:val="none" w:sz="0" w:space="0" w:color="auto"/>
            <w:bottom w:val="none" w:sz="0" w:space="0" w:color="auto"/>
            <w:right w:val="none" w:sz="0" w:space="0" w:color="auto"/>
          </w:divBdr>
        </w:div>
        <w:div w:id="915670942">
          <w:marLeft w:val="0"/>
          <w:marRight w:val="0"/>
          <w:marTop w:val="0"/>
          <w:marBottom w:val="0"/>
          <w:divBdr>
            <w:top w:val="none" w:sz="0" w:space="0" w:color="auto"/>
            <w:left w:val="none" w:sz="0" w:space="0" w:color="auto"/>
            <w:bottom w:val="none" w:sz="0" w:space="0" w:color="auto"/>
            <w:right w:val="none" w:sz="0" w:space="0" w:color="auto"/>
          </w:divBdr>
        </w:div>
        <w:div w:id="1025594843">
          <w:marLeft w:val="0"/>
          <w:marRight w:val="0"/>
          <w:marTop w:val="0"/>
          <w:marBottom w:val="0"/>
          <w:divBdr>
            <w:top w:val="none" w:sz="0" w:space="0" w:color="auto"/>
            <w:left w:val="none" w:sz="0" w:space="0" w:color="auto"/>
            <w:bottom w:val="none" w:sz="0" w:space="0" w:color="auto"/>
            <w:right w:val="none" w:sz="0" w:space="0" w:color="auto"/>
          </w:divBdr>
          <w:divsChild>
            <w:div w:id="632368193">
              <w:marLeft w:val="0"/>
              <w:marRight w:val="0"/>
              <w:marTop w:val="0"/>
              <w:marBottom w:val="0"/>
              <w:divBdr>
                <w:top w:val="none" w:sz="0" w:space="0" w:color="auto"/>
                <w:left w:val="none" w:sz="0" w:space="0" w:color="auto"/>
                <w:bottom w:val="none" w:sz="0" w:space="0" w:color="auto"/>
                <w:right w:val="none" w:sz="0" w:space="0" w:color="auto"/>
              </w:divBdr>
            </w:div>
            <w:div w:id="808089049">
              <w:marLeft w:val="0"/>
              <w:marRight w:val="0"/>
              <w:marTop w:val="0"/>
              <w:marBottom w:val="0"/>
              <w:divBdr>
                <w:top w:val="none" w:sz="0" w:space="0" w:color="auto"/>
                <w:left w:val="none" w:sz="0" w:space="0" w:color="auto"/>
                <w:bottom w:val="none" w:sz="0" w:space="0" w:color="auto"/>
                <w:right w:val="none" w:sz="0" w:space="0" w:color="auto"/>
              </w:divBdr>
            </w:div>
            <w:div w:id="1180197850">
              <w:marLeft w:val="0"/>
              <w:marRight w:val="0"/>
              <w:marTop w:val="0"/>
              <w:marBottom w:val="0"/>
              <w:divBdr>
                <w:top w:val="none" w:sz="0" w:space="0" w:color="auto"/>
                <w:left w:val="none" w:sz="0" w:space="0" w:color="auto"/>
                <w:bottom w:val="none" w:sz="0" w:space="0" w:color="auto"/>
                <w:right w:val="none" w:sz="0" w:space="0" w:color="auto"/>
              </w:divBdr>
            </w:div>
          </w:divsChild>
        </w:div>
        <w:div w:id="1205601638">
          <w:marLeft w:val="0"/>
          <w:marRight w:val="0"/>
          <w:marTop w:val="0"/>
          <w:marBottom w:val="0"/>
          <w:divBdr>
            <w:top w:val="none" w:sz="0" w:space="0" w:color="auto"/>
            <w:left w:val="none" w:sz="0" w:space="0" w:color="auto"/>
            <w:bottom w:val="none" w:sz="0" w:space="0" w:color="auto"/>
            <w:right w:val="none" w:sz="0" w:space="0" w:color="auto"/>
          </w:divBdr>
        </w:div>
        <w:div w:id="1291782484">
          <w:marLeft w:val="0"/>
          <w:marRight w:val="0"/>
          <w:marTop w:val="0"/>
          <w:marBottom w:val="0"/>
          <w:divBdr>
            <w:top w:val="none" w:sz="0" w:space="0" w:color="auto"/>
            <w:left w:val="none" w:sz="0" w:space="0" w:color="auto"/>
            <w:bottom w:val="none" w:sz="0" w:space="0" w:color="auto"/>
            <w:right w:val="none" w:sz="0" w:space="0" w:color="auto"/>
          </w:divBdr>
        </w:div>
        <w:div w:id="1563521044">
          <w:marLeft w:val="0"/>
          <w:marRight w:val="0"/>
          <w:marTop w:val="0"/>
          <w:marBottom w:val="0"/>
          <w:divBdr>
            <w:top w:val="none" w:sz="0" w:space="0" w:color="auto"/>
            <w:left w:val="none" w:sz="0" w:space="0" w:color="auto"/>
            <w:bottom w:val="none" w:sz="0" w:space="0" w:color="auto"/>
            <w:right w:val="none" w:sz="0" w:space="0" w:color="auto"/>
          </w:divBdr>
        </w:div>
        <w:div w:id="1617129475">
          <w:marLeft w:val="0"/>
          <w:marRight w:val="0"/>
          <w:marTop w:val="0"/>
          <w:marBottom w:val="0"/>
          <w:divBdr>
            <w:top w:val="none" w:sz="0" w:space="0" w:color="auto"/>
            <w:left w:val="none" w:sz="0" w:space="0" w:color="auto"/>
            <w:bottom w:val="none" w:sz="0" w:space="0" w:color="auto"/>
            <w:right w:val="none" w:sz="0" w:space="0" w:color="auto"/>
          </w:divBdr>
          <w:divsChild>
            <w:div w:id="1370951307">
              <w:marLeft w:val="0"/>
              <w:marRight w:val="0"/>
              <w:marTop w:val="0"/>
              <w:marBottom w:val="0"/>
              <w:divBdr>
                <w:top w:val="none" w:sz="0" w:space="0" w:color="auto"/>
                <w:left w:val="none" w:sz="0" w:space="0" w:color="auto"/>
                <w:bottom w:val="none" w:sz="0" w:space="0" w:color="auto"/>
                <w:right w:val="none" w:sz="0" w:space="0" w:color="auto"/>
              </w:divBdr>
            </w:div>
            <w:div w:id="1518425040">
              <w:marLeft w:val="0"/>
              <w:marRight w:val="0"/>
              <w:marTop w:val="0"/>
              <w:marBottom w:val="0"/>
              <w:divBdr>
                <w:top w:val="none" w:sz="0" w:space="0" w:color="auto"/>
                <w:left w:val="none" w:sz="0" w:space="0" w:color="auto"/>
                <w:bottom w:val="none" w:sz="0" w:space="0" w:color="auto"/>
                <w:right w:val="none" w:sz="0" w:space="0" w:color="auto"/>
              </w:divBdr>
            </w:div>
            <w:div w:id="1827622747">
              <w:marLeft w:val="0"/>
              <w:marRight w:val="0"/>
              <w:marTop w:val="0"/>
              <w:marBottom w:val="0"/>
              <w:divBdr>
                <w:top w:val="none" w:sz="0" w:space="0" w:color="auto"/>
                <w:left w:val="none" w:sz="0" w:space="0" w:color="auto"/>
                <w:bottom w:val="none" w:sz="0" w:space="0" w:color="auto"/>
                <w:right w:val="none" w:sz="0" w:space="0" w:color="auto"/>
              </w:divBdr>
            </w:div>
            <w:div w:id="1920014166">
              <w:marLeft w:val="0"/>
              <w:marRight w:val="0"/>
              <w:marTop w:val="0"/>
              <w:marBottom w:val="0"/>
              <w:divBdr>
                <w:top w:val="none" w:sz="0" w:space="0" w:color="auto"/>
                <w:left w:val="none" w:sz="0" w:space="0" w:color="auto"/>
                <w:bottom w:val="none" w:sz="0" w:space="0" w:color="auto"/>
                <w:right w:val="none" w:sz="0" w:space="0" w:color="auto"/>
              </w:divBdr>
            </w:div>
            <w:div w:id="2035304205">
              <w:marLeft w:val="0"/>
              <w:marRight w:val="0"/>
              <w:marTop w:val="0"/>
              <w:marBottom w:val="0"/>
              <w:divBdr>
                <w:top w:val="none" w:sz="0" w:space="0" w:color="auto"/>
                <w:left w:val="none" w:sz="0" w:space="0" w:color="auto"/>
                <w:bottom w:val="none" w:sz="0" w:space="0" w:color="auto"/>
                <w:right w:val="none" w:sz="0" w:space="0" w:color="auto"/>
              </w:divBdr>
            </w:div>
          </w:divsChild>
        </w:div>
        <w:div w:id="1671330402">
          <w:marLeft w:val="0"/>
          <w:marRight w:val="0"/>
          <w:marTop w:val="0"/>
          <w:marBottom w:val="0"/>
          <w:divBdr>
            <w:top w:val="none" w:sz="0" w:space="0" w:color="auto"/>
            <w:left w:val="none" w:sz="0" w:space="0" w:color="auto"/>
            <w:bottom w:val="none" w:sz="0" w:space="0" w:color="auto"/>
            <w:right w:val="none" w:sz="0" w:space="0" w:color="auto"/>
          </w:divBdr>
        </w:div>
        <w:div w:id="1699622870">
          <w:marLeft w:val="0"/>
          <w:marRight w:val="0"/>
          <w:marTop w:val="0"/>
          <w:marBottom w:val="0"/>
          <w:divBdr>
            <w:top w:val="none" w:sz="0" w:space="0" w:color="auto"/>
            <w:left w:val="none" w:sz="0" w:space="0" w:color="auto"/>
            <w:bottom w:val="none" w:sz="0" w:space="0" w:color="auto"/>
            <w:right w:val="none" w:sz="0" w:space="0" w:color="auto"/>
          </w:divBdr>
        </w:div>
        <w:div w:id="1806268882">
          <w:marLeft w:val="0"/>
          <w:marRight w:val="0"/>
          <w:marTop w:val="0"/>
          <w:marBottom w:val="0"/>
          <w:divBdr>
            <w:top w:val="none" w:sz="0" w:space="0" w:color="auto"/>
            <w:left w:val="none" w:sz="0" w:space="0" w:color="auto"/>
            <w:bottom w:val="none" w:sz="0" w:space="0" w:color="auto"/>
            <w:right w:val="none" w:sz="0" w:space="0" w:color="auto"/>
          </w:divBdr>
          <w:divsChild>
            <w:div w:id="577518760">
              <w:marLeft w:val="0"/>
              <w:marRight w:val="0"/>
              <w:marTop w:val="0"/>
              <w:marBottom w:val="0"/>
              <w:divBdr>
                <w:top w:val="none" w:sz="0" w:space="0" w:color="auto"/>
                <w:left w:val="none" w:sz="0" w:space="0" w:color="auto"/>
                <w:bottom w:val="none" w:sz="0" w:space="0" w:color="auto"/>
                <w:right w:val="none" w:sz="0" w:space="0" w:color="auto"/>
              </w:divBdr>
            </w:div>
            <w:div w:id="762654841">
              <w:marLeft w:val="0"/>
              <w:marRight w:val="0"/>
              <w:marTop w:val="0"/>
              <w:marBottom w:val="0"/>
              <w:divBdr>
                <w:top w:val="none" w:sz="0" w:space="0" w:color="auto"/>
                <w:left w:val="none" w:sz="0" w:space="0" w:color="auto"/>
                <w:bottom w:val="none" w:sz="0" w:space="0" w:color="auto"/>
                <w:right w:val="none" w:sz="0" w:space="0" w:color="auto"/>
              </w:divBdr>
            </w:div>
            <w:div w:id="1191725922">
              <w:marLeft w:val="0"/>
              <w:marRight w:val="0"/>
              <w:marTop w:val="0"/>
              <w:marBottom w:val="0"/>
              <w:divBdr>
                <w:top w:val="none" w:sz="0" w:space="0" w:color="auto"/>
                <w:left w:val="none" w:sz="0" w:space="0" w:color="auto"/>
                <w:bottom w:val="none" w:sz="0" w:space="0" w:color="auto"/>
                <w:right w:val="none" w:sz="0" w:space="0" w:color="auto"/>
              </w:divBdr>
            </w:div>
            <w:div w:id="1493911208">
              <w:marLeft w:val="0"/>
              <w:marRight w:val="0"/>
              <w:marTop w:val="0"/>
              <w:marBottom w:val="0"/>
              <w:divBdr>
                <w:top w:val="none" w:sz="0" w:space="0" w:color="auto"/>
                <w:left w:val="none" w:sz="0" w:space="0" w:color="auto"/>
                <w:bottom w:val="none" w:sz="0" w:space="0" w:color="auto"/>
                <w:right w:val="none" w:sz="0" w:space="0" w:color="auto"/>
              </w:divBdr>
            </w:div>
            <w:div w:id="2068339851">
              <w:marLeft w:val="0"/>
              <w:marRight w:val="0"/>
              <w:marTop w:val="0"/>
              <w:marBottom w:val="0"/>
              <w:divBdr>
                <w:top w:val="none" w:sz="0" w:space="0" w:color="auto"/>
                <w:left w:val="none" w:sz="0" w:space="0" w:color="auto"/>
                <w:bottom w:val="none" w:sz="0" w:space="0" w:color="auto"/>
                <w:right w:val="none" w:sz="0" w:space="0" w:color="auto"/>
              </w:divBdr>
            </w:div>
          </w:divsChild>
        </w:div>
        <w:div w:id="1895433000">
          <w:marLeft w:val="0"/>
          <w:marRight w:val="0"/>
          <w:marTop w:val="0"/>
          <w:marBottom w:val="0"/>
          <w:divBdr>
            <w:top w:val="none" w:sz="0" w:space="0" w:color="auto"/>
            <w:left w:val="none" w:sz="0" w:space="0" w:color="auto"/>
            <w:bottom w:val="none" w:sz="0" w:space="0" w:color="auto"/>
            <w:right w:val="none" w:sz="0" w:space="0" w:color="auto"/>
          </w:divBdr>
          <w:divsChild>
            <w:div w:id="1528789667">
              <w:marLeft w:val="-75"/>
              <w:marRight w:val="0"/>
              <w:marTop w:val="30"/>
              <w:marBottom w:val="30"/>
              <w:divBdr>
                <w:top w:val="none" w:sz="0" w:space="0" w:color="auto"/>
                <w:left w:val="none" w:sz="0" w:space="0" w:color="auto"/>
                <w:bottom w:val="none" w:sz="0" w:space="0" w:color="auto"/>
                <w:right w:val="none" w:sz="0" w:space="0" w:color="auto"/>
              </w:divBdr>
              <w:divsChild>
                <w:div w:id="67774584">
                  <w:marLeft w:val="0"/>
                  <w:marRight w:val="0"/>
                  <w:marTop w:val="0"/>
                  <w:marBottom w:val="0"/>
                  <w:divBdr>
                    <w:top w:val="none" w:sz="0" w:space="0" w:color="auto"/>
                    <w:left w:val="none" w:sz="0" w:space="0" w:color="auto"/>
                    <w:bottom w:val="none" w:sz="0" w:space="0" w:color="auto"/>
                    <w:right w:val="none" w:sz="0" w:space="0" w:color="auto"/>
                  </w:divBdr>
                  <w:divsChild>
                    <w:div w:id="164324155">
                      <w:marLeft w:val="0"/>
                      <w:marRight w:val="0"/>
                      <w:marTop w:val="0"/>
                      <w:marBottom w:val="0"/>
                      <w:divBdr>
                        <w:top w:val="none" w:sz="0" w:space="0" w:color="auto"/>
                        <w:left w:val="none" w:sz="0" w:space="0" w:color="auto"/>
                        <w:bottom w:val="none" w:sz="0" w:space="0" w:color="auto"/>
                        <w:right w:val="none" w:sz="0" w:space="0" w:color="auto"/>
                      </w:divBdr>
                    </w:div>
                  </w:divsChild>
                </w:div>
                <w:div w:id="72515352">
                  <w:marLeft w:val="0"/>
                  <w:marRight w:val="0"/>
                  <w:marTop w:val="0"/>
                  <w:marBottom w:val="0"/>
                  <w:divBdr>
                    <w:top w:val="none" w:sz="0" w:space="0" w:color="auto"/>
                    <w:left w:val="none" w:sz="0" w:space="0" w:color="auto"/>
                    <w:bottom w:val="none" w:sz="0" w:space="0" w:color="auto"/>
                    <w:right w:val="none" w:sz="0" w:space="0" w:color="auto"/>
                  </w:divBdr>
                  <w:divsChild>
                    <w:div w:id="1570308880">
                      <w:marLeft w:val="0"/>
                      <w:marRight w:val="0"/>
                      <w:marTop w:val="0"/>
                      <w:marBottom w:val="0"/>
                      <w:divBdr>
                        <w:top w:val="none" w:sz="0" w:space="0" w:color="auto"/>
                        <w:left w:val="none" w:sz="0" w:space="0" w:color="auto"/>
                        <w:bottom w:val="none" w:sz="0" w:space="0" w:color="auto"/>
                        <w:right w:val="none" w:sz="0" w:space="0" w:color="auto"/>
                      </w:divBdr>
                    </w:div>
                  </w:divsChild>
                </w:div>
                <w:div w:id="74475806">
                  <w:marLeft w:val="0"/>
                  <w:marRight w:val="0"/>
                  <w:marTop w:val="0"/>
                  <w:marBottom w:val="0"/>
                  <w:divBdr>
                    <w:top w:val="none" w:sz="0" w:space="0" w:color="auto"/>
                    <w:left w:val="none" w:sz="0" w:space="0" w:color="auto"/>
                    <w:bottom w:val="none" w:sz="0" w:space="0" w:color="auto"/>
                    <w:right w:val="none" w:sz="0" w:space="0" w:color="auto"/>
                  </w:divBdr>
                  <w:divsChild>
                    <w:div w:id="1582178516">
                      <w:marLeft w:val="0"/>
                      <w:marRight w:val="0"/>
                      <w:marTop w:val="0"/>
                      <w:marBottom w:val="0"/>
                      <w:divBdr>
                        <w:top w:val="none" w:sz="0" w:space="0" w:color="auto"/>
                        <w:left w:val="none" w:sz="0" w:space="0" w:color="auto"/>
                        <w:bottom w:val="none" w:sz="0" w:space="0" w:color="auto"/>
                        <w:right w:val="none" w:sz="0" w:space="0" w:color="auto"/>
                      </w:divBdr>
                    </w:div>
                  </w:divsChild>
                </w:div>
                <w:div w:id="75712536">
                  <w:marLeft w:val="0"/>
                  <w:marRight w:val="0"/>
                  <w:marTop w:val="0"/>
                  <w:marBottom w:val="0"/>
                  <w:divBdr>
                    <w:top w:val="none" w:sz="0" w:space="0" w:color="auto"/>
                    <w:left w:val="none" w:sz="0" w:space="0" w:color="auto"/>
                    <w:bottom w:val="none" w:sz="0" w:space="0" w:color="auto"/>
                    <w:right w:val="none" w:sz="0" w:space="0" w:color="auto"/>
                  </w:divBdr>
                  <w:divsChild>
                    <w:div w:id="345447332">
                      <w:marLeft w:val="0"/>
                      <w:marRight w:val="0"/>
                      <w:marTop w:val="0"/>
                      <w:marBottom w:val="0"/>
                      <w:divBdr>
                        <w:top w:val="none" w:sz="0" w:space="0" w:color="auto"/>
                        <w:left w:val="none" w:sz="0" w:space="0" w:color="auto"/>
                        <w:bottom w:val="none" w:sz="0" w:space="0" w:color="auto"/>
                        <w:right w:val="none" w:sz="0" w:space="0" w:color="auto"/>
                      </w:divBdr>
                    </w:div>
                  </w:divsChild>
                </w:div>
                <w:div w:id="77600627">
                  <w:marLeft w:val="0"/>
                  <w:marRight w:val="0"/>
                  <w:marTop w:val="0"/>
                  <w:marBottom w:val="0"/>
                  <w:divBdr>
                    <w:top w:val="none" w:sz="0" w:space="0" w:color="auto"/>
                    <w:left w:val="none" w:sz="0" w:space="0" w:color="auto"/>
                    <w:bottom w:val="none" w:sz="0" w:space="0" w:color="auto"/>
                    <w:right w:val="none" w:sz="0" w:space="0" w:color="auto"/>
                  </w:divBdr>
                  <w:divsChild>
                    <w:div w:id="227762129">
                      <w:marLeft w:val="0"/>
                      <w:marRight w:val="0"/>
                      <w:marTop w:val="0"/>
                      <w:marBottom w:val="0"/>
                      <w:divBdr>
                        <w:top w:val="none" w:sz="0" w:space="0" w:color="auto"/>
                        <w:left w:val="none" w:sz="0" w:space="0" w:color="auto"/>
                        <w:bottom w:val="none" w:sz="0" w:space="0" w:color="auto"/>
                        <w:right w:val="none" w:sz="0" w:space="0" w:color="auto"/>
                      </w:divBdr>
                    </w:div>
                  </w:divsChild>
                </w:div>
                <w:div w:id="82338864">
                  <w:marLeft w:val="0"/>
                  <w:marRight w:val="0"/>
                  <w:marTop w:val="0"/>
                  <w:marBottom w:val="0"/>
                  <w:divBdr>
                    <w:top w:val="none" w:sz="0" w:space="0" w:color="auto"/>
                    <w:left w:val="none" w:sz="0" w:space="0" w:color="auto"/>
                    <w:bottom w:val="none" w:sz="0" w:space="0" w:color="auto"/>
                    <w:right w:val="none" w:sz="0" w:space="0" w:color="auto"/>
                  </w:divBdr>
                  <w:divsChild>
                    <w:div w:id="1661076053">
                      <w:marLeft w:val="0"/>
                      <w:marRight w:val="0"/>
                      <w:marTop w:val="0"/>
                      <w:marBottom w:val="0"/>
                      <w:divBdr>
                        <w:top w:val="none" w:sz="0" w:space="0" w:color="auto"/>
                        <w:left w:val="none" w:sz="0" w:space="0" w:color="auto"/>
                        <w:bottom w:val="none" w:sz="0" w:space="0" w:color="auto"/>
                        <w:right w:val="none" w:sz="0" w:space="0" w:color="auto"/>
                      </w:divBdr>
                    </w:div>
                  </w:divsChild>
                </w:div>
                <w:div w:id="114494707">
                  <w:marLeft w:val="0"/>
                  <w:marRight w:val="0"/>
                  <w:marTop w:val="0"/>
                  <w:marBottom w:val="0"/>
                  <w:divBdr>
                    <w:top w:val="none" w:sz="0" w:space="0" w:color="auto"/>
                    <w:left w:val="none" w:sz="0" w:space="0" w:color="auto"/>
                    <w:bottom w:val="none" w:sz="0" w:space="0" w:color="auto"/>
                    <w:right w:val="none" w:sz="0" w:space="0" w:color="auto"/>
                  </w:divBdr>
                  <w:divsChild>
                    <w:div w:id="1322583014">
                      <w:marLeft w:val="0"/>
                      <w:marRight w:val="0"/>
                      <w:marTop w:val="0"/>
                      <w:marBottom w:val="0"/>
                      <w:divBdr>
                        <w:top w:val="none" w:sz="0" w:space="0" w:color="auto"/>
                        <w:left w:val="none" w:sz="0" w:space="0" w:color="auto"/>
                        <w:bottom w:val="none" w:sz="0" w:space="0" w:color="auto"/>
                        <w:right w:val="none" w:sz="0" w:space="0" w:color="auto"/>
                      </w:divBdr>
                    </w:div>
                  </w:divsChild>
                </w:div>
                <w:div w:id="228855953">
                  <w:marLeft w:val="0"/>
                  <w:marRight w:val="0"/>
                  <w:marTop w:val="0"/>
                  <w:marBottom w:val="0"/>
                  <w:divBdr>
                    <w:top w:val="none" w:sz="0" w:space="0" w:color="auto"/>
                    <w:left w:val="none" w:sz="0" w:space="0" w:color="auto"/>
                    <w:bottom w:val="none" w:sz="0" w:space="0" w:color="auto"/>
                    <w:right w:val="none" w:sz="0" w:space="0" w:color="auto"/>
                  </w:divBdr>
                  <w:divsChild>
                    <w:div w:id="940524742">
                      <w:marLeft w:val="0"/>
                      <w:marRight w:val="0"/>
                      <w:marTop w:val="0"/>
                      <w:marBottom w:val="0"/>
                      <w:divBdr>
                        <w:top w:val="none" w:sz="0" w:space="0" w:color="auto"/>
                        <w:left w:val="none" w:sz="0" w:space="0" w:color="auto"/>
                        <w:bottom w:val="none" w:sz="0" w:space="0" w:color="auto"/>
                        <w:right w:val="none" w:sz="0" w:space="0" w:color="auto"/>
                      </w:divBdr>
                    </w:div>
                  </w:divsChild>
                </w:div>
                <w:div w:id="242253791">
                  <w:marLeft w:val="0"/>
                  <w:marRight w:val="0"/>
                  <w:marTop w:val="0"/>
                  <w:marBottom w:val="0"/>
                  <w:divBdr>
                    <w:top w:val="none" w:sz="0" w:space="0" w:color="auto"/>
                    <w:left w:val="none" w:sz="0" w:space="0" w:color="auto"/>
                    <w:bottom w:val="none" w:sz="0" w:space="0" w:color="auto"/>
                    <w:right w:val="none" w:sz="0" w:space="0" w:color="auto"/>
                  </w:divBdr>
                  <w:divsChild>
                    <w:div w:id="1683124846">
                      <w:marLeft w:val="0"/>
                      <w:marRight w:val="0"/>
                      <w:marTop w:val="0"/>
                      <w:marBottom w:val="0"/>
                      <w:divBdr>
                        <w:top w:val="none" w:sz="0" w:space="0" w:color="auto"/>
                        <w:left w:val="none" w:sz="0" w:space="0" w:color="auto"/>
                        <w:bottom w:val="none" w:sz="0" w:space="0" w:color="auto"/>
                        <w:right w:val="none" w:sz="0" w:space="0" w:color="auto"/>
                      </w:divBdr>
                    </w:div>
                  </w:divsChild>
                </w:div>
                <w:div w:id="246305670">
                  <w:marLeft w:val="0"/>
                  <w:marRight w:val="0"/>
                  <w:marTop w:val="0"/>
                  <w:marBottom w:val="0"/>
                  <w:divBdr>
                    <w:top w:val="none" w:sz="0" w:space="0" w:color="auto"/>
                    <w:left w:val="none" w:sz="0" w:space="0" w:color="auto"/>
                    <w:bottom w:val="none" w:sz="0" w:space="0" w:color="auto"/>
                    <w:right w:val="none" w:sz="0" w:space="0" w:color="auto"/>
                  </w:divBdr>
                  <w:divsChild>
                    <w:div w:id="617681581">
                      <w:marLeft w:val="0"/>
                      <w:marRight w:val="0"/>
                      <w:marTop w:val="0"/>
                      <w:marBottom w:val="0"/>
                      <w:divBdr>
                        <w:top w:val="none" w:sz="0" w:space="0" w:color="auto"/>
                        <w:left w:val="none" w:sz="0" w:space="0" w:color="auto"/>
                        <w:bottom w:val="none" w:sz="0" w:space="0" w:color="auto"/>
                        <w:right w:val="none" w:sz="0" w:space="0" w:color="auto"/>
                      </w:divBdr>
                    </w:div>
                  </w:divsChild>
                </w:div>
                <w:div w:id="253981065">
                  <w:marLeft w:val="0"/>
                  <w:marRight w:val="0"/>
                  <w:marTop w:val="0"/>
                  <w:marBottom w:val="0"/>
                  <w:divBdr>
                    <w:top w:val="none" w:sz="0" w:space="0" w:color="auto"/>
                    <w:left w:val="none" w:sz="0" w:space="0" w:color="auto"/>
                    <w:bottom w:val="none" w:sz="0" w:space="0" w:color="auto"/>
                    <w:right w:val="none" w:sz="0" w:space="0" w:color="auto"/>
                  </w:divBdr>
                  <w:divsChild>
                    <w:div w:id="1465729439">
                      <w:marLeft w:val="0"/>
                      <w:marRight w:val="0"/>
                      <w:marTop w:val="0"/>
                      <w:marBottom w:val="0"/>
                      <w:divBdr>
                        <w:top w:val="none" w:sz="0" w:space="0" w:color="auto"/>
                        <w:left w:val="none" w:sz="0" w:space="0" w:color="auto"/>
                        <w:bottom w:val="none" w:sz="0" w:space="0" w:color="auto"/>
                        <w:right w:val="none" w:sz="0" w:space="0" w:color="auto"/>
                      </w:divBdr>
                    </w:div>
                  </w:divsChild>
                </w:div>
                <w:div w:id="275791513">
                  <w:marLeft w:val="0"/>
                  <w:marRight w:val="0"/>
                  <w:marTop w:val="0"/>
                  <w:marBottom w:val="0"/>
                  <w:divBdr>
                    <w:top w:val="none" w:sz="0" w:space="0" w:color="auto"/>
                    <w:left w:val="none" w:sz="0" w:space="0" w:color="auto"/>
                    <w:bottom w:val="none" w:sz="0" w:space="0" w:color="auto"/>
                    <w:right w:val="none" w:sz="0" w:space="0" w:color="auto"/>
                  </w:divBdr>
                  <w:divsChild>
                    <w:div w:id="1031150494">
                      <w:marLeft w:val="0"/>
                      <w:marRight w:val="0"/>
                      <w:marTop w:val="0"/>
                      <w:marBottom w:val="0"/>
                      <w:divBdr>
                        <w:top w:val="none" w:sz="0" w:space="0" w:color="auto"/>
                        <w:left w:val="none" w:sz="0" w:space="0" w:color="auto"/>
                        <w:bottom w:val="none" w:sz="0" w:space="0" w:color="auto"/>
                        <w:right w:val="none" w:sz="0" w:space="0" w:color="auto"/>
                      </w:divBdr>
                    </w:div>
                  </w:divsChild>
                </w:div>
                <w:div w:id="281231348">
                  <w:marLeft w:val="0"/>
                  <w:marRight w:val="0"/>
                  <w:marTop w:val="0"/>
                  <w:marBottom w:val="0"/>
                  <w:divBdr>
                    <w:top w:val="none" w:sz="0" w:space="0" w:color="auto"/>
                    <w:left w:val="none" w:sz="0" w:space="0" w:color="auto"/>
                    <w:bottom w:val="none" w:sz="0" w:space="0" w:color="auto"/>
                    <w:right w:val="none" w:sz="0" w:space="0" w:color="auto"/>
                  </w:divBdr>
                  <w:divsChild>
                    <w:div w:id="1176384242">
                      <w:marLeft w:val="0"/>
                      <w:marRight w:val="0"/>
                      <w:marTop w:val="0"/>
                      <w:marBottom w:val="0"/>
                      <w:divBdr>
                        <w:top w:val="none" w:sz="0" w:space="0" w:color="auto"/>
                        <w:left w:val="none" w:sz="0" w:space="0" w:color="auto"/>
                        <w:bottom w:val="none" w:sz="0" w:space="0" w:color="auto"/>
                        <w:right w:val="none" w:sz="0" w:space="0" w:color="auto"/>
                      </w:divBdr>
                    </w:div>
                  </w:divsChild>
                </w:div>
                <w:div w:id="281691136">
                  <w:marLeft w:val="0"/>
                  <w:marRight w:val="0"/>
                  <w:marTop w:val="0"/>
                  <w:marBottom w:val="0"/>
                  <w:divBdr>
                    <w:top w:val="none" w:sz="0" w:space="0" w:color="auto"/>
                    <w:left w:val="none" w:sz="0" w:space="0" w:color="auto"/>
                    <w:bottom w:val="none" w:sz="0" w:space="0" w:color="auto"/>
                    <w:right w:val="none" w:sz="0" w:space="0" w:color="auto"/>
                  </w:divBdr>
                  <w:divsChild>
                    <w:div w:id="1024942544">
                      <w:marLeft w:val="0"/>
                      <w:marRight w:val="0"/>
                      <w:marTop w:val="0"/>
                      <w:marBottom w:val="0"/>
                      <w:divBdr>
                        <w:top w:val="none" w:sz="0" w:space="0" w:color="auto"/>
                        <w:left w:val="none" w:sz="0" w:space="0" w:color="auto"/>
                        <w:bottom w:val="none" w:sz="0" w:space="0" w:color="auto"/>
                        <w:right w:val="none" w:sz="0" w:space="0" w:color="auto"/>
                      </w:divBdr>
                    </w:div>
                  </w:divsChild>
                </w:div>
                <w:div w:id="287055919">
                  <w:marLeft w:val="0"/>
                  <w:marRight w:val="0"/>
                  <w:marTop w:val="0"/>
                  <w:marBottom w:val="0"/>
                  <w:divBdr>
                    <w:top w:val="none" w:sz="0" w:space="0" w:color="auto"/>
                    <w:left w:val="none" w:sz="0" w:space="0" w:color="auto"/>
                    <w:bottom w:val="none" w:sz="0" w:space="0" w:color="auto"/>
                    <w:right w:val="none" w:sz="0" w:space="0" w:color="auto"/>
                  </w:divBdr>
                  <w:divsChild>
                    <w:div w:id="1754933605">
                      <w:marLeft w:val="0"/>
                      <w:marRight w:val="0"/>
                      <w:marTop w:val="0"/>
                      <w:marBottom w:val="0"/>
                      <w:divBdr>
                        <w:top w:val="none" w:sz="0" w:space="0" w:color="auto"/>
                        <w:left w:val="none" w:sz="0" w:space="0" w:color="auto"/>
                        <w:bottom w:val="none" w:sz="0" w:space="0" w:color="auto"/>
                        <w:right w:val="none" w:sz="0" w:space="0" w:color="auto"/>
                      </w:divBdr>
                    </w:div>
                  </w:divsChild>
                </w:div>
                <w:div w:id="297228232">
                  <w:marLeft w:val="0"/>
                  <w:marRight w:val="0"/>
                  <w:marTop w:val="0"/>
                  <w:marBottom w:val="0"/>
                  <w:divBdr>
                    <w:top w:val="none" w:sz="0" w:space="0" w:color="auto"/>
                    <w:left w:val="none" w:sz="0" w:space="0" w:color="auto"/>
                    <w:bottom w:val="none" w:sz="0" w:space="0" w:color="auto"/>
                    <w:right w:val="none" w:sz="0" w:space="0" w:color="auto"/>
                  </w:divBdr>
                  <w:divsChild>
                    <w:div w:id="1767312599">
                      <w:marLeft w:val="0"/>
                      <w:marRight w:val="0"/>
                      <w:marTop w:val="0"/>
                      <w:marBottom w:val="0"/>
                      <w:divBdr>
                        <w:top w:val="none" w:sz="0" w:space="0" w:color="auto"/>
                        <w:left w:val="none" w:sz="0" w:space="0" w:color="auto"/>
                        <w:bottom w:val="none" w:sz="0" w:space="0" w:color="auto"/>
                        <w:right w:val="none" w:sz="0" w:space="0" w:color="auto"/>
                      </w:divBdr>
                    </w:div>
                  </w:divsChild>
                </w:div>
                <w:div w:id="301859144">
                  <w:marLeft w:val="0"/>
                  <w:marRight w:val="0"/>
                  <w:marTop w:val="0"/>
                  <w:marBottom w:val="0"/>
                  <w:divBdr>
                    <w:top w:val="none" w:sz="0" w:space="0" w:color="auto"/>
                    <w:left w:val="none" w:sz="0" w:space="0" w:color="auto"/>
                    <w:bottom w:val="none" w:sz="0" w:space="0" w:color="auto"/>
                    <w:right w:val="none" w:sz="0" w:space="0" w:color="auto"/>
                  </w:divBdr>
                  <w:divsChild>
                    <w:div w:id="1318340213">
                      <w:marLeft w:val="0"/>
                      <w:marRight w:val="0"/>
                      <w:marTop w:val="0"/>
                      <w:marBottom w:val="0"/>
                      <w:divBdr>
                        <w:top w:val="none" w:sz="0" w:space="0" w:color="auto"/>
                        <w:left w:val="none" w:sz="0" w:space="0" w:color="auto"/>
                        <w:bottom w:val="none" w:sz="0" w:space="0" w:color="auto"/>
                        <w:right w:val="none" w:sz="0" w:space="0" w:color="auto"/>
                      </w:divBdr>
                    </w:div>
                  </w:divsChild>
                </w:div>
                <w:div w:id="313998113">
                  <w:marLeft w:val="0"/>
                  <w:marRight w:val="0"/>
                  <w:marTop w:val="0"/>
                  <w:marBottom w:val="0"/>
                  <w:divBdr>
                    <w:top w:val="none" w:sz="0" w:space="0" w:color="auto"/>
                    <w:left w:val="none" w:sz="0" w:space="0" w:color="auto"/>
                    <w:bottom w:val="none" w:sz="0" w:space="0" w:color="auto"/>
                    <w:right w:val="none" w:sz="0" w:space="0" w:color="auto"/>
                  </w:divBdr>
                  <w:divsChild>
                    <w:div w:id="514807641">
                      <w:marLeft w:val="0"/>
                      <w:marRight w:val="0"/>
                      <w:marTop w:val="0"/>
                      <w:marBottom w:val="0"/>
                      <w:divBdr>
                        <w:top w:val="none" w:sz="0" w:space="0" w:color="auto"/>
                        <w:left w:val="none" w:sz="0" w:space="0" w:color="auto"/>
                        <w:bottom w:val="none" w:sz="0" w:space="0" w:color="auto"/>
                        <w:right w:val="none" w:sz="0" w:space="0" w:color="auto"/>
                      </w:divBdr>
                    </w:div>
                  </w:divsChild>
                </w:div>
                <w:div w:id="330378889">
                  <w:marLeft w:val="0"/>
                  <w:marRight w:val="0"/>
                  <w:marTop w:val="0"/>
                  <w:marBottom w:val="0"/>
                  <w:divBdr>
                    <w:top w:val="none" w:sz="0" w:space="0" w:color="auto"/>
                    <w:left w:val="none" w:sz="0" w:space="0" w:color="auto"/>
                    <w:bottom w:val="none" w:sz="0" w:space="0" w:color="auto"/>
                    <w:right w:val="none" w:sz="0" w:space="0" w:color="auto"/>
                  </w:divBdr>
                  <w:divsChild>
                    <w:div w:id="672414935">
                      <w:marLeft w:val="0"/>
                      <w:marRight w:val="0"/>
                      <w:marTop w:val="0"/>
                      <w:marBottom w:val="0"/>
                      <w:divBdr>
                        <w:top w:val="none" w:sz="0" w:space="0" w:color="auto"/>
                        <w:left w:val="none" w:sz="0" w:space="0" w:color="auto"/>
                        <w:bottom w:val="none" w:sz="0" w:space="0" w:color="auto"/>
                        <w:right w:val="none" w:sz="0" w:space="0" w:color="auto"/>
                      </w:divBdr>
                    </w:div>
                  </w:divsChild>
                </w:div>
                <w:div w:id="381562921">
                  <w:marLeft w:val="0"/>
                  <w:marRight w:val="0"/>
                  <w:marTop w:val="0"/>
                  <w:marBottom w:val="0"/>
                  <w:divBdr>
                    <w:top w:val="none" w:sz="0" w:space="0" w:color="auto"/>
                    <w:left w:val="none" w:sz="0" w:space="0" w:color="auto"/>
                    <w:bottom w:val="none" w:sz="0" w:space="0" w:color="auto"/>
                    <w:right w:val="none" w:sz="0" w:space="0" w:color="auto"/>
                  </w:divBdr>
                  <w:divsChild>
                    <w:div w:id="945312748">
                      <w:marLeft w:val="0"/>
                      <w:marRight w:val="0"/>
                      <w:marTop w:val="0"/>
                      <w:marBottom w:val="0"/>
                      <w:divBdr>
                        <w:top w:val="none" w:sz="0" w:space="0" w:color="auto"/>
                        <w:left w:val="none" w:sz="0" w:space="0" w:color="auto"/>
                        <w:bottom w:val="none" w:sz="0" w:space="0" w:color="auto"/>
                        <w:right w:val="none" w:sz="0" w:space="0" w:color="auto"/>
                      </w:divBdr>
                    </w:div>
                  </w:divsChild>
                </w:div>
                <w:div w:id="390080570">
                  <w:marLeft w:val="0"/>
                  <w:marRight w:val="0"/>
                  <w:marTop w:val="0"/>
                  <w:marBottom w:val="0"/>
                  <w:divBdr>
                    <w:top w:val="none" w:sz="0" w:space="0" w:color="auto"/>
                    <w:left w:val="none" w:sz="0" w:space="0" w:color="auto"/>
                    <w:bottom w:val="none" w:sz="0" w:space="0" w:color="auto"/>
                    <w:right w:val="none" w:sz="0" w:space="0" w:color="auto"/>
                  </w:divBdr>
                  <w:divsChild>
                    <w:div w:id="1254973457">
                      <w:marLeft w:val="0"/>
                      <w:marRight w:val="0"/>
                      <w:marTop w:val="0"/>
                      <w:marBottom w:val="0"/>
                      <w:divBdr>
                        <w:top w:val="none" w:sz="0" w:space="0" w:color="auto"/>
                        <w:left w:val="none" w:sz="0" w:space="0" w:color="auto"/>
                        <w:bottom w:val="none" w:sz="0" w:space="0" w:color="auto"/>
                        <w:right w:val="none" w:sz="0" w:space="0" w:color="auto"/>
                      </w:divBdr>
                    </w:div>
                  </w:divsChild>
                </w:div>
                <w:div w:id="401023792">
                  <w:marLeft w:val="0"/>
                  <w:marRight w:val="0"/>
                  <w:marTop w:val="0"/>
                  <w:marBottom w:val="0"/>
                  <w:divBdr>
                    <w:top w:val="none" w:sz="0" w:space="0" w:color="auto"/>
                    <w:left w:val="none" w:sz="0" w:space="0" w:color="auto"/>
                    <w:bottom w:val="none" w:sz="0" w:space="0" w:color="auto"/>
                    <w:right w:val="none" w:sz="0" w:space="0" w:color="auto"/>
                  </w:divBdr>
                  <w:divsChild>
                    <w:div w:id="432167319">
                      <w:marLeft w:val="0"/>
                      <w:marRight w:val="0"/>
                      <w:marTop w:val="0"/>
                      <w:marBottom w:val="0"/>
                      <w:divBdr>
                        <w:top w:val="none" w:sz="0" w:space="0" w:color="auto"/>
                        <w:left w:val="none" w:sz="0" w:space="0" w:color="auto"/>
                        <w:bottom w:val="none" w:sz="0" w:space="0" w:color="auto"/>
                        <w:right w:val="none" w:sz="0" w:space="0" w:color="auto"/>
                      </w:divBdr>
                    </w:div>
                  </w:divsChild>
                </w:div>
                <w:div w:id="429857545">
                  <w:marLeft w:val="0"/>
                  <w:marRight w:val="0"/>
                  <w:marTop w:val="0"/>
                  <w:marBottom w:val="0"/>
                  <w:divBdr>
                    <w:top w:val="none" w:sz="0" w:space="0" w:color="auto"/>
                    <w:left w:val="none" w:sz="0" w:space="0" w:color="auto"/>
                    <w:bottom w:val="none" w:sz="0" w:space="0" w:color="auto"/>
                    <w:right w:val="none" w:sz="0" w:space="0" w:color="auto"/>
                  </w:divBdr>
                  <w:divsChild>
                    <w:div w:id="1714111300">
                      <w:marLeft w:val="0"/>
                      <w:marRight w:val="0"/>
                      <w:marTop w:val="0"/>
                      <w:marBottom w:val="0"/>
                      <w:divBdr>
                        <w:top w:val="none" w:sz="0" w:space="0" w:color="auto"/>
                        <w:left w:val="none" w:sz="0" w:space="0" w:color="auto"/>
                        <w:bottom w:val="none" w:sz="0" w:space="0" w:color="auto"/>
                        <w:right w:val="none" w:sz="0" w:space="0" w:color="auto"/>
                      </w:divBdr>
                    </w:div>
                  </w:divsChild>
                </w:div>
                <w:div w:id="435755824">
                  <w:marLeft w:val="0"/>
                  <w:marRight w:val="0"/>
                  <w:marTop w:val="0"/>
                  <w:marBottom w:val="0"/>
                  <w:divBdr>
                    <w:top w:val="none" w:sz="0" w:space="0" w:color="auto"/>
                    <w:left w:val="none" w:sz="0" w:space="0" w:color="auto"/>
                    <w:bottom w:val="none" w:sz="0" w:space="0" w:color="auto"/>
                    <w:right w:val="none" w:sz="0" w:space="0" w:color="auto"/>
                  </w:divBdr>
                  <w:divsChild>
                    <w:div w:id="496577089">
                      <w:marLeft w:val="0"/>
                      <w:marRight w:val="0"/>
                      <w:marTop w:val="0"/>
                      <w:marBottom w:val="0"/>
                      <w:divBdr>
                        <w:top w:val="none" w:sz="0" w:space="0" w:color="auto"/>
                        <w:left w:val="none" w:sz="0" w:space="0" w:color="auto"/>
                        <w:bottom w:val="none" w:sz="0" w:space="0" w:color="auto"/>
                        <w:right w:val="none" w:sz="0" w:space="0" w:color="auto"/>
                      </w:divBdr>
                    </w:div>
                  </w:divsChild>
                </w:div>
                <w:div w:id="436368758">
                  <w:marLeft w:val="0"/>
                  <w:marRight w:val="0"/>
                  <w:marTop w:val="0"/>
                  <w:marBottom w:val="0"/>
                  <w:divBdr>
                    <w:top w:val="none" w:sz="0" w:space="0" w:color="auto"/>
                    <w:left w:val="none" w:sz="0" w:space="0" w:color="auto"/>
                    <w:bottom w:val="none" w:sz="0" w:space="0" w:color="auto"/>
                    <w:right w:val="none" w:sz="0" w:space="0" w:color="auto"/>
                  </w:divBdr>
                  <w:divsChild>
                    <w:div w:id="507326424">
                      <w:marLeft w:val="0"/>
                      <w:marRight w:val="0"/>
                      <w:marTop w:val="0"/>
                      <w:marBottom w:val="0"/>
                      <w:divBdr>
                        <w:top w:val="none" w:sz="0" w:space="0" w:color="auto"/>
                        <w:left w:val="none" w:sz="0" w:space="0" w:color="auto"/>
                        <w:bottom w:val="none" w:sz="0" w:space="0" w:color="auto"/>
                        <w:right w:val="none" w:sz="0" w:space="0" w:color="auto"/>
                      </w:divBdr>
                    </w:div>
                  </w:divsChild>
                </w:div>
                <w:div w:id="437678818">
                  <w:marLeft w:val="0"/>
                  <w:marRight w:val="0"/>
                  <w:marTop w:val="0"/>
                  <w:marBottom w:val="0"/>
                  <w:divBdr>
                    <w:top w:val="none" w:sz="0" w:space="0" w:color="auto"/>
                    <w:left w:val="none" w:sz="0" w:space="0" w:color="auto"/>
                    <w:bottom w:val="none" w:sz="0" w:space="0" w:color="auto"/>
                    <w:right w:val="none" w:sz="0" w:space="0" w:color="auto"/>
                  </w:divBdr>
                  <w:divsChild>
                    <w:div w:id="1364554130">
                      <w:marLeft w:val="0"/>
                      <w:marRight w:val="0"/>
                      <w:marTop w:val="0"/>
                      <w:marBottom w:val="0"/>
                      <w:divBdr>
                        <w:top w:val="none" w:sz="0" w:space="0" w:color="auto"/>
                        <w:left w:val="none" w:sz="0" w:space="0" w:color="auto"/>
                        <w:bottom w:val="none" w:sz="0" w:space="0" w:color="auto"/>
                        <w:right w:val="none" w:sz="0" w:space="0" w:color="auto"/>
                      </w:divBdr>
                    </w:div>
                  </w:divsChild>
                </w:div>
                <w:div w:id="449396282">
                  <w:marLeft w:val="0"/>
                  <w:marRight w:val="0"/>
                  <w:marTop w:val="0"/>
                  <w:marBottom w:val="0"/>
                  <w:divBdr>
                    <w:top w:val="none" w:sz="0" w:space="0" w:color="auto"/>
                    <w:left w:val="none" w:sz="0" w:space="0" w:color="auto"/>
                    <w:bottom w:val="none" w:sz="0" w:space="0" w:color="auto"/>
                    <w:right w:val="none" w:sz="0" w:space="0" w:color="auto"/>
                  </w:divBdr>
                  <w:divsChild>
                    <w:div w:id="1222330434">
                      <w:marLeft w:val="0"/>
                      <w:marRight w:val="0"/>
                      <w:marTop w:val="0"/>
                      <w:marBottom w:val="0"/>
                      <w:divBdr>
                        <w:top w:val="none" w:sz="0" w:space="0" w:color="auto"/>
                        <w:left w:val="none" w:sz="0" w:space="0" w:color="auto"/>
                        <w:bottom w:val="none" w:sz="0" w:space="0" w:color="auto"/>
                        <w:right w:val="none" w:sz="0" w:space="0" w:color="auto"/>
                      </w:divBdr>
                    </w:div>
                  </w:divsChild>
                </w:div>
                <w:div w:id="461311916">
                  <w:marLeft w:val="0"/>
                  <w:marRight w:val="0"/>
                  <w:marTop w:val="0"/>
                  <w:marBottom w:val="0"/>
                  <w:divBdr>
                    <w:top w:val="none" w:sz="0" w:space="0" w:color="auto"/>
                    <w:left w:val="none" w:sz="0" w:space="0" w:color="auto"/>
                    <w:bottom w:val="none" w:sz="0" w:space="0" w:color="auto"/>
                    <w:right w:val="none" w:sz="0" w:space="0" w:color="auto"/>
                  </w:divBdr>
                  <w:divsChild>
                    <w:div w:id="1500190605">
                      <w:marLeft w:val="0"/>
                      <w:marRight w:val="0"/>
                      <w:marTop w:val="0"/>
                      <w:marBottom w:val="0"/>
                      <w:divBdr>
                        <w:top w:val="none" w:sz="0" w:space="0" w:color="auto"/>
                        <w:left w:val="none" w:sz="0" w:space="0" w:color="auto"/>
                        <w:bottom w:val="none" w:sz="0" w:space="0" w:color="auto"/>
                        <w:right w:val="none" w:sz="0" w:space="0" w:color="auto"/>
                      </w:divBdr>
                    </w:div>
                  </w:divsChild>
                </w:div>
                <w:div w:id="463039654">
                  <w:marLeft w:val="0"/>
                  <w:marRight w:val="0"/>
                  <w:marTop w:val="0"/>
                  <w:marBottom w:val="0"/>
                  <w:divBdr>
                    <w:top w:val="none" w:sz="0" w:space="0" w:color="auto"/>
                    <w:left w:val="none" w:sz="0" w:space="0" w:color="auto"/>
                    <w:bottom w:val="none" w:sz="0" w:space="0" w:color="auto"/>
                    <w:right w:val="none" w:sz="0" w:space="0" w:color="auto"/>
                  </w:divBdr>
                  <w:divsChild>
                    <w:div w:id="1642536589">
                      <w:marLeft w:val="0"/>
                      <w:marRight w:val="0"/>
                      <w:marTop w:val="0"/>
                      <w:marBottom w:val="0"/>
                      <w:divBdr>
                        <w:top w:val="none" w:sz="0" w:space="0" w:color="auto"/>
                        <w:left w:val="none" w:sz="0" w:space="0" w:color="auto"/>
                        <w:bottom w:val="none" w:sz="0" w:space="0" w:color="auto"/>
                        <w:right w:val="none" w:sz="0" w:space="0" w:color="auto"/>
                      </w:divBdr>
                    </w:div>
                  </w:divsChild>
                </w:div>
                <w:div w:id="470054705">
                  <w:marLeft w:val="0"/>
                  <w:marRight w:val="0"/>
                  <w:marTop w:val="0"/>
                  <w:marBottom w:val="0"/>
                  <w:divBdr>
                    <w:top w:val="none" w:sz="0" w:space="0" w:color="auto"/>
                    <w:left w:val="none" w:sz="0" w:space="0" w:color="auto"/>
                    <w:bottom w:val="none" w:sz="0" w:space="0" w:color="auto"/>
                    <w:right w:val="none" w:sz="0" w:space="0" w:color="auto"/>
                  </w:divBdr>
                  <w:divsChild>
                    <w:div w:id="885457677">
                      <w:marLeft w:val="0"/>
                      <w:marRight w:val="0"/>
                      <w:marTop w:val="0"/>
                      <w:marBottom w:val="0"/>
                      <w:divBdr>
                        <w:top w:val="none" w:sz="0" w:space="0" w:color="auto"/>
                        <w:left w:val="none" w:sz="0" w:space="0" w:color="auto"/>
                        <w:bottom w:val="none" w:sz="0" w:space="0" w:color="auto"/>
                        <w:right w:val="none" w:sz="0" w:space="0" w:color="auto"/>
                      </w:divBdr>
                    </w:div>
                  </w:divsChild>
                </w:div>
                <w:div w:id="471606093">
                  <w:marLeft w:val="0"/>
                  <w:marRight w:val="0"/>
                  <w:marTop w:val="0"/>
                  <w:marBottom w:val="0"/>
                  <w:divBdr>
                    <w:top w:val="none" w:sz="0" w:space="0" w:color="auto"/>
                    <w:left w:val="none" w:sz="0" w:space="0" w:color="auto"/>
                    <w:bottom w:val="none" w:sz="0" w:space="0" w:color="auto"/>
                    <w:right w:val="none" w:sz="0" w:space="0" w:color="auto"/>
                  </w:divBdr>
                  <w:divsChild>
                    <w:div w:id="1865633088">
                      <w:marLeft w:val="0"/>
                      <w:marRight w:val="0"/>
                      <w:marTop w:val="0"/>
                      <w:marBottom w:val="0"/>
                      <w:divBdr>
                        <w:top w:val="none" w:sz="0" w:space="0" w:color="auto"/>
                        <w:left w:val="none" w:sz="0" w:space="0" w:color="auto"/>
                        <w:bottom w:val="none" w:sz="0" w:space="0" w:color="auto"/>
                        <w:right w:val="none" w:sz="0" w:space="0" w:color="auto"/>
                      </w:divBdr>
                    </w:div>
                  </w:divsChild>
                </w:div>
                <w:div w:id="496894043">
                  <w:marLeft w:val="0"/>
                  <w:marRight w:val="0"/>
                  <w:marTop w:val="0"/>
                  <w:marBottom w:val="0"/>
                  <w:divBdr>
                    <w:top w:val="none" w:sz="0" w:space="0" w:color="auto"/>
                    <w:left w:val="none" w:sz="0" w:space="0" w:color="auto"/>
                    <w:bottom w:val="none" w:sz="0" w:space="0" w:color="auto"/>
                    <w:right w:val="none" w:sz="0" w:space="0" w:color="auto"/>
                  </w:divBdr>
                  <w:divsChild>
                    <w:div w:id="1966814389">
                      <w:marLeft w:val="0"/>
                      <w:marRight w:val="0"/>
                      <w:marTop w:val="0"/>
                      <w:marBottom w:val="0"/>
                      <w:divBdr>
                        <w:top w:val="none" w:sz="0" w:space="0" w:color="auto"/>
                        <w:left w:val="none" w:sz="0" w:space="0" w:color="auto"/>
                        <w:bottom w:val="none" w:sz="0" w:space="0" w:color="auto"/>
                        <w:right w:val="none" w:sz="0" w:space="0" w:color="auto"/>
                      </w:divBdr>
                    </w:div>
                  </w:divsChild>
                </w:div>
                <w:div w:id="511918353">
                  <w:marLeft w:val="0"/>
                  <w:marRight w:val="0"/>
                  <w:marTop w:val="0"/>
                  <w:marBottom w:val="0"/>
                  <w:divBdr>
                    <w:top w:val="none" w:sz="0" w:space="0" w:color="auto"/>
                    <w:left w:val="none" w:sz="0" w:space="0" w:color="auto"/>
                    <w:bottom w:val="none" w:sz="0" w:space="0" w:color="auto"/>
                    <w:right w:val="none" w:sz="0" w:space="0" w:color="auto"/>
                  </w:divBdr>
                  <w:divsChild>
                    <w:div w:id="1787577983">
                      <w:marLeft w:val="0"/>
                      <w:marRight w:val="0"/>
                      <w:marTop w:val="0"/>
                      <w:marBottom w:val="0"/>
                      <w:divBdr>
                        <w:top w:val="none" w:sz="0" w:space="0" w:color="auto"/>
                        <w:left w:val="none" w:sz="0" w:space="0" w:color="auto"/>
                        <w:bottom w:val="none" w:sz="0" w:space="0" w:color="auto"/>
                        <w:right w:val="none" w:sz="0" w:space="0" w:color="auto"/>
                      </w:divBdr>
                    </w:div>
                  </w:divsChild>
                </w:div>
                <w:div w:id="516232080">
                  <w:marLeft w:val="0"/>
                  <w:marRight w:val="0"/>
                  <w:marTop w:val="0"/>
                  <w:marBottom w:val="0"/>
                  <w:divBdr>
                    <w:top w:val="none" w:sz="0" w:space="0" w:color="auto"/>
                    <w:left w:val="none" w:sz="0" w:space="0" w:color="auto"/>
                    <w:bottom w:val="none" w:sz="0" w:space="0" w:color="auto"/>
                    <w:right w:val="none" w:sz="0" w:space="0" w:color="auto"/>
                  </w:divBdr>
                  <w:divsChild>
                    <w:div w:id="970593008">
                      <w:marLeft w:val="0"/>
                      <w:marRight w:val="0"/>
                      <w:marTop w:val="0"/>
                      <w:marBottom w:val="0"/>
                      <w:divBdr>
                        <w:top w:val="none" w:sz="0" w:space="0" w:color="auto"/>
                        <w:left w:val="none" w:sz="0" w:space="0" w:color="auto"/>
                        <w:bottom w:val="none" w:sz="0" w:space="0" w:color="auto"/>
                        <w:right w:val="none" w:sz="0" w:space="0" w:color="auto"/>
                      </w:divBdr>
                    </w:div>
                  </w:divsChild>
                </w:div>
                <w:div w:id="526333414">
                  <w:marLeft w:val="0"/>
                  <w:marRight w:val="0"/>
                  <w:marTop w:val="0"/>
                  <w:marBottom w:val="0"/>
                  <w:divBdr>
                    <w:top w:val="none" w:sz="0" w:space="0" w:color="auto"/>
                    <w:left w:val="none" w:sz="0" w:space="0" w:color="auto"/>
                    <w:bottom w:val="none" w:sz="0" w:space="0" w:color="auto"/>
                    <w:right w:val="none" w:sz="0" w:space="0" w:color="auto"/>
                  </w:divBdr>
                  <w:divsChild>
                    <w:div w:id="1161701299">
                      <w:marLeft w:val="0"/>
                      <w:marRight w:val="0"/>
                      <w:marTop w:val="0"/>
                      <w:marBottom w:val="0"/>
                      <w:divBdr>
                        <w:top w:val="none" w:sz="0" w:space="0" w:color="auto"/>
                        <w:left w:val="none" w:sz="0" w:space="0" w:color="auto"/>
                        <w:bottom w:val="none" w:sz="0" w:space="0" w:color="auto"/>
                        <w:right w:val="none" w:sz="0" w:space="0" w:color="auto"/>
                      </w:divBdr>
                    </w:div>
                  </w:divsChild>
                </w:div>
                <w:div w:id="541016618">
                  <w:marLeft w:val="0"/>
                  <w:marRight w:val="0"/>
                  <w:marTop w:val="0"/>
                  <w:marBottom w:val="0"/>
                  <w:divBdr>
                    <w:top w:val="none" w:sz="0" w:space="0" w:color="auto"/>
                    <w:left w:val="none" w:sz="0" w:space="0" w:color="auto"/>
                    <w:bottom w:val="none" w:sz="0" w:space="0" w:color="auto"/>
                    <w:right w:val="none" w:sz="0" w:space="0" w:color="auto"/>
                  </w:divBdr>
                  <w:divsChild>
                    <w:div w:id="1572499238">
                      <w:marLeft w:val="0"/>
                      <w:marRight w:val="0"/>
                      <w:marTop w:val="0"/>
                      <w:marBottom w:val="0"/>
                      <w:divBdr>
                        <w:top w:val="none" w:sz="0" w:space="0" w:color="auto"/>
                        <w:left w:val="none" w:sz="0" w:space="0" w:color="auto"/>
                        <w:bottom w:val="none" w:sz="0" w:space="0" w:color="auto"/>
                        <w:right w:val="none" w:sz="0" w:space="0" w:color="auto"/>
                      </w:divBdr>
                    </w:div>
                  </w:divsChild>
                </w:div>
                <w:div w:id="560671521">
                  <w:marLeft w:val="0"/>
                  <w:marRight w:val="0"/>
                  <w:marTop w:val="0"/>
                  <w:marBottom w:val="0"/>
                  <w:divBdr>
                    <w:top w:val="none" w:sz="0" w:space="0" w:color="auto"/>
                    <w:left w:val="none" w:sz="0" w:space="0" w:color="auto"/>
                    <w:bottom w:val="none" w:sz="0" w:space="0" w:color="auto"/>
                    <w:right w:val="none" w:sz="0" w:space="0" w:color="auto"/>
                  </w:divBdr>
                  <w:divsChild>
                    <w:div w:id="548997802">
                      <w:marLeft w:val="0"/>
                      <w:marRight w:val="0"/>
                      <w:marTop w:val="0"/>
                      <w:marBottom w:val="0"/>
                      <w:divBdr>
                        <w:top w:val="none" w:sz="0" w:space="0" w:color="auto"/>
                        <w:left w:val="none" w:sz="0" w:space="0" w:color="auto"/>
                        <w:bottom w:val="none" w:sz="0" w:space="0" w:color="auto"/>
                        <w:right w:val="none" w:sz="0" w:space="0" w:color="auto"/>
                      </w:divBdr>
                    </w:div>
                  </w:divsChild>
                </w:div>
                <w:div w:id="608900140">
                  <w:marLeft w:val="0"/>
                  <w:marRight w:val="0"/>
                  <w:marTop w:val="0"/>
                  <w:marBottom w:val="0"/>
                  <w:divBdr>
                    <w:top w:val="none" w:sz="0" w:space="0" w:color="auto"/>
                    <w:left w:val="none" w:sz="0" w:space="0" w:color="auto"/>
                    <w:bottom w:val="none" w:sz="0" w:space="0" w:color="auto"/>
                    <w:right w:val="none" w:sz="0" w:space="0" w:color="auto"/>
                  </w:divBdr>
                  <w:divsChild>
                    <w:div w:id="837185748">
                      <w:marLeft w:val="0"/>
                      <w:marRight w:val="0"/>
                      <w:marTop w:val="0"/>
                      <w:marBottom w:val="0"/>
                      <w:divBdr>
                        <w:top w:val="none" w:sz="0" w:space="0" w:color="auto"/>
                        <w:left w:val="none" w:sz="0" w:space="0" w:color="auto"/>
                        <w:bottom w:val="none" w:sz="0" w:space="0" w:color="auto"/>
                        <w:right w:val="none" w:sz="0" w:space="0" w:color="auto"/>
                      </w:divBdr>
                    </w:div>
                  </w:divsChild>
                </w:div>
                <w:div w:id="671563877">
                  <w:marLeft w:val="0"/>
                  <w:marRight w:val="0"/>
                  <w:marTop w:val="0"/>
                  <w:marBottom w:val="0"/>
                  <w:divBdr>
                    <w:top w:val="none" w:sz="0" w:space="0" w:color="auto"/>
                    <w:left w:val="none" w:sz="0" w:space="0" w:color="auto"/>
                    <w:bottom w:val="none" w:sz="0" w:space="0" w:color="auto"/>
                    <w:right w:val="none" w:sz="0" w:space="0" w:color="auto"/>
                  </w:divBdr>
                  <w:divsChild>
                    <w:div w:id="1978680869">
                      <w:marLeft w:val="0"/>
                      <w:marRight w:val="0"/>
                      <w:marTop w:val="0"/>
                      <w:marBottom w:val="0"/>
                      <w:divBdr>
                        <w:top w:val="none" w:sz="0" w:space="0" w:color="auto"/>
                        <w:left w:val="none" w:sz="0" w:space="0" w:color="auto"/>
                        <w:bottom w:val="none" w:sz="0" w:space="0" w:color="auto"/>
                        <w:right w:val="none" w:sz="0" w:space="0" w:color="auto"/>
                      </w:divBdr>
                    </w:div>
                  </w:divsChild>
                </w:div>
                <w:div w:id="753741261">
                  <w:marLeft w:val="0"/>
                  <w:marRight w:val="0"/>
                  <w:marTop w:val="0"/>
                  <w:marBottom w:val="0"/>
                  <w:divBdr>
                    <w:top w:val="none" w:sz="0" w:space="0" w:color="auto"/>
                    <w:left w:val="none" w:sz="0" w:space="0" w:color="auto"/>
                    <w:bottom w:val="none" w:sz="0" w:space="0" w:color="auto"/>
                    <w:right w:val="none" w:sz="0" w:space="0" w:color="auto"/>
                  </w:divBdr>
                  <w:divsChild>
                    <w:div w:id="1473788846">
                      <w:marLeft w:val="0"/>
                      <w:marRight w:val="0"/>
                      <w:marTop w:val="0"/>
                      <w:marBottom w:val="0"/>
                      <w:divBdr>
                        <w:top w:val="none" w:sz="0" w:space="0" w:color="auto"/>
                        <w:left w:val="none" w:sz="0" w:space="0" w:color="auto"/>
                        <w:bottom w:val="none" w:sz="0" w:space="0" w:color="auto"/>
                        <w:right w:val="none" w:sz="0" w:space="0" w:color="auto"/>
                      </w:divBdr>
                    </w:div>
                  </w:divsChild>
                </w:div>
                <w:div w:id="769741023">
                  <w:marLeft w:val="0"/>
                  <w:marRight w:val="0"/>
                  <w:marTop w:val="0"/>
                  <w:marBottom w:val="0"/>
                  <w:divBdr>
                    <w:top w:val="none" w:sz="0" w:space="0" w:color="auto"/>
                    <w:left w:val="none" w:sz="0" w:space="0" w:color="auto"/>
                    <w:bottom w:val="none" w:sz="0" w:space="0" w:color="auto"/>
                    <w:right w:val="none" w:sz="0" w:space="0" w:color="auto"/>
                  </w:divBdr>
                  <w:divsChild>
                    <w:div w:id="1212380369">
                      <w:marLeft w:val="0"/>
                      <w:marRight w:val="0"/>
                      <w:marTop w:val="0"/>
                      <w:marBottom w:val="0"/>
                      <w:divBdr>
                        <w:top w:val="none" w:sz="0" w:space="0" w:color="auto"/>
                        <w:left w:val="none" w:sz="0" w:space="0" w:color="auto"/>
                        <w:bottom w:val="none" w:sz="0" w:space="0" w:color="auto"/>
                        <w:right w:val="none" w:sz="0" w:space="0" w:color="auto"/>
                      </w:divBdr>
                    </w:div>
                  </w:divsChild>
                </w:div>
                <w:div w:id="787704385">
                  <w:marLeft w:val="0"/>
                  <w:marRight w:val="0"/>
                  <w:marTop w:val="0"/>
                  <w:marBottom w:val="0"/>
                  <w:divBdr>
                    <w:top w:val="none" w:sz="0" w:space="0" w:color="auto"/>
                    <w:left w:val="none" w:sz="0" w:space="0" w:color="auto"/>
                    <w:bottom w:val="none" w:sz="0" w:space="0" w:color="auto"/>
                    <w:right w:val="none" w:sz="0" w:space="0" w:color="auto"/>
                  </w:divBdr>
                  <w:divsChild>
                    <w:div w:id="203903927">
                      <w:marLeft w:val="0"/>
                      <w:marRight w:val="0"/>
                      <w:marTop w:val="0"/>
                      <w:marBottom w:val="0"/>
                      <w:divBdr>
                        <w:top w:val="none" w:sz="0" w:space="0" w:color="auto"/>
                        <w:left w:val="none" w:sz="0" w:space="0" w:color="auto"/>
                        <w:bottom w:val="none" w:sz="0" w:space="0" w:color="auto"/>
                        <w:right w:val="none" w:sz="0" w:space="0" w:color="auto"/>
                      </w:divBdr>
                    </w:div>
                  </w:divsChild>
                </w:div>
                <w:div w:id="800810933">
                  <w:marLeft w:val="0"/>
                  <w:marRight w:val="0"/>
                  <w:marTop w:val="0"/>
                  <w:marBottom w:val="0"/>
                  <w:divBdr>
                    <w:top w:val="none" w:sz="0" w:space="0" w:color="auto"/>
                    <w:left w:val="none" w:sz="0" w:space="0" w:color="auto"/>
                    <w:bottom w:val="none" w:sz="0" w:space="0" w:color="auto"/>
                    <w:right w:val="none" w:sz="0" w:space="0" w:color="auto"/>
                  </w:divBdr>
                  <w:divsChild>
                    <w:div w:id="25377610">
                      <w:marLeft w:val="0"/>
                      <w:marRight w:val="0"/>
                      <w:marTop w:val="0"/>
                      <w:marBottom w:val="0"/>
                      <w:divBdr>
                        <w:top w:val="none" w:sz="0" w:space="0" w:color="auto"/>
                        <w:left w:val="none" w:sz="0" w:space="0" w:color="auto"/>
                        <w:bottom w:val="none" w:sz="0" w:space="0" w:color="auto"/>
                        <w:right w:val="none" w:sz="0" w:space="0" w:color="auto"/>
                      </w:divBdr>
                    </w:div>
                  </w:divsChild>
                </w:div>
                <w:div w:id="825125775">
                  <w:marLeft w:val="0"/>
                  <w:marRight w:val="0"/>
                  <w:marTop w:val="0"/>
                  <w:marBottom w:val="0"/>
                  <w:divBdr>
                    <w:top w:val="none" w:sz="0" w:space="0" w:color="auto"/>
                    <w:left w:val="none" w:sz="0" w:space="0" w:color="auto"/>
                    <w:bottom w:val="none" w:sz="0" w:space="0" w:color="auto"/>
                    <w:right w:val="none" w:sz="0" w:space="0" w:color="auto"/>
                  </w:divBdr>
                  <w:divsChild>
                    <w:div w:id="935092639">
                      <w:marLeft w:val="0"/>
                      <w:marRight w:val="0"/>
                      <w:marTop w:val="0"/>
                      <w:marBottom w:val="0"/>
                      <w:divBdr>
                        <w:top w:val="none" w:sz="0" w:space="0" w:color="auto"/>
                        <w:left w:val="none" w:sz="0" w:space="0" w:color="auto"/>
                        <w:bottom w:val="none" w:sz="0" w:space="0" w:color="auto"/>
                        <w:right w:val="none" w:sz="0" w:space="0" w:color="auto"/>
                      </w:divBdr>
                    </w:div>
                  </w:divsChild>
                </w:div>
                <w:div w:id="844124684">
                  <w:marLeft w:val="0"/>
                  <w:marRight w:val="0"/>
                  <w:marTop w:val="0"/>
                  <w:marBottom w:val="0"/>
                  <w:divBdr>
                    <w:top w:val="none" w:sz="0" w:space="0" w:color="auto"/>
                    <w:left w:val="none" w:sz="0" w:space="0" w:color="auto"/>
                    <w:bottom w:val="none" w:sz="0" w:space="0" w:color="auto"/>
                    <w:right w:val="none" w:sz="0" w:space="0" w:color="auto"/>
                  </w:divBdr>
                  <w:divsChild>
                    <w:div w:id="509878119">
                      <w:marLeft w:val="0"/>
                      <w:marRight w:val="0"/>
                      <w:marTop w:val="0"/>
                      <w:marBottom w:val="0"/>
                      <w:divBdr>
                        <w:top w:val="none" w:sz="0" w:space="0" w:color="auto"/>
                        <w:left w:val="none" w:sz="0" w:space="0" w:color="auto"/>
                        <w:bottom w:val="none" w:sz="0" w:space="0" w:color="auto"/>
                        <w:right w:val="none" w:sz="0" w:space="0" w:color="auto"/>
                      </w:divBdr>
                    </w:div>
                  </w:divsChild>
                </w:div>
                <w:div w:id="867639336">
                  <w:marLeft w:val="0"/>
                  <w:marRight w:val="0"/>
                  <w:marTop w:val="0"/>
                  <w:marBottom w:val="0"/>
                  <w:divBdr>
                    <w:top w:val="none" w:sz="0" w:space="0" w:color="auto"/>
                    <w:left w:val="none" w:sz="0" w:space="0" w:color="auto"/>
                    <w:bottom w:val="none" w:sz="0" w:space="0" w:color="auto"/>
                    <w:right w:val="none" w:sz="0" w:space="0" w:color="auto"/>
                  </w:divBdr>
                  <w:divsChild>
                    <w:div w:id="1817917328">
                      <w:marLeft w:val="0"/>
                      <w:marRight w:val="0"/>
                      <w:marTop w:val="0"/>
                      <w:marBottom w:val="0"/>
                      <w:divBdr>
                        <w:top w:val="none" w:sz="0" w:space="0" w:color="auto"/>
                        <w:left w:val="none" w:sz="0" w:space="0" w:color="auto"/>
                        <w:bottom w:val="none" w:sz="0" w:space="0" w:color="auto"/>
                        <w:right w:val="none" w:sz="0" w:space="0" w:color="auto"/>
                      </w:divBdr>
                    </w:div>
                  </w:divsChild>
                </w:div>
                <w:div w:id="889612405">
                  <w:marLeft w:val="0"/>
                  <w:marRight w:val="0"/>
                  <w:marTop w:val="0"/>
                  <w:marBottom w:val="0"/>
                  <w:divBdr>
                    <w:top w:val="none" w:sz="0" w:space="0" w:color="auto"/>
                    <w:left w:val="none" w:sz="0" w:space="0" w:color="auto"/>
                    <w:bottom w:val="none" w:sz="0" w:space="0" w:color="auto"/>
                    <w:right w:val="none" w:sz="0" w:space="0" w:color="auto"/>
                  </w:divBdr>
                  <w:divsChild>
                    <w:div w:id="2014531614">
                      <w:marLeft w:val="0"/>
                      <w:marRight w:val="0"/>
                      <w:marTop w:val="0"/>
                      <w:marBottom w:val="0"/>
                      <w:divBdr>
                        <w:top w:val="none" w:sz="0" w:space="0" w:color="auto"/>
                        <w:left w:val="none" w:sz="0" w:space="0" w:color="auto"/>
                        <w:bottom w:val="none" w:sz="0" w:space="0" w:color="auto"/>
                        <w:right w:val="none" w:sz="0" w:space="0" w:color="auto"/>
                      </w:divBdr>
                    </w:div>
                  </w:divsChild>
                </w:div>
                <w:div w:id="890069643">
                  <w:marLeft w:val="0"/>
                  <w:marRight w:val="0"/>
                  <w:marTop w:val="0"/>
                  <w:marBottom w:val="0"/>
                  <w:divBdr>
                    <w:top w:val="none" w:sz="0" w:space="0" w:color="auto"/>
                    <w:left w:val="none" w:sz="0" w:space="0" w:color="auto"/>
                    <w:bottom w:val="none" w:sz="0" w:space="0" w:color="auto"/>
                    <w:right w:val="none" w:sz="0" w:space="0" w:color="auto"/>
                  </w:divBdr>
                  <w:divsChild>
                    <w:div w:id="653753671">
                      <w:marLeft w:val="0"/>
                      <w:marRight w:val="0"/>
                      <w:marTop w:val="0"/>
                      <w:marBottom w:val="0"/>
                      <w:divBdr>
                        <w:top w:val="none" w:sz="0" w:space="0" w:color="auto"/>
                        <w:left w:val="none" w:sz="0" w:space="0" w:color="auto"/>
                        <w:bottom w:val="none" w:sz="0" w:space="0" w:color="auto"/>
                        <w:right w:val="none" w:sz="0" w:space="0" w:color="auto"/>
                      </w:divBdr>
                    </w:div>
                  </w:divsChild>
                </w:div>
                <w:div w:id="925068207">
                  <w:marLeft w:val="0"/>
                  <w:marRight w:val="0"/>
                  <w:marTop w:val="0"/>
                  <w:marBottom w:val="0"/>
                  <w:divBdr>
                    <w:top w:val="none" w:sz="0" w:space="0" w:color="auto"/>
                    <w:left w:val="none" w:sz="0" w:space="0" w:color="auto"/>
                    <w:bottom w:val="none" w:sz="0" w:space="0" w:color="auto"/>
                    <w:right w:val="none" w:sz="0" w:space="0" w:color="auto"/>
                  </w:divBdr>
                  <w:divsChild>
                    <w:div w:id="1457329655">
                      <w:marLeft w:val="0"/>
                      <w:marRight w:val="0"/>
                      <w:marTop w:val="0"/>
                      <w:marBottom w:val="0"/>
                      <w:divBdr>
                        <w:top w:val="none" w:sz="0" w:space="0" w:color="auto"/>
                        <w:left w:val="none" w:sz="0" w:space="0" w:color="auto"/>
                        <w:bottom w:val="none" w:sz="0" w:space="0" w:color="auto"/>
                        <w:right w:val="none" w:sz="0" w:space="0" w:color="auto"/>
                      </w:divBdr>
                    </w:div>
                  </w:divsChild>
                </w:div>
                <w:div w:id="930746769">
                  <w:marLeft w:val="0"/>
                  <w:marRight w:val="0"/>
                  <w:marTop w:val="0"/>
                  <w:marBottom w:val="0"/>
                  <w:divBdr>
                    <w:top w:val="none" w:sz="0" w:space="0" w:color="auto"/>
                    <w:left w:val="none" w:sz="0" w:space="0" w:color="auto"/>
                    <w:bottom w:val="none" w:sz="0" w:space="0" w:color="auto"/>
                    <w:right w:val="none" w:sz="0" w:space="0" w:color="auto"/>
                  </w:divBdr>
                  <w:divsChild>
                    <w:div w:id="1260215617">
                      <w:marLeft w:val="0"/>
                      <w:marRight w:val="0"/>
                      <w:marTop w:val="0"/>
                      <w:marBottom w:val="0"/>
                      <w:divBdr>
                        <w:top w:val="none" w:sz="0" w:space="0" w:color="auto"/>
                        <w:left w:val="none" w:sz="0" w:space="0" w:color="auto"/>
                        <w:bottom w:val="none" w:sz="0" w:space="0" w:color="auto"/>
                        <w:right w:val="none" w:sz="0" w:space="0" w:color="auto"/>
                      </w:divBdr>
                    </w:div>
                  </w:divsChild>
                </w:div>
                <w:div w:id="948126948">
                  <w:marLeft w:val="0"/>
                  <w:marRight w:val="0"/>
                  <w:marTop w:val="0"/>
                  <w:marBottom w:val="0"/>
                  <w:divBdr>
                    <w:top w:val="none" w:sz="0" w:space="0" w:color="auto"/>
                    <w:left w:val="none" w:sz="0" w:space="0" w:color="auto"/>
                    <w:bottom w:val="none" w:sz="0" w:space="0" w:color="auto"/>
                    <w:right w:val="none" w:sz="0" w:space="0" w:color="auto"/>
                  </w:divBdr>
                  <w:divsChild>
                    <w:div w:id="2127652526">
                      <w:marLeft w:val="0"/>
                      <w:marRight w:val="0"/>
                      <w:marTop w:val="0"/>
                      <w:marBottom w:val="0"/>
                      <w:divBdr>
                        <w:top w:val="none" w:sz="0" w:space="0" w:color="auto"/>
                        <w:left w:val="none" w:sz="0" w:space="0" w:color="auto"/>
                        <w:bottom w:val="none" w:sz="0" w:space="0" w:color="auto"/>
                        <w:right w:val="none" w:sz="0" w:space="0" w:color="auto"/>
                      </w:divBdr>
                    </w:div>
                  </w:divsChild>
                </w:div>
                <w:div w:id="966084232">
                  <w:marLeft w:val="0"/>
                  <w:marRight w:val="0"/>
                  <w:marTop w:val="0"/>
                  <w:marBottom w:val="0"/>
                  <w:divBdr>
                    <w:top w:val="none" w:sz="0" w:space="0" w:color="auto"/>
                    <w:left w:val="none" w:sz="0" w:space="0" w:color="auto"/>
                    <w:bottom w:val="none" w:sz="0" w:space="0" w:color="auto"/>
                    <w:right w:val="none" w:sz="0" w:space="0" w:color="auto"/>
                  </w:divBdr>
                  <w:divsChild>
                    <w:div w:id="962686840">
                      <w:marLeft w:val="0"/>
                      <w:marRight w:val="0"/>
                      <w:marTop w:val="0"/>
                      <w:marBottom w:val="0"/>
                      <w:divBdr>
                        <w:top w:val="none" w:sz="0" w:space="0" w:color="auto"/>
                        <w:left w:val="none" w:sz="0" w:space="0" w:color="auto"/>
                        <w:bottom w:val="none" w:sz="0" w:space="0" w:color="auto"/>
                        <w:right w:val="none" w:sz="0" w:space="0" w:color="auto"/>
                      </w:divBdr>
                    </w:div>
                    <w:div w:id="1790077661">
                      <w:marLeft w:val="0"/>
                      <w:marRight w:val="0"/>
                      <w:marTop w:val="0"/>
                      <w:marBottom w:val="0"/>
                      <w:divBdr>
                        <w:top w:val="none" w:sz="0" w:space="0" w:color="auto"/>
                        <w:left w:val="none" w:sz="0" w:space="0" w:color="auto"/>
                        <w:bottom w:val="none" w:sz="0" w:space="0" w:color="auto"/>
                        <w:right w:val="none" w:sz="0" w:space="0" w:color="auto"/>
                      </w:divBdr>
                    </w:div>
                  </w:divsChild>
                </w:div>
                <w:div w:id="989137060">
                  <w:marLeft w:val="0"/>
                  <w:marRight w:val="0"/>
                  <w:marTop w:val="0"/>
                  <w:marBottom w:val="0"/>
                  <w:divBdr>
                    <w:top w:val="none" w:sz="0" w:space="0" w:color="auto"/>
                    <w:left w:val="none" w:sz="0" w:space="0" w:color="auto"/>
                    <w:bottom w:val="none" w:sz="0" w:space="0" w:color="auto"/>
                    <w:right w:val="none" w:sz="0" w:space="0" w:color="auto"/>
                  </w:divBdr>
                  <w:divsChild>
                    <w:div w:id="906380815">
                      <w:marLeft w:val="0"/>
                      <w:marRight w:val="0"/>
                      <w:marTop w:val="0"/>
                      <w:marBottom w:val="0"/>
                      <w:divBdr>
                        <w:top w:val="none" w:sz="0" w:space="0" w:color="auto"/>
                        <w:left w:val="none" w:sz="0" w:space="0" w:color="auto"/>
                        <w:bottom w:val="none" w:sz="0" w:space="0" w:color="auto"/>
                        <w:right w:val="none" w:sz="0" w:space="0" w:color="auto"/>
                      </w:divBdr>
                    </w:div>
                  </w:divsChild>
                </w:div>
                <w:div w:id="1027829484">
                  <w:marLeft w:val="0"/>
                  <w:marRight w:val="0"/>
                  <w:marTop w:val="0"/>
                  <w:marBottom w:val="0"/>
                  <w:divBdr>
                    <w:top w:val="none" w:sz="0" w:space="0" w:color="auto"/>
                    <w:left w:val="none" w:sz="0" w:space="0" w:color="auto"/>
                    <w:bottom w:val="none" w:sz="0" w:space="0" w:color="auto"/>
                    <w:right w:val="none" w:sz="0" w:space="0" w:color="auto"/>
                  </w:divBdr>
                  <w:divsChild>
                    <w:div w:id="567813825">
                      <w:marLeft w:val="0"/>
                      <w:marRight w:val="0"/>
                      <w:marTop w:val="0"/>
                      <w:marBottom w:val="0"/>
                      <w:divBdr>
                        <w:top w:val="none" w:sz="0" w:space="0" w:color="auto"/>
                        <w:left w:val="none" w:sz="0" w:space="0" w:color="auto"/>
                        <w:bottom w:val="none" w:sz="0" w:space="0" w:color="auto"/>
                        <w:right w:val="none" w:sz="0" w:space="0" w:color="auto"/>
                      </w:divBdr>
                    </w:div>
                  </w:divsChild>
                </w:div>
                <w:div w:id="1049256981">
                  <w:marLeft w:val="0"/>
                  <w:marRight w:val="0"/>
                  <w:marTop w:val="0"/>
                  <w:marBottom w:val="0"/>
                  <w:divBdr>
                    <w:top w:val="none" w:sz="0" w:space="0" w:color="auto"/>
                    <w:left w:val="none" w:sz="0" w:space="0" w:color="auto"/>
                    <w:bottom w:val="none" w:sz="0" w:space="0" w:color="auto"/>
                    <w:right w:val="none" w:sz="0" w:space="0" w:color="auto"/>
                  </w:divBdr>
                  <w:divsChild>
                    <w:div w:id="1535577351">
                      <w:marLeft w:val="0"/>
                      <w:marRight w:val="0"/>
                      <w:marTop w:val="0"/>
                      <w:marBottom w:val="0"/>
                      <w:divBdr>
                        <w:top w:val="none" w:sz="0" w:space="0" w:color="auto"/>
                        <w:left w:val="none" w:sz="0" w:space="0" w:color="auto"/>
                        <w:bottom w:val="none" w:sz="0" w:space="0" w:color="auto"/>
                        <w:right w:val="none" w:sz="0" w:space="0" w:color="auto"/>
                      </w:divBdr>
                    </w:div>
                  </w:divsChild>
                </w:div>
                <w:div w:id="1067727543">
                  <w:marLeft w:val="0"/>
                  <w:marRight w:val="0"/>
                  <w:marTop w:val="0"/>
                  <w:marBottom w:val="0"/>
                  <w:divBdr>
                    <w:top w:val="none" w:sz="0" w:space="0" w:color="auto"/>
                    <w:left w:val="none" w:sz="0" w:space="0" w:color="auto"/>
                    <w:bottom w:val="none" w:sz="0" w:space="0" w:color="auto"/>
                    <w:right w:val="none" w:sz="0" w:space="0" w:color="auto"/>
                  </w:divBdr>
                  <w:divsChild>
                    <w:div w:id="889730484">
                      <w:marLeft w:val="0"/>
                      <w:marRight w:val="0"/>
                      <w:marTop w:val="0"/>
                      <w:marBottom w:val="0"/>
                      <w:divBdr>
                        <w:top w:val="none" w:sz="0" w:space="0" w:color="auto"/>
                        <w:left w:val="none" w:sz="0" w:space="0" w:color="auto"/>
                        <w:bottom w:val="none" w:sz="0" w:space="0" w:color="auto"/>
                        <w:right w:val="none" w:sz="0" w:space="0" w:color="auto"/>
                      </w:divBdr>
                    </w:div>
                  </w:divsChild>
                </w:div>
                <w:div w:id="1068260065">
                  <w:marLeft w:val="0"/>
                  <w:marRight w:val="0"/>
                  <w:marTop w:val="0"/>
                  <w:marBottom w:val="0"/>
                  <w:divBdr>
                    <w:top w:val="none" w:sz="0" w:space="0" w:color="auto"/>
                    <w:left w:val="none" w:sz="0" w:space="0" w:color="auto"/>
                    <w:bottom w:val="none" w:sz="0" w:space="0" w:color="auto"/>
                    <w:right w:val="none" w:sz="0" w:space="0" w:color="auto"/>
                  </w:divBdr>
                  <w:divsChild>
                    <w:div w:id="566651292">
                      <w:marLeft w:val="0"/>
                      <w:marRight w:val="0"/>
                      <w:marTop w:val="0"/>
                      <w:marBottom w:val="0"/>
                      <w:divBdr>
                        <w:top w:val="none" w:sz="0" w:space="0" w:color="auto"/>
                        <w:left w:val="none" w:sz="0" w:space="0" w:color="auto"/>
                        <w:bottom w:val="none" w:sz="0" w:space="0" w:color="auto"/>
                        <w:right w:val="none" w:sz="0" w:space="0" w:color="auto"/>
                      </w:divBdr>
                    </w:div>
                  </w:divsChild>
                </w:div>
                <w:div w:id="1075855362">
                  <w:marLeft w:val="0"/>
                  <w:marRight w:val="0"/>
                  <w:marTop w:val="0"/>
                  <w:marBottom w:val="0"/>
                  <w:divBdr>
                    <w:top w:val="none" w:sz="0" w:space="0" w:color="auto"/>
                    <w:left w:val="none" w:sz="0" w:space="0" w:color="auto"/>
                    <w:bottom w:val="none" w:sz="0" w:space="0" w:color="auto"/>
                    <w:right w:val="none" w:sz="0" w:space="0" w:color="auto"/>
                  </w:divBdr>
                  <w:divsChild>
                    <w:div w:id="214858375">
                      <w:marLeft w:val="0"/>
                      <w:marRight w:val="0"/>
                      <w:marTop w:val="0"/>
                      <w:marBottom w:val="0"/>
                      <w:divBdr>
                        <w:top w:val="none" w:sz="0" w:space="0" w:color="auto"/>
                        <w:left w:val="none" w:sz="0" w:space="0" w:color="auto"/>
                        <w:bottom w:val="none" w:sz="0" w:space="0" w:color="auto"/>
                        <w:right w:val="none" w:sz="0" w:space="0" w:color="auto"/>
                      </w:divBdr>
                    </w:div>
                  </w:divsChild>
                </w:div>
                <w:div w:id="1103569625">
                  <w:marLeft w:val="0"/>
                  <w:marRight w:val="0"/>
                  <w:marTop w:val="0"/>
                  <w:marBottom w:val="0"/>
                  <w:divBdr>
                    <w:top w:val="none" w:sz="0" w:space="0" w:color="auto"/>
                    <w:left w:val="none" w:sz="0" w:space="0" w:color="auto"/>
                    <w:bottom w:val="none" w:sz="0" w:space="0" w:color="auto"/>
                    <w:right w:val="none" w:sz="0" w:space="0" w:color="auto"/>
                  </w:divBdr>
                  <w:divsChild>
                    <w:div w:id="1218129244">
                      <w:marLeft w:val="0"/>
                      <w:marRight w:val="0"/>
                      <w:marTop w:val="0"/>
                      <w:marBottom w:val="0"/>
                      <w:divBdr>
                        <w:top w:val="none" w:sz="0" w:space="0" w:color="auto"/>
                        <w:left w:val="none" w:sz="0" w:space="0" w:color="auto"/>
                        <w:bottom w:val="none" w:sz="0" w:space="0" w:color="auto"/>
                        <w:right w:val="none" w:sz="0" w:space="0" w:color="auto"/>
                      </w:divBdr>
                    </w:div>
                  </w:divsChild>
                </w:div>
                <w:div w:id="1104349625">
                  <w:marLeft w:val="0"/>
                  <w:marRight w:val="0"/>
                  <w:marTop w:val="0"/>
                  <w:marBottom w:val="0"/>
                  <w:divBdr>
                    <w:top w:val="none" w:sz="0" w:space="0" w:color="auto"/>
                    <w:left w:val="none" w:sz="0" w:space="0" w:color="auto"/>
                    <w:bottom w:val="none" w:sz="0" w:space="0" w:color="auto"/>
                    <w:right w:val="none" w:sz="0" w:space="0" w:color="auto"/>
                  </w:divBdr>
                  <w:divsChild>
                    <w:div w:id="2039693959">
                      <w:marLeft w:val="0"/>
                      <w:marRight w:val="0"/>
                      <w:marTop w:val="0"/>
                      <w:marBottom w:val="0"/>
                      <w:divBdr>
                        <w:top w:val="none" w:sz="0" w:space="0" w:color="auto"/>
                        <w:left w:val="none" w:sz="0" w:space="0" w:color="auto"/>
                        <w:bottom w:val="none" w:sz="0" w:space="0" w:color="auto"/>
                        <w:right w:val="none" w:sz="0" w:space="0" w:color="auto"/>
                      </w:divBdr>
                    </w:div>
                  </w:divsChild>
                </w:div>
                <w:div w:id="1111557045">
                  <w:marLeft w:val="0"/>
                  <w:marRight w:val="0"/>
                  <w:marTop w:val="0"/>
                  <w:marBottom w:val="0"/>
                  <w:divBdr>
                    <w:top w:val="none" w:sz="0" w:space="0" w:color="auto"/>
                    <w:left w:val="none" w:sz="0" w:space="0" w:color="auto"/>
                    <w:bottom w:val="none" w:sz="0" w:space="0" w:color="auto"/>
                    <w:right w:val="none" w:sz="0" w:space="0" w:color="auto"/>
                  </w:divBdr>
                  <w:divsChild>
                    <w:div w:id="53739802">
                      <w:marLeft w:val="0"/>
                      <w:marRight w:val="0"/>
                      <w:marTop w:val="0"/>
                      <w:marBottom w:val="0"/>
                      <w:divBdr>
                        <w:top w:val="none" w:sz="0" w:space="0" w:color="auto"/>
                        <w:left w:val="none" w:sz="0" w:space="0" w:color="auto"/>
                        <w:bottom w:val="none" w:sz="0" w:space="0" w:color="auto"/>
                        <w:right w:val="none" w:sz="0" w:space="0" w:color="auto"/>
                      </w:divBdr>
                    </w:div>
                  </w:divsChild>
                </w:div>
                <w:div w:id="1112895985">
                  <w:marLeft w:val="0"/>
                  <w:marRight w:val="0"/>
                  <w:marTop w:val="0"/>
                  <w:marBottom w:val="0"/>
                  <w:divBdr>
                    <w:top w:val="none" w:sz="0" w:space="0" w:color="auto"/>
                    <w:left w:val="none" w:sz="0" w:space="0" w:color="auto"/>
                    <w:bottom w:val="none" w:sz="0" w:space="0" w:color="auto"/>
                    <w:right w:val="none" w:sz="0" w:space="0" w:color="auto"/>
                  </w:divBdr>
                  <w:divsChild>
                    <w:div w:id="828323051">
                      <w:marLeft w:val="0"/>
                      <w:marRight w:val="0"/>
                      <w:marTop w:val="0"/>
                      <w:marBottom w:val="0"/>
                      <w:divBdr>
                        <w:top w:val="none" w:sz="0" w:space="0" w:color="auto"/>
                        <w:left w:val="none" w:sz="0" w:space="0" w:color="auto"/>
                        <w:bottom w:val="none" w:sz="0" w:space="0" w:color="auto"/>
                        <w:right w:val="none" w:sz="0" w:space="0" w:color="auto"/>
                      </w:divBdr>
                    </w:div>
                  </w:divsChild>
                </w:div>
                <w:div w:id="1115490487">
                  <w:marLeft w:val="0"/>
                  <w:marRight w:val="0"/>
                  <w:marTop w:val="0"/>
                  <w:marBottom w:val="0"/>
                  <w:divBdr>
                    <w:top w:val="none" w:sz="0" w:space="0" w:color="auto"/>
                    <w:left w:val="none" w:sz="0" w:space="0" w:color="auto"/>
                    <w:bottom w:val="none" w:sz="0" w:space="0" w:color="auto"/>
                    <w:right w:val="none" w:sz="0" w:space="0" w:color="auto"/>
                  </w:divBdr>
                  <w:divsChild>
                    <w:div w:id="105079937">
                      <w:marLeft w:val="0"/>
                      <w:marRight w:val="0"/>
                      <w:marTop w:val="0"/>
                      <w:marBottom w:val="0"/>
                      <w:divBdr>
                        <w:top w:val="none" w:sz="0" w:space="0" w:color="auto"/>
                        <w:left w:val="none" w:sz="0" w:space="0" w:color="auto"/>
                        <w:bottom w:val="none" w:sz="0" w:space="0" w:color="auto"/>
                        <w:right w:val="none" w:sz="0" w:space="0" w:color="auto"/>
                      </w:divBdr>
                    </w:div>
                  </w:divsChild>
                </w:div>
                <w:div w:id="1127554370">
                  <w:marLeft w:val="0"/>
                  <w:marRight w:val="0"/>
                  <w:marTop w:val="0"/>
                  <w:marBottom w:val="0"/>
                  <w:divBdr>
                    <w:top w:val="none" w:sz="0" w:space="0" w:color="auto"/>
                    <w:left w:val="none" w:sz="0" w:space="0" w:color="auto"/>
                    <w:bottom w:val="none" w:sz="0" w:space="0" w:color="auto"/>
                    <w:right w:val="none" w:sz="0" w:space="0" w:color="auto"/>
                  </w:divBdr>
                  <w:divsChild>
                    <w:div w:id="492068589">
                      <w:marLeft w:val="0"/>
                      <w:marRight w:val="0"/>
                      <w:marTop w:val="0"/>
                      <w:marBottom w:val="0"/>
                      <w:divBdr>
                        <w:top w:val="none" w:sz="0" w:space="0" w:color="auto"/>
                        <w:left w:val="none" w:sz="0" w:space="0" w:color="auto"/>
                        <w:bottom w:val="none" w:sz="0" w:space="0" w:color="auto"/>
                        <w:right w:val="none" w:sz="0" w:space="0" w:color="auto"/>
                      </w:divBdr>
                    </w:div>
                  </w:divsChild>
                </w:div>
                <w:div w:id="1134061250">
                  <w:marLeft w:val="0"/>
                  <w:marRight w:val="0"/>
                  <w:marTop w:val="0"/>
                  <w:marBottom w:val="0"/>
                  <w:divBdr>
                    <w:top w:val="none" w:sz="0" w:space="0" w:color="auto"/>
                    <w:left w:val="none" w:sz="0" w:space="0" w:color="auto"/>
                    <w:bottom w:val="none" w:sz="0" w:space="0" w:color="auto"/>
                    <w:right w:val="none" w:sz="0" w:space="0" w:color="auto"/>
                  </w:divBdr>
                  <w:divsChild>
                    <w:div w:id="1619145500">
                      <w:marLeft w:val="0"/>
                      <w:marRight w:val="0"/>
                      <w:marTop w:val="0"/>
                      <w:marBottom w:val="0"/>
                      <w:divBdr>
                        <w:top w:val="none" w:sz="0" w:space="0" w:color="auto"/>
                        <w:left w:val="none" w:sz="0" w:space="0" w:color="auto"/>
                        <w:bottom w:val="none" w:sz="0" w:space="0" w:color="auto"/>
                        <w:right w:val="none" w:sz="0" w:space="0" w:color="auto"/>
                      </w:divBdr>
                    </w:div>
                  </w:divsChild>
                </w:div>
                <w:div w:id="1180772979">
                  <w:marLeft w:val="0"/>
                  <w:marRight w:val="0"/>
                  <w:marTop w:val="0"/>
                  <w:marBottom w:val="0"/>
                  <w:divBdr>
                    <w:top w:val="none" w:sz="0" w:space="0" w:color="auto"/>
                    <w:left w:val="none" w:sz="0" w:space="0" w:color="auto"/>
                    <w:bottom w:val="none" w:sz="0" w:space="0" w:color="auto"/>
                    <w:right w:val="none" w:sz="0" w:space="0" w:color="auto"/>
                  </w:divBdr>
                  <w:divsChild>
                    <w:div w:id="168259237">
                      <w:marLeft w:val="0"/>
                      <w:marRight w:val="0"/>
                      <w:marTop w:val="0"/>
                      <w:marBottom w:val="0"/>
                      <w:divBdr>
                        <w:top w:val="none" w:sz="0" w:space="0" w:color="auto"/>
                        <w:left w:val="none" w:sz="0" w:space="0" w:color="auto"/>
                        <w:bottom w:val="none" w:sz="0" w:space="0" w:color="auto"/>
                        <w:right w:val="none" w:sz="0" w:space="0" w:color="auto"/>
                      </w:divBdr>
                    </w:div>
                  </w:divsChild>
                </w:div>
                <w:div w:id="1215047154">
                  <w:marLeft w:val="0"/>
                  <w:marRight w:val="0"/>
                  <w:marTop w:val="0"/>
                  <w:marBottom w:val="0"/>
                  <w:divBdr>
                    <w:top w:val="none" w:sz="0" w:space="0" w:color="auto"/>
                    <w:left w:val="none" w:sz="0" w:space="0" w:color="auto"/>
                    <w:bottom w:val="none" w:sz="0" w:space="0" w:color="auto"/>
                    <w:right w:val="none" w:sz="0" w:space="0" w:color="auto"/>
                  </w:divBdr>
                  <w:divsChild>
                    <w:div w:id="477966518">
                      <w:marLeft w:val="0"/>
                      <w:marRight w:val="0"/>
                      <w:marTop w:val="0"/>
                      <w:marBottom w:val="0"/>
                      <w:divBdr>
                        <w:top w:val="none" w:sz="0" w:space="0" w:color="auto"/>
                        <w:left w:val="none" w:sz="0" w:space="0" w:color="auto"/>
                        <w:bottom w:val="none" w:sz="0" w:space="0" w:color="auto"/>
                        <w:right w:val="none" w:sz="0" w:space="0" w:color="auto"/>
                      </w:divBdr>
                    </w:div>
                  </w:divsChild>
                </w:div>
                <w:div w:id="1224409799">
                  <w:marLeft w:val="0"/>
                  <w:marRight w:val="0"/>
                  <w:marTop w:val="0"/>
                  <w:marBottom w:val="0"/>
                  <w:divBdr>
                    <w:top w:val="none" w:sz="0" w:space="0" w:color="auto"/>
                    <w:left w:val="none" w:sz="0" w:space="0" w:color="auto"/>
                    <w:bottom w:val="none" w:sz="0" w:space="0" w:color="auto"/>
                    <w:right w:val="none" w:sz="0" w:space="0" w:color="auto"/>
                  </w:divBdr>
                  <w:divsChild>
                    <w:div w:id="673534200">
                      <w:marLeft w:val="0"/>
                      <w:marRight w:val="0"/>
                      <w:marTop w:val="0"/>
                      <w:marBottom w:val="0"/>
                      <w:divBdr>
                        <w:top w:val="none" w:sz="0" w:space="0" w:color="auto"/>
                        <w:left w:val="none" w:sz="0" w:space="0" w:color="auto"/>
                        <w:bottom w:val="none" w:sz="0" w:space="0" w:color="auto"/>
                        <w:right w:val="none" w:sz="0" w:space="0" w:color="auto"/>
                      </w:divBdr>
                    </w:div>
                  </w:divsChild>
                </w:div>
                <w:div w:id="1237667419">
                  <w:marLeft w:val="0"/>
                  <w:marRight w:val="0"/>
                  <w:marTop w:val="0"/>
                  <w:marBottom w:val="0"/>
                  <w:divBdr>
                    <w:top w:val="none" w:sz="0" w:space="0" w:color="auto"/>
                    <w:left w:val="none" w:sz="0" w:space="0" w:color="auto"/>
                    <w:bottom w:val="none" w:sz="0" w:space="0" w:color="auto"/>
                    <w:right w:val="none" w:sz="0" w:space="0" w:color="auto"/>
                  </w:divBdr>
                  <w:divsChild>
                    <w:div w:id="2048602144">
                      <w:marLeft w:val="0"/>
                      <w:marRight w:val="0"/>
                      <w:marTop w:val="0"/>
                      <w:marBottom w:val="0"/>
                      <w:divBdr>
                        <w:top w:val="none" w:sz="0" w:space="0" w:color="auto"/>
                        <w:left w:val="none" w:sz="0" w:space="0" w:color="auto"/>
                        <w:bottom w:val="none" w:sz="0" w:space="0" w:color="auto"/>
                        <w:right w:val="none" w:sz="0" w:space="0" w:color="auto"/>
                      </w:divBdr>
                    </w:div>
                  </w:divsChild>
                </w:div>
                <w:div w:id="1308903356">
                  <w:marLeft w:val="0"/>
                  <w:marRight w:val="0"/>
                  <w:marTop w:val="0"/>
                  <w:marBottom w:val="0"/>
                  <w:divBdr>
                    <w:top w:val="none" w:sz="0" w:space="0" w:color="auto"/>
                    <w:left w:val="none" w:sz="0" w:space="0" w:color="auto"/>
                    <w:bottom w:val="none" w:sz="0" w:space="0" w:color="auto"/>
                    <w:right w:val="none" w:sz="0" w:space="0" w:color="auto"/>
                  </w:divBdr>
                  <w:divsChild>
                    <w:div w:id="809134923">
                      <w:marLeft w:val="0"/>
                      <w:marRight w:val="0"/>
                      <w:marTop w:val="0"/>
                      <w:marBottom w:val="0"/>
                      <w:divBdr>
                        <w:top w:val="none" w:sz="0" w:space="0" w:color="auto"/>
                        <w:left w:val="none" w:sz="0" w:space="0" w:color="auto"/>
                        <w:bottom w:val="none" w:sz="0" w:space="0" w:color="auto"/>
                        <w:right w:val="none" w:sz="0" w:space="0" w:color="auto"/>
                      </w:divBdr>
                    </w:div>
                  </w:divsChild>
                </w:div>
                <w:div w:id="1324511504">
                  <w:marLeft w:val="0"/>
                  <w:marRight w:val="0"/>
                  <w:marTop w:val="0"/>
                  <w:marBottom w:val="0"/>
                  <w:divBdr>
                    <w:top w:val="none" w:sz="0" w:space="0" w:color="auto"/>
                    <w:left w:val="none" w:sz="0" w:space="0" w:color="auto"/>
                    <w:bottom w:val="none" w:sz="0" w:space="0" w:color="auto"/>
                    <w:right w:val="none" w:sz="0" w:space="0" w:color="auto"/>
                  </w:divBdr>
                  <w:divsChild>
                    <w:div w:id="111482957">
                      <w:marLeft w:val="0"/>
                      <w:marRight w:val="0"/>
                      <w:marTop w:val="0"/>
                      <w:marBottom w:val="0"/>
                      <w:divBdr>
                        <w:top w:val="none" w:sz="0" w:space="0" w:color="auto"/>
                        <w:left w:val="none" w:sz="0" w:space="0" w:color="auto"/>
                        <w:bottom w:val="none" w:sz="0" w:space="0" w:color="auto"/>
                        <w:right w:val="none" w:sz="0" w:space="0" w:color="auto"/>
                      </w:divBdr>
                    </w:div>
                  </w:divsChild>
                </w:div>
                <w:div w:id="1340616088">
                  <w:marLeft w:val="0"/>
                  <w:marRight w:val="0"/>
                  <w:marTop w:val="0"/>
                  <w:marBottom w:val="0"/>
                  <w:divBdr>
                    <w:top w:val="none" w:sz="0" w:space="0" w:color="auto"/>
                    <w:left w:val="none" w:sz="0" w:space="0" w:color="auto"/>
                    <w:bottom w:val="none" w:sz="0" w:space="0" w:color="auto"/>
                    <w:right w:val="none" w:sz="0" w:space="0" w:color="auto"/>
                  </w:divBdr>
                  <w:divsChild>
                    <w:div w:id="1011178171">
                      <w:marLeft w:val="0"/>
                      <w:marRight w:val="0"/>
                      <w:marTop w:val="0"/>
                      <w:marBottom w:val="0"/>
                      <w:divBdr>
                        <w:top w:val="none" w:sz="0" w:space="0" w:color="auto"/>
                        <w:left w:val="none" w:sz="0" w:space="0" w:color="auto"/>
                        <w:bottom w:val="none" w:sz="0" w:space="0" w:color="auto"/>
                        <w:right w:val="none" w:sz="0" w:space="0" w:color="auto"/>
                      </w:divBdr>
                    </w:div>
                  </w:divsChild>
                </w:div>
                <w:div w:id="1347825259">
                  <w:marLeft w:val="0"/>
                  <w:marRight w:val="0"/>
                  <w:marTop w:val="0"/>
                  <w:marBottom w:val="0"/>
                  <w:divBdr>
                    <w:top w:val="none" w:sz="0" w:space="0" w:color="auto"/>
                    <w:left w:val="none" w:sz="0" w:space="0" w:color="auto"/>
                    <w:bottom w:val="none" w:sz="0" w:space="0" w:color="auto"/>
                    <w:right w:val="none" w:sz="0" w:space="0" w:color="auto"/>
                  </w:divBdr>
                  <w:divsChild>
                    <w:div w:id="549151586">
                      <w:marLeft w:val="0"/>
                      <w:marRight w:val="0"/>
                      <w:marTop w:val="0"/>
                      <w:marBottom w:val="0"/>
                      <w:divBdr>
                        <w:top w:val="none" w:sz="0" w:space="0" w:color="auto"/>
                        <w:left w:val="none" w:sz="0" w:space="0" w:color="auto"/>
                        <w:bottom w:val="none" w:sz="0" w:space="0" w:color="auto"/>
                        <w:right w:val="none" w:sz="0" w:space="0" w:color="auto"/>
                      </w:divBdr>
                    </w:div>
                  </w:divsChild>
                </w:div>
                <w:div w:id="1390230095">
                  <w:marLeft w:val="0"/>
                  <w:marRight w:val="0"/>
                  <w:marTop w:val="0"/>
                  <w:marBottom w:val="0"/>
                  <w:divBdr>
                    <w:top w:val="none" w:sz="0" w:space="0" w:color="auto"/>
                    <w:left w:val="none" w:sz="0" w:space="0" w:color="auto"/>
                    <w:bottom w:val="none" w:sz="0" w:space="0" w:color="auto"/>
                    <w:right w:val="none" w:sz="0" w:space="0" w:color="auto"/>
                  </w:divBdr>
                  <w:divsChild>
                    <w:div w:id="828598285">
                      <w:marLeft w:val="0"/>
                      <w:marRight w:val="0"/>
                      <w:marTop w:val="0"/>
                      <w:marBottom w:val="0"/>
                      <w:divBdr>
                        <w:top w:val="none" w:sz="0" w:space="0" w:color="auto"/>
                        <w:left w:val="none" w:sz="0" w:space="0" w:color="auto"/>
                        <w:bottom w:val="none" w:sz="0" w:space="0" w:color="auto"/>
                        <w:right w:val="none" w:sz="0" w:space="0" w:color="auto"/>
                      </w:divBdr>
                    </w:div>
                  </w:divsChild>
                </w:div>
                <w:div w:id="1396590722">
                  <w:marLeft w:val="0"/>
                  <w:marRight w:val="0"/>
                  <w:marTop w:val="0"/>
                  <w:marBottom w:val="0"/>
                  <w:divBdr>
                    <w:top w:val="none" w:sz="0" w:space="0" w:color="auto"/>
                    <w:left w:val="none" w:sz="0" w:space="0" w:color="auto"/>
                    <w:bottom w:val="none" w:sz="0" w:space="0" w:color="auto"/>
                    <w:right w:val="none" w:sz="0" w:space="0" w:color="auto"/>
                  </w:divBdr>
                  <w:divsChild>
                    <w:div w:id="1241060329">
                      <w:marLeft w:val="0"/>
                      <w:marRight w:val="0"/>
                      <w:marTop w:val="0"/>
                      <w:marBottom w:val="0"/>
                      <w:divBdr>
                        <w:top w:val="none" w:sz="0" w:space="0" w:color="auto"/>
                        <w:left w:val="none" w:sz="0" w:space="0" w:color="auto"/>
                        <w:bottom w:val="none" w:sz="0" w:space="0" w:color="auto"/>
                        <w:right w:val="none" w:sz="0" w:space="0" w:color="auto"/>
                      </w:divBdr>
                    </w:div>
                  </w:divsChild>
                </w:div>
                <w:div w:id="1409888918">
                  <w:marLeft w:val="0"/>
                  <w:marRight w:val="0"/>
                  <w:marTop w:val="0"/>
                  <w:marBottom w:val="0"/>
                  <w:divBdr>
                    <w:top w:val="none" w:sz="0" w:space="0" w:color="auto"/>
                    <w:left w:val="none" w:sz="0" w:space="0" w:color="auto"/>
                    <w:bottom w:val="none" w:sz="0" w:space="0" w:color="auto"/>
                    <w:right w:val="none" w:sz="0" w:space="0" w:color="auto"/>
                  </w:divBdr>
                  <w:divsChild>
                    <w:div w:id="141586772">
                      <w:marLeft w:val="0"/>
                      <w:marRight w:val="0"/>
                      <w:marTop w:val="0"/>
                      <w:marBottom w:val="0"/>
                      <w:divBdr>
                        <w:top w:val="none" w:sz="0" w:space="0" w:color="auto"/>
                        <w:left w:val="none" w:sz="0" w:space="0" w:color="auto"/>
                        <w:bottom w:val="none" w:sz="0" w:space="0" w:color="auto"/>
                        <w:right w:val="none" w:sz="0" w:space="0" w:color="auto"/>
                      </w:divBdr>
                    </w:div>
                  </w:divsChild>
                </w:div>
                <w:div w:id="1420255985">
                  <w:marLeft w:val="0"/>
                  <w:marRight w:val="0"/>
                  <w:marTop w:val="0"/>
                  <w:marBottom w:val="0"/>
                  <w:divBdr>
                    <w:top w:val="none" w:sz="0" w:space="0" w:color="auto"/>
                    <w:left w:val="none" w:sz="0" w:space="0" w:color="auto"/>
                    <w:bottom w:val="none" w:sz="0" w:space="0" w:color="auto"/>
                    <w:right w:val="none" w:sz="0" w:space="0" w:color="auto"/>
                  </w:divBdr>
                  <w:divsChild>
                    <w:div w:id="845173648">
                      <w:marLeft w:val="0"/>
                      <w:marRight w:val="0"/>
                      <w:marTop w:val="0"/>
                      <w:marBottom w:val="0"/>
                      <w:divBdr>
                        <w:top w:val="none" w:sz="0" w:space="0" w:color="auto"/>
                        <w:left w:val="none" w:sz="0" w:space="0" w:color="auto"/>
                        <w:bottom w:val="none" w:sz="0" w:space="0" w:color="auto"/>
                        <w:right w:val="none" w:sz="0" w:space="0" w:color="auto"/>
                      </w:divBdr>
                    </w:div>
                  </w:divsChild>
                </w:div>
                <w:div w:id="1421490270">
                  <w:marLeft w:val="0"/>
                  <w:marRight w:val="0"/>
                  <w:marTop w:val="0"/>
                  <w:marBottom w:val="0"/>
                  <w:divBdr>
                    <w:top w:val="none" w:sz="0" w:space="0" w:color="auto"/>
                    <w:left w:val="none" w:sz="0" w:space="0" w:color="auto"/>
                    <w:bottom w:val="none" w:sz="0" w:space="0" w:color="auto"/>
                    <w:right w:val="none" w:sz="0" w:space="0" w:color="auto"/>
                  </w:divBdr>
                  <w:divsChild>
                    <w:div w:id="1594587790">
                      <w:marLeft w:val="0"/>
                      <w:marRight w:val="0"/>
                      <w:marTop w:val="0"/>
                      <w:marBottom w:val="0"/>
                      <w:divBdr>
                        <w:top w:val="none" w:sz="0" w:space="0" w:color="auto"/>
                        <w:left w:val="none" w:sz="0" w:space="0" w:color="auto"/>
                        <w:bottom w:val="none" w:sz="0" w:space="0" w:color="auto"/>
                        <w:right w:val="none" w:sz="0" w:space="0" w:color="auto"/>
                      </w:divBdr>
                    </w:div>
                  </w:divsChild>
                </w:div>
                <w:div w:id="1426684065">
                  <w:marLeft w:val="0"/>
                  <w:marRight w:val="0"/>
                  <w:marTop w:val="0"/>
                  <w:marBottom w:val="0"/>
                  <w:divBdr>
                    <w:top w:val="none" w:sz="0" w:space="0" w:color="auto"/>
                    <w:left w:val="none" w:sz="0" w:space="0" w:color="auto"/>
                    <w:bottom w:val="none" w:sz="0" w:space="0" w:color="auto"/>
                    <w:right w:val="none" w:sz="0" w:space="0" w:color="auto"/>
                  </w:divBdr>
                  <w:divsChild>
                    <w:div w:id="367922259">
                      <w:marLeft w:val="0"/>
                      <w:marRight w:val="0"/>
                      <w:marTop w:val="0"/>
                      <w:marBottom w:val="0"/>
                      <w:divBdr>
                        <w:top w:val="none" w:sz="0" w:space="0" w:color="auto"/>
                        <w:left w:val="none" w:sz="0" w:space="0" w:color="auto"/>
                        <w:bottom w:val="none" w:sz="0" w:space="0" w:color="auto"/>
                        <w:right w:val="none" w:sz="0" w:space="0" w:color="auto"/>
                      </w:divBdr>
                    </w:div>
                  </w:divsChild>
                </w:div>
                <w:div w:id="1428648725">
                  <w:marLeft w:val="0"/>
                  <w:marRight w:val="0"/>
                  <w:marTop w:val="0"/>
                  <w:marBottom w:val="0"/>
                  <w:divBdr>
                    <w:top w:val="none" w:sz="0" w:space="0" w:color="auto"/>
                    <w:left w:val="none" w:sz="0" w:space="0" w:color="auto"/>
                    <w:bottom w:val="none" w:sz="0" w:space="0" w:color="auto"/>
                    <w:right w:val="none" w:sz="0" w:space="0" w:color="auto"/>
                  </w:divBdr>
                  <w:divsChild>
                    <w:div w:id="845485520">
                      <w:marLeft w:val="0"/>
                      <w:marRight w:val="0"/>
                      <w:marTop w:val="0"/>
                      <w:marBottom w:val="0"/>
                      <w:divBdr>
                        <w:top w:val="none" w:sz="0" w:space="0" w:color="auto"/>
                        <w:left w:val="none" w:sz="0" w:space="0" w:color="auto"/>
                        <w:bottom w:val="none" w:sz="0" w:space="0" w:color="auto"/>
                        <w:right w:val="none" w:sz="0" w:space="0" w:color="auto"/>
                      </w:divBdr>
                    </w:div>
                  </w:divsChild>
                </w:div>
                <w:div w:id="1433940798">
                  <w:marLeft w:val="0"/>
                  <w:marRight w:val="0"/>
                  <w:marTop w:val="0"/>
                  <w:marBottom w:val="0"/>
                  <w:divBdr>
                    <w:top w:val="none" w:sz="0" w:space="0" w:color="auto"/>
                    <w:left w:val="none" w:sz="0" w:space="0" w:color="auto"/>
                    <w:bottom w:val="none" w:sz="0" w:space="0" w:color="auto"/>
                    <w:right w:val="none" w:sz="0" w:space="0" w:color="auto"/>
                  </w:divBdr>
                  <w:divsChild>
                    <w:div w:id="1015963967">
                      <w:marLeft w:val="0"/>
                      <w:marRight w:val="0"/>
                      <w:marTop w:val="0"/>
                      <w:marBottom w:val="0"/>
                      <w:divBdr>
                        <w:top w:val="none" w:sz="0" w:space="0" w:color="auto"/>
                        <w:left w:val="none" w:sz="0" w:space="0" w:color="auto"/>
                        <w:bottom w:val="none" w:sz="0" w:space="0" w:color="auto"/>
                        <w:right w:val="none" w:sz="0" w:space="0" w:color="auto"/>
                      </w:divBdr>
                    </w:div>
                  </w:divsChild>
                </w:div>
                <w:div w:id="1439326383">
                  <w:marLeft w:val="0"/>
                  <w:marRight w:val="0"/>
                  <w:marTop w:val="0"/>
                  <w:marBottom w:val="0"/>
                  <w:divBdr>
                    <w:top w:val="none" w:sz="0" w:space="0" w:color="auto"/>
                    <w:left w:val="none" w:sz="0" w:space="0" w:color="auto"/>
                    <w:bottom w:val="none" w:sz="0" w:space="0" w:color="auto"/>
                    <w:right w:val="none" w:sz="0" w:space="0" w:color="auto"/>
                  </w:divBdr>
                  <w:divsChild>
                    <w:div w:id="1253012220">
                      <w:marLeft w:val="0"/>
                      <w:marRight w:val="0"/>
                      <w:marTop w:val="0"/>
                      <w:marBottom w:val="0"/>
                      <w:divBdr>
                        <w:top w:val="none" w:sz="0" w:space="0" w:color="auto"/>
                        <w:left w:val="none" w:sz="0" w:space="0" w:color="auto"/>
                        <w:bottom w:val="none" w:sz="0" w:space="0" w:color="auto"/>
                        <w:right w:val="none" w:sz="0" w:space="0" w:color="auto"/>
                      </w:divBdr>
                    </w:div>
                  </w:divsChild>
                </w:div>
                <w:div w:id="1441224550">
                  <w:marLeft w:val="0"/>
                  <w:marRight w:val="0"/>
                  <w:marTop w:val="0"/>
                  <w:marBottom w:val="0"/>
                  <w:divBdr>
                    <w:top w:val="none" w:sz="0" w:space="0" w:color="auto"/>
                    <w:left w:val="none" w:sz="0" w:space="0" w:color="auto"/>
                    <w:bottom w:val="none" w:sz="0" w:space="0" w:color="auto"/>
                    <w:right w:val="none" w:sz="0" w:space="0" w:color="auto"/>
                  </w:divBdr>
                  <w:divsChild>
                    <w:div w:id="1197499918">
                      <w:marLeft w:val="0"/>
                      <w:marRight w:val="0"/>
                      <w:marTop w:val="0"/>
                      <w:marBottom w:val="0"/>
                      <w:divBdr>
                        <w:top w:val="none" w:sz="0" w:space="0" w:color="auto"/>
                        <w:left w:val="none" w:sz="0" w:space="0" w:color="auto"/>
                        <w:bottom w:val="none" w:sz="0" w:space="0" w:color="auto"/>
                        <w:right w:val="none" w:sz="0" w:space="0" w:color="auto"/>
                      </w:divBdr>
                    </w:div>
                  </w:divsChild>
                </w:div>
                <w:div w:id="1463498084">
                  <w:marLeft w:val="0"/>
                  <w:marRight w:val="0"/>
                  <w:marTop w:val="0"/>
                  <w:marBottom w:val="0"/>
                  <w:divBdr>
                    <w:top w:val="none" w:sz="0" w:space="0" w:color="auto"/>
                    <w:left w:val="none" w:sz="0" w:space="0" w:color="auto"/>
                    <w:bottom w:val="none" w:sz="0" w:space="0" w:color="auto"/>
                    <w:right w:val="none" w:sz="0" w:space="0" w:color="auto"/>
                  </w:divBdr>
                  <w:divsChild>
                    <w:div w:id="2017269770">
                      <w:marLeft w:val="0"/>
                      <w:marRight w:val="0"/>
                      <w:marTop w:val="0"/>
                      <w:marBottom w:val="0"/>
                      <w:divBdr>
                        <w:top w:val="none" w:sz="0" w:space="0" w:color="auto"/>
                        <w:left w:val="none" w:sz="0" w:space="0" w:color="auto"/>
                        <w:bottom w:val="none" w:sz="0" w:space="0" w:color="auto"/>
                        <w:right w:val="none" w:sz="0" w:space="0" w:color="auto"/>
                      </w:divBdr>
                    </w:div>
                  </w:divsChild>
                </w:div>
                <w:div w:id="1476289366">
                  <w:marLeft w:val="0"/>
                  <w:marRight w:val="0"/>
                  <w:marTop w:val="0"/>
                  <w:marBottom w:val="0"/>
                  <w:divBdr>
                    <w:top w:val="none" w:sz="0" w:space="0" w:color="auto"/>
                    <w:left w:val="none" w:sz="0" w:space="0" w:color="auto"/>
                    <w:bottom w:val="none" w:sz="0" w:space="0" w:color="auto"/>
                    <w:right w:val="none" w:sz="0" w:space="0" w:color="auto"/>
                  </w:divBdr>
                  <w:divsChild>
                    <w:div w:id="1668902605">
                      <w:marLeft w:val="0"/>
                      <w:marRight w:val="0"/>
                      <w:marTop w:val="0"/>
                      <w:marBottom w:val="0"/>
                      <w:divBdr>
                        <w:top w:val="none" w:sz="0" w:space="0" w:color="auto"/>
                        <w:left w:val="none" w:sz="0" w:space="0" w:color="auto"/>
                        <w:bottom w:val="none" w:sz="0" w:space="0" w:color="auto"/>
                        <w:right w:val="none" w:sz="0" w:space="0" w:color="auto"/>
                      </w:divBdr>
                    </w:div>
                  </w:divsChild>
                </w:div>
                <w:div w:id="1493256746">
                  <w:marLeft w:val="0"/>
                  <w:marRight w:val="0"/>
                  <w:marTop w:val="0"/>
                  <w:marBottom w:val="0"/>
                  <w:divBdr>
                    <w:top w:val="none" w:sz="0" w:space="0" w:color="auto"/>
                    <w:left w:val="none" w:sz="0" w:space="0" w:color="auto"/>
                    <w:bottom w:val="none" w:sz="0" w:space="0" w:color="auto"/>
                    <w:right w:val="none" w:sz="0" w:space="0" w:color="auto"/>
                  </w:divBdr>
                  <w:divsChild>
                    <w:div w:id="1087076653">
                      <w:marLeft w:val="0"/>
                      <w:marRight w:val="0"/>
                      <w:marTop w:val="0"/>
                      <w:marBottom w:val="0"/>
                      <w:divBdr>
                        <w:top w:val="none" w:sz="0" w:space="0" w:color="auto"/>
                        <w:left w:val="none" w:sz="0" w:space="0" w:color="auto"/>
                        <w:bottom w:val="none" w:sz="0" w:space="0" w:color="auto"/>
                        <w:right w:val="none" w:sz="0" w:space="0" w:color="auto"/>
                      </w:divBdr>
                    </w:div>
                  </w:divsChild>
                </w:div>
                <w:div w:id="1521123256">
                  <w:marLeft w:val="0"/>
                  <w:marRight w:val="0"/>
                  <w:marTop w:val="0"/>
                  <w:marBottom w:val="0"/>
                  <w:divBdr>
                    <w:top w:val="none" w:sz="0" w:space="0" w:color="auto"/>
                    <w:left w:val="none" w:sz="0" w:space="0" w:color="auto"/>
                    <w:bottom w:val="none" w:sz="0" w:space="0" w:color="auto"/>
                    <w:right w:val="none" w:sz="0" w:space="0" w:color="auto"/>
                  </w:divBdr>
                  <w:divsChild>
                    <w:div w:id="1862429299">
                      <w:marLeft w:val="0"/>
                      <w:marRight w:val="0"/>
                      <w:marTop w:val="0"/>
                      <w:marBottom w:val="0"/>
                      <w:divBdr>
                        <w:top w:val="none" w:sz="0" w:space="0" w:color="auto"/>
                        <w:left w:val="none" w:sz="0" w:space="0" w:color="auto"/>
                        <w:bottom w:val="none" w:sz="0" w:space="0" w:color="auto"/>
                        <w:right w:val="none" w:sz="0" w:space="0" w:color="auto"/>
                      </w:divBdr>
                    </w:div>
                  </w:divsChild>
                </w:div>
                <w:div w:id="1578243183">
                  <w:marLeft w:val="0"/>
                  <w:marRight w:val="0"/>
                  <w:marTop w:val="0"/>
                  <w:marBottom w:val="0"/>
                  <w:divBdr>
                    <w:top w:val="none" w:sz="0" w:space="0" w:color="auto"/>
                    <w:left w:val="none" w:sz="0" w:space="0" w:color="auto"/>
                    <w:bottom w:val="none" w:sz="0" w:space="0" w:color="auto"/>
                    <w:right w:val="none" w:sz="0" w:space="0" w:color="auto"/>
                  </w:divBdr>
                  <w:divsChild>
                    <w:div w:id="525413331">
                      <w:marLeft w:val="0"/>
                      <w:marRight w:val="0"/>
                      <w:marTop w:val="0"/>
                      <w:marBottom w:val="0"/>
                      <w:divBdr>
                        <w:top w:val="none" w:sz="0" w:space="0" w:color="auto"/>
                        <w:left w:val="none" w:sz="0" w:space="0" w:color="auto"/>
                        <w:bottom w:val="none" w:sz="0" w:space="0" w:color="auto"/>
                        <w:right w:val="none" w:sz="0" w:space="0" w:color="auto"/>
                      </w:divBdr>
                    </w:div>
                  </w:divsChild>
                </w:div>
                <w:div w:id="1619531566">
                  <w:marLeft w:val="0"/>
                  <w:marRight w:val="0"/>
                  <w:marTop w:val="0"/>
                  <w:marBottom w:val="0"/>
                  <w:divBdr>
                    <w:top w:val="none" w:sz="0" w:space="0" w:color="auto"/>
                    <w:left w:val="none" w:sz="0" w:space="0" w:color="auto"/>
                    <w:bottom w:val="none" w:sz="0" w:space="0" w:color="auto"/>
                    <w:right w:val="none" w:sz="0" w:space="0" w:color="auto"/>
                  </w:divBdr>
                  <w:divsChild>
                    <w:div w:id="530459740">
                      <w:marLeft w:val="0"/>
                      <w:marRight w:val="0"/>
                      <w:marTop w:val="0"/>
                      <w:marBottom w:val="0"/>
                      <w:divBdr>
                        <w:top w:val="none" w:sz="0" w:space="0" w:color="auto"/>
                        <w:left w:val="none" w:sz="0" w:space="0" w:color="auto"/>
                        <w:bottom w:val="none" w:sz="0" w:space="0" w:color="auto"/>
                        <w:right w:val="none" w:sz="0" w:space="0" w:color="auto"/>
                      </w:divBdr>
                    </w:div>
                  </w:divsChild>
                </w:div>
                <w:div w:id="1622414196">
                  <w:marLeft w:val="0"/>
                  <w:marRight w:val="0"/>
                  <w:marTop w:val="0"/>
                  <w:marBottom w:val="0"/>
                  <w:divBdr>
                    <w:top w:val="none" w:sz="0" w:space="0" w:color="auto"/>
                    <w:left w:val="none" w:sz="0" w:space="0" w:color="auto"/>
                    <w:bottom w:val="none" w:sz="0" w:space="0" w:color="auto"/>
                    <w:right w:val="none" w:sz="0" w:space="0" w:color="auto"/>
                  </w:divBdr>
                  <w:divsChild>
                    <w:div w:id="11691865">
                      <w:marLeft w:val="0"/>
                      <w:marRight w:val="0"/>
                      <w:marTop w:val="0"/>
                      <w:marBottom w:val="0"/>
                      <w:divBdr>
                        <w:top w:val="none" w:sz="0" w:space="0" w:color="auto"/>
                        <w:left w:val="none" w:sz="0" w:space="0" w:color="auto"/>
                        <w:bottom w:val="none" w:sz="0" w:space="0" w:color="auto"/>
                        <w:right w:val="none" w:sz="0" w:space="0" w:color="auto"/>
                      </w:divBdr>
                    </w:div>
                  </w:divsChild>
                </w:div>
                <w:div w:id="1643996708">
                  <w:marLeft w:val="0"/>
                  <w:marRight w:val="0"/>
                  <w:marTop w:val="0"/>
                  <w:marBottom w:val="0"/>
                  <w:divBdr>
                    <w:top w:val="none" w:sz="0" w:space="0" w:color="auto"/>
                    <w:left w:val="none" w:sz="0" w:space="0" w:color="auto"/>
                    <w:bottom w:val="none" w:sz="0" w:space="0" w:color="auto"/>
                    <w:right w:val="none" w:sz="0" w:space="0" w:color="auto"/>
                  </w:divBdr>
                  <w:divsChild>
                    <w:div w:id="698745899">
                      <w:marLeft w:val="0"/>
                      <w:marRight w:val="0"/>
                      <w:marTop w:val="0"/>
                      <w:marBottom w:val="0"/>
                      <w:divBdr>
                        <w:top w:val="none" w:sz="0" w:space="0" w:color="auto"/>
                        <w:left w:val="none" w:sz="0" w:space="0" w:color="auto"/>
                        <w:bottom w:val="none" w:sz="0" w:space="0" w:color="auto"/>
                        <w:right w:val="none" w:sz="0" w:space="0" w:color="auto"/>
                      </w:divBdr>
                    </w:div>
                  </w:divsChild>
                </w:div>
                <w:div w:id="1648700334">
                  <w:marLeft w:val="0"/>
                  <w:marRight w:val="0"/>
                  <w:marTop w:val="0"/>
                  <w:marBottom w:val="0"/>
                  <w:divBdr>
                    <w:top w:val="none" w:sz="0" w:space="0" w:color="auto"/>
                    <w:left w:val="none" w:sz="0" w:space="0" w:color="auto"/>
                    <w:bottom w:val="none" w:sz="0" w:space="0" w:color="auto"/>
                    <w:right w:val="none" w:sz="0" w:space="0" w:color="auto"/>
                  </w:divBdr>
                  <w:divsChild>
                    <w:div w:id="61488555">
                      <w:marLeft w:val="0"/>
                      <w:marRight w:val="0"/>
                      <w:marTop w:val="0"/>
                      <w:marBottom w:val="0"/>
                      <w:divBdr>
                        <w:top w:val="none" w:sz="0" w:space="0" w:color="auto"/>
                        <w:left w:val="none" w:sz="0" w:space="0" w:color="auto"/>
                        <w:bottom w:val="none" w:sz="0" w:space="0" w:color="auto"/>
                        <w:right w:val="none" w:sz="0" w:space="0" w:color="auto"/>
                      </w:divBdr>
                    </w:div>
                  </w:divsChild>
                </w:div>
                <w:div w:id="1655449016">
                  <w:marLeft w:val="0"/>
                  <w:marRight w:val="0"/>
                  <w:marTop w:val="0"/>
                  <w:marBottom w:val="0"/>
                  <w:divBdr>
                    <w:top w:val="none" w:sz="0" w:space="0" w:color="auto"/>
                    <w:left w:val="none" w:sz="0" w:space="0" w:color="auto"/>
                    <w:bottom w:val="none" w:sz="0" w:space="0" w:color="auto"/>
                    <w:right w:val="none" w:sz="0" w:space="0" w:color="auto"/>
                  </w:divBdr>
                  <w:divsChild>
                    <w:div w:id="1968387015">
                      <w:marLeft w:val="0"/>
                      <w:marRight w:val="0"/>
                      <w:marTop w:val="0"/>
                      <w:marBottom w:val="0"/>
                      <w:divBdr>
                        <w:top w:val="none" w:sz="0" w:space="0" w:color="auto"/>
                        <w:left w:val="none" w:sz="0" w:space="0" w:color="auto"/>
                        <w:bottom w:val="none" w:sz="0" w:space="0" w:color="auto"/>
                        <w:right w:val="none" w:sz="0" w:space="0" w:color="auto"/>
                      </w:divBdr>
                    </w:div>
                  </w:divsChild>
                </w:div>
                <w:div w:id="1669669473">
                  <w:marLeft w:val="0"/>
                  <w:marRight w:val="0"/>
                  <w:marTop w:val="0"/>
                  <w:marBottom w:val="0"/>
                  <w:divBdr>
                    <w:top w:val="none" w:sz="0" w:space="0" w:color="auto"/>
                    <w:left w:val="none" w:sz="0" w:space="0" w:color="auto"/>
                    <w:bottom w:val="none" w:sz="0" w:space="0" w:color="auto"/>
                    <w:right w:val="none" w:sz="0" w:space="0" w:color="auto"/>
                  </w:divBdr>
                  <w:divsChild>
                    <w:div w:id="369307881">
                      <w:marLeft w:val="0"/>
                      <w:marRight w:val="0"/>
                      <w:marTop w:val="0"/>
                      <w:marBottom w:val="0"/>
                      <w:divBdr>
                        <w:top w:val="none" w:sz="0" w:space="0" w:color="auto"/>
                        <w:left w:val="none" w:sz="0" w:space="0" w:color="auto"/>
                        <w:bottom w:val="none" w:sz="0" w:space="0" w:color="auto"/>
                        <w:right w:val="none" w:sz="0" w:space="0" w:color="auto"/>
                      </w:divBdr>
                    </w:div>
                  </w:divsChild>
                </w:div>
                <w:div w:id="1684431974">
                  <w:marLeft w:val="0"/>
                  <w:marRight w:val="0"/>
                  <w:marTop w:val="0"/>
                  <w:marBottom w:val="0"/>
                  <w:divBdr>
                    <w:top w:val="none" w:sz="0" w:space="0" w:color="auto"/>
                    <w:left w:val="none" w:sz="0" w:space="0" w:color="auto"/>
                    <w:bottom w:val="none" w:sz="0" w:space="0" w:color="auto"/>
                    <w:right w:val="none" w:sz="0" w:space="0" w:color="auto"/>
                  </w:divBdr>
                  <w:divsChild>
                    <w:div w:id="326633745">
                      <w:marLeft w:val="0"/>
                      <w:marRight w:val="0"/>
                      <w:marTop w:val="0"/>
                      <w:marBottom w:val="0"/>
                      <w:divBdr>
                        <w:top w:val="none" w:sz="0" w:space="0" w:color="auto"/>
                        <w:left w:val="none" w:sz="0" w:space="0" w:color="auto"/>
                        <w:bottom w:val="none" w:sz="0" w:space="0" w:color="auto"/>
                        <w:right w:val="none" w:sz="0" w:space="0" w:color="auto"/>
                      </w:divBdr>
                    </w:div>
                  </w:divsChild>
                </w:div>
                <w:div w:id="1722316676">
                  <w:marLeft w:val="0"/>
                  <w:marRight w:val="0"/>
                  <w:marTop w:val="0"/>
                  <w:marBottom w:val="0"/>
                  <w:divBdr>
                    <w:top w:val="none" w:sz="0" w:space="0" w:color="auto"/>
                    <w:left w:val="none" w:sz="0" w:space="0" w:color="auto"/>
                    <w:bottom w:val="none" w:sz="0" w:space="0" w:color="auto"/>
                    <w:right w:val="none" w:sz="0" w:space="0" w:color="auto"/>
                  </w:divBdr>
                  <w:divsChild>
                    <w:div w:id="518278756">
                      <w:marLeft w:val="0"/>
                      <w:marRight w:val="0"/>
                      <w:marTop w:val="0"/>
                      <w:marBottom w:val="0"/>
                      <w:divBdr>
                        <w:top w:val="none" w:sz="0" w:space="0" w:color="auto"/>
                        <w:left w:val="none" w:sz="0" w:space="0" w:color="auto"/>
                        <w:bottom w:val="none" w:sz="0" w:space="0" w:color="auto"/>
                        <w:right w:val="none" w:sz="0" w:space="0" w:color="auto"/>
                      </w:divBdr>
                    </w:div>
                  </w:divsChild>
                </w:div>
                <w:div w:id="1726026996">
                  <w:marLeft w:val="0"/>
                  <w:marRight w:val="0"/>
                  <w:marTop w:val="0"/>
                  <w:marBottom w:val="0"/>
                  <w:divBdr>
                    <w:top w:val="none" w:sz="0" w:space="0" w:color="auto"/>
                    <w:left w:val="none" w:sz="0" w:space="0" w:color="auto"/>
                    <w:bottom w:val="none" w:sz="0" w:space="0" w:color="auto"/>
                    <w:right w:val="none" w:sz="0" w:space="0" w:color="auto"/>
                  </w:divBdr>
                  <w:divsChild>
                    <w:div w:id="1853639925">
                      <w:marLeft w:val="0"/>
                      <w:marRight w:val="0"/>
                      <w:marTop w:val="0"/>
                      <w:marBottom w:val="0"/>
                      <w:divBdr>
                        <w:top w:val="none" w:sz="0" w:space="0" w:color="auto"/>
                        <w:left w:val="none" w:sz="0" w:space="0" w:color="auto"/>
                        <w:bottom w:val="none" w:sz="0" w:space="0" w:color="auto"/>
                        <w:right w:val="none" w:sz="0" w:space="0" w:color="auto"/>
                      </w:divBdr>
                    </w:div>
                  </w:divsChild>
                </w:div>
                <w:div w:id="1764691743">
                  <w:marLeft w:val="0"/>
                  <w:marRight w:val="0"/>
                  <w:marTop w:val="0"/>
                  <w:marBottom w:val="0"/>
                  <w:divBdr>
                    <w:top w:val="none" w:sz="0" w:space="0" w:color="auto"/>
                    <w:left w:val="none" w:sz="0" w:space="0" w:color="auto"/>
                    <w:bottom w:val="none" w:sz="0" w:space="0" w:color="auto"/>
                    <w:right w:val="none" w:sz="0" w:space="0" w:color="auto"/>
                  </w:divBdr>
                  <w:divsChild>
                    <w:div w:id="764225685">
                      <w:marLeft w:val="0"/>
                      <w:marRight w:val="0"/>
                      <w:marTop w:val="0"/>
                      <w:marBottom w:val="0"/>
                      <w:divBdr>
                        <w:top w:val="none" w:sz="0" w:space="0" w:color="auto"/>
                        <w:left w:val="none" w:sz="0" w:space="0" w:color="auto"/>
                        <w:bottom w:val="none" w:sz="0" w:space="0" w:color="auto"/>
                        <w:right w:val="none" w:sz="0" w:space="0" w:color="auto"/>
                      </w:divBdr>
                    </w:div>
                  </w:divsChild>
                </w:div>
                <w:div w:id="1789621811">
                  <w:marLeft w:val="0"/>
                  <w:marRight w:val="0"/>
                  <w:marTop w:val="0"/>
                  <w:marBottom w:val="0"/>
                  <w:divBdr>
                    <w:top w:val="none" w:sz="0" w:space="0" w:color="auto"/>
                    <w:left w:val="none" w:sz="0" w:space="0" w:color="auto"/>
                    <w:bottom w:val="none" w:sz="0" w:space="0" w:color="auto"/>
                    <w:right w:val="none" w:sz="0" w:space="0" w:color="auto"/>
                  </w:divBdr>
                  <w:divsChild>
                    <w:div w:id="1368678670">
                      <w:marLeft w:val="0"/>
                      <w:marRight w:val="0"/>
                      <w:marTop w:val="0"/>
                      <w:marBottom w:val="0"/>
                      <w:divBdr>
                        <w:top w:val="none" w:sz="0" w:space="0" w:color="auto"/>
                        <w:left w:val="none" w:sz="0" w:space="0" w:color="auto"/>
                        <w:bottom w:val="none" w:sz="0" w:space="0" w:color="auto"/>
                        <w:right w:val="none" w:sz="0" w:space="0" w:color="auto"/>
                      </w:divBdr>
                    </w:div>
                  </w:divsChild>
                </w:div>
                <w:div w:id="1808743442">
                  <w:marLeft w:val="0"/>
                  <w:marRight w:val="0"/>
                  <w:marTop w:val="0"/>
                  <w:marBottom w:val="0"/>
                  <w:divBdr>
                    <w:top w:val="none" w:sz="0" w:space="0" w:color="auto"/>
                    <w:left w:val="none" w:sz="0" w:space="0" w:color="auto"/>
                    <w:bottom w:val="none" w:sz="0" w:space="0" w:color="auto"/>
                    <w:right w:val="none" w:sz="0" w:space="0" w:color="auto"/>
                  </w:divBdr>
                  <w:divsChild>
                    <w:div w:id="1687825010">
                      <w:marLeft w:val="0"/>
                      <w:marRight w:val="0"/>
                      <w:marTop w:val="0"/>
                      <w:marBottom w:val="0"/>
                      <w:divBdr>
                        <w:top w:val="none" w:sz="0" w:space="0" w:color="auto"/>
                        <w:left w:val="none" w:sz="0" w:space="0" w:color="auto"/>
                        <w:bottom w:val="none" w:sz="0" w:space="0" w:color="auto"/>
                        <w:right w:val="none" w:sz="0" w:space="0" w:color="auto"/>
                      </w:divBdr>
                    </w:div>
                  </w:divsChild>
                </w:div>
                <w:div w:id="1817407157">
                  <w:marLeft w:val="0"/>
                  <w:marRight w:val="0"/>
                  <w:marTop w:val="0"/>
                  <w:marBottom w:val="0"/>
                  <w:divBdr>
                    <w:top w:val="none" w:sz="0" w:space="0" w:color="auto"/>
                    <w:left w:val="none" w:sz="0" w:space="0" w:color="auto"/>
                    <w:bottom w:val="none" w:sz="0" w:space="0" w:color="auto"/>
                    <w:right w:val="none" w:sz="0" w:space="0" w:color="auto"/>
                  </w:divBdr>
                  <w:divsChild>
                    <w:div w:id="804734794">
                      <w:marLeft w:val="0"/>
                      <w:marRight w:val="0"/>
                      <w:marTop w:val="0"/>
                      <w:marBottom w:val="0"/>
                      <w:divBdr>
                        <w:top w:val="none" w:sz="0" w:space="0" w:color="auto"/>
                        <w:left w:val="none" w:sz="0" w:space="0" w:color="auto"/>
                        <w:bottom w:val="none" w:sz="0" w:space="0" w:color="auto"/>
                        <w:right w:val="none" w:sz="0" w:space="0" w:color="auto"/>
                      </w:divBdr>
                    </w:div>
                  </w:divsChild>
                </w:div>
                <w:div w:id="1842698765">
                  <w:marLeft w:val="0"/>
                  <w:marRight w:val="0"/>
                  <w:marTop w:val="0"/>
                  <w:marBottom w:val="0"/>
                  <w:divBdr>
                    <w:top w:val="none" w:sz="0" w:space="0" w:color="auto"/>
                    <w:left w:val="none" w:sz="0" w:space="0" w:color="auto"/>
                    <w:bottom w:val="none" w:sz="0" w:space="0" w:color="auto"/>
                    <w:right w:val="none" w:sz="0" w:space="0" w:color="auto"/>
                  </w:divBdr>
                  <w:divsChild>
                    <w:div w:id="1071462143">
                      <w:marLeft w:val="0"/>
                      <w:marRight w:val="0"/>
                      <w:marTop w:val="0"/>
                      <w:marBottom w:val="0"/>
                      <w:divBdr>
                        <w:top w:val="none" w:sz="0" w:space="0" w:color="auto"/>
                        <w:left w:val="none" w:sz="0" w:space="0" w:color="auto"/>
                        <w:bottom w:val="none" w:sz="0" w:space="0" w:color="auto"/>
                        <w:right w:val="none" w:sz="0" w:space="0" w:color="auto"/>
                      </w:divBdr>
                    </w:div>
                  </w:divsChild>
                </w:div>
                <w:div w:id="1847593380">
                  <w:marLeft w:val="0"/>
                  <w:marRight w:val="0"/>
                  <w:marTop w:val="0"/>
                  <w:marBottom w:val="0"/>
                  <w:divBdr>
                    <w:top w:val="none" w:sz="0" w:space="0" w:color="auto"/>
                    <w:left w:val="none" w:sz="0" w:space="0" w:color="auto"/>
                    <w:bottom w:val="none" w:sz="0" w:space="0" w:color="auto"/>
                    <w:right w:val="none" w:sz="0" w:space="0" w:color="auto"/>
                  </w:divBdr>
                  <w:divsChild>
                    <w:div w:id="682441401">
                      <w:marLeft w:val="0"/>
                      <w:marRight w:val="0"/>
                      <w:marTop w:val="0"/>
                      <w:marBottom w:val="0"/>
                      <w:divBdr>
                        <w:top w:val="none" w:sz="0" w:space="0" w:color="auto"/>
                        <w:left w:val="none" w:sz="0" w:space="0" w:color="auto"/>
                        <w:bottom w:val="none" w:sz="0" w:space="0" w:color="auto"/>
                        <w:right w:val="none" w:sz="0" w:space="0" w:color="auto"/>
                      </w:divBdr>
                    </w:div>
                  </w:divsChild>
                </w:div>
                <w:div w:id="1864323576">
                  <w:marLeft w:val="0"/>
                  <w:marRight w:val="0"/>
                  <w:marTop w:val="0"/>
                  <w:marBottom w:val="0"/>
                  <w:divBdr>
                    <w:top w:val="none" w:sz="0" w:space="0" w:color="auto"/>
                    <w:left w:val="none" w:sz="0" w:space="0" w:color="auto"/>
                    <w:bottom w:val="none" w:sz="0" w:space="0" w:color="auto"/>
                    <w:right w:val="none" w:sz="0" w:space="0" w:color="auto"/>
                  </w:divBdr>
                  <w:divsChild>
                    <w:div w:id="1710107117">
                      <w:marLeft w:val="0"/>
                      <w:marRight w:val="0"/>
                      <w:marTop w:val="0"/>
                      <w:marBottom w:val="0"/>
                      <w:divBdr>
                        <w:top w:val="none" w:sz="0" w:space="0" w:color="auto"/>
                        <w:left w:val="none" w:sz="0" w:space="0" w:color="auto"/>
                        <w:bottom w:val="none" w:sz="0" w:space="0" w:color="auto"/>
                        <w:right w:val="none" w:sz="0" w:space="0" w:color="auto"/>
                      </w:divBdr>
                    </w:div>
                  </w:divsChild>
                </w:div>
                <w:div w:id="1869414489">
                  <w:marLeft w:val="0"/>
                  <w:marRight w:val="0"/>
                  <w:marTop w:val="0"/>
                  <w:marBottom w:val="0"/>
                  <w:divBdr>
                    <w:top w:val="none" w:sz="0" w:space="0" w:color="auto"/>
                    <w:left w:val="none" w:sz="0" w:space="0" w:color="auto"/>
                    <w:bottom w:val="none" w:sz="0" w:space="0" w:color="auto"/>
                    <w:right w:val="none" w:sz="0" w:space="0" w:color="auto"/>
                  </w:divBdr>
                  <w:divsChild>
                    <w:div w:id="1613197836">
                      <w:marLeft w:val="0"/>
                      <w:marRight w:val="0"/>
                      <w:marTop w:val="0"/>
                      <w:marBottom w:val="0"/>
                      <w:divBdr>
                        <w:top w:val="none" w:sz="0" w:space="0" w:color="auto"/>
                        <w:left w:val="none" w:sz="0" w:space="0" w:color="auto"/>
                        <w:bottom w:val="none" w:sz="0" w:space="0" w:color="auto"/>
                        <w:right w:val="none" w:sz="0" w:space="0" w:color="auto"/>
                      </w:divBdr>
                    </w:div>
                  </w:divsChild>
                </w:div>
                <w:div w:id="1877737597">
                  <w:marLeft w:val="0"/>
                  <w:marRight w:val="0"/>
                  <w:marTop w:val="0"/>
                  <w:marBottom w:val="0"/>
                  <w:divBdr>
                    <w:top w:val="none" w:sz="0" w:space="0" w:color="auto"/>
                    <w:left w:val="none" w:sz="0" w:space="0" w:color="auto"/>
                    <w:bottom w:val="none" w:sz="0" w:space="0" w:color="auto"/>
                    <w:right w:val="none" w:sz="0" w:space="0" w:color="auto"/>
                  </w:divBdr>
                  <w:divsChild>
                    <w:div w:id="727606415">
                      <w:marLeft w:val="0"/>
                      <w:marRight w:val="0"/>
                      <w:marTop w:val="0"/>
                      <w:marBottom w:val="0"/>
                      <w:divBdr>
                        <w:top w:val="none" w:sz="0" w:space="0" w:color="auto"/>
                        <w:left w:val="none" w:sz="0" w:space="0" w:color="auto"/>
                        <w:bottom w:val="none" w:sz="0" w:space="0" w:color="auto"/>
                        <w:right w:val="none" w:sz="0" w:space="0" w:color="auto"/>
                      </w:divBdr>
                    </w:div>
                  </w:divsChild>
                </w:div>
                <w:div w:id="1880893937">
                  <w:marLeft w:val="0"/>
                  <w:marRight w:val="0"/>
                  <w:marTop w:val="0"/>
                  <w:marBottom w:val="0"/>
                  <w:divBdr>
                    <w:top w:val="none" w:sz="0" w:space="0" w:color="auto"/>
                    <w:left w:val="none" w:sz="0" w:space="0" w:color="auto"/>
                    <w:bottom w:val="none" w:sz="0" w:space="0" w:color="auto"/>
                    <w:right w:val="none" w:sz="0" w:space="0" w:color="auto"/>
                  </w:divBdr>
                  <w:divsChild>
                    <w:div w:id="1487629469">
                      <w:marLeft w:val="0"/>
                      <w:marRight w:val="0"/>
                      <w:marTop w:val="0"/>
                      <w:marBottom w:val="0"/>
                      <w:divBdr>
                        <w:top w:val="none" w:sz="0" w:space="0" w:color="auto"/>
                        <w:left w:val="none" w:sz="0" w:space="0" w:color="auto"/>
                        <w:bottom w:val="none" w:sz="0" w:space="0" w:color="auto"/>
                        <w:right w:val="none" w:sz="0" w:space="0" w:color="auto"/>
                      </w:divBdr>
                    </w:div>
                  </w:divsChild>
                </w:div>
                <w:div w:id="1914777878">
                  <w:marLeft w:val="0"/>
                  <w:marRight w:val="0"/>
                  <w:marTop w:val="0"/>
                  <w:marBottom w:val="0"/>
                  <w:divBdr>
                    <w:top w:val="none" w:sz="0" w:space="0" w:color="auto"/>
                    <w:left w:val="none" w:sz="0" w:space="0" w:color="auto"/>
                    <w:bottom w:val="none" w:sz="0" w:space="0" w:color="auto"/>
                    <w:right w:val="none" w:sz="0" w:space="0" w:color="auto"/>
                  </w:divBdr>
                  <w:divsChild>
                    <w:div w:id="1847860703">
                      <w:marLeft w:val="0"/>
                      <w:marRight w:val="0"/>
                      <w:marTop w:val="0"/>
                      <w:marBottom w:val="0"/>
                      <w:divBdr>
                        <w:top w:val="none" w:sz="0" w:space="0" w:color="auto"/>
                        <w:left w:val="none" w:sz="0" w:space="0" w:color="auto"/>
                        <w:bottom w:val="none" w:sz="0" w:space="0" w:color="auto"/>
                        <w:right w:val="none" w:sz="0" w:space="0" w:color="auto"/>
                      </w:divBdr>
                    </w:div>
                  </w:divsChild>
                </w:div>
                <w:div w:id="1920863097">
                  <w:marLeft w:val="0"/>
                  <w:marRight w:val="0"/>
                  <w:marTop w:val="0"/>
                  <w:marBottom w:val="0"/>
                  <w:divBdr>
                    <w:top w:val="none" w:sz="0" w:space="0" w:color="auto"/>
                    <w:left w:val="none" w:sz="0" w:space="0" w:color="auto"/>
                    <w:bottom w:val="none" w:sz="0" w:space="0" w:color="auto"/>
                    <w:right w:val="none" w:sz="0" w:space="0" w:color="auto"/>
                  </w:divBdr>
                  <w:divsChild>
                    <w:div w:id="47849964">
                      <w:marLeft w:val="0"/>
                      <w:marRight w:val="0"/>
                      <w:marTop w:val="0"/>
                      <w:marBottom w:val="0"/>
                      <w:divBdr>
                        <w:top w:val="none" w:sz="0" w:space="0" w:color="auto"/>
                        <w:left w:val="none" w:sz="0" w:space="0" w:color="auto"/>
                        <w:bottom w:val="none" w:sz="0" w:space="0" w:color="auto"/>
                        <w:right w:val="none" w:sz="0" w:space="0" w:color="auto"/>
                      </w:divBdr>
                    </w:div>
                    <w:div w:id="636421107">
                      <w:marLeft w:val="0"/>
                      <w:marRight w:val="0"/>
                      <w:marTop w:val="0"/>
                      <w:marBottom w:val="0"/>
                      <w:divBdr>
                        <w:top w:val="none" w:sz="0" w:space="0" w:color="auto"/>
                        <w:left w:val="none" w:sz="0" w:space="0" w:color="auto"/>
                        <w:bottom w:val="none" w:sz="0" w:space="0" w:color="auto"/>
                        <w:right w:val="none" w:sz="0" w:space="0" w:color="auto"/>
                      </w:divBdr>
                    </w:div>
                    <w:div w:id="950549913">
                      <w:marLeft w:val="0"/>
                      <w:marRight w:val="0"/>
                      <w:marTop w:val="0"/>
                      <w:marBottom w:val="0"/>
                      <w:divBdr>
                        <w:top w:val="none" w:sz="0" w:space="0" w:color="auto"/>
                        <w:left w:val="none" w:sz="0" w:space="0" w:color="auto"/>
                        <w:bottom w:val="none" w:sz="0" w:space="0" w:color="auto"/>
                        <w:right w:val="none" w:sz="0" w:space="0" w:color="auto"/>
                      </w:divBdr>
                    </w:div>
                  </w:divsChild>
                </w:div>
                <w:div w:id="1929920220">
                  <w:marLeft w:val="0"/>
                  <w:marRight w:val="0"/>
                  <w:marTop w:val="0"/>
                  <w:marBottom w:val="0"/>
                  <w:divBdr>
                    <w:top w:val="none" w:sz="0" w:space="0" w:color="auto"/>
                    <w:left w:val="none" w:sz="0" w:space="0" w:color="auto"/>
                    <w:bottom w:val="none" w:sz="0" w:space="0" w:color="auto"/>
                    <w:right w:val="none" w:sz="0" w:space="0" w:color="auto"/>
                  </w:divBdr>
                  <w:divsChild>
                    <w:div w:id="1631786592">
                      <w:marLeft w:val="0"/>
                      <w:marRight w:val="0"/>
                      <w:marTop w:val="0"/>
                      <w:marBottom w:val="0"/>
                      <w:divBdr>
                        <w:top w:val="none" w:sz="0" w:space="0" w:color="auto"/>
                        <w:left w:val="none" w:sz="0" w:space="0" w:color="auto"/>
                        <w:bottom w:val="none" w:sz="0" w:space="0" w:color="auto"/>
                        <w:right w:val="none" w:sz="0" w:space="0" w:color="auto"/>
                      </w:divBdr>
                    </w:div>
                  </w:divsChild>
                </w:div>
                <w:div w:id="1931812316">
                  <w:marLeft w:val="0"/>
                  <w:marRight w:val="0"/>
                  <w:marTop w:val="0"/>
                  <w:marBottom w:val="0"/>
                  <w:divBdr>
                    <w:top w:val="none" w:sz="0" w:space="0" w:color="auto"/>
                    <w:left w:val="none" w:sz="0" w:space="0" w:color="auto"/>
                    <w:bottom w:val="none" w:sz="0" w:space="0" w:color="auto"/>
                    <w:right w:val="none" w:sz="0" w:space="0" w:color="auto"/>
                  </w:divBdr>
                  <w:divsChild>
                    <w:div w:id="112285528">
                      <w:marLeft w:val="0"/>
                      <w:marRight w:val="0"/>
                      <w:marTop w:val="0"/>
                      <w:marBottom w:val="0"/>
                      <w:divBdr>
                        <w:top w:val="none" w:sz="0" w:space="0" w:color="auto"/>
                        <w:left w:val="none" w:sz="0" w:space="0" w:color="auto"/>
                        <w:bottom w:val="none" w:sz="0" w:space="0" w:color="auto"/>
                        <w:right w:val="none" w:sz="0" w:space="0" w:color="auto"/>
                      </w:divBdr>
                    </w:div>
                  </w:divsChild>
                </w:div>
                <w:div w:id="1945183919">
                  <w:marLeft w:val="0"/>
                  <w:marRight w:val="0"/>
                  <w:marTop w:val="0"/>
                  <w:marBottom w:val="0"/>
                  <w:divBdr>
                    <w:top w:val="none" w:sz="0" w:space="0" w:color="auto"/>
                    <w:left w:val="none" w:sz="0" w:space="0" w:color="auto"/>
                    <w:bottom w:val="none" w:sz="0" w:space="0" w:color="auto"/>
                    <w:right w:val="none" w:sz="0" w:space="0" w:color="auto"/>
                  </w:divBdr>
                  <w:divsChild>
                    <w:div w:id="1166672672">
                      <w:marLeft w:val="0"/>
                      <w:marRight w:val="0"/>
                      <w:marTop w:val="0"/>
                      <w:marBottom w:val="0"/>
                      <w:divBdr>
                        <w:top w:val="none" w:sz="0" w:space="0" w:color="auto"/>
                        <w:left w:val="none" w:sz="0" w:space="0" w:color="auto"/>
                        <w:bottom w:val="none" w:sz="0" w:space="0" w:color="auto"/>
                        <w:right w:val="none" w:sz="0" w:space="0" w:color="auto"/>
                      </w:divBdr>
                    </w:div>
                  </w:divsChild>
                </w:div>
                <w:div w:id="1946184050">
                  <w:marLeft w:val="0"/>
                  <w:marRight w:val="0"/>
                  <w:marTop w:val="0"/>
                  <w:marBottom w:val="0"/>
                  <w:divBdr>
                    <w:top w:val="none" w:sz="0" w:space="0" w:color="auto"/>
                    <w:left w:val="none" w:sz="0" w:space="0" w:color="auto"/>
                    <w:bottom w:val="none" w:sz="0" w:space="0" w:color="auto"/>
                    <w:right w:val="none" w:sz="0" w:space="0" w:color="auto"/>
                  </w:divBdr>
                  <w:divsChild>
                    <w:div w:id="1680768689">
                      <w:marLeft w:val="0"/>
                      <w:marRight w:val="0"/>
                      <w:marTop w:val="0"/>
                      <w:marBottom w:val="0"/>
                      <w:divBdr>
                        <w:top w:val="none" w:sz="0" w:space="0" w:color="auto"/>
                        <w:left w:val="none" w:sz="0" w:space="0" w:color="auto"/>
                        <w:bottom w:val="none" w:sz="0" w:space="0" w:color="auto"/>
                        <w:right w:val="none" w:sz="0" w:space="0" w:color="auto"/>
                      </w:divBdr>
                    </w:div>
                  </w:divsChild>
                </w:div>
                <w:div w:id="1966571317">
                  <w:marLeft w:val="0"/>
                  <w:marRight w:val="0"/>
                  <w:marTop w:val="0"/>
                  <w:marBottom w:val="0"/>
                  <w:divBdr>
                    <w:top w:val="none" w:sz="0" w:space="0" w:color="auto"/>
                    <w:left w:val="none" w:sz="0" w:space="0" w:color="auto"/>
                    <w:bottom w:val="none" w:sz="0" w:space="0" w:color="auto"/>
                    <w:right w:val="none" w:sz="0" w:space="0" w:color="auto"/>
                  </w:divBdr>
                  <w:divsChild>
                    <w:div w:id="127363146">
                      <w:marLeft w:val="0"/>
                      <w:marRight w:val="0"/>
                      <w:marTop w:val="0"/>
                      <w:marBottom w:val="0"/>
                      <w:divBdr>
                        <w:top w:val="none" w:sz="0" w:space="0" w:color="auto"/>
                        <w:left w:val="none" w:sz="0" w:space="0" w:color="auto"/>
                        <w:bottom w:val="none" w:sz="0" w:space="0" w:color="auto"/>
                        <w:right w:val="none" w:sz="0" w:space="0" w:color="auto"/>
                      </w:divBdr>
                    </w:div>
                  </w:divsChild>
                </w:div>
                <w:div w:id="1972713167">
                  <w:marLeft w:val="0"/>
                  <w:marRight w:val="0"/>
                  <w:marTop w:val="0"/>
                  <w:marBottom w:val="0"/>
                  <w:divBdr>
                    <w:top w:val="none" w:sz="0" w:space="0" w:color="auto"/>
                    <w:left w:val="none" w:sz="0" w:space="0" w:color="auto"/>
                    <w:bottom w:val="none" w:sz="0" w:space="0" w:color="auto"/>
                    <w:right w:val="none" w:sz="0" w:space="0" w:color="auto"/>
                  </w:divBdr>
                  <w:divsChild>
                    <w:div w:id="1458720076">
                      <w:marLeft w:val="0"/>
                      <w:marRight w:val="0"/>
                      <w:marTop w:val="0"/>
                      <w:marBottom w:val="0"/>
                      <w:divBdr>
                        <w:top w:val="none" w:sz="0" w:space="0" w:color="auto"/>
                        <w:left w:val="none" w:sz="0" w:space="0" w:color="auto"/>
                        <w:bottom w:val="none" w:sz="0" w:space="0" w:color="auto"/>
                        <w:right w:val="none" w:sz="0" w:space="0" w:color="auto"/>
                      </w:divBdr>
                    </w:div>
                  </w:divsChild>
                </w:div>
                <w:div w:id="1979147431">
                  <w:marLeft w:val="0"/>
                  <w:marRight w:val="0"/>
                  <w:marTop w:val="0"/>
                  <w:marBottom w:val="0"/>
                  <w:divBdr>
                    <w:top w:val="none" w:sz="0" w:space="0" w:color="auto"/>
                    <w:left w:val="none" w:sz="0" w:space="0" w:color="auto"/>
                    <w:bottom w:val="none" w:sz="0" w:space="0" w:color="auto"/>
                    <w:right w:val="none" w:sz="0" w:space="0" w:color="auto"/>
                  </w:divBdr>
                  <w:divsChild>
                    <w:div w:id="1799297466">
                      <w:marLeft w:val="0"/>
                      <w:marRight w:val="0"/>
                      <w:marTop w:val="0"/>
                      <w:marBottom w:val="0"/>
                      <w:divBdr>
                        <w:top w:val="none" w:sz="0" w:space="0" w:color="auto"/>
                        <w:left w:val="none" w:sz="0" w:space="0" w:color="auto"/>
                        <w:bottom w:val="none" w:sz="0" w:space="0" w:color="auto"/>
                        <w:right w:val="none" w:sz="0" w:space="0" w:color="auto"/>
                      </w:divBdr>
                    </w:div>
                  </w:divsChild>
                </w:div>
                <w:div w:id="1989090443">
                  <w:marLeft w:val="0"/>
                  <w:marRight w:val="0"/>
                  <w:marTop w:val="0"/>
                  <w:marBottom w:val="0"/>
                  <w:divBdr>
                    <w:top w:val="none" w:sz="0" w:space="0" w:color="auto"/>
                    <w:left w:val="none" w:sz="0" w:space="0" w:color="auto"/>
                    <w:bottom w:val="none" w:sz="0" w:space="0" w:color="auto"/>
                    <w:right w:val="none" w:sz="0" w:space="0" w:color="auto"/>
                  </w:divBdr>
                  <w:divsChild>
                    <w:div w:id="946155283">
                      <w:marLeft w:val="0"/>
                      <w:marRight w:val="0"/>
                      <w:marTop w:val="0"/>
                      <w:marBottom w:val="0"/>
                      <w:divBdr>
                        <w:top w:val="none" w:sz="0" w:space="0" w:color="auto"/>
                        <w:left w:val="none" w:sz="0" w:space="0" w:color="auto"/>
                        <w:bottom w:val="none" w:sz="0" w:space="0" w:color="auto"/>
                        <w:right w:val="none" w:sz="0" w:space="0" w:color="auto"/>
                      </w:divBdr>
                    </w:div>
                  </w:divsChild>
                </w:div>
                <w:div w:id="2015499118">
                  <w:marLeft w:val="0"/>
                  <w:marRight w:val="0"/>
                  <w:marTop w:val="0"/>
                  <w:marBottom w:val="0"/>
                  <w:divBdr>
                    <w:top w:val="none" w:sz="0" w:space="0" w:color="auto"/>
                    <w:left w:val="none" w:sz="0" w:space="0" w:color="auto"/>
                    <w:bottom w:val="none" w:sz="0" w:space="0" w:color="auto"/>
                    <w:right w:val="none" w:sz="0" w:space="0" w:color="auto"/>
                  </w:divBdr>
                  <w:divsChild>
                    <w:div w:id="130907318">
                      <w:marLeft w:val="0"/>
                      <w:marRight w:val="0"/>
                      <w:marTop w:val="0"/>
                      <w:marBottom w:val="0"/>
                      <w:divBdr>
                        <w:top w:val="none" w:sz="0" w:space="0" w:color="auto"/>
                        <w:left w:val="none" w:sz="0" w:space="0" w:color="auto"/>
                        <w:bottom w:val="none" w:sz="0" w:space="0" w:color="auto"/>
                        <w:right w:val="none" w:sz="0" w:space="0" w:color="auto"/>
                      </w:divBdr>
                    </w:div>
                  </w:divsChild>
                </w:div>
                <w:div w:id="2041852946">
                  <w:marLeft w:val="0"/>
                  <w:marRight w:val="0"/>
                  <w:marTop w:val="0"/>
                  <w:marBottom w:val="0"/>
                  <w:divBdr>
                    <w:top w:val="none" w:sz="0" w:space="0" w:color="auto"/>
                    <w:left w:val="none" w:sz="0" w:space="0" w:color="auto"/>
                    <w:bottom w:val="none" w:sz="0" w:space="0" w:color="auto"/>
                    <w:right w:val="none" w:sz="0" w:space="0" w:color="auto"/>
                  </w:divBdr>
                  <w:divsChild>
                    <w:div w:id="1357273848">
                      <w:marLeft w:val="0"/>
                      <w:marRight w:val="0"/>
                      <w:marTop w:val="0"/>
                      <w:marBottom w:val="0"/>
                      <w:divBdr>
                        <w:top w:val="none" w:sz="0" w:space="0" w:color="auto"/>
                        <w:left w:val="none" w:sz="0" w:space="0" w:color="auto"/>
                        <w:bottom w:val="none" w:sz="0" w:space="0" w:color="auto"/>
                        <w:right w:val="none" w:sz="0" w:space="0" w:color="auto"/>
                      </w:divBdr>
                    </w:div>
                  </w:divsChild>
                </w:div>
                <w:div w:id="2115128655">
                  <w:marLeft w:val="0"/>
                  <w:marRight w:val="0"/>
                  <w:marTop w:val="0"/>
                  <w:marBottom w:val="0"/>
                  <w:divBdr>
                    <w:top w:val="none" w:sz="0" w:space="0" w:color="auto"/>
                    <w:left w:val="none" w:sz="0" w:space="0" w:color="auto"/>
                    <w:bottom w:val="none" w:sz="0" w:space="0" w:color="auto"/>
                    <w:right w:val="none" w:sz="0" w:space="0" w:color="auto"/>
                  </w:divBdr>
                  <w:divsChild>
                    <w:div w:id="928733847">
                      <w:marLeft w:val="0"/>
                      <w:marRight w:val="0"/>
                      <w:marTop w:val="0"/>
                      <w:marBottom w:val="0"/>
                      <w:divBdr>
                        <w:top w:val="none" w:sz="0" w:space="0" w:color="auto"/>
                        <w:left w:val="none" w:sz="0" w:space="0" w:color="auto"/>
                        <w:bottom w:val="none" w:sz="0" w:space="0" w:color="auto"/>
                        <w:right w:val="none" w:sz="0" w:space="0" w:color="auto"/>
                      </w:divBdr>
                    </w:div>
                  </w:divsChild>
                </w:div>
                <w:div w:id="2119526013">
                  <w:marLeft w:val="0"/>
                  <w:marRight w:val="0"/>
                  <w:marTop w:val="0"/>
                  <w:marBottom w:val="0"/>
                  <w:divBdr>
                    <w:top w:val="none" w:sz="0" w:space="0" w:color="auto"/>
                    <w:left w:val="none" w:sz="0" w:space="0" w:color="auto"/>
                    <w:bottom w:val="none" w:sz="0" w:space="0" w:color="auto"/>
                    <w:right w:val="none" w:sz="0" w:space="0" w:color="auto"/>
                  </w:divBdr>
                  <w:divsChild>
                    <w:div w:id="17772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81290">
          <w:marLeft w:val="0"/>
          <w:marRight w:val="0"/>
          <w:marTop w:val="0"/>
          <w:marBottom w:val="0"/>
          <w:divBdr>
            <w:top w:val="none" w:sz="0" w:space="0" w:color="auto"/>
            <w:left w:val="none" w:sz="0" w:space="0" w:color="auto"/>
            <w:bottom w:val="none" w:sz="0" w:space="0" w:color="auto"/>
            <w:right w:val="none" w:sz="0" w:space="0" w:color="auto"/>
          </w:divBdr>
        </w:div>
        <w:div w:id="2094282375">
          <w:marLeft w:val="0"/>
          <w:marRight w:val="0"/>
          <w:marTop w:val="0"/>
          <w:marBottom w:val="0"/>
          <w:divBdr>
            <w:top w:val="none" w:sz="0" w:space="0" w:color="auto"/>
            <w:left w:val="none" w:sz="0" w:space="0" w:color="auto"/>
            <w:bottom w:val="none" w:sz="0" w:space="0" w:color="auto"/>
            <w:right w:val="none" w:sz="0" w:space="0" w:color="auto"/>
          </w:divBdr>
        </w:div>
      </w:divsChild>
    </w:div>
    <w:div w:id="351617653">
      <w:bodyDiv w:val="1"/>
      <w:marLeft w:val="0"/>
      <w:marRight w:val="0"/>
      <w:marTop w:val="0"/>
      <w:marBottom w:val="0"/>
      <w:divBdr>
        <w:top w:val="none" w:sz="0" w:space="0" w:color="auto"/>
        <w:left w:val="none" w:sz="0" w:space="0" w:color="auto"/>
        <w:bottom w:val="none" w:sz="0" w:space="0" w:color="auto"/>
        <w:right w:val="none" w:sz="0" w:space="0" w:color="auto"/>
      </w:divBdr>
      <w:divsChild>
        <w:div w:id="1444105861">
          <w:marLeft w:val="0"/>
          <w:marRight w:val="0"/>
          <w:marTop w:val="0"/>
          <w:marBottom w:val="0"/>
          <w:divBdr>
            <w:top w:val="none" w:sz="0" w:space="0" w:color="auto"/>
            <w:left w:val="none" w:sz="0" w:space="0" w:color="auto"/>
            <w:bottom w:val="none" w:sz="0" w:space="0" w:color="auto"/>
            <w:right w:val="none" w:sz="0" w:space="0" w:color="auto"/>
          </w:divBdr>
        </w:div>
        <w:div w:id="1869442428">
          <w:marLeft w:val="0"/>
          <w:marRight w:val="0"/>
          <w:marTop w:val="0"/>
          <w:marBottom w:val="0"/>
          <w:divBdr>
            <w:top w:val="none" w:sz="0" w:space="0" w:color="auto"/>
            <w:left w:val="none" w:sz="0" w:space="0" w:color="auto"/>
            <w:bottom w:val="none" w:sz="0" w:space="0" w:color="auto"/>
            <w:right w:val="none" w:sz="0" w:space="0" w:color="auto"/>
          </w:divBdr>
        </w:div>
        <w:div w:id="1967730682">
          <w:marLeft w:val="0"/>
          <w:marRight w:val="0"/>
          <w:marTop w:val="0"/>
          <w:marBottom w:val="0"/>
          <w:divBdr>
            <w:top w:val="none" w:sz="0" w:space="0" w:color="auto"/>
            <w:left w:val="none" w:sz="0" w:space="0" w:color="auto"/>
            <w:bottom w:val="none" w:sz="0" w:space="0" w:color="auto"/>
            <w:right w:val="none" w:sz="0" w:space="0" w:color="auto"/>
          </w:divBdr>
        </w:div>
        <w:div w:id="1977564380">
          <w:marLeft w:val="0"/>
          <w:marRight w:val="0"/>
          <w:marTop w:val="0"/>
          <w:marBottom w:val="0"/>
          <w:divBdr>
            <w:top w:val="none" w:sz="0" w:space="0" w:color="auto"/>
            <w:left w:val="none" w:sz="0" w:space="0" w:color="auto"/>
            <w:bottom w:val="none" w:sz="0" w:space="0" w:color="auto"/>
            <w:right w:val="none" w:sz="0" w:space="0" w:color="auto"/>
          </w:divBdr>
        </w:div>
      </w:divsChild>
    </w:div>
    <w:div w:id="376440227">
      <w:bodyDiv w:val="1"/>
      <w:marLeft w:val="0"/>
      <w:marRight w:val="0"/>
      <w:marTop w:val="0"/>
      <w:marBottom w:val="0"/>
      <w:divBdr>
        <w:top w:val="none" w:sz="0" w:space="0" w:color="auto"/>
        <w:left w:val="none" w:sz="0" w:space="0" w:color="auto"/>
        <w:bottom w:val="none" w:sz="0" w:space="0" w:color="auto"/>
        <w:right w:val="none" w:sz="0" w:space="0" w:color="auto"/>
      </w:divBdr>
      <w:divsChild>
        <w:div w:id="1023291037">
          <w:marLeft w:val="0"/>
          <w:marRight w:val="0"/>
          <w:marTop w:val="0"/>
          <w:marBottom w:val="0"/>
          <w:divBdr>
            <w:top w:val="none" w:sz="0" w:space="0" w:color="auto"/>
            <w:left w:val="none" w:sz="0" w:space="0" w:color="auto"/>
            <w:bottom w:val="none" w:sz="0" w:space="0" w:color="auto"/>
            <w:right w:val="none" w:sz="0" w:space="0" w:color="auto"/>
          </w:divBdr>
        </w:div>
        <w:div w:id="1537893097">
          <w:marLeft w:val="0"/>
          <w:marRight w:val="0"/>
          <w:marTop w:val="0"/>
          <w:marBottom w:val="0"/>
          <w:divBdr>
            <w:top w:val="none" w:sz="0" w:space="0" w:color="auto"/>
            <w:left w:val="none" w:sz="0" w:space="0" w:color="auto"/>
            <w:bottom w:val="none" w:sz="0" w:space="0" w:color="auto"/>
            <w:right w:val="none" w:sz="0" w:space="0" w:color="auto"/>
          </w:divBdr>
        </w:div>
        <w:div w:id="1581061155">
          <w:marLeft w:val="0"/>
          <w:marRight w:val="0"/>
          <w:marTop w:val="0"/>
          <w:marBottom w:val="0"/>
          <w:divBdr>
            <w:top w:val="none" w:sz="0" w:space="0" w:color="auto"/>
            <w:left w:val="none" w:sz="0" w:space="0" w:color="auto"/>
            <w:bottom w:val="none" w:sz="0" w:space="0" w:color="auto"/>
            <w:right w:val="none" w:sz="0" w:space="0" w:color="auto"/>
          </w:divBdr>
        </w:div>
      </w:divsChild>
    </w:div>
    <w:div w:id="418911809">
      <w:bodyDiv w:val="1"/>
      <w:marLeft w:val="0"/>
      <w:marRight w:val="0"/>
      <w:marTop w:val="0"/>
      <w:marBottom w:val="0"/>
      <w:divBdr>
        <w:top w:val="none" w:sz="0" w:space="0" w:color="auto"/>
        <w:left w:val="none" w:sz="0" w:space="0" w:color="auto"/>
        <w:bottom w:val="none" w:sz="0" w:space="0" w:color="auto"/>
        <w:right w:val="none" w:sz="0" w:space="0" w:color="auto"/>
      </w:divBdr>
    </w:div>
    <w:div w:id="422918102">
      <w:bodyDiv w:val="1"/>
      <w:marLeft w:val="0"/>
      <w:marRight w:val="0"/>
      <w:marTop w:val="0"/>
      <w:marBottom w:val="0"/>
      <w:divBdr>
        <w:top w:val="none" w:sz="0" w:space="0" w:color="auto"/>
        <w:left w:val="none" w:sz="0" w:space="0" w:color="auto"/>
        <w:bottom w:val="none" w:sz="0" w:space="0" w:color="auto"/>
        <w:right w:val="none" w:sz="0" w:space="0" w:color="auto"/>
      </w:divBdr>
      <w:divsChild>
        <w:div w:id="130178214">
          <w:marLeft w:val="0"/>
          <w:marRight w:val="0"/>
          <w:marTop w:val="0"/>
          <w:marBottom w:val="0"/>
          <w:divBdr>
            <w:top w:val="none" w:sz="0" w:space="0" w:color="auto"/>
            <w:left w:val="none" w:sz="0" w:space="0" w:color="auto"/>
            <w:bottom w:val="none" w:sz="0" w:space="0" w:color="auto"/>
            <w:right w:val="none" w:sz="0" w:space="0" w:color="auto"/>
          </w:divBdr>
          <w:divsChild>
            <w:div w:id="244656418">
              <w:marLeft w:val="0"/>
              <w:marRight w:val="0"/>
              <w:marTop w:val="0"/>
              <w:marBottom w:val="0"/>
              <w:divBdr>
                <w:top w:val="none" w:sz="0" w:space="0" w:color="auto"/>
                <w:left w:val="none" w:sz="0" w:space="0" w:color="auto"/>
                <w:bottom w:val="none" w:sz="0" w:space="0" w:color="auto"/>
                <w:right w:val="none" w:sz="0" w:space="0" w:color="auto"/>
              </w:divBdr>
            </w:div>
            <w:div w:id="1226376739">
              <w:marLeft w:val="0"/>
              <w:marRight w:val="0"/>
              <w:marTop w:val="0"/>
              <w:marBottom w:val="0"/>
              <w:divBdr>
                <w:top w:val="none" w:sz="0" w:space="0" w:color="auto"/>
                <w:left w:val="none" w:sz="0" w:space="0" w:color="auto"/>
                <w:bottom w:val="none" w:sz="0" w:space="0" w:color="auto"/>
                <w:right w:val="none" w:sz="0" w:space="0" w:color="auto"/>
              </w:divBdr>
            </w:div>
            <w:div w:id="1583680515">
              <w:marLeft w:val="0"/>
              <w:marRight w:val="0"/>
              <w:marTop w:val="0"/>
              <w:marBottom w:val="0"/>
              <w:divBdr>
                <w:top w:val="none" w:sz="0" w:space="0" w:color="auto"/>
                <w:left w:val="none" w:sz="0" w:space="0" w:color="auto"/>
                <w:bottom w:val="none" w:sz="0" w:space="0" w:color="auto"/>
                <w:right w:val="none" w:sz="0" w:space="0" w:color="auto"/>
              </w:divBdr>
            </w:div>
            <w:div w:id="1735279394">
              <w:marLeft w:val="0"/>
              <w:marRight w:val="0"/>
              <w:marTop w:val="0"/>
              <w:marBottom w:val="0"/>
              <w:divBdr>
                <w:top w:val="none" w:sz="0" w:space="0" w:color="auto"/>
                <w:left w:val="none" w:sz="0" w:space="0" w:color="auto"/>
                <w:bottom w:val="none" w:sz="0" w:space="0" w:color="auto"/>
                <w:right w:val="none" w:sz="0" w:space="0" w:color="auto"/>
              </w:divBdr>
            </w:div>
            <w:div w:id="1827087046">
              <w:marLeft w:val="0"/>
              <w:marRight w:val="0"/>
              <w:marTop w:val="0"/>
              <w:marBottom w:val="0"/>
              <w:divBdr>
                <w:top w:val="none" w:sz="0" w:space="0" w:color="auto"/>
                <w:left w:val="none" w:sz="0" w:space="0" w:color="auto"/>
                <w:bottom w:val="none" w:sz="0" w:space="0" w:color="auto"/>
                <w:right w:val="none" w:sz="0" w:space="0" w:color="auto"/>
              </w:divBdr>
            </w:div>
          </w:divsChild>
        </w:div>
        <w:div w:id="324361396">
          <w:marLeft w:val="0"/>
          <w:marRight w:val="0"/>
          <w:marTop w:val="0"/>
          <w:marBottom w:val="0"/>
          <w:divBdr>
            <w:top w:val="none" w:sz="0" w:space="0" w:color="auto"/>
            <w:left w:val="none" w:sz="0" w:space="0" w:color="auto"/>
            <w:bottom w:val="none" w:sz="0" w:space="0" w:color="auto"/>
            <w:right w:val="none" w:sz="0" w:space="0" w:color="auto"/>
          </w:divBdr>
          <w:divsChild>
            <w:div w:id="1065226348">
              <w:marLeft w:val="0"/>
              <w:marRight w:val="0"/>
              <w:marTop w:val="0"/>
              <w:marBottom w:val="0"/>
              <w:divBdr>
                <w:top w:val="none" w:sz="0" w:space="0" w:color="auto"/>
                <w:left w:val="none" w:sz="0" w:space="0" w:color="auto"/>
                <w:bottom w:val="none" w:sz="0" w:space="0" w:color="auto"/>
                <w:right w:val="none" w:sz="0" w:space="0" w:color="auto"/>
              </w:divBdr>
            </w:div>
            <w:div w:id="1996104770">
              <w:marLeft w:val="0"/>
              <w:marRight w:val="0"/>
              <w:marTop w:val="0"/>
              <w:marBottom w:val="0"/>
              <w:divBdr>
                <w:top w:val="none" w:sz="0" w:space="0" w:color="auto"/>
                <w:left w:val="none" w:sz="0" w:space="0" w:color="auto"/>
                <w:bottom w:val="none" w:sz="0" w:space="0" w:color="auto"/>
                <w:right w:val="none" w:sz="0" w:space="0" w:color="auto"/>
              </w:divBdr>
            </w:div>
            <w:div w:id="2070376686">
              <w:marLeft w:val="0"/>
              <w:marRight w:val="0"/>
              <w:marTop w:val="0"/>
              <w:marBottom w:val="0"/>
              <w:divBdr>
                <w:top w:val="none" w:sz="0" w:space="0" w:color="auto"/>
                <w:left w:val="none" w:sz="0" w:space="0" w:color="auto"/>
                <w:bottom w:val="none" w:sz="0" w:space="0" w:color="auto"/>
                <w:right w:val="none" w:sz="0" w:space="0" w:color="auto"/>
              </w:divBdr>
            </w:div>
          </w:divsChild>
        </w:div>
        <w:div w:id="909194249">
          <w:marLeft w:val="0"/>
          <w:marRight w:val="0"/>
          <w:marTop w:val="0"/>
          <w:marBottom w:val="0"/>
          <w:divBdr>
            <w:top w:val="none" w:sz="0" w:space="0" w:color="auto"/>
            <w:left w:val="none" w:sz="0" w:space="0" w:color="auto"/>
            <w:bottom w:val="none" w:sz="0" w:space="0" w:color="auto"/>
            <w:right w:val="none" w:sz="0" w:space="0" w:color="auto"/>
          </w:divBdr>
        </w:div>
      </w:divsChild>
    </w:div>
    <w:div w:id="426929474">
      <w:bodyDiv w:val="1"/>
      <w:marLeft w:val="0"/>
      <w:marRight w:val="0"/>
      <w:marTop w:val="0"/>
      <w:marBottom w:val="0"/>
      <w:divBdr>
        <w:top w:val="none" w:sz="0" w:space="0" w:color="auto"/>
        <w:left w:val="none" w:sz="0" w:space="0" w:color="auto"/>
        <w:bottom w:val="none" w:sz="0" w:space="0" w:color="auto"/>
        <w:right w:val="none" w:sz="0" w:space="0" w:color="auto"/>
      </w:divBdr>
      <w:divsChild>
        <w:div w:id="103110333">
          <w:marLeft w:val="0"/>
          <w:marRight w:val="0"/>
          <w:marTop w:val="0"/>
          <w:marBottom w:val="0"/>
          <w:divBdr>
            <w:top w:val="none" w:sz="0" w:space="0" w:color="auto"/>
            <w:left w:val="none" w:sz="0" w:space="0" w:color="auto"/>
            <w:bottom w:val="none" w:sz="0" w:space="0" w:color="auto"/>
            <w:right w:val="none" w:sz="0" w:space="0" w:color="auto"/>
          </w:divBdr>
        </w:div>
        <w:div w:id="802698980">
          <w:marLeft w:val="0"/>
          <w:marRight w:val="0"/>
          <w:marTop w:val="0"/>
          <w:marBottom w:val="0"/>
          <w:divBdr>
            <w:top w:val="none" w:sz="0" w:space="0" w:color="auto"/>
            <w:left w:val="none" w:sz="0" w:space="0" w:color="auto"/>
            <w:bottom w:val="none" w:sz="0" w:space="0" w:color="auto"/>
            <w:right w:val="none" w:sz="0" w:space="0" w:color="auto"/>
          </w:divBdr>
        </w:div>
        <w:div w:id="834228784">
          <w:marLeft w:val="0"/>
          <w:marRight w:val="0"/>
          <w:marTop w:val="0"/>
          <w:marBottom w:val="0"/>
          <w:divBdr>
            <w:top w:val="none" w:sz="0" w:space="0" w:color="auto"/>
            <w:left w:val="none" w:sz="0" w:space="0" w:color="auto"/>
            <w:bottom w:val="none" w:sz="0" w:space="0" w:color="auto"/>
            <w:right w:val="none" w:sz="0" w:space="0" w:color="auto"/>
          </w:divBdr>
        </w:div>
        <w:div w:id="1376395857">
          <w:marLeft w:val="0"/>
          <w:marRight w:val="0"/>
          <w:marTop w:val="0"/>
          <w:marBottom w:val="0"/>
          <w:divBdr>
            <w:top w:val="none" w:sz="0" w:space="0" w:color="auto"/>
            <w:left w:val="none" w:sz="0" w:space="0" w:color="auto"/>
            <w:bottom w:val="none" w:sz="0" w:space="0" w:color="auto"/>
            <w:right w:val="none" w:sz="0" w:space="0" w:color="auto"/>
          </w:divBdr>
        </w:div>
        <w:div w:id="1581401698">
          <w:marLeft w:val="0"/>
          <w:marRight w:val="0"/>
          <w:marTop w:val="0"/>
          <w:marBottom w:val="0"/>
          <w:divBdr>
            <w:top w:val="none" w:sz="0" w:space="0" w:color="auto"/>
            <w:left w:val="none" w:sz="0" w:space="0" w:color="auto"/>
            <w:bottom w:val="none" w:sz="0" w:space="0" w:color="auto"/>
            <w:right w:val="none" w:sz="0" w:space="0" w:color="auto"/>
          </w:divBdr>
        </w:div>
      </w:divsChild>
    </w:div>
    <w:div w:id="436870835">
      <w:bodyDiv w:val="1"/>
      <w:marLeft w:val="0"/>
      <w:marRight w:val="0"/>
      <w:marTop w:val="0"/>
      <w:marBottom w:val="0"/>
      <w:divBdr>
        <w:top w:val="none" w:sz="0" w:space="0" w:color="auto"/>
        <w:left w:val="none" w:sz="0" w:space="0" w:color="auto"/>
        <w:bottom w:val="none" w:sz="0" w:space="0" w:color="auto"/>
        <w:right w:val="none" w:sz="0" w:space="0" w:color="auto"/>
      </w:divBdr>
    </w:div>
    <w:div w:id="484511860">
      <w:bodyDiv w:val="1"/>
      <w:marLeft w:val="0"/>
      <w:marRight w:val="0"/>
      <w:marTop w:val="0"/>
      <w:marBottom w:val="0"/>
      <w:divBdr>
        <w:top w:val="none" w:sz="0" w:space="0" w:color="auto"/>
        <w:left w:val="none" w:sz="0" w:space="0" w:color="auto"/>
        <w:bottom w:val="none" w:sz="0" w:space="0" w:color="auto"/>
        <w:right w:val="none" w:sz="0" w:space="0" w:color="auto"/>
      </w:divBdr>
    </w:div>
    <w:div w:id="581178411">
      <w:bodyDiv w:val="1"/>
      <w:marLeft w:val="0"/>
      <w:marRight w:val="0"/>
      <w:marTop w:val="0"/>
      <w:marBottom w:val="0"/>
      <w:divBdr>
        <w:top w:val="none" w:sz="0" w:space="0" w:color="auto"/>
        <w:left w:val="none" w:sz="0" w:space="0" w:color="auto"/>
        <w:bottom w:val="none" w:sz="0" w:space="0" w:color="auto"/>
        <w:right w:val="none" w:sz="0" w:space="0" w:color="auto"/>
      </w:divBdr>
    </w:div>
    <w:div w:id="641810080">
      <w:bodyDiv w:val="1"/>
      <w:marLeft w:val="0"/>
      <w:marRight w:val="0"/>
      <w:marTop w:val="0"/>
      <w:marBottom w:val="0"/>
      <w:divBdr>
        <w:top w:val="none" w:sz="0" w:space="0" w:color="auto"/>
        <w:left w:val="none" w:sz="0" w:space="0" w:color="auto"/>
        <w:bottom w:val="none" w:sz="0" w:space="0" w:color="auto"/>
        <w:right w:val="none" w:sz="0" w:space="0" w:color="auto"/>
      </w:divBdr>
    </w:div>
    <w:div w:id="646672201">
      <w:bodyDiv w:val="1"/>
      <w:marLeft w:val="0"/>
      <w:marRight w:val="0"/>
      <w:marTop w:val="0"/>
      <w:marBottom w:val="0"/>
      <w:divBdr>
        <w:top w:val="none" w:sz="0" w:space="0" w:color="auto"/>
        <w:left w:val="none" w:sz="0" w:space="0" w:color="auto"/>
        <w:bottom w:val="none" w:sz="0" w:space="0" w:color="auto"/>
        <w:right w:val="none" w:sz="0" w:space="0" w:color="auto"/>
      </w:divBdr>
    </w:div>
    <w:div w:id="647176005">
      <w:bodyDiv w:val="1"/>
      <w:marLeft w:val="0"/>
      <w:marRight w:val="0"/>
      <w:marTop w:val="0"/>
      <w:marBottom w:val="0"/>
      <w:divBdr>
        <w:top w:val="none" w:sz="0" w:space="0" w:color="auto"/>
        <w:left w:val="none" w:sz="0" w:space="0" w:color="auto"/>
        <w:bottom w:val="none" w:sz="0" w:space="0" w:color="auto"/>
        <w:right w:val="none" w:sz="0" w:space="0" w:color="auto"/>
      </w:divBdr>
      <w:divsChild>
        <w:div w:id="948901376">
          <w:marLeft w:val="0"/>
          <w:marRight w:val="0"/>
          <w:marTop w:val="0"/>
          <w:marBottom w:val="0"/>
          <w:divBdr>
            <w:top w:val="none" w:sz="0" w:space="0" w:color="auto"/>
            <w:left w:val="none" w:sz="0" w:space="0" w:color="auto"/>
            <w:bottom w:val="none" w:sz="0" w:space="0" w:color="auto"/>
            <w:right w:val="none" w:sz="0" w:space="0" w:color="auto"/>
          </w:divBdr>
        </w:div>
        <w:div w:id="1298992026">
          <w:marLeft w:val="0"/>
          <w:marRight w:val="0"/>
          <w:marTop w:val="0"/>
          <w:marBottom w:val="0"/>
          <w:divBdr>
            <w:top w:val="none" w:sz="0" w:space="0" w:color="auto"/>
            <w:left w:val="none" w:sz="0" w:space="0" w:color="auto"/>
            <w:bottom w:val="none" w:sz="0" w:space="0" w:color="auto"/>
            <w:right w:val="none" w:sz="0" w:space="0" w:color="auto"/>
          </w:divBdr>
        </w:div>
        <w:div w:id="2090538161">
          <w:marLeft w:val="0"/>
          <w:marRight w:val="0"/>
          <w:marTop w:val="0"/>
          <w:marBottom w:val="0"/>
          <w:divBdr>
            <w:top w:val="none" w:sz="0" w:space="0" w:color="auto"/>
            <w:left w:val="none" w:sz="0" w:space="0" w:color="auto"/>
            <w:bottom w:val="none" w:sz="0" w:space="0" w:color="auto"/>
            <w:right w:val="none" w:sz="0" w:space="0" w:color="auto"/>
          </w:divBdr>
        </w:div>
      </w:divsChild>
    </w:div>
    <w:div w:id="846023678">
      <w:bodyDiv w:val="1"/>
      <w:marLeft w:val="0"/>
      <w:marRight w:val="0"/>
      <w:marTop w:val="0"/>
      <w:marBottom w:val="0"/>
      <w:divBdr>
        <w:top w:val="none" w:sz="0" w:space="0" w:color="auto"/>
        <w:left w:val="none" w:sz="0" w:space="0" w:color="auto"/>
        <w:bottom w:val="none" w:sz="0" w:space="0" w:color="auto"/>
        <w:right w:val="none" w:sz="0" w:space="0" w:color="auto"/>
      </w:divBdr>
    </w:div>
    <w:div w:id="913053542">
      <w:bodyDiv w:val="1"/>
      <w:marLeft w:val="0"/>
      <w:marRight w:val="0"/>
      <w:marTop w:val="0"/>
      <w:marBottom w:val="0"/>
      <w:divBdr>
        <w:top w:val="none" w:sz="0" w:space="0" w:color="auto"/>
        <w:left w:val="none" w:sz="0" w:space="0" w:color="auto"/>
        <w:bottom w:val="none" w:sz="0" w:space="0" w:color="auto"/>
        <w:right w:val="none" w:sz="0" w:space="0" w:color="auto"/>
      </w:divBdr>
      <w:divsChild>
        <w:div w:id="312370969">
          <w:marLeft w:val="0"/>
          <w:marRight w:val="0"/>
          <w:marTop w:val="0"/>
          <w:marBottom w:val="0"/>
          <w:divBdr>
            <w:top w:val="none" w:sz="0" w:space="0" w:color="auto"/>
            <w:left w:val="none" w:sz="0" w:space="0" w:color="auto"/>
            <w:bottom w:val="none" w:sz="0" w:space="0" w:color="auto"/>
            <w:right w:val="none" w:sz="0" w:space="0" w:color="auto"/>
          </w:divBdr>
        </w:div>
        <w:div w:id="1121193486">
          <w:marLeft w:val="0"/>
          <w:marRight w:val="0"/>
          <w:marTop w:val="0"/>
          <w:marBottom w:val="0"/>
          <w:divBdr>
            <w:top w:val="none" w:sz="0" w:space="0" w:color="auto"/>
            <w:left w:val="none" w:sz="0" w:space="0" w:color="auto"/>
            <w:bottom w:val="none" w:sz="0" w:space="0" w:color="auto"/>
            <w:right w:val="none" w:sz="0" w:space="0" w:color="auto"/>
          </w:divBdr>
        </w:div>
      </w:divsChild>
    </w:div>
    <w:div w:id="932784747">
      <w:bodyDiv w:val="1"/>
      <w:marLeft w:val="0"/>
      <w:marRight w:val="0"/>
      <w:marTop w:val="0"/>
      <w:marBottom w:val="0"/>
      <w:divBdr>
        <w:top w:val="none" w:sz="0" w:space="0" w:color="auto"/>
        <w:left w:val="none" w:sz="0" w:space="0" w:color="auto"/>
        <w:bottom w:val="none" w:sz="0" w:space="0" w:color="auto"/>
        <w:right w:val="none" w:sz="0" w:space="0" w:color="auto"/>
      </w:divBdr>
    </w:div>
    <w:div w:id="932973298">
      <w:bodyDiv w:val="1"/>
      <w:marLeft w:val="0"/>
      <w:marRight w:val="0"/>
      <w:marTop w:val="0"/>
      <w:marBottom w:val="0"/>
      <w:divBdr>
        <w:top w:val="none" w:sz="0" w:space="0" w:color="auto"/>
        <w:left w:val="none" w:sz="0" w:space="0" w:color="auto"/>
        <w:bottom w:val="none" w:sz="0" w:space="0" w:color="auto"/>
        <w:right w:val="none" w:sz="0" w:space="0" w:color="auto"/>
      </w:divBdr>
    </w:div>
    <w:div w:id="964847179">
      <w:bodyDiv w:val="1"/>
      <w:marLeft w:val="0"/>
      <w:marRight w:val="0"/>
      <w:marTop w:val="0"/>
      <w:marBottom w:val="0"/>
      <w:divBdr>
        <w:top w:val="none" w:sz="0" w:space="0" w:color="auto"/>
        <w:left w:val="none" w:sz="0" w:space="0" w:color="auto"/>
        <w:bottom w:val="none" w:sz="0" w:space="0" w:color="auto"/>
        <w:right w:val="none" w:sz="0" w:space="0" w:color="auto"/>
      </w:divBdr>
      <w:divsChild>
        <w:div w:id="76248005">
          <w:marLeft w:val="0"/>
          <w:marRight w:val="0"/>
          <w:marTop w:val="0"/>
          <w:marBottom w:val="0"/>
          <w:divBdr>
            <w:top w:val="none" w:sz="0" w:space="0" w:color="auto"/>
            <w:left w:val="none" w:sz="0" w:space="0" w:color="auto"/>
            <w:bottom w:val="none" w:sz="0" w:space="0" w:color="auto"/>
            <w:right w:val="none" w:sz="0" w:space="0" w:color="auto"/>
          </w:divBdr>
          <w:divsChild>
            <w:div w:id="1089737950">
              <w:marLeft w:val="0"/>
              <w:marRight w:val="0"/>
              <w:marTop w:val="0"/>
              <w:marBottom w:val="0"/>
              <w:divBdr>
                <w:top w:val="none" w:sz="0" w:space="0" w:color="auto"/>
                <w:left w:val="none" w:sz="0" w:space="0" w:color="auto"/>
                <w:bottom w:val="none" w:sz="0" w:space="0" w:color="auto"/>
                <w:right w:val="none" w:sz="0" w:space="0" w:color="auto"/>
              </w:divBdr>
            </w:div>
          </w:divsChild>
        </w:div>
        <w:div w:id="649939005">
          <w:marLeft w:val="0"/>
          <w:marRight w:val="0"/>
          <w:marTop w:val="0"/>
          <w:marBottom w:val="0"/>
          <w:divBdr>
            <w:top w:val="none" w:sz="0" w:space="0" w:color="auto"/>
            <w:left w:val="none" w:sz="0" w:space="0" w:color="auto"/>
            <w:bottom w:val="none" w:sz="0" w:space="0" w:color="auto"/>
            <w:right w:val="none" w:sz="0" w:space="0" w:color="auto"/>
          </w:divBdr>
          <w:divsChild>
            <w:div w:id="518466007">
              <w:marLeft w:val="0"/>
              <w:marRight w:val="0"/>
              <w:marTop w:val="0"/>
              <w:marBottom w:val="0"/>
              <w:divBdr>
                <w:top w:val="none" w:sz="0" w:space="0" w:color="auto"/>
                <w:left w:val="none" w:sz="0" w:space="0" w:color="auto"/>
                <w:bottom w:val="none" w:sz="0" w:space="0" w:color="auto"/>
                <w:right w:val="none" w:sz="0" w:space="0" w:color="auto"/>
              </w:divBdr>
            </w:div>
          </w:divsChild>
        </w:div>
        <w:div w:id="672339741">
          <w:marLeft w:val="0"/>
          <w:marRight w:val="0"/>
          <w:marTop w:val="0"/>
          <w:marBottom w:val="0"/>
          <w:divBdr>
            <w:top w:val="none" w:sz="0" w:space="0" w:color="auto"/>
            <w:left w:val="none" w:sz="0" w:space="0" w:color="auto"/>
            <w:bottom w:val="none" w:sz="0" w:space="0" w:color="auto"/>
            <w:right w:val="none" w:sz="0" w:space="0" w:color="auto"/>
          </w:divBdr>
          <w:divsChild>
            <w:div w:id="1856727128">
              <w:marLeft w:val="0"/>
              <w:marRight w:val="0"/>
              <w:marTop w:val="0"/>
              <w:marBottom w:val="0"/>
              <w:divBdr>
                <w:top w:val="none" w:sz="0" w:space="0" w:color="auto"/>
                <w:left w:val="none" w:sz="0" w:space="0" w:color="auto"/>
                <w:bottom w:val="none" w:sz="0" w:space="0" w:color="auto"/>
                <w:right w:val="none" w:sz="0" w:space="0" w:color="auto"/>
              </w:divBdr>
            </w:div>
          </w:divsChild>
        </w:div>
        <w:div w:id="773288768">
          <w:marLeft w:val="0"/>
          <w:marRight w:val="0"/>
          <w:marTop w:val="0"/>
          <w:marBottom w:val="0"/>
          <w:divBdr>
            <w:top w:val="none" w:sz="0" w:space="0" w:color="auto"/>
            <w:left w:val="none" w:sz="0" w:space="0" w:color="auto"/>
            <w:bottom w:val="none" w:sz="0" w:space="0" w:color="auto"/>
            <w:right w:val="none" w:sz="0" w:space="0" w:color="auto"/>
          </w:divBdr>
          <w:divsChild>
            <w:div w:id="1382091057">
              <w:marLeft w:val="0"/>
              <w:marRight w:val="0"/>
              <w:marTop w:val="0"/>
              <w:marBottom w:val="0"/>
              <w:divBdr>
                <w:top w:val="none" w:sz="0" w:space="0" w:color="auto"/>
                <w:left w:val="none" w:sz="0" w:space="0" w:color="auto"/>
                <w:bottom w:val="none" w:sz="0" w:space="0" w:color="auto"/>
                <w:right w:val="none" w:sz="0" w:space="0" w:color="auto"/>
              </w:divBdr>
            </w:div>
          </w:divsChild>
        </w:div>
        <w:div w:id="818545555">
          <w:marLeft w:val="0"/>
          <w:marRight w:val="0"/>
          <w:marTop w:val="0"/>
          <w:marBottom w:val="0"/>
          <w:divBdr>
            <w:top w:val="none" w:sz="0" w:space="0" w:color="auto"/>
            <w:left w:val="none" w:sz="0" w:space="0" w:color="auto"/>
            <w:bottom w:val="none" w:sz="0" w:space="0" w:color="auto"/>
            <w:right w:val="none" w:sz="0" w:space="0" w:color="auto"/>
          </w:divBdr>
          <w:divsChild>
            <w:div w:id="1847134460">
              <w:marLeft w:val="0"/>
              <w:marRight w:val="0"/>
              <w:marTop w:val="0"/>
              <w:marBottom w:val="0"/>
              <w:divBdr>
                <w:top w:val="none" w:sz="0" w:space="0" w:color="auto"/>
                <w:left w:val="none" w:sz="0" w:space="0" w:color="auto"/>
                <w:bottom w:val="none" w:sz="0" w:space="0" w:color="auto"/>
                <w:right w:val="none" w:sz="0" w:space="0" w:color="auto"/>
              </w:divBdr>
            </w:div>
          </w:divsChild>
        </w:div>
        <w:div w:id="839320859">
          <w:marLeft w:val="0"/>
          <w:marRight w:val="0"/>
          <w:marTop w:val="0"/>
          <w:marBottom w:val="0"/>
          <w:divBdr>
            <w:top w:val="none" w:sz="0" w:space="0" w:color="auto"/>
            <w:left w:val="none" w:sz="0" w:space="0" w:color="auto"/>
            <w:bottom w:val="none" w:sz="0" w:space="0" w:color="auto"/>
            <w:right w:val="none" w:sz="0" w:space="0" w:color="auto"/>
          </w:divBdr>
          <w:divsChild>
            <w:div w:id="1371690021">
              <w:marLeft w:val="0"/>
              <w:marRight w:val="0"/>
              <w:marTop w:val="0"/>
              <w:marBottom w:val="0"/>
              <w:divBdr>
                <w:top w:val="none" w:sz="0" w:space="0" w:color="auto"/>
                <w:left w:val="none" w:sz="0" w:space="0" w:color="auto"/>
                <w:bottom w:val="none" w:sz="0" w:space="0" w:color="auto"/>
                <w:right w:val="none" w:sz="0" w:space="0" w:color="auto"/>
              </w:divBdr>
            </w:div>
          </w:divsChild>
        </w:div>
        <w:div w:id="1012995840">
          <w:marLeft w:val="0"/>
          <w:marRight w:val="0"/>
          <w:marTop w:val="0"/>
          <w:marBottom w:val="0"/>
          <w:divBdr>
            <w:top w:val="none" w:sz="0" w:space="0" w:color="auto"/>
            <w:left w:val="none" w:sz="0" w:space="0" w:color="auto"/>
            <w:bottom w:val="none" w:sz="0" w:space="0" w:color="auto"/>
            <w:right w:val="none" w:sz="0" w:space="0" w:color="auto"/>
          </w:divBdr>
          <w:divsChild>
            <w:div w:id="2015765661">
              <w:marLeft w:val="0"/>
              <w:marRight w:val="0"/>
              <w:marTop w:val="0"/>
              <w:marBottom w:val="0"/>
              <w:divBdr>
                <w:top w:val="none" w:sz="0" w:space="0" w:color="auto"/>
                <w:left w:val="none" w:sz="0" w:space="0" w:color="auto"/>
                <w:bottom w:val="none" w:sz="0" w:space="0" w:color="auto"/>
                <w:right w:val="none" w:sz="0" w:space="0" w:color="auto"/>
              </w:divBdr>
            </w:div>
          </w:divsChild>
        </w:div>
        <w:div w:id="1150367402">
          <w:marLeft w:val="0"/>
          <w:marRight w:val="0"/>
          <w:marTop w:val="0"/>
          <w:marBottom w:val="0"/>
          <w:divBdr>
            <w:top w:val="none" w:sz="0" w:space="0" w:color="auto"/>
            <w:left w:val="none" w:sz="0" w:space="0" w:color="auto"/>
            <w:bottom w:val="none" w:sz="0" w:space="0" w:color="auto"/>
            <w:right w:val="none" w:sz="0" w:space="0" w:color="auto"/>
          </w:divBdr>
          <w:divsChild>
            <w:div w:id="1808276077">
              <w:marLeft w:val="0"/>
              <w:marRight w:val="0"/>
              <w:marTop w:val="0"/>
              <w:marBottom w:val="0"/>
              <w:divBdr>
                <w:top w:val="none" w:sz="0" w:space="0" w:color="auto"/>
                <w:left w:val="none" w:sz="0" w:space="0" w:color="auto"/>
                <w:bottom w:val="none" w:sz="0" w:space="0" w:color="auto"/>
                <w:right w:val="none" w:sz="0" w:space="0" w:color="auto"/>
              </w:divBdr>
            </w:div>
            <w:div w:id="1994985966">
              <w:marLeft w:val="0"/>
              <w:marRight w:val="0"/>
              <w:marTop w:val="0"/>
              <w:marBottom w:val="0"/>
              <w:divBdr>
                <w:top w:val="none" w:sz="0" w:space="0" w:color="auto"/>
                <w:left w:val="none" w:sz="0" w:space="0" w:color="auto"/>
                <w:bottom w:val="none" w:sz="0" w:space="0" w:color="auto"/>
                <w:right w:val="none" w:sz="0" w:space="0" w:color="auto"/>
              </w:divBdr>
            </w:div>
          </w:divsChild>
        </w:div>
        <w:div w:id="1234313619">
          <w:marLeft w:val="0"/>
          <w:marRight w:val="0"/>
          <w:marTop w:val="0"/>
          <w:marBottom w:val="0"/>
          <w:divBdr>
            <w:top w:val="none" w:sz="0" w:space="0" w:color="auto"/>
            <w:left w:val="none" w:sz="0" w:space="0" w:color="auto"/>
            <w:bottom w:val="none" w:sz="0" w:space="0" w:color="auto"/>
            <w:right w:val="none" w:sz="0" w:space="0" w:color="auto"/>
          </w:divBdr>
          <w:divsChild>
            <w:div w:id="670304345">
              <w:marLeft w:val="0"/>
              <w:marRight w:val="0"/>
              <w:marTop w:val="0"/>
              <w:marBottom w:val="0"/>
              <w:divBdr>
                <w:top w:val="none" w:sz="0" w:space="0" w:color="auto"/>
                <w:left w:val="none" w:sz="0" w:space="0" w:color="auto"/>
                <w:bottom w:val="none" w:sz="0" w:space="0" w:color="auto"/>
                <w:right w:val="none" w:sz="0" w:space="0" w:color="auto"/>
              </w:divBdr>
            </w:div>
          </w:divsChild>
        </w:div>
        <w:div w:id="1311789922">
          <w:marLeft w:val="0"/>
          <w:marRight w:val="0"/>
          <w:marTop w:val="0"/>
          <w:marBottom w:val="0"/>
          <w:divBdr>
            <w:top w:val="none" w:sz="0" w:space="0" w:color="auto"/>
            <w:left w:val="none" w:sz="0" w:space="0" w:color="auto"/>
            <w:bottom w:val="none" w:sz="0" w:space="0" w:color="auto"/>
            <w:right w:val="none" w:sz="0" w:space="0" w:color="auto"/>
          </w:divBdr>
          <w:divsChild>
            <w:div w:id="2017419056">
              <w:marLeft w:val="0"/>
              <w:marRight w:val="0"/>
              <w:marTop w:val="0"/>
              <w:marBottom w:val="0"/>
              <w:divBdr>
                <w:top w:val="none" w:sz="0" w:space="0" w:color="auto"/>
                <w:left w:val="none" w:sz="0" w:space="0" w:color="auto"/>
                <w:bottom w:val="none" w:sz="0" w:space="0" w:color="auto"/>
                <w:right w:val="none" w:sz="0" w:space="0" w:color="auto"/>
              </w:divBdr>
            </w:div>
          </w:divsChild>
        </w:div>
        <w:div w:id="1326127358">
          <w:marLeft w:val="0"/>
          <w:marRight w:val="0"/>
          <w:marTop w:val="0"/>
          <w:marBottom w:val="0"/>
          <w:divBdr>
            <w:top w:val="none" w:sz="0" w:space="0" w:color="auto"/>
            <w:left w:val="none" w:sz="0" w:space="0" w:color="auto"/>
            <w:bottom w:val="none" w:sz="0" w:space="0" w:color="auto"/>
            <w:right w:val="none" w:sz="0" w:space="0" w:color="auto"/>
          </w:divBdr>
          <w:divsChild>
            <w:div w:id="23137193">
              <w:marLeft w:val="0"/>
              <w:marRight w:val="0"/>
              <w:marTop w:val="0"/>
              <w:marBottom w:val="0"/>
              <w:divBdr>
                <w:top w:val="none" w:sz="0" w:space="0" w:color="auto"/>
                <w:left w:val="none" w:sz="0" w:space="0" w:color="auto"/>
                <w:bottom w:val="none" w:sz="0" w:space="0" w:color="auto"/>
                <w:right w:val="none" w:sz="0" w:space="0" w:color="auto"/>
              </w:divBdr>
            </w:div>
          </w:divsChild>
        </w:div>
        <w:div w:id="1413429161">
          <w:marLeft w:val="0"/>
          <w:marRight w:val="0"/>
          <w:marTop w:val="0"/>
          <w:marBottom w:val="0"/>
          <w:divBdr>
            <w:top w:val="none" w:sz="0" w:space="0" w:color="auto"/>
            <w:left w:val="none" w:sz="0" w:space="0" w:color="auto"/>
            <w:bottom w:val="none" w:sz="0" w:space="0" w:color="auto"/>
            <w:right w:val="none" w:sz="0" w:space="0" w:color="auto"/>
          </w:divBdr>
          <w:divsChild>
            <w:div w:id="967901393">
              <w:marLeft w:val="0"/>
              <w:marRight w:val="0"/>
              <w:marTop w:val="0"/>
              <w:marBottom w:val="0"/>
              <w:divBdr>
                <w:top w:val="none" w:sz="0" w:space="0" w:color="auto"/>
                <w:left w:val="none" w:sz="0" w:space="0" w:color="auto"/>
                <w:bottom w:val="none" w:sz="0" w:space="0" w:color="auto"/>
                <w:right w:val="none" w:sz="0" w:space="0" w:color="auto"/>
              </w:divBdr>
            </w:div>
            <w:div w:id="1827358173">
              <w:marLeft w:val="0"/>
              <w:marRight w:val="0"/>
              <w:marTop w:val="0"/>
              <w:marBottom w:val="0"/>
              <w:divBdr>
                <w:top w:val="none" w:sz="0" w:space="0" w:color="auto"/>
                <w:left w:val="none" w:sz="0" w:space="0" w:color="auto"/>
                <w:bottom w:val="none" w:sz="0" w:space="0" w:color="auto"/>
                <w:right w:val="none" w:sz="0" w:space="0" w:color="auto"/>
              </w:divBdr>
            </w:div>
          </w:divsChild>
        </w:div>
        <w:div w:id="1505779103">
          <w:marLeft w:val="0"/>
          <w:marRight w:val="0"/>
          <w:marTop w:val="0"/>
          <w:marBottom w:val="0"/>
          <w:divBdr>
            <w:top w:val="none" w:sz="0" w:space="0" w:color="auto"/>
            <w:left w:val="none" w:sz="0" w:space="0" w:color="auto"/>
            <w:bottom w:val="none" w:sz="0" w:space="0" w:color="auto"/>
            <w:right w:val="none" w:sz="0" w:space="0" w:color="auto"/>
          </w:divBdr>
          <w:divsChild>
            <w:div w:id="1204366878">
              <w:marLeft w:val="0"/>
              <w:marRight w:val="0"/>
              <w:marTop w:val="0"/>
              <w:marBottom w:val="0"/>
              <w:divBdr>
                <w:top w:val="none" w:sz="0" w:space="0" w:color="auto"/>
                <w:left w:val="none" w:sz="0" w:space="0" w:color="auto"/>
                <w:bottom w:val="none" w:sz="0" w:space="0" w:color="auto"/>
                <w:right w:val="none" w:sz="0" w:space="0" w:color="auto"/>
              </w:divBdr>
            </w:div>
          </w:divsChild>
        </w:div>
        <w:div w:id="1688484933">
          <w:marLeft w:val="0"/>
          <w:marRight w:val="0"/>
          <w:marTop w:val="0"/>
          <w:marBottom w:val="0"/>
          <w:divBdr>
            <w:top w:val="none" w:sz="0" w:space="0" w:color="auto"/>
            <w:left w:val="none" w:sz="0" w:space="0" w:color="auto"/>
            <w:bottom w:val="none" w:sz="0" w:space="0" w:color="auto"/>
            <w:right w:val="none" w:sz="0" w:space="0" w:color="auto"/>
          </w:divBdr>
          <w:divsChild>
            <w:div w:id="193345692">
              <w:marLeft w:val="0"/>
              <w:marRight w:val="0"/>
              <w:marTop w:val="0"/>
              <w:marBottom w:val="0"/>
              <w:divBdr>
                <w:top w:val="none" w:sz="0" w:space="0" w:color="auto"/>
                <w:left w:val="none" w:sz="0" w:space="0" w:color="auto"/>
                <w:bottom w:val="none" w:sz="0" w:space="0" w:color="auto"/>
                <w:right w:val="none" w:sz="0" w:space="0" w:color="auto"/>
              </w:divBdr>
            </w:div>
            <w:div w:id="1048384052">
              <w:marLeft w:val="0"/>
              <w:marRight w:val="0"/>
              <w:marTop w:val="0"/>
              <w:marBottom w:val="0"/>
              <w:divBdr>
                <w:top w:val="none" w:sz="0" w:space="0" w:color="auto"/>
                <w:left w:val="none" w:sz="0" w:space="0" w:color="auto"/>
                <w:bottom w:val="none" w:sz="0" w:space="0" w:color="auto"/>
                <w:right w:val="none" w:sz="0" w:space="0" w:color="auto"/>
              </w:divBdr>
            </w:div>
          </w:divsChild>
        </w:div>
        <w:div w:id="2107920635">
          <w:marLeft w:val="0"/>
          <w:marRight w:val="0"/>
          <w:marTop w:val="0"/>
          <w:marBottom w:val="0"/>
          <w:divBdr>
            <w:top w:val="none" w:sz="0" w:space="0" w:color="auto"/>
            <w:left w:val="none" w:sz="0" w:space="0" w:color="auto"/>
            <w:bottom w:val="none" w:sz="0" w:space="0" w:color="auto"/>
            <w:right w:val="none" w:sz="0" w:space="0" w:color="auto"/>
          </w:divBdr>
          <w:divsChild>
            <w:div w:id="1578662800">
              <w:marLeft w:val="0"/>
              <w:marRight w:val="0"/>
              <w:marTop w:val="0"/>
              <w:marBottom w:val="0"/>
              <w:divBdr>
                <w:top w:val="none" w:sz="0" w:space="0" w:color="auto"/>
                <w:left w:val="none" w:sz="0" w:space="0" w:color="auto"/>
                <w:bottom w:val="none" w:sz="0" w:space="0" w:color="auto"/>
                <w:right w:val="none" w:sz="0" w:space="0" w:color="auto"/>
              </w:divBdr>
            </w:div>
          </w:divsChild>
        </w:div>
        <w:div w:id="2141723228">
          <w:marLeft w:val="0"/>
          <w:marRight w:val="0"/>
          <w:marTop w:val="0"/>
          <w:marBottom w:val="0"/>
          <w:divBdr>
            <w:top w:val="none" w:sz="0" w:space="0" w:color="auto"/>
            <w:left w:val="none" w:sz="0" w:space="0" w:color="auto"/>
            <w:bottom w:val="none" w:sz="0" w:space="0" w:color="auto"/>
            <w:right w:val="none" w:sz="0" w:space="0" w:color="auto"/>
          </w:divBdr>
          <w:divsChild>
            <w:div w:id="11743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3104">
      <w:bodyDiv w:val="1"/>
      <w:marLeft w:val="0"/>
      <w:marRight w:val="0"/>
      <w:marTop w:val="0"/>
      <w:marBottom w:val="0"/>
      <w:divBdr>
        <w:top w:val="none" w:sz="0" w:space="0" w:color="auto"/>
        <w:left w:val="none" w:sz="0" w:space="0" w:color="auto"/>
        <w:bottom w:val="none" w:sz="0" w:space="0" w:color="auto"/>
        <w:right w:val="none" w:sz="0" w:space="0" w:color="auto"/>
      </w:divBdr>
      <w:divsChild>
        <w:div w:id="1272594219">
          <w:marLeft w:val="0"/>
          <w:marRight w:val="0"/>
          <w:marTop w:val="0"/>
          <w:marBottom w:val="0"/>
          <w:divBdr>
            <w:top w:val="none" w:sz="0" w:space="0" w:color="auto"/>
            <w:left w:val="none" w:sz="0" w:space="0" w:color="auto"/>
            <w:bottom w:val="none" w:sz="0" w:space="0" w:color="auto"/>
            <w:right w:val="none" w:sz="0" w:space="0" w:color="auto"/>
          </w:divBdr>
        </w:div>
        <w:div w:id="1828665867">
          <w:marLeft w:val="0"/>
          <w:marRight w:val="0"/>
          <w:marTop w:val="0"/>
          <w:marBottom w:val="0"/>
          <w:divBdr>
            <w:top w:val="none" w:sz="0" w:space="0" w:color="auto"/>
            <w:left w:val="none" w:sz="0" w:space="0" w:color="auto"/>
            <w:bottom w:val="none" w:sz="0" w:space="0" w:color="auto"/>
            <w:right w:val="none" w:sz="0" w:space="0" w:color="auto"/>
          </w:divBdr>
        </w:div>
        <w:div w:id="1899366148">
          <w:marLeft w:val="0"/>
          <w:marRight w:val="0"/>
          <w:marTop w:val="0"/>
          <w:marBottom w:val="0"/>
          <w:divBdr>
            <w:top w:val="none" w:sz="0" w:space="0" w:color="auto"/>
            <w:left w:val="none" w:sz="0" w:space="0" w:color="auto"/>
            <w:bottom w:val="none" w:sz="0" w:space="0" w:color="auto"/>
            <w:right w:val="none" w:sz="0" w:space="0" w:color="auto"/>
          </w:divBdr>
        </w:div>
      </w:divsChild>
    </w:div>
    <w:div w:id="976954977">
      <w:bodyDiv w:val="1"/>
      <w:marLeft w:val="0"/>
      <w:marRight w:val="0"/>
      <w:marTop w:val="0"/>
      <w:marBottom w:val="0"/>
      <w:divBdr>
        <w:top w:val="none" w:sz="0" w:space="0" w:color="auto"/>
        <w:left w:val="none" w:sz="0" w:space="0" w:color="auto"/>
        <w:bottom w:val="none" w:sz="0" w:space="0" w:color="auto"/>
        <w:right w:val="none" w:sz="0" w:space="0" w:color="auto"/>
      </w:divBdr>
      <w:divsChild>
        <w:div w:id="1061245028">
          <w:marLeft w:val="0"/>
          <w:marRight w:val="0"/>
          <w:marTop w:val="0"/>
          <w:marBottom w:val="0"/>
          <w:divBdr>
            <w:top w:val="none" w:sz="0" w:space="0" w:color="auto"/>
            <w:left w:val="none" w:sz="0" w:space="0" w:color="auto"/>
            <w:bottom w:val="none" w:sz="0" w:space="0" w:color="auto"/>
            <w:right w:val="none" w:sz="0" w:space="0" w:color="auto"/>
          </w:divBdr>
        </w:div>
        <w:div w:id="1229421171">
          <w:marLeft w:val="0"/>
          <w:marRight w:val="0"/>
          <w:marTop w:val="0"/>
          <w:marBottom w:val="0"/>
          <w:divBdr>
            <w:top w:val="none" w:sz="0" w:space="0" w:color="auto"/>
            <w:left w:val="none" w:sz="0" w:space="0" w:color="auto"/>
            <w:bottom w:val="none" w:sz="0" w:space="0" w:color="auto"/>
            <w:right w:val="none" w:sz="0" w:space="0" w:color="auto"/>
          </w:divBdr>
        </w:div>
      </w:divsChild>
    </w:div>
    <w:div w:id="988049183">
      <w:bodyDiv w:val="1"/>
      <w:marLeft w:val="0"/>
      <w:marRight w:val="0"/>
      <w:marTop w:val="0"/>
      <w:marBottom w:val="0"/>
      <w:divBdr>
        <w:top w:val="none" w:sz="0" w:space="0" w:color="auto"/>
        <w:left w:val="none" w:sz="0" w:space="0" w:color="auto"/>
        <w:bottom w:val="none" w:sz="0" w:space="0" w:color="auto"/>
        <w:right w:val="none" w:sz="0" w:space="0" w:color="auto"/>
      </w:divBdr>
      <w:divsChild>
        <w:div w:id="752168248">
          <w:marLeft w:val="0"/>
          <w:marRight w:val="0"/>
          <w:marTop w:val="0"/>
          <w:marBottom w:val="0"/>
          <w:divBdr>
            <w:top w:val="none" w:sz="0" w:space="0" w:color="auto"/>
            <w:left w:val="none" w:sz="0" w:space="0" w:color="auto"/>
            <w:bottom w:val="none" w:sz="0" w:space="0" w:color="auto"/>
            <w:right w:val="none" w:sz="0" w:space="0" w:color="auto"/>
          </w:divBdr>
        </w:div>
        <w:div w:id="861287804">
          <w:marLeft w:val="0"/>
          <w:marRight w:val="0"/>
          <w:marTop w:val="0"/>
          <w:marBottom w:val="0"/>
          <w:divBdr>
            <w:top w:val="none" w:sz="0" w:space="0" w:color="auto"/>
            <w:left w:val="none" w:sz="0" w:space="0" w:color="auto"/>
            <w:bottom w:val="none" w:sz="0" w:space="0" w:color="auto"/>
            <w:right w:val="none" w:sz="0" w:space="0" w:color="auto"/>
          </w:divBdr>
        </w:div>
        <w:div w:id="991328961">
          <w:marLeft w:val="0"/>
          <w:marRight w:val="0"/>
          <w:marTop w:val="0"/>
          <w:marBottom w:val="0"/>
          <w:divBdr>
            <w:top w:val="none" w:sz="0" w:space="0" w:color="auto"/>
            <w:left w:val="none" w:sz="0" w:space="0" w:color="auto"/>
            <w:bottom w:val="none" w:sz="0" w:space="0" w:color="auto"/>
            <w:right w:val="none" w:sz="0" w:space="0" w:color="auto"/>
          </w:divBdr>
        </w:div>
        <w:div w:id="1067460654">
          <w:marLeft w:val="0"/>
          <w:marRight w:val="0"/>
          <w:marTop w:val="0"/>
          <w:marBottom w:val="0"/>
          <w:divBdr>
            <w:top w:val="none" w:sz="0" w:space="0" w:color="auto"/>
            <w:left w:val="none" w:sz="0" w:space="0" w:color="auto"/>
            <w:bottom w:val="none" w:sz="0" w:space="0" w:color="auto"/>
            <w:right w:val="none" w:sz="0" w:space="0" w:color="auto"/>
          </w:divBdr>
        </w:div>
        <w:div w:id="1209144258">
          <w:marLeft w:val="0"/>
          <w:marRight w:val="0"/>
          <w:marTop w:val="0"/>
          <w:marBottom w:val="0"/>
          <w:divBdr>
            <w:top w:val="none" w:sz="0" w:space="0" w:color="auto"/>
            <w:left w:val="none" w:sz="0" w:space="0" w:color="auto"/>
            <w:bottom w:val="none" w:sz="0" w:space="0" w:color="auto"/>
            <w:right w:val="none" w:sz="0" w:space="0" w:color="auto"/>
          </w:divBdr>
        </w:div>
        <w:div w:id="1559245118">
          <w:marLeft w:val="0"/>
          <w:marRight w:val="0"/>
          <w:marTop w:val="0"/>
          <w:marBottom w:val="0"/>
          <w:divBdr>
            <w:top w:val="none" w:sz="0" w:space="0" w:color="auto"/>
            <w:left w:val="none" w:sz="0" w:space="0" w:color="auto"/>
            <w:bottom w:val="none" w:sz="0" w:space="0" w:color="auto"/>
            <w:right w:val="none" w:sz="0" w:space="0" w:color="auto"/>
          </w:divBdr>
        </w:div>
        <w:div w:id="1738473660">
          <w:marLeft w:val="0"/>
          <w:marRight w:val="0"/>
          <w:marTop w:val="0"/>
          <w:marBottom w:val="0"/>
          <w:divBdr>
            <w:top w:val="none" w:sz="0" w:space="0" w:color="auto"/>
            <w:left w:val="none" w:sz="0" w:space="0" w:color="auto"/>
            <w:bottom w:val="none" w:sz="0" w:space="0" w:color="auto"/>
            <w:right w:val="none" w:sz="0" w:space="0" w:color="auto"/>
          </w:divBdr>
        </w:div>
      </w:divsChild>
    </w:div>
    <w:div w:id="1012298245">
      <w:bodyDiv w:val="1"/>
      <w:marLeft w:val="0"/>
      <w:marRight w:val="0"/>
      <w:marTop w:val="0"/>
      <w:marBottom w:val="0"/>
      <w:divBdr>
        <w:top w:val="none" w:sz="0" w:space="0" w:color="auto"/>
        <w:left w:val="none" w:sz="0" w:space="0" w:color="auto"/>
        <w:bottom w:val="none" w:sz="0" w:space="0" w:color="auto"/>
        <w:right w:val="none" w:sz="0" w:space="0" w:color="auto"/>
      </w:divBdr>
    </w:div>
    <w:div w:id="1019356541">
      <w:bodyDiv w:val="1"/>
      <w:marLeft w:val="0"/>
      <w:marRight w:val="0"/>
      <w:marTop w:val="0"/>
      <w:marBottom w:val="0"/>
      <w:divBdr>
        <w:top w:val="none" w:sz="0" w:space="0" w:color="auto"/>
        <w:left w:val="none" w:sz="0" w:space="0" w:color="auto"/>
        <w:bottom w:val="none" w:sz="0" w:space="0" w:color="auto"/>
        <w:right w:val="none" w:sz="0" w:space="0" w:color="auto"/>
      </w:divBdr>
    </w:div>
    <w:div w:id="1043486129">
      <w:bodyDiv w:val="1"/>
      <w:marLeft w:val="0"/>
      <w:marRight w:val="0"/>
      <w:marTop w:val="0"/>
      <w:marBottom w:val="0"/>
      <w:divBdr>
        <w:top w:val="none" w:sz="0" w:space="0" w:color="auto"/>
        <w:left w:val="none" w:sz="0" w:space="0" w:color="auto"/>
        <w:bottom w:val="none" w:sz="0" w:space="0" w:color="auto"/>
        <w:right w:val="none" w:sz="0" w:space="0" w:color="auto"/>
      </w:divBdr>
    </w:div>
    <w:div w:id="1057704699">
      <w:bodyDiv w:val="1"/>
      <w:marLeft w:val="0"/>
      <w:marRight w:val="0"/>
      <w:marTop w:val="0"/>
      <w:marBottom w:val="0"/>
      <w:divBdr>
        <w:top w:val="none" w:sz="0" w:space="0" w:color="auto"/>
        <w:left w:val="none" w:sz="0" w:space="0" w:color="auto"/>
        <w:bottom w:val="none" w:sz="0" w:space="0" w:color="auto"/>
        <w:right w:val="none" w:sz="0" w:space="0" w:color="auto"/>
      </w:divBdr>
    </w:div>
    <w:div w:id="1117410246">
      <w:bodyDiv w:val="1"/>
      <w:marLeft w:val="0"/>
      <w:marRight w:val="0"/>
      <w:marTop w:val="0"/>
      <w:marBottom w:val="0"/>
      <w:divBdr>
        <w:top w:val="none" w:sz="0" w:space="0" w:color="auto"/>
        <w:left w:val="none" w:sz="0" w:space="0" w:color="auto"/>
        <w:bottom w:val="none" w:sz="0" w:space="0" w:color="auto"/>
        <w:right w:val="none" w:sz="0" w:space="0" w:color="auto"/>
      </w:divBdr>
      <w:divsChild>
        <w:div w:id="110904829">
          <w:marLeft w:val="0"/>
          <w:marRight w:val="0"/>
          <w:marTop w:val="0"/>
          <w:marBottom w:val="0"/>
          <w:divBdr>
            <w:top w:val="none" w:sz="0" w:space="0" w:color="auto"/>
            <w:left w:val="none" w:sz="0" w:space="0" w:color="auto"/>
            <w:bottom w:val="none" w:sz="0" w:space="0" w:color="auto"/>
            <w:right w:val="none" w:sz="0" w:space="0" w:color="auto"/>
          </w:divBdr>
          <w:divsChild>
            <w:div w:id="403063406">
              <w:marLeft w:val="840"/>
              <w:marRight w:val="0"/>
              <w:marTop w:val="0"/>
              <w:marBottom w:val="120"/>
              <w:divBdr>
                <w:top w:val="none" w:sz="0" w:space="0" w:color="auto"/>
                <w:left w:val="none" w:sz="0" w:space="0" w:color="auto"/>
                <w:bottom w:val="none" w:sz="0" w:space="0" w:color="auto"/>
                <w:right w:val="none" w:sz="0" w:space="0" w:color="auto"/>
              </w:divBdr>
            </w:div>
            <w:div w:id="974218621">
              <w:marLeft w:val="0"/>
              <w:marRight w:val="0"/>
              <w:marTop w:val="0"/>
              <w:marBottom w:val="120"/>
              <w:divBdr>
                <w:top w:val="none" w:sz="0" w:space="0" w:color="auto"/>
                <w:left w:val="none" w:sz="0" w:space="0" w:color="auto"/>
                <w:bottom w:val="none" w:sz="0" w:space="0" w:color="auto"/>
                <w:right w:val="none" w:sz="0" w:space="0" w:color="auto"/>
              </w:divBdr>
            </w:div>
          </w:divsChild>
        </w:div>
        <w:div w:id="448355899">
          <w:marLeft w:val="1080"/>
          <w:marRight w:val="0"/>
          <w:marTop w:val="0"/>
          <w:marBottom w:val="120"/>
          <w:divBdr>
            <w:top w:val="none" w:sz="0" w:space="0" w:color="auto"/>
            <w:left w:val="none" w:sz="0" w:space="0" w:color="auto"/>
            <w:bottom w:val="none" w:sz="0" w:space="0" w:color="auto"/>
            <w:right w:val="none" w:sz="0" w:space="0" w:color="auto"/>
          </w:divBdr>
          <w:divsChild>
            <w:div w:id="990328546">
              <w:marLeft w:val="240"/>
              <w:marRight w:val="0"/>
              <w:marTop w:val="0"/>
              <w:marBottom w:val="0"/>
              <w:divBdr>
                <w:top w:val="none" w:sz="0" w:space="0" w:color="auto"/>
                <w:left w:val="none" w:sz="0" w:space="0" w:color="auto"/>
                <w:bottom w:val="none" w:sz="0" w:space="0" w:color="auto"/>
                <w:right w:val="none" w:sz="0" w:space="0" w:color="auto"/>
              </w:divBdr>
            </w:div>
          </w:divsChild>
        </w:div>
        <w:div w:id="471531582">
          <w:marLeft w:val="1080"/>
          <w:marRight w:val="0"/>
          <w:marTop w:val="0"/>
          <w:marBottom w:val="120"/>
          <w:divBdr>
            <w:top w:val="none" w:sz="0" w:space="0" w:color="auto"/>
            <w:left w:val="none" w:sz="0" w:space="0" w:color="auto"/>
            <w:bottom w:val="none" w:sz="0" w:space="0" w:color="auto"/>
            <w:right w:val="none" w:sz="0" w:space="0" w:color="auto"/>
          </w:divBdr>
          <w:divsChild>
            <w:div w:id="1281305467">
              <w:marLeft w:val="240"/>
              <w:marRight w:val="0"/>
              <w:marTop w:val="0"/>
              <w:marBottom w:val="0"/>
              <w:divBdr>
                <w:top w:val="none" w:sz="0" w:space="0" w:color="auto"/>
                <w:left w:val="none" w:sz="0" w:space="0" w:color="auto"/>
                <w:bottom w:val="none" w:sz="0" w:space="0" w:color="auto"/>
                <w:right w:val="none" w:sz="0" w:space="0" w:color="auto"/>
              </w:divBdr>
            </w:div>
          </w:divsChild>
        </w:div>
        <w:div w:id="532615681">
          <w:marLeft w:val="0"/>
          <w:marRight w:val="0"/>
          <w:marTop w:val="0"/>
          <w:marBottom w:val="0"/>
          <w:divBdr>
            <w:top w:val="none" w:sz="0" w:space="0" w:color="auto"/>
            <w:left w:val="none" w:sz="0" w:space="0" w:color="auto"/>
            <w:bottom w:val="none" w:sz="0" w:space="0" w:color="auto"/>
            <w:right w:val="none" w:sz="0" w:space="0" w:color="auto"/>
          </w:divBdr>
          <w:divsChild>
            <w:div w:id="1047529473">
              <w:marLeft w:val="840"/>
              <w:marRight w:val="0"/>
              <w:marTop w:val="0"/>
              <w:marBottom w:val="120"/>
              <w:divBdr>
                <w:top w:val="none" w:sz="0" w:space="0" w:color="auto"/>
                <w:left w:val="none" w:sz="0" w:space="0" w:color="auto"/>
                <w:bottom w:val="none" w:sz="0" w:space="0" w:color="auto"/>
                <w:right w:val="none" w:sz="0" w:space="0" w:color="auto"/>
              </w:divBdr>
            </w:div>
          </w:divsChild>
        </w:div>
        <w:div w:id="807668265">
          <w:marLeft w:val="1200"/>
          <w:marRight w:val="480"/>
          <w:marTop w:val="240"/>
          <w:marBottom w:val="120"/>
          <w:divBdr>
            <w:top w:val="none" w:sz="0" w:space="0" w:color="auto"/>
            <w:left w:val="none" w:sz="0" w:space="0" w:color="auto"/>
            <w:bottom w:val="none" w:sz="0" w:space="0" w:color="auto"/>
            <w:right w:val="none" w:sz="0" w:space="0" w:color="auto"/>
          </w:divBdr>
        </w:div>
        <w:div w:id="977608371">
          <w:marLeft w:val="0"/>
          <w:marRight w:val="0"/>
          <w:marTop w:val="0"/>
          <w:marBottom w:val="0"/>
          <w:divBdr>
            <w:top w:val="none" w:sz="0" w:space="0" w:color="auto"/>
            <w:left w:val="none" w:sz="0" w:space="0" w:color="auto"/>
            <w:bottom w:val="none" w:sz="0" w:space="0" w:color="auto"/>
            <w:right w:val="none" w:sz="0" w:space="0" w:color="auto"/>
          </w:divBdr>
          <w:divsChild>
            <w:div w:id="584726507">
              <w:marLeft w:val="840"/>
              <w:marRight w:val="0"/>
              <w:marTop w:val="0"/>
              <w:marBottom w:val="120"/>
              <w:divBdr>
                <w:top w:val="none" w:sz="0" w:space="0" w:color="auto"/>
                <w:left w:val="none" w:sz="0" w:space="0" w:color="auto"/>
                <w:bottom w:val="none" w:sz="0" w:space="0" w:color="auto"/>
                <w:right w:val="none" w:sz="0" w:space="0" w:color="auto"/>
              </w:divBdr>
            </w:div>
            <w:div w:id="1040593260">
              <w:marLeft w:val="0"/>
              <w:marRight w:val="0"/>
              <w:marTop w:val="0"/>
              <w:marBottom w:val="120"/>
              <w:divBdr>
                <w:top w:val="none" w:sz="0" w:space="0" w:color="auto"/>
                <w:left w:val="none" w:sz="0" w:space="0" w:color="auto"/>
                <w:bottom w:val="none" w:sz="0" w:space="0" w:color="auto"/>
                <w:right w:val="none" w:sz="0" w:space="0" w:color="auto"/>
              </w:divBdr>
            </w:div>
          </w:divsChild>
        </w:div>
        <w:div w:id="1278561584">
          <w:marLeft w:val="1080"/>
          <w:marRight w:val="0"/>
          <w:marTop w:val="0"/>
          <w:marBottom w:val="120"/>
          <w:divBdr>
            <w:top w:val="none" w:sz="0" w:space="0" w:color="auto"/>
            <w:left w:val="none" w:sz="0" w:space="0" w:color="auto"/>
            <w:bottom w:val="none" w:sz="0" w:space="0" w:color="auto"/>
            <w:right w:val="none" w:sz="0" w:space="0" w:color="auto"/>
          </w:divBdr>
          <w:divsChild>
            <w:div w:id="1359087265">
              <w:marLeft w:val="240"/>
              <w:marRight w:val="0"/>
              <w:marTop w:val="0"/>
              <w:marBottom w:val="0"/>
              <w:divBdr>
                <w:top w:val="none" w:sz="0" w:space="0" w:color="auto"/>
                <w:left w:val="none" w:sz="0" w:space="0" w:color="auto"/>
                <w:bottom w:val="none" w:sz="0" w:space="0" w:color="auto"/>
                <w:right w:val="none" w:sz="0" w:space="0" w:color="auto"/>
              </w:divBdr>
            </w:div>
          </w:divsChild>
        </w:div>
        <w:div w:id="1848592821">
          <w:marLeft w:val="0"/>
          <w:marRight w:val="0"/>
          <w:marTop w:val="0"/>
          <w:marBottom w:val="0"/>
          <w:divBdr>
            <w:top w:val="none" w:sz="0" w:space="0" w:color="auto"/>
            <w:left w:val="none" w:sz="0" w:space="0" w:color="auto"/>
            <w:bottom w:val="none" w:sz="0" w:space="0" w:color="auto"/>
            <w:right w:val="none" w:sz="0" w:space="0" w:color="auto"/>
          </w:divBdr>
          <w:divsChild>
            <w:div w:id="475688906">
              <w:marLeft w:val="0"/>
              <w:marRight w:val="0"/>
              <w:marTop w:val="0"/>
              <w:marBottom w:val="120"/>
              <w:divBdr>
                <w:top w:val="none" w:sz="0" w:space="0" w:color="auto"/>
                <w:left w:val="none" w:sz="0" w:space="0" w:color="auto"/>
                <w:bottom w:val="none" w:sz="0" w:space="0" w:color="auto"/>
                <w:right w:val="none" w:sz="0" w:space="0" w:color="auto"/>
              </w:divBdr>
            </w:div>
            <w:div w:id="961376784">
              <w:marLeft w:val="840"/>
              <w:marRight w:val="0"/>
              <w:marTop w:val="0"/>
              <w:marBottom w:val="120"/>
              <w:divBdr>
                <w:top w:val="none" w:sz="0" w:space="0" w:color="auto"/>
                <w:left w:val="none" w:sz="0" w:space="0" w:color="auto"/>
                <w:bottom w:val="none" w:sz="0" w:space="0" w:color="auto"/>
                <w:right w:val="none" w:sz="0" w:space="0" w:color="auto"/>
              </w:divBdr>
            </w:div>
          </w:divsChild>
        </w:div>
        <w:div w:id="1973902731">
          <w:marLeft w:val="1080"/>
          <w:marRight w:val="0"/>
          <w:marTop w:val="0"/>
          <w:marBottom w:val="120"/>
          <w:divBdr>
            <w:top w:val="none" w:sz="0" w:space="0" w:color="auto"/>
            <w:left w:val="none" w:sz="0" w:space="0" w:color="auto"/>
            <w:bottom w:val="none" w:sz="0" w:space="0" w:color="auto"/>
            <w:right w:val="none" w:sz="0" w:space="0" w:color="auto"/>
          </w:divBdr>
          <w:divsChild>
            <w:div w:id="3139917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4271703">
      <w:bodyDiv w:val="1"/>
      <w:marLeft w:val="0"/>
      <w:marRight w:val="0"/>
      <w:marTop w:val="0"/>
      <w:marBottom w:val="0"/>
      <w:divBdr>
        <w:top w:val="none" w:sz="0" w:space="0" w:color="auto"/>
        <w:left w:val="none" w:sz="0" w:space="0" w:color="auto"/>
        <w:bottom w:val="none" w:sz="0" w:space="0" w:color="auto"/>
        <w:right w:val="none" w:sz="0" w:space="0" w:color="auto"/>
      </w:divBdr>
    </w:div>
    <w:div w:id="1158110660">
      <w:bodyDiv w:val="1"/>
      <w:marLeft w:val="0"/>
      <w:marRight w:val="0"/>
      <w:marTop w:val="0"/>
      <w:marBottom w:val="0"/>
      <w:divBdr>
        <w:top w:val="none" w:sz="0" w:space="0" w:color="auto"/>
        <w:left w:val="none" w:sz="0" w:space="0" w:color="auto"/>
        <w:bottom w:val="none" w:sz="0" w:space="0" w:color="auto"/>
        <w:right w:val="none" w:sz="0" w:space="0" w:color="auto"/>
      </w:divBdr>
    </w:div>
    <w:div w:id="1163735961">
      <w:bodyDiv w:val="1"/>
      <w:marLeft w:val="0"/>
      <w:marRight w:val="0"/>
      <w:marTop w:val="0"/>
      <w:marBottom w:val="0"/>
      <w:divBdr>
        <w:top w:val="none" w:sz="0" w:space="0" w:color="auto"/>
        <w:left w:val="none" w:sz="0" w:space="0" w:color="auto"/>
        <w:bottom w:val="none" w:sz="0" w:space="0" w:color="auto"/>
        <w:right w:val="none" w:sz="0" w:space="0" w:color="auto"/>
      </w:divBdr>
      <w:divsChild>
        <w:div w:id="1600217493">
          <w:marLeft w:val="0"/>
          <w:marRight w:val="0"/>
          <w:marTop w:val="0"/>
          <w:marBottom w:val="0"/>
          <w:divBdr>
            <w:top w:val="none" w:sz="0" w:space="0" w:color="auto"/>
            <w:left w:val="none" w:sz="0" w:space="0" w:color="auto"/>
            <w:bottom w:val="none" w:sz="0" w:space="0" w:color="auto"/>
            <w:right w:val="none" w:sz="0" w:space="0" w:color="auto"/>
          </w:divBdr>
        </w:div>
        <w:div w:id="2118786645">
          <w:marLeft w:val="0"/>
          <w:marRight w:val="0"/>
          <w:marTop w:val="0"/>
          <w:marBottom w:val="0"/>
          <w:divBdr>
            <w:top w:val="none" w:sz="0" w:space="0" w:color="auto"/>
            <w:left w:val="none" w:sz="0" w:space="0" w:color="auto"/>
            <w:bottom w:val="none" w:sz="0" w:space="0" w:color="auto"/>
            <w:right w:val="none" w:sz="0" w:space="0" w:color="auto"/>
          </w:divBdr>
        </w:div>
      </w:divsChild>
    </w:div>
    <w:div w:id="1193109395">
      <w:bodyDiv w:val="1"/>
      <w:marLeft w:val="0"/>
      <w:marRight w:val="0"/>
      <w:marTop w:val="0"/>
      <w:marBottom w:val="0"/>
      <w:divBdr>
        <w:top w:val="none" w:sz="0" w:space="0" w:color="auto"/>
        <w:left w:val="none" w:sz="0" w:space="0" w:color="auto"/>
        <w:bottom w:val="none" w:sz="0" w:space="0" w:color="auto"/>
        <w:right w:val="none" w:sz="0" w:space="0" w:color="auto"/>
      </w:divBdr>
    </w:div>
    <w:div w:id="1227912380">
      <w:bodyDiv w:val="1"/>
      <w:marLeft w:val="0"/>
      <w:marRight w:val="0"/>
      <w:marTop w:val="0"/>
      <w:marBottom w:val="0"/>
      <w:divBdr>
        <w:top w:val="none" w:sz="0" w:space="0" w:color="auto"/>
        <w:left w:val="none" w:sz="0" w:space="0" w:color="auto"/>
        <w:bottom w:val="none" w:sz="0" w:space="0" w:color="auto"/>
        <w:right w:val="none" w:sz="0" w:space="0" w:color="auto"/>
      </w:divBdr>
      <w:divsChild>
        <w:div w:id="769735289">
          <w:marLeft w:val="0"/>
          <w:marRight w:val="0"/>
          <w:marTop w:val="0"/>
          <w:marBottom w:val="0"/>
          <w:divBdr>
            <w:top w:val="none" w:sz="0" w:space="0" w:color="auto"/>
            <w:left w:val="none" w:sz="0" w:space="0" w:color="auto"/>
            <w:bottom w:val="none" w:sz="0" w:space="0" w:color="auto"/>
            <w:right w:val="none" w:sz="0" w:space="0" w:color="auto"/>
          </w:divBdr>
          <w:divsChild>
            <w:div w:id="98332748">
              <w:marLeft w:val="0"/>
              <w:marRight w:val="0"/>
              <w:marTop w:val="0"/>
              <w:marBottom w:val="0"/>
              <w:divBdr>
                <w:top w:val="none" w:sz="0" w:space="0" w:color="auto"/>
                <w:left w:val="none" w:sz="0" w:space="0" w:color="auto"/>
                <w:bottom w:val="none" w:sz="0" w:space="0" w:color="auto"/>
                <w:right w:val="none" w:sz="0" w:space="0" w:color="auto"/>
              </w:divBdr>
            </w:div>
            <w:div w:id="361397382">
              <w:marLeft w:val="0"/>
              <w:marRight w:val="0"/>
              <w:marTop w:val="0"/>
              <w:marBottom w:val="0"/>
              <w:divBdr>
                <w:top w:val="none" w:sz="0" w:space="0" w:color="auto"/>
                <w:left w:val="none" w:sz="0" w:space="0" w:color="auto"/>
                <w:bottom w:val="none" w:sz="0" w:space="0" w:color="auto"/>
                <w:right w:val="none" w:sz="0" w:space="0" w:color="auto"/>
              </w:divBdr>
            </w:div>
            <w:div w:id="888223458">
              <w:marLeft w:val="0"/>
              <w:marRight w:val="0"/>
              <w:marTop w:val="0"/>
              <w:marBottom w:val="0"/>
              <w:divBdr>
                <w:top w:val="none" w:sz="0" w:space="0" w:color="auto"/>
                <w:left w:val="none" w:sz="0" w:space="0" w:color="auto"/>
                <w:bottom w:val="none" w:sz="0" w:space="0" w:color="auto"/>
                <w:right w:val="none" w:sz="0" w:space="0" w:color="auto"/>
              </w:divBdr>
            </w:div>
            <w:div w:id="1625185745">
              <w:marLeft w:val="0"/>
              <w:marRight w:val="0"/>
              <w:marTop w:val="0"/>
              <w:marBottom w:val="0"/>
              <w:divBdr>
                <w:top w:val="none" w:sz="0" w:space="0" w:color="auto"/>
                <w:left w:val="none" w:sz="0" w:space="0" w:color="auto"/>
                <w:bottom w:val="none" w:sz="0" w:space="0" w:color="auto"/>
                <w:right w:val="none" w:sz="0" w:space="0" w:color="auto"/>
              </w:divBdr>
            </w:div>
            <w:div w:id="2144345759">
              <w:marLeft w:val="0"/>
              <w:marRight w:val="0"/>
              <w:marTop w:val="0"/>
              <w:marBottom w:val="0"/>
              <w:divBdr>
                <w:top w:val="none" w:sz="0" w:space="0" w:color="auto"/>
                <w:left w:val="none" w:sz="0" w:space="0" w:color="auto"/>
                <w:bottom w:val="none" w:sz="0" w:space="0" w:color="auto"/>
                <w:right w:val="none" w:sz="0" w:space="0" w:color="auto"/>
              </w:divBdr>
            </w:div>
          </w:divsChild>
        </w:div>
        <w:div w:id="1489517731">
          <w:marLeft w:val="0"/>
          <w:marRight w:val="0"/>
          <w:marTop w:val="0"/>
          <w:marBottom w:val="0"/>
          <w:divBdr>
            <w:top w:val="none" w:sz="0" w:space="0" w:color="auto"/>
            <w:left w:val="none" w:sz="0" w:space="0" w:color="auto"/>
            <w:bottom w:val="none" w:sz="0" w:space="0" w:color="auto"/>
            <w:right w:val="none" w:sz="0" w:space="0" w:color="auto"/>
          </w:divBdr>
          <w:divsChild>
            <w:div w:id="301886606">
              <w:marLeft w:val="0"/>
              <w:marRight w:val="0"/>
              <w:marTop w:val="0"/>
              <w:marBottom w:val="0"/>
              <w:divBdr>
                <w:top w:val="none" w:sz="0" w:space="0" w:color="auto"/>
                <w:left w:val="none" w:sz="0" w:space="0" w:color="auto"/>
                <w:bottom w:val="none" w:sz="0" w:space="0" w:color="auto"/>
                <w:right w:val="none" w:sz="0" w:space="0" w:color="auto"/>
              </w:divBdr>
            </w:div>
            <w:div w:id="525368518">
              <w:marLeft w:val="0"/>
              <w:marRight w:val="0"/>
              <w:marTop w:val="0"/>
              <w:marBottom w:val="0"/>
              <w:divBdr>
                <w:top w:val="none" w:sz="0" w:space="0" w:color="auto"/>
                <w:left w:val="none" w:sz="0" w:space="0" w:color="auto"/>
                <w:bottom w:val="none" w:sz="0" w:space="0" w:color="auto"/>
                <w:right w:val="none" w:sz="0" w:space="0" w:color="auto"/>
              </w:divBdr>
            </w:div>
            <w:div w:id="1863739378">
              <w:marLeft w:val="0"/>
              <w:marRight w:val="0"/>
              <w:marTop w:val="0"/>
              <w:marBottom w:val="0"/>
              <w:divBdr>
                <w:top w:val="none" w:sz="0" w:space="0" w:color="auto"/>
                <w:left w:val="none" w:sz="0" w:space="0" w:color="auto"/>
                <w:bottom w:val="none" w:sz="0" w:space="0" w:color="auto"/>
                <w:right w:val="none" w:sz="0" w:space="0" w:color="auto"/>
              </w:divBdr>
            </w:div>
          </w:divsChild>
        </w:div>
        <w:div w:id="1619215633">
          <w:marLeft w:val="0"/>
          <w:marRight w:val="0"/>
          <w:marTop w:val="0"/>
          <w:marBottom w:val="0"/>
          <w:divBdr>
            <w:top w:val="none" w:sz="0" w:space="0" w:color="auto"/>
            <w:left w:val="none" w:sz="0" w:space="0" w:color="auto"/>
            <w:bottom w:val="none" w:sz="0" w:space="0" w:color="auto"/>
            <w:right w:val="none" w:sz="0" w:space="0" w:color="auto"/>
          </w:divBdr>
        </w:div>
      </w:divsChild>
    </w:div>
    <w:div w:id="1234125301">
      <w:bodyDiv w:val="1"/>
      <w:marLeft w:val="0"/>
      <w:marRight w:val="0"/>
      <w:marTop w:val="0"/>
      <w:marBottom w:val="0"/>
      <w:divBdr>
        <w:top w:val="none" w:sz="0" w:space="0" w:color="auto"/>
        <w:left w:val="none" w:sz="0" w:space="0" w:color="auto"/>
        <w:bottom w:val="none" w:sz="0" w:space="0" w:color="auto"/>
        <w:right w:val="none" w:sz="0" w:space="0" w:color="auto"/>
      </w:divBdr>
    </w:div>
    <w:div w:id="1245996429">
      <w:bodyDiv w:val="1"/>
      <w:marLeft w:val="0"/>
      <w:marRight w:val="0"/>
      <w:marTop w:val="0"/>
      <w:marBottom w:val="0"/>
      <w:divBdr>
        <w:top w:val="none" w:sz="0" w:space="0" w:color="auto"/>
        <w:left w:val="none" w:sz="0" w:space="0" w:color="auto"/>
        <w:bottom w:val="none" w:sz="0" w:space="0" w:color="auto"/>
        <w:right w:val="none" w:sz="0" w:space="0" w:color="auto"/>
      </w:divBdr>
    </w:div>
    <w:div w:id="1268847697">
      <w:bodyDiv w:val="1"/>
      <w:marLeft w:val="0"/>
      <w:marRight w:val="0"/>
      <w:marTop w:val="0"/>
      <w:marBottom w:val="0"/>
      <w:divBdr>
        <w:top w:val="none" w:sz="0" w:space="0" w:color="auto"/>
        <w:left w:val="none" w:sz="0" w:space="0" w:color="auto"/>
        <w:bottom w:val="none" w:sz="0" w:space="0" w:color="auto"/>
        <w:right w:val="none" w:sz="0" w:space="0" w:color="auto"/>
      </w:divBdr>
      <w:divsChild>
        <w:div w:id="295449809">
          <w:marLeft w:val="0"/>
          <w:marRight w:val="0"/>
          <w:marTop w:val="0"/>
          <w:marBottom w:val="0"/>
          <w:divBdr>
            <w:top w:val="none" w:sz="0" w:space="0" w:color="auto"/>
            <w:left w:val="none" w:sz="0" w:space="0" w:color="auto"/>
            <w:bottom w:val="none" w:sz="0" w:space="0" w:color="auto"/>
            <w:right w:val="none" w:sz="0" w:space="0" w:color="auto"/>
          </w:divBdr>
          <w:divsChild>
            <w:div w:id="435832303">
              <w:marLeft w:val="0"/>
              <w:marRight w:val="0"/>
              <w:marTop w:val="0"/>
              <w:marBottom w:val="0"/>
              <w:divBdr>
                <w:top w:val="none" w:sz="0" w:space="0" w:color="auto"/>
                <w:left w:val="none" w:sz="0" w:space="0" w:color="auto"/>
                <w:bottom w:val="none" w:sz="0" w:space="0" w:color="auto"/>
                <w:right w:val="none" w:sz="0" w:space="0" w:color="auto"/>
              </w:divBdr>
            </w:div>
            <w:div w:id="1763381507">
              <w:marLeft w:val="0"/>
              <w:marRight w:val="0"/>
              <w:marTop w:val="0"/>
              <w:marBottom w:val="0"/>
              <w:divBdr>
                <w:top w:val="none" w:sz="0" w:space="0" w:color="auto"/>
                <w:left w:val="none" w:sz="0" w:space="0" w:color="auto"/>
                <w:bottom w:val="none" w:sz="0" w:space="0" w:color="auto"/>
                <w:right w:val="none" w:sz="0" w:space="0" w:color="auto"/>
              </w:divBdr>
            </w:div>
          </w:divsChild>
        </w:div>
        <w:div w:id="682979985">
          <w:marLeft w:val="0"/>
          <w:marRight w:val="0"/>
          <w:marTop w:val="0"/>
          <w:marBottom w:val="0"/>
          <w:divBdr>
            <w:top w:val="none" w:sz="0" w:space="0" w:color="auto"/>
            <w:left w:val="none" w:sz="0" w:space="0" w:color="auto"/>
            <w:bottom w:val="none" w:sz="0" w:space="0" w:color="auto"/>
            <w:right w:val="none" w:sz="0" w:space="0" w:color="auto"/>
          </w:divBdr>
          <w:divsChild>
            <w:div w:id="1337616561">
              <w:marLeft w:val="0"/>
              <w:marRight w:val="0"/>
              <w:marTop w:val="0"/>
              <w:marBottom w:val="0"/>
              <w:divBdr>
                <w:top w:val="none" w:sz="0" w:space="0" w:color="auto"/>
                <w:left w:val="none" w:sz="0" w:space="0" w:color="auto"/>
                <w:bottom w:val="none" w:sz="0" w:space="0" w:color="auto"/>
                <w:right w:val="none" w:sz="0" w:space="0" w:color="auto"/>
              </w:divBdr>
            </w:div>
            <w:div w:id="1356729724">
              <w:marLeft w:val="0"/>
              <w:marRight w:val="0"/>
              <w:marTop w:val="0"/>
              <w:marBottom w:val="0"/>
              <w:divBdr>
                <w:top w:val="none" w:sz="0" w:space="0" w:color="auto"/>
                <w:left w:val="none" w:sz="0" w:space="0" w:color="auto"/>
                <w:bottom w:val="none" w:sz="0" w:space="0" w:color="auto"/>
                <w:right w:val="none" w:sz="0" w:space="0" w:color="auto"/>
              </w:divBdr>
            </w:div>
            <w:div w:id="1938096636">
              <w:marLeft w:val="0"/>
              <w:marRight w:val="0"/>
              <w:marTop w:val="0"/>
              <w:marBottom w:val="0"/>
              <w:divBdr>
                <w:top w:val="none" w:sz="0" w:space="0" w:color="auto"/>
                <w:left w:val="none" w:sz="0" w:space="0" w:color="auto"/>
                <w:bottom w:val="none" w:sz="0" w:space="0" w:color="auto"/>
                <w:right w:val="none" w:sz="0" w:space="0" w:color="auto"/>
              </w:divBdr>
            </w:div>
            <w:div w:id="20375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2460">
      <w:bodyDiv w:val="1"/>
      <w:marLeft w:val="0"/>
      <w:marRight w:val="0"/>
      <w:marTop w:val="0"/>
      <w:marBottom w:val="0"/>
      <w:divBdr>
        <w:top w:val="none" w:sz="0" w:space="0" w:color="auto"/>
        <w:left w:val="none" w:sz="0" w:space="0" w:color="auto"/>
        <w:bottom w:val="none" w:sz="0" w:space="0" w:color="auto"/>
        <w:right w:val="none" w:sz="0" w:space="0" w:color="auto"/>
      </w:divBdr>
    </w:div>
    <w:div w:id="1329286244">
      <w:bodyDiv w:val="1"/>
      <w:marLeft w:val="0"/>
      <w:marRight w:val="0"/>
      <w:marTop w:val="0"/>
      <w:marBottom w:val="0"/>
      <w:divBdr>
        <w:top w:val="none" w:sz="0" w:space="0" w:color="auto"/>
        <w:left w:val="none" w:sz="0" w:space="0" w:color="auto"/>
        <w:bottom w:val="none" w:sz="0" w:space="0" w:color="auto"/>
        <w:right w:val="none" w:sz="0" w:space="0" w:color="auto"/>
      </w:divBdr>
      <w:divsChild>
        <w:div w:id="274597613">
          <w:marLeft w:val="0"/>
          <w:marRight w:val="0"/>
          <w:marTop w:val="0"/>
          <w:marBottom w:val="0"/>
          <w:divBdr>
            <w:top w:val="none" w:sz="0" w:space="0" w:color="auto"/>
            <w:left w:val="none" w:sz="0" w:space="0" w:color="auto"/>
            <w:bottom w:val="none" w:sz="0" w:space="0" w:color="auto"/>
            <w:right w:val="none" w:sz="0" w:space="0" w:color="auto"/>
          </w:divBdr>
        </w:div>
        <w:div w:id="1060245904">
          <w:marLeft w:val="0"/>
          <w:marRight w:val="0"/>
          <w:marTop w:val="0"/>
          <w:marBottom w:val="0"/>
          <w:divBdr>
            <w:top w:val="none" w:sz="0" w:space="0" w:color="auto"/>
            <w:left w:val="none" w:sz="0" w:space="0" w:color="auto"/>
            <w:bottom w:val="none" w:sz="0" w:space="0" w:color="auto"/>
            <w:right w:val="none" w:sz="0" w:space="0" w:color="auto"/>
          </w:divBdr>
        </w:div>
      </w:divsChild>
    </w:div>
    <w:div w:id="1380789536">
      <w:bodyDiv w:val="1"/>
      <w:marLeft w:val="0"/>
      <w:marRight w:val="0"/>
      <w:marTop w:val="0"/>
      <w:marBottom w:val="0"/>
      <w:divBdr>
        <w:top w:val="none" w:sz="0" w:space="0" w:color="auto"/>
        <w:left w:val="none" w:sz="0" w:space="0" w:color="auto"/>
        <w:bottom w:val="none" w:sz="0" w:space="0" w:color="auto"/>
        <w:right w:val="none" w:sz="0" w:space="0" w:color="auto"/>
      </w:divBdr>
    </w:div>
    <w:div w:id="1387874150">
      <w:bodyDiv w:val="1"/>
      <w:marLeft w:val="0"/>
      <w:marRight w:val="0"/>
      <w:marTop w:val="0"/>
      <w:marBottom w:val="0"/>
      <w:divBdr>
        <w:top w:val="none" w:sz="0" w:space="0" w:color="auto"/>
        <w:left w:val="none" w:sz="0" w:space="0" w:color="auto"/>
        <w:bottom w:val="none" w:sz="0" w:space="0" w:color="auto"/>
        <w:right w:val="none" w:sz="0" w:space="0" w:color="auto"/>
      </w:divBdr>
    </w:div>
    <w:div w:id="1387996387">
      <w:bodyDiv w:val="1"/>
      <w:marLeft w:val="0"/>
      <w:marRight w:val="0"/>
      <w:marTop w:val="0"/>
      <w:marBottom w:val="0"/>
      <w:divBdr>
        <w:top w:val="none" w:sz="0" w:space="0" w:color="auto"/>
        <w:left w:val="none" w:sz="0" w:space="0" w:color="auto"/>
        <w:bottom w:val="none" w:sz="0" w:space="0" w:color="auto"/>
        <w:right w:val="none" w:sz="0" w:space="0" w:color="auto"/>
      </w:divBdr>
    </w:div>
    <w:div w:id="1523086182">
      <w:bodyDiv w:val="1"/>
      <w:marLeft w:val="0"/>
      <w:marRight w:val="0"/>
      <w:marTop w:val="0"/>
      <w:marBottom w:val="0"/>
      <w:divBdr>
        <w:top w:val="none" w:sz="0" w:space="0" w:color="auto"/>
        <w:left w:val="none" w:sz="0" w:space="0" w:color="auto"/>
        <w:bottom w:val="none" w:sz="0" w:space="0" w:color="auto"/>
        <w:right w:val="none" w:sz="0" w:space="0" w:color="auto"/>
      </w:divBdr>
      <w:divsChild>
        <w:div w:id="43676803">
          <w:marLeft w:val="0"/>
          <w:marRight w:val="0"/>
          <w:marTop w:val="0"/>
          <w:marBottom w:val="0"/>
          <w:divBdr>
            <w:top w:val="none" w:sz="0" w:space="0" w:color="auto"/>
            <w:left w:val="none" w:sz="0" w:space="0" w:color="auto"/>
            <w:bottom w:val="none" w:sz="0" w:space="0" w:color="auto"/>
            <w:right w:val="none" w:sz="0" w:space="0" w:color="auto"/>
          </w:divBdr>
          <w:divsChild>
            <w:div w:id="217280456">
              <w:marLeft w:val="0"/>
              <w:marRight w:val="0"/>
              <w:marTop w:val="0"/>
              <w:marBottom w:val="0"/>
              <w:divBdr>
                <w:top w:val="none" w:sz="0" w:space="0" w:color="auto"/>
                <w:left w:val="none" w:sz="0" w:space="0" w:color="auto"/>
                <w:bottom w:val="none" w:sz="0" w:space="0" w:color="auto"/>
                <w:right w:val="none" w:sz="0" w:space="0" w:color="auto"/>
              </w:divBdr>
            </w:div>
            <w:div w:id="1173489973">
              <w:marLeft w:val="0"/>
              <w:marRight w:val="0"/>
              <w:marTop w:val="0"/>
              <w:marBottom w:val="0"/>
              <w:divBdr>
                <w:top w:val="none" w:sz="0" w:space="0" w:color="auto"/>
                <w:left w:val="none" w:sz="0" w:space="0" w:color="auto"/>
                <w:bottom w:val="none" w:sz="0" w:space="0" w:color="auto"/>
                <w:right w:val="none" w:sz="0" w:space="0" w:color="auto"/>
              </w:divBdr>
            </w:div>
            <w:div w:id="1940288028">
              <w:marLeft w:val="0"/>
              <w:marRight w:val="0"/>
              <w:marTop w:val="0"/>
              <w:marBottom w:val="0"/>
              <w:divBdr>
                <w:top w:val="none" w:sz="0" w:space="0" w:color="auto"/>
                <w:left w:val="none" w:sz="0" w:space="0" w:color="auto"/>
                <w:bottom w:val="none" w:sz="0" w:space="0" w:color="auto"/>
                <w:right w:val="none" w:sz="0" w:space="0" w:color="auto"/>
              </w:divBdr>
            </w:div>
          </w:divsChild>
        </w:div>
        <w:div w:id="60568817">
          <w:marLeft w:val="0"/>
          <w:marRight w:val="0"/>
          <w:marTop w:val="0"/>
          <w:marBottom w:val="0"/>
          <w:divBdr>
            <w:top w:val="none" w:sz="0" w:space="0" w:color="auto"/>
            <w:left w:val="none" w:sz="0" w:space="0" w:color="auto"/>
            <w:bottom w:val="none" w:sz="0" w:space="0" w:color="auto"/>
            <w:right w:val="none" w:sz="0" w:space="0" w:color="auto"/>
          </w:divBdr>
        </w:div>
        <w:div w:id="113863796">
          <w:marLeft w:val="0"/>
          <w:marRight w:val="0"/>
          <w:marTop w:val="0"/>
          <w:marBottom w:val="0"/>
          <w:divBdr>
            <w:top w:val="none" w:sz="0" w:space="0" w:color="auto"/>
            <w:left w:val="none" w:sz="0" w:space="0" w:color="auto"/>
            <w:bottom w:val="none" w:sz="0" w:space="0" w:color="auto"/>
            <w:right w:val="none" w:sz="0" w:space="0" w:color="auto"/>
          </w:divBdr>
        </w:div>
        <w:div w:id="155533263">
          <w:marLeft w:val="0"/>
          <w:marRight w:val="0"/>
          <w:marTop w:val="0"/>
          <w:marBottom w:val="0"/>
          <w:divBdr>
            <w:top w:val="none" w:sz="0" w:space="0" w:color="auto"/>
            <w:left w:val="none" w:sz="0" w:space="0" w:color="auto"/>
            <w:bottom w:val="none" w:sz="0" w:space="0" w:color="auto"/>
            <w:right w:val="none" w:sz="0" w:space="0" w:color="auto"/>
          </w:divBdr>
        </w:div>
        <w:div w:id="209462922">
          <w:marLeft w:val="0"/>
          <w:marRight w:val="0"/>
          <w:marTop w:val="0"/>
          <w:marBottom w:val="0"/>
          <w:divBdr>
            <w:top w:val="none" w:sz="0" w:space="0" w:color="auto"/>
            <w:left w:val="none" w:sz="0" w:space="0" w:color="auto"/>
            <w:bottom w:val="none" w:sz="0" w:space="0" w:color="auto"/>
            <w:right w:val="none" w:sz="0" w:space="0" w:color="auto"/>
          </w:divBdr>
        </w:div>
        <w:div w:id="445659337">
          <w:marLeft w:val="0"/>
          <w:marRight w:val="0"/>
          <w:marTop w:val="0"/>
          <w:marBottom w:val="0"/>
          <w:divBdr>
            <w:top w:val="none" w:sz="0" w:space="0" w:color="auto"/>
            <w:left w:val="none" w:sz="0" w:space="0" w:color="auto"/>
            <w:bottom w:val="none" w:sz="0" w:space="0" w:color="auto"/>
            <w:right w:val="none" w:sz="0" w:space="0" w:color="auto"/>
          </w:divBdr>
        </w:div>
        <w:div w:id="482503263">
          <w:marLeft w:val="0"/>
          <w:marRight w:val="0"/>
          <w:marTop w:val="0"/>
          <w:marBottom w:val="0"/>
          <w:divBdr>
            <w:top w:val="none" w:sz="0" w:space="0" w:color="auto"/>
            <w:left w:val="none" w:sz="0" w:space="0" w:color="auto"/>
            <w:bottom w:val="none" w:sz="0" w:space="0" w:color="auto"/>
            <w:right w:val="none" w:sz="0" w:space="0" w:color="auto"/>
          </w:divBdr>
        </w:div>
        <w:div w:id="969090674">
          <w:marLeft w:val="0"/>
          <w:marRight w:val="0"/>
          <w:marTop w:val="0"/>
          <w:marBottom w:val="0"/>
          <w:divBdr>
            <w:top w:val="none" w:sz="0" w:space="0" w:color="auto"/>
            <w:left w:val="none" w:sz="0" w:space="0" w:color="auto"/>
            <w:bottom w:val="none" w:sz="0" w:space="0" w:color="auto"/>
            <w:right w:val="none" w:sz="0" w:space="0" w:color="auto"/>
          </w:divBdr>
        </w:div>
        <w:div w:id="1006708624">
          <w:marLeft w:val="0"/>
          <w:marRight w:val="0"/>
          <w:marTop w:val="0"/>
          <w:marBottom w:val="0"/>
          <w:divBdr>
            <w:top w:val="none" w:sz="0" w:space="0" w:color="auto"/>
            <w:left w:val="none" w:sz="0" w:space="0" w:color="auto"/>
            <w:bottom w:val="none" w:sz="0" w:space="0" w:color="auto"/>
            <w:right w:val="none" w:sz="0" w:space="0" w:color="auto"/>
          </w:divBdr>
          <w:divsChild>
            <w:div w:id="116605145">
              <w:marLeft w:val="0"/>
              <w:marRight w:val="0"/>
              <w:marTop w:val="0"/>
              <w:marBottom w:val="0"/>
              <w:divBdr>
                <w:top w:val="none" w:sz="0" w:space="0" w:color="auto"/>
                <w:left w:val="none" w:sz="0" w:space="0" w:color="auto"/>
                <w:bottom w:val="none" w:sz="0" w:space="0" w:color="auto"/>
                <w:right w:val="none" w:sz="0" w:space="0" w:color="auto"/>
              </w:divBdr>
            </w:div>
            <w:div w:id="209995866">
              <w:marLeft w:val="0"/>
              <w:marRight w:val="0"/>
              <w:marTop w:val="0"/>
              <w:marBottom w:val="0"/>
              <w:divBdr>
                <w:top w:val="none" w:sz="0" w:space="0" w:color="auto"/>
                <w:left w:val="none" w:sz="0" w:space="0" w:color="auto"/>
                <w:bottom w:val="none" w:sz="0" w:space="0" w:color="auto"/>
                <w:right w:val="none" w:sz="0" w:space="0" w:color="auto"/>
              </w:divBdr>
            </w:div>
            <w:div w:id="1122573025">
              <w:marLeft w:val="0"/>
              <w:marRight w:val="0"/>
              <w:marTop w:val="0"/>
              <w:marBottom w:val="0"/>
              <w:divBdr>
                <w:top w:val="none" w:sz="0" w:space="0" w:color="auto"/>
                <w:left w:val="none" w:sz="0" w:space="0" w:color="auto"/>
                <w:bottom w:val="none" w:sz="0" w:space="0" w:color="auto"/>
                <w:right w:val="none" w:sz="0" w:space="0" w:color="auto"/>
              </w:divBdr>
            </w:div>
            <w:div w:id="1671758218">
              <w:marLeft w:val="0"/>
              <w:marRight w:val="0"/>
              <w:marTop w:val="0"/>
              <w:marBottom w:val="0"/>
              <w:divBdr>
                <w:top w:val="none" w:sz="0" w:space="0" w:color="auto"/>
                <w:left w:val="none" w:sz="0" w:space="0" w:color="auto"/>
                <w:bottom w:val="none" w:sz="0" w:space="0" w:color="auto"/>
                <w:right w:val="none" w:sz="0" w:space="0" w:color="auto"/>
              </w:divBdr>
            </w:div>
            <w:div w:id="1904683184">
              <w:marLeft w:val="0"/>
              <w:marRight w:val="0"/>
              <w:marTop w:val="0"/>
              <w:marBottom w:val="0"/>
              <w:divBdr>
                <w:top w:val="none" w:sz="0" w:space="0" w:color="auto"/>
                <w:left w:val="none" w:sz="0" w:space="0" w:color="auto"/>
                <w:bottom w:val="none" w:sz="0" w:space="0" w:color="auto"/>
                <w:right w:val="none" w:sz="0" w:space="0" w:color="auto"/>
              </w:divBdr>
            </w:div>
          </w:divsChild>
        </w:div>
        <w:div w:id="1248802870">
          <w:marLeft w:val="0"/>
          <w:marRight w:val="0"/>
          <w:marTop w:val="0"/>
          <w:marBottom w:val="0"/>
          <w:divBdr>
            <w:top w:val="none" w:sz="0" w:space="0" w:color="auto"/>
            <w:left w:val="none" w:sz="0" w:space="0" w:color="auto"/>
            <w:bottom w:val="none" w:sz="0" w:space="0" w:color="auto"/>
            <w:right w:val="none" w:sz="0" w:space="0" w:color="auto"/>
          </w:divBdr>
        </w:div>
        <w:div w:id="1299991294">
          <w:marLeft w:val="0"/>
          <w:marRight w:val="0"/>
          <w:marTop w:val="0"/>
          <w:marBottom w:val="0"/>
          <w:divBdr>
            <w:top w:val="none" w:sz="0" w:space="0" w:color="auto"/>
            <w:left w:val="none" w:sz="0" w:space="0" w:color="auto"/>
            <w:bottom w:val="none" w:sz="0" w:space="0" w:color="auto"/>
            <w:right w:val="none" w:sz="0" w:space="0" w:color="auto"/>
          </w:divBdr>
        </w:div>
        <w:div w:id="1350763045">
          <w:marLeft w:val="0"/>
          <w:marRight w:val="0"/>
          <w:marTop w:val="0"/>
          <w:marBottom w:val="0"/>
          <w:divBdr>
            <w:top w:val="none" w:sz="0" w:space="0" w:color="auto"/>
            <w:left w:val="none" w:sz="0" w:space="0" w:color="auto"/>
            <w:bottom w:val="none" w:sz="0" w:space="0" w:color="auto"/>
            <w:right w:val="none" w:sz="0" w:space="0" w:color="auto"/>
          </w:divBdr>
        </w:div>
        <w:div w:id="1408528697">
          <w:marLeft w:val="0"/>
          <w:marRight w:val="0"/>
          <w:marTop w:val="0"/>
          <w:marBottom w:val="0"/>
          <w:divBdr>
            <w:top w:val="none" w:sz="0" w:space="0" w:color="auto"/>
            <w:left w:val="none" w:sz="0" w:space="0" w:color="auto"/>
            <w:bottom w:val="none" w:sz="0" w:space="0" w:color="auto"/>
            <w:right w:val="none" w:sz="0" w:space="0" w:color="auto"/>
          </w:divBdr>
          <w:divsChild>
            <w:div w:id="398941685">
              <w:marLeft w:val="0"/>
              <w:marRight w:val="0"/>
              <w:marTop w:val="0"/>
              <w:marBottom w:val="0"/>
              <w:divBdr>
                <w:top w:val="none" w:sz="0" w:space="0" w:color="auto"/>
                <w:left w:val="none" w:sz="0" w:space="0" w:color="auto"/>
                <w:bottom w:val="none" w:sz="0" w:space="0" w:color="auto"/>
                <w:right w:val="none" w:sz="0" w:space="0" w:color="auto"/>
              </w:divBdr>
            </w:div>
            <w:div w:id="754322976">
              <w:marLeft w:val="0"/>
              <w:marRight w:val="0"/>
              <w:marTop w:val="0"/>
              <w:marBottom w:val="0"/>
              <w:divBdr>
                <w:top w:val="none" w:sz="0" w:space="0" w:color="auto"/>
                <w:left w:val="none" w:sz="0" w:space="0" w:color="auto"/>
                <w:bottom w:val="none" w:sz="0" w:space="0" w:color="auto"/>
                <w:right w:val="none" w:sz="0" w:space="0" w:color="auto"/>
              </w:divBdr>
            </w:div>
            <w:div w:id="1509784283">
              <w:marLeft w:val="0"/>
              <w:marRight w:val="0"/>
              <w:marTop w:val="0"/>
              <w:marBottom w:val="0"/>
              <w:divBdr>
                <w:top w:val="none" w:sz="0" w:space="0" w:color="auto"/>
                <w:left w:val="none" w:sz="0" w:space="0" w:color="auto"/>
                <w:bottom w:val="none" w:sz="0" w:space="0" w:color="auto"/>
                <w:right w:val="none" w:sz="0" w:space="0" w:color="auto"/>
              </w:divBdr>
            </w:div>
            <w:div w:id="1594558156">
              <w:marLeft w:val="0"/>
              <w:marRight w:val="0"/>
              <w:marTop w:val="0"/>
              <w:marBottom w:val="0"/>
              <w:divBdr>
                <w:top w:val="none" w:sz="0" w:space="0" w:color="auto"/>
                <w:left w:val="none" w:sz="0" w:space="0" w:color="auto"/>
                <w:bottom w:val="none" w:sz="0" w:space="0" w:color="auto"/>
                <w:right w:val="none" w:sz="0" w:space="0" w:color="auto"/>
              </w:divBdr>
            </w:div>
            <w:div w:id="1629356396">
              <w:marLeft w:val="0"/>
              <w:marRight w:val="0"/>
              <w:marTop w:val="0"/>
              <w:marBottom w:val="0"/>
              <w:divBdr>
                <w:top w:val="none" w:sz="0" w:space="0" w:color="auto"/>
                <w:left w:val="none" w:sz="0" w:space="0" w:color="auto"/>
                <w:bottom w:val="none" w:sz="0" w:space="0" w:color="auto"/>
                <w:right w:val="none" w:sz="0" w:space="0" w:color="auto"/>
              </w:divBdr>
            </w:div>
          </w:divsChild>
        </w:div>
        <w:div w:id="1513257925">
          <w:marLeft w:val="0"/>
          <w:marRight w:val="0"/>
          <w:marTop w:val="0"/>
          <w:marBottom w:val="0"/>
          <w:divBdr>
            <w:top w:val="none" w:sz="0" w:space="0" w:color="auto"/>
            <w:left w:val="none" w:sz="0" w:space="0" w:color="auto"/>
            <w:bottom w:val="none" w:sz="0" w:space="0" w:color="auto"/>
            <w:right w:val="none" w:sz="0" w:space="0" w:color="auto"/>
          </w:divBdr>
          <w:divsChild>
            <w:div w:id="128666041">
              <w:marLeft w:val="-75"/>
              <w:marRight w:val="0"/>
              <w:marTop w:val="30"/>
              <w:marBottom w:val="30"/>
              <w:divBdr>
                <w:top w:val="none" w:sz="0" w:space="0" w:color="auto"/>
                <w:left w:val="none" w:sz="0" w:space="0" w:color="auto"/>
                <w:bottom w:val="none" w:sz="0" w:space="0" w:color="auto"/>
                <w:right w:val="none" w:sz="0" w:space="0" w:color="auto"/>
              </w:divBdr>
              <w:divsChild>
                <w:div w:id="9308414">
                  <w:marLeft w:val="0"/>
                  <w:marRight w:val="0"/>
                  <w:marTop w:val="0"/>
                  <w:marBottom w:val="0"/>
                  <w:divBdr>
                    <w:top w:val="none" w:sz="0" w:space="0" w:color="auto"/>
                    <w:left w:val="none" w:sz="0" w:space="0" w:color="auto"/>
                    <w:bottom w:val="none" w:sz="0" w:space="0" w:color="auto"/>
                    <w:right w:val="none" w:sz="0" w:space="0" w:color="auto"/>
                  </w:divBdr>
                  <w:divsChild>
                    <w:div w:id="1424842822">
                      <w:marLeft w:val="0"/>
                      <w:marRight w:val="0"/>
                      <w:marTop w:val="0"/>
                      <w:marBottom w:val="0"/>
                      <w:divBdr>
                        <w:top w:val="none" w:sz="0" w:space="0" w:color="auto"/>
                        <w:left w:val="none" w:sz="0" w:space="0" w:color="auto"/>
                        <w:bottom w:val="none" w:sz="0" w:space="0" w:color="auto"/>
                        <w:right w:val="none" w:sz="0" w:space="0" w:color="auto"/>
                      </w:divBdr>
                    </w:div>
                  </w:divsChild>
                </w:div>
                <w:div w:id="12146933">
                  <w:marLeft w:val="0"/>
                  <w:marRight w:val="0"/>
                  <w:marTop w:val="0"/>
                  <w:marBottom w:val="0"/>
                  <w:divBdr>
                    <w:top w:val="none" w:sz="0" w:space="0" w:color="auto"/>
                    <w:left w:val="none" w:sz="0" w:space="0" w:color="auto"/>
                    <w:bottom w:val="none" w:sz="0" w:space="0" w:color="auto"/>
                    <w:right w:val="none" w:sz="0" w:space="0" w:color="auto"/>
                  </w:divBdr>
                  <w:divsChild>
                    <w:div w:id="214203314">
                      <w:marLeft w:val="0"/>
                      <w:marRight w:val="0"/>
                      <w:marTop w:val="0"/>
                      <w:marBottom w:val="0"/>
                      <w:divBdr>
                        <w:top w:val="none" w:sz="0" w:space="0" w:color="auto"/>
                        <w:left w:val="none" w:sz="0" w:space="0" w:color="auto"/>
                        <w:bottom w:val="none" w:sz="0" w:space="0" w:color="auto"/>
                        <w:right w:val="none" w:sz="0" w:space="0" w:color="auto"/>
                      </w:divBdr>
                    </w:div>
                  </w:divsChild>
                </w:div>
                <w:div w:id="44255982">
                  <w:marLeft w:val="0"/>
                  <w:marRight w:val="0"/>
                  <w:marTop w:val="0"/>
                  <w:marBottom w:val="0"/>
                  <w:divBdr>
                    <w:top w:val="none" w:sz="0" w:space="0" w:color="auto"/>
                    <w:left w:val="none" w:sz="0" w:space="0" w:color="auto"/>
                    <w:bottom w:val="none" w:sz="0" w:space="0" w:color="auto"/>
                    <w:right w:val="none" w:sz="0" w:space="0" w:color="auto"/>
                  </w:divBdr>
                  <w:divsChild>
                    <w:div w:id="475151975">
                      <w:marLeft w:val="0"/>
                      <w:marRight w:val="0"/>
                      <w:marTop w:val="0"/>
                      <w:marBottom w:val="0"/>
                      <w:divBdr>
                        <w:top w:val="none" w:sz="0" w:space="0" w:color="auto"/>
                        <w:left w:val="none" w:sz="0" w:space="0" w:color="auto"/>
                        <w:bottom w:val="none" w:sz="0" w:space="0" w:color="auto"/>
                        <w:right w:val="none" w:sz="0" w:space="0" w:color="auto"/>
                      </w:divBdr>
                    </w:div>
                  </w:divsChild>
                </w:div>
                <w:div w:id="54164370">
                  <w:marLeft w:val="0"/>
                  <w:marRight w:val="0"/>
                  <w:marTop w:val="0"/>
                  <w:marBottom w:val="0"/>
                  <w:divBdr>
                    <w:top w:val="none" w:sz="0" w:space="0" w:color="auto"/>
                    <w:left w:val="none" w:sz="0" w:space="0" w:color="auto"/>
                    <w:bottom w:val="none" w:sz="0" w:space="0" w:color="auto"/>
                    <w:right w:val="none" w:sz="0" w:space="0" w:color="auto"/>
                  </w:divBdr>
                  <w:divsChild>
                    <w:div w:id="964241294">
                      <w:marLeft w:val="0"/>
                      <w:marRight w:val="0"/>
                      <w:marTop w:val="0"/>
                      <w:marBottom w:val="0"/>
                      <w:divBdr>
                        <w:top w:val="none" w:sz="0" w:space="0" w:color="auto"/>
                        <w:left w:val="none" w:sz="0" w:space="0" w:color="auto"/>
                        <w:bottom w:val="none" w:sz="0" w:space="0" w:color="auto"/>
                        <w:right w:val="none" w:sz="0" w:space="0" w:color="auto"/>
                      </w:divBdr>
                    </w:div>
                  </w:divsChild>
                </w:div>
                <w:div w:id="70662957">
                  <w:marLeft w:val="0"/>
                  <w:marRight w:val="0"/>
                  <w:marTop w:val="0"/>
                  <w:marBottom w:val="0"/>
                  <w:divBdr>
                    <w:top w:val="none" w:sz="0" w:space="0" w:color="auto"/>
                    <w:left w:val="none" w:sz="0" w:space="0" w:color="auto"/>
                    <w:bottom w:val="none" w:sz="0" w:space="0" w:color="auto"/>
                    <w:right w:val="none" w:sz="0" w:space="0" w:color="auto"/>
                  </w:divBdr>
                  <w:divsChild>
                    <w:div w:id="1786463120">
                      <w:marLeft w:val="0"/>
                      <w:marRight w:val="0"/>
                      <w:marTop w:val="0"/>
                      <w:marBottom w:val="0"/>
                      <w:divBdr>
                        <w:top w:val="none" w:sz="0" w:space="0" w:color="auto"/>
                        <w:left w:val="none" w:sz="0" w:space="0" w:color="auto"/>
                        <w:bottom w:val="none" w:sz="0" w:space="0" w:color="auto"/>
                        <w:right w:val="none" w:sz="0" w:space="0" w:color="auto"/>
                      </w:divBdr>
                    </w:div>
                  </w:divsChild>
                </w:div>
                <w:div w:id="108552034">
                  <w:marLeft w:val="0"/>
                  <w:marRight w:val="0"/>
                  <w:marTop w:val="0"/>
                  <w:marBottom w:val="0"/>
                  <w:divBdr>
                    <w:top w:val="none" w:sz="0" w:space="0" w:color="auto"/>
                    <w:left w:val="none" w:sz="0" w:space="0" w:color="auto"/>
                    <w:bottom w:val="none" w:sz="0" w:space="0" w:color="auto"/>
                    <w:right w:val="none" w:sz="0" w:space="0" w:color="auto"/>
                  </w:divBdr>
                  <w:divsChild>
                    <w:div w:id="284623048">
                      <w:marLeft w:val="0"/>
                      <w:marRight w:val="0"/>
                      <w:marTop w:val="0"/>
                      <w:marBottom w:val="0"/>
                      <w:divBdr>
                        <w:top w:val="none" w:sz="0" w:space="0" w:color="auto"/>
                        <w:left w:val="none" w:sz="0" w:space="0" w:color="auto"/>
                        <w:bottom w:val="none" w:sz="0" w:space="0" w:color="auto"/>
                        <w:right w:val="none" w:sz="0" w:space="0" w:color="auto"/>
                      </w:divBdr>
                    </w:div>
                  </w:divsChild>
                </w:div>
                <w:div w:id="132333512">
                  <w:marLeft w:val="0"/>
                  <w:marRight w:val="0"/>
                  <w:marTop w:val="0"/>
                  <w:marBottom w:val="0"/>
                  <w:divBdr>
                    <w:top w:val="none" w:sz="0" w:space="0" w:color="auto"/>
                    <w:left w:val="none" w:sz="0" w:space="0" w:color="auto"/>
                    <w:bottom w:val="none" w:sz="0" w:space="0" w:color="auto"/>
                    <w:right w:val="none" w:sz="0" w:space="0" w:color="auto"/>
                  </w:divBdr>
                  <w:divsChild>
                    <w:div w:id="822310947">
                      <w:marLeft w:val="0"/>
                      <w:marRight w:val="0"/>
                      <w:marTop w:val="0"/>
                      <w:marBottom w:val="0"/>
                      <w:divBdr>
                        <w:top w:val="none" w:sz="0" w:space="0" w:color="auto"/>
                        <w:left w:val="none" w:sz="0" w:space="0" w:color="auto"/>
                        <w:bottom w:val="none" w:sz="0" w:space="0" w:color="auto"/>
                        <w:right w:val="none" w:sz="0" w:space="0" w:color="auto"/>
                      </w:divBdr>
                    </w:div>
                  </w:divsChild>
                </w:div>
                <w:div w:id="147946198">
                  <w:marLeft w:val="0"/>
                  <w:marRight w:val="0"/>
                  <w:marTop w:val="0"/>
                  <w:marBottom w:val="0"/>
                  <w:divBdr>
                    <w:top w:val="none" w:sz="0" w:space="0" w:color="auto"/>
                    <w:left w:val="none" w:sz="0" w:space="0" w:color="auto"/>
                    <w:bottom w:val="none" w:sz="0" w:space="0" w:color="auto"/>
                    <w:right w:val="none" w:sz="0" w:space="0" w:color="auto"/>
                  </w:divBdr>
                  <w:divsChild>
                    <w:div w:id="670571018">
                      <w:marLeft w:val="0"/>
                      <w:marRight w:val="0"/>
                      <w:marTop w:val="0"/>
                      <w:marBottom w:val="0"/>
                      <w:divBdr>
                        <w:top w:val="none" w:sz="0" w:space="0" w:color="auto"/>
                        <w:left w:val="none" w:sz="0" w:space="0" w:color="auto"/>
                        <w:bottom w:val="none" w:sz="0" w:space="0" w:color="auto"/>
                        <w:right w:val="none" w:sz="0" w:space="0" w:color="auto"/>
                      </w:divBdr>
                    </w:div>
                  </w:divsChild>
                </w:div>
                <w:div w:id="166527435">
                  <w:marLeft w:val="0"/>
                  <w:marRight w:val="0"/>
                  <w:marTop w:val="0"/>
                  <w:marBottom w:val="0"/>
                  <w:divBdr>
                    <w:top w:val="none" w:sz="0" w:space="0" w:color="auto"/>
                    <w:left w:val="none" w:sz="0" w:space="0" w:color="auto"/>
                    <w:bottom w:val="none" w:sz="0" w:space="0" w:color="auto"/>
                    <w:right w:val="none" w:sz="0" w:space="0" w:color="auto"/>
                  </w:divBdr>
                  <w:divsChild>
                    <w:div w:id="988944386">
                      <w:marLeft w:val="0"/>
                      <w:marRight w:val="0"/>
                      <w:marTop w:val="0"/>
                      <w:marBottom w:val="0"/>
                      <w:divBdr>
                        <w:top w:val="none" w:sz="0" w:space="0" w:color="auto"/>
                        <w:left w:val="none" w:sz="0" w:space="0" w:color="auto"/>
                        <w:bottom w:val="none" w:sz="0" w:space="0" w:color="auto"/>
                        <w:right w:val="none" w:sz="0" w:space="0" w:color="auto"/>
                      </w:divBdr>
                    </w:div>
                  </w:divsChild>
                </w:div>
                <w:div w:id="182327361">
                  <w:marLeft w:val="0"/>
                  <w:marRight w:val="0"/>
                  <w:marTop w:val="0"/>
                  <w:marBottom w:val="0"/>
                  <w:divBdr>
                    <w:top w:val="none" w:sz="0" w:space="0" w:color="auto"/>
                    <w:left w:val="none" w:sz="0" w:space="0" w:color="auto"/>
                    <w:bottom w:val="none" w:sz="0" w:space="0" w:color="auto"/>
                    <w:right w:val="none" w:sz="0" w:space="0" w:color="auto"/>
                  </w:divBdr>
                  <w:divsChild>
                    <w:div w:id="426199889">
                      <w:marLeft w:val="0"/>
                      <w:marRight w:val="0"/>
                      <w:marTop w:val="0"/>
                      <w:marBottom w:val="0"/>
                      <w:divBdr>
                        <w:top w:val="none" w:sz="0" w:space="0" w:color="auto"/>
                        <w:left w:val="none" w:sz="0" w:space="0" w:color="auto"/>
                        <w:bottom w:val="none" w:sz="0" w:space="0" w:color="auto"/>
                        <w:right w:val="none" w:sz="0" w:space="0" w:color="auto"/>
                      </w:divBdr>
                    </w:div>
                  </w:divsChild>
                </w:div>
                <w:div w:id="191194708">
                  <w:marLeft w:val="0"/>
                  <w:marRight w:val="0"/>
                  <w:marTop w:val="0"/>
                  <w:marBottom w:val="0"/>
                  <w:divBdr>
                    <w:top w:val="none" w:sz="0" w:space="0" w:color="auto"/>
                    <w:left w:val="none" w:sz="0" w:space="0" w:color="auto"/>
                    <w:bottom w:val="none" w:sz="0" w:space="0" w:color="auto"/>
                    <w:right w:val="none" w:sz="0" w:space="0" w:color="auto"/>
                  </w:divBdr>
                  <w:divsChild>
                    <w:div w:id="1271627455">
                      <w:marLeft w:val="0"/>
                      <w:marRight w:val="0"/>
                      <w:marTop w:val="0"/>
                      <w:marBottom w:val="0"/>
                      <w:divBdr>
                        <w:top w:val="none" w:sz="0" w:space="0" w:color="auto"/>
                        <w:left w:val="none" w:sz="0" w:space="0" w:color="auto"/>
                        <w:bottom w:val="none" w:sz="0" w:space="0" w:color="auto"/>
                        <w:right w:val="none" w:sz="0" w:space="0" w:color="auto"/>
                      </w:divBdr>
                    </w:div>
                  </w:divsChild>
                </w:div>
                <w:div w:id="203449768">
                  <w:marLeft w:val="0"/>
                  <w:marRight w:val="0"/>
                  <w:marTop w:val="0"/>
                  <w:marBottom w:val="0"/>
                  <w:divBdr>
                    <w:top w:val="none" w:sz="0" w:space="0" w:color="auto"/>
                    <w:left w:val="none" w:sz="0" w:space="0" w:color="auto"/>
                    <w:bottom w:val="none" w:sz="0" w:space="0" w:color="auto"/>
                    <w:right w:val="none" w:sz="0" w:space="0" w:color="auto"/>
                  </w:divBdr>
                  <w:divsChild>
                    <w:div w:id="1698045030">
                      <w:marLeft w:val="0"/>
                      <w:marRight w:val="0"/>
                      <w:marTop w:val="0"/>
                      <w:marBottom w:val="0"/>
                      <w:divBdr>
                        <w:top w:val="none" w:sz="0" w:space="0" w:color="auto"/>
                        <w:left w:val="none" w:sz="0" w:space="0" w:color="auto"/>
                        <w:bottom w:val="none" w:sz="0" w:space="0" w:color="auto"/>
                        <w:right w:val="none" w:sz="0" w:space="0" w:color="auto"/>
                      </w:divBdr>
                    </w:div>
                  </w:divsChild>
                </w:div>
                <w:div w:id="218830263">
                  <w:marLeft w:val="0"/>
                  <w:marRight w:val="0"/>
                  <w:marTop w:val="0"/>
                  <w:marBottom w:val="0"/>
                  <w:divBdr>
                    <w:top w:val="none" w:sz="0" w:space="0" w:color="auto"/>
                    <w:left w:val="none" w:sz="0" w:space="0" w:color="auto"/>
                    <w:bottom w:val="none" w:sz="0" w:space="0" w:color="auto"/>
                    <w:right w:val="none" w:sz="0" w:space="0" w:color="auto"/>
                  </w:divBdr>
                  <w:divsChild>
                    <w:div w:id="1540241642">
                      <w:marLeft w:val="0"/>
                      <w:marRight w:val="0"/>
                      <w:marTop w:val="0"/>
                      <w:marBottom w:val="0"/>
                      <w:divBdr>
                        <w:top w:val="none" w:sz="0" w:space="0" w:color="auto"/>
                        <w:left w:val="none" w:sz="0" w:space="0" w:color="auto"/>
                        <w:bottom w:val="none" w:sz="0" w:space="0" w:color="auto"/>
                        <w:right w:val="none" w:sz="0" w:space="0" w:color="auto"/>
                      </w:divBdr>
                    </w:div>
                  </w:divsChild>
                </w:div>
                <w:div w:id="220948749">
                  <w:marLeft w:val="0"/>
                  <w:marRight w:val="0"/>
                  <w:marTop w:val="0"/>
                  <w:marBottom w:val="0"/>
                  <w:divBdr>
                    <w:top w:val="none" w:sz="0" w:space="0" w:color="auto"/>
                    <w:left w:val="none" w:sz="0" w:space="0" w:color="auto"/>
                    <w:bottom w:val="none" w:sz="0" w:space="0" w:color="auto"/>
                    <w:right w:val="none" w:sz="0" w:space="0" w:color="auto"/>
                  </w:divBdr>
                  <w:divsChild>
                    <w:div w:id="1313176361">
                      <w:marLeft w:val="0"/>
                      <w:marRight w:val="0"/>
                      <w:marTop w:val="0"/>
                      <w:marBottom w:val="0"/>
                      <w:divBdr>
                        <w:top w:val="none" w:sz="0" w:space="0" w:color="auto"/>
                        <w:left w:val="none" w:sz="0" w:space="0" w:color="auto"/>
                        <w:bottom w:val="none" w:sz="0" w:space="0" w:color="auto"/>
                        <w:right w:val="none" w:sz="0" w:space="0" w:color="auto"/>
                      </w:divBdr>
                    </w:div>
                  </w:divsChild>
                </w:div>
                <w:div w:id="223376943">
                  <w:marLeft w:val="0"/>
                  <w:marRight w:val="0"/>
                  <w:marTop w:val="0"/>
                  <w:marBottom w:val="0"/>
                  <w:divBdr>
                    <w:top w:val="none" w:sz="0" w:space="0" w:color="auto"/>
                    <w:left w:val="none" w:sz="0" w:space="0" w:color="auto"/>
                    <w:bottom w:val="none" w:sz="0" w:space="0" w:color="auto"/>
                    <w:right w:val="none" w:sz="0" w:space="0" w:color="auto"/>
                  </w:divBdr>
                  <w:divsChild>
                    <w:div w:id="1195120268">
                      <w:marLeft w:val="0"/>
                      <w:marRight w:val="0"/>
                      <w:marTop w:val="0"/>
                      <w:marBottom w:val="0"/>
                      <w:divBdr>
                        <w:top w:val="none" w:sz="0" w:space="0" w:color="auto"/>
                        <w:left w:val="none" w:sz="0" w:space="0" w:color="auto"/>
                        <w:bottom w:val="none" w:sz="0" w:space="0" w:color="auto"/>
                        <w:right w:val="none" w:sz="0" w:space="0" w:color="auto"/>
                      </w:divBdr>
                    </w:div>
                  </w:divsChild>
                </w:div>
                <w:div w:id="237641527">
                  <w:marLeft w:val="0"/>
                  <w:marRight w:val="0"/>
                  <w:marTop w:val="0"/>
                  <w:marBottom w:val="0"/>
                  <w:divBdr>
                    <w:top w:val="none" w:sz="0" w:space="0" w:color="auto"/>
                    <w:left w:val="none" w:sz="0" w:space="0" w:color="auto"/>
                    <w:bottom w:val="none" w:sz="0" w:space="0" w:color="auto"/>
                    <w:right w:val="none" w:sz="0" w:space="0" w:color="auto"/>
                  </w:divBdr>
                  <w:divsChild>
                    <w:div w:id="2013949570">
                      <w:marLeft w:val="0"/>
                      <w:marRight w:val="0"/>
                      <w:marTop w:val="0"/>
                      <w:marBottom w:val="0"/>
                      <w:divBdr>
                        <w:top w:val="none" w:sz="0" w:space="0" w:color="auto"/>
                        <w:left w:val="none" w:sz="0" w:space="0" w:color="auto"/>
                        <w:bottom w:val="none" w:sz="0" w:space="0" w:color="auto"/>
                        <w:right w:val="none" w:sz="0" w:space="0" w:color="auto"/>
                      </w:divBdr>
                    </w:div>
                  </w:divsChild>
                </w:div>
                <w:div w:id="243148468">
                  <w:marLeft w:val="0"/>
                  <w:marRight w:val="0"/>
                  <w:marTop w:val="0"/>
                  <w:marBottom w:val="0"/>
                  <w:divBdr>
                    <w:top w:val="none" w:sz="0" w:space="0" w:color="auto"/>
                    <w:left w:val="none" w:sz="0" w:space="0" w:color="auto"/>
                    <w:bottom w:val="none" w:sz="0" w:space="0" w:color="auto"/>
                    <w:right w:val="none" w:sz="0" w:space="0" w:color="auto"/>
                  </w:divBdr>
                  <w:divsChild>
                    <w:div w:id="768425879">
                      <w:marLeft w:val="0"/>
                      <w:marRight w:val="0"/>
                      <w:marTop w:val="0"/>
                      <w:marBottom w:val="0"/>
                      <w:divBdr>
                        <w:top w:val="none" w:sz="0" w:space="0" w:color="auto"/>
                        <w:left w:val="none" w:sz="0" w:space="0" w:color="auto"/>
                        <w:bottom w:val="none" w:sz="0" w:space="0" w:color="auto"/>
                        <w:right w:val="none" w:sz="0" w:space="0" w:color="auto"/>
                      </w:divBdr>
                    </w:div>
                  </w:divsChild>
                </w:div>
                <w:div w:id="285628794">
                  <w:marLeft w:val="0"/>
                  <w:marRight w:val="0"/>
                  <w:marTop w:val="0"/>
                  <w:marBottom w:val="0"/>
                  <w:divBdr>
                    <w:top w:val="none" w:sz="0" w:space="0" w:color="auto"/>
                    <w:left w:val="none" w:sz="0" w:space="0" w:color="auto"/>
                    <w:bottom w:val="none" w:sz="0" w:space="0" w:color="auto"/>
                    <w:right w:val="none" w:sz="0" w:space="0" w:color="auto"/>
                  </w:divBdr>
                  <w:divsChild>
                    <w:div w:id="1747723197">
                      <w:marLeft w:val="0"/>
                      <w:marRight w:val="0"/>
                      <w:marTop w:val="0"/>
                      <w:marBottom w:val="0"/>
                      <w:divBdr>
                        <w:top w:val="none" w:sz="0" w:space="0" w:color="auto"/>
                        <w:left w:val="none" w:sz="0" w:space="0" w:color="auto"/>
                        <w:bottom w:val="none" w:sz="0" w:space="0" w:color="auto"/>
                        <w:right w:val="none" w:sz="0" w:space="0" w:color="auto"/>
                      </w:divBdr>
                    </w:div>
                  </w:divsChild>
                </w:div>
                <w:div w:id="310983948">
                  <w:marLeft w:val="0"/>
                  <w:marRight w:val="0"/>
                  <w:marTop w:val="0"/>
                  <w:marBottom w:val="0"/>
                  <w:divBdr>
                    <w:top w:val="none" w:sz="0" w:space="0" w:color="auto"/>
                    <w:left w:val="none" w:sz="0" w:space="0" w:color="auto"/>
                    <w:bottom w:val="none" w:sz="0" w:space="0" w:color="auto"/>
                    <w:right w:val="none" w:sz="0" w:space="0" w:color="auto"/>
                  </w:divBdr>
                  <w:divsChild>
                    <w:div w:id="822546282">
                      <w:marLeft w:val="0"/>
                      <w:marRight w:val="0"/>
                      <w:marTop w:val="0"/>
                      <w:marBottom w:val="0"/>
                      <w:divBdr>
                        <w:top w:val="none" w:sz="0" w:space="0" w:color="auto"/>
                        <w:left w:val="none" w:sz="0" w:space="0" w:color="auto"/>
                        <w:bottom w:val="none" w:sz="0" w:space="0" w:color="auto"/>
                        <w:right w:val="none" w:sz="0" w:space="0" w:color="auto"/>
                      </w:divBdr>
                    </w:div>
                    <w:div w:id="1342899824">
                      <w:marLeft w:val="0"/>
                      <w:marRight w:val="0"/>
                      <w:marTop w:val="0"/>
                      <w:marBottom w:val="0"/>
                      <w:divBdr>
                        <w:top w:val="none" w:sz="0" w:space="0" w:color="auto"/>
                        <w:left w:val="none" w:sz="0" w:space="0" w:color="auto"/>
                        <w:bottom w:val="none" w:sz="0" w:space="0" w:color="auto"/>
                        <w:right w:val="none" w:sz="0" w:space="0" w:color="auto"/>
                      </w:divBdr>
                    </w:div>
                  </w:divsChild>
                </w:div>
                <w:div w:id="330791889">
                  <w:marLeft w:val="0"/>
                  <w:marRight w:val="0"/>
                  <w:marTop w:val="0"/>
                  <w:marBottom w:val="0"/>
                  <w:divBdr>
                    <w:top w:val="none" w:sz="0" w:space="0" w:color="auto"/>
                    <w:left w:val="none" w:sz="0" w:space="0" w:color="auto"/>
                    <w:bottom w:val="none" w:sz="0" w:space="0" w:color="auto"/>
                    <w:right w:val="none" w:sz="0" w:space="0" w:color="auto"/>
                  </w:divBdr>
                  <w:divsChild>
                    <w:div w:id="1974166999">
                      <w:marLeft w:val="0"/>
                      <w:marRight w:val="0"/>
                      <w:marTop w:val="0"/>
                      <w:marBottom w:val="0"/>
                      <w:divBdr>
                        <w:top w:val="none" w:sz="0" w:space="0" w:color="auto"/>
                        <w:left w:val="none" w:sz="0" w:space="0" w:color="auto"/>
                        <w:bottom w:val="none" w:sz="0" w:space="0" w:color="auto"/>
                        <w:right w:val="none" w:sz="0" w:space="0" w:color="auto"/>
                      </w:divBdr>
                    </w:div>
                  </w:divsChild>
                </w:div>
                <w:div w:id="335500669">
                  <w:marLeft w:val="0"/>
                  <w:marRight w:val="0"/>
                  <w:marTop w:val="0"/>
                  <w:marBottom w:val="0"/>
                  <w:divBdr>
                    <w:top w:val="none" w:sz="0" w:space="0" w:color="auto"/>
                    <w:left w:val="none" w:sz="0" w:space="0" w:color="auto"/>
                    <w:bottom w:val="none" w:sz="0" w:space="0" w:color="auto"/>
                    <w:right w:val="none" w:sz="0" w:space="0" w:color="auto"/>
                  </w:divBdr>
                  <w:divsChild>
                    <w:div w:id="549195290">
                      <w:marLeft w:val="0"/>
                      <w:marRight w:val="0"/>
                      <w:marTop w:val="0"/>
                      <w:marBottom w:val="0"/>
                      <w:divBdr>
                        <w:top w:val="none" w:sz="0" w:space="0" w:color="auto"/>
                        <w:left w:val="none" w:sz="0" w:space="0" w:color="auto"/>
                        <w:bottom w:val="none" w:sz="0" w:space="0" w:color="auto"/>
                        <w:right w:val="none" w:sz="0" w:space="0" w:color="auto"/>
                      </w:divBdr>
                    </w:div>
                  </w:divsChild>
                </w:div>
                <w:div w:id="335956861">
                  <w:marLeft w:val="0"/>
                  <w:marRight w:val="0"/>
                  <w:marTop w:val="0"/>
                  <w:marBottom w:val="0"/>
                  <w:divBdr>
                    <w:top w:val="none" w:sz="0" w:space="0" w:color="auto"/>
                    <w:left w:val="none" w:sz="0" w:space="0" w:color="auto"/>
                    <w:bottom w:val="none" w:sz="0" w:space="0" w:color="auto"/>
                    <w:right w:val="none" w:sz="0" w:space="0" w:color="auto"/>
                  </w:divBdr>
                  <w:divsChild>
                    <w:div w:id="1831091425">
                      <w:marLeft w:val="0"/>
                      <w:marRight w:val="0"/>
                      <w:marTop w:val="0"/>
                      <w:marBottom w:val="0"/>
                      <w:divBdr>
                        <w:top w:val="none" w:sz="0" w:space="0" w:color="auto"/>
                        <w:left w:val="none" w:sz="0" w:space="0" w:color="auto"/>
                        <w:bottom w:val="none" w:sz="0" w:space="0" w:color="auto"/>
                        <w:right w:val="none" w:sz="0" w:space="0" w:color="auto"/>
                      </w:divBdr>
                    </w:div>
                  </w:divsChild>
                </w:div>
                <w:div w:id="337582476">
                  <w:marLeft w:val="0"/>
                  <w:marRight w:val="0"/>
                  <w:marTop w:val="0"/>
                  <w:marBottom w:val="0"/>
                  <w:divBdr>
                    <w:top w:val="none" w:sz="0" w:space="0" w:color="auto"/>
                    <w:left w:val="none" w:sz="0" w:space="0" w:color="auto"/>
                    <w:bottom w:val="none" w:sz="0" w:space="0" w:color="auto"/>
                    <w:right w:val="none" w:sz="0" w:space="0" w:color="auto"/>
                  </w:divBdr>
                  <w:divsChild>
                    <w:div w:id="1427269169">
                      <w:marLeft w:val="0"/>
                      <w:marRight w:val="0"/>
                      <w:marTop w:val="0"/>
                      <w:marBottom w:val="0"/>
                      <w:divBdr>
                        <w:top w:val="none" w:sz="0" w:space="0" w:color="auto"/>
                        <w:left w:val="none" w:sz="0" w:space="0" w:color="auto"/>
                        <w:bottom w:val="none" w:sz="0" w:space="0" w:color="auto"/>
                        <w:right w:val="none" w:sz="0" w:space="0" w:color="auto"/>
                      </w:divBdr>
                    </w:div>
                  </w:divsChild>
                </w:div>
                <w:div w:id="340133677">
                  <w:marLeft w:val="0"/>
                  <w:marRight w:val="0"/>
                  <w:marTop w:val="0"/>
                  <w:marBottom w:val="0"/>
                  <w:divBdr>
                    <w:top w:val="none" w:sz="0" w:space="0" w:color="auto"/>
                    <w:left w:val="none" w:sz="0" w:space="0" w:color="auto"/>
                    <w:bottom w:val="none" w:sz="0" w:space="0" w:color="auto"/>
                    <w:right w:val="none" w:sz="0" w:space="0" w:color="auto"/>
                  </w:divBdr>
                  <w:divsChild>
                    <w:div w:id="204683185">
                      <w:marLeft w:val="0"/>
                      <w:marRight w:val="0"/>
                      <w:marTop w:val="0"/>
                      <w:marBottom w:val="0"/>
                      <w:divBdr>
                        <w:top w:val="none" w:sz="0" w:space="0" w:color="auto"/>
                        <w:left w:val="none" w:sz="0" w:space="0" w:color="auto"/>
                        <w:bottom w:val="none" w:sz="0" w:space="0" w:color="auto"/>
                        <w:right w:val="none" w:sz="0" w:space="0" w:color="auto"/>
                      </w:divBdr>
                    </w:div>
                  </w:divsChild>
                </w:div>
                <w:div w:id="358355469">
                  <w:marLeft w:val="0"/>
                  <w:marRight w:val="0"/>
                  <w:marTop w:val="0"/>
                  <w:marBottom w:val="0"/>
                  <w:divBdr>
                    <w:top w:val="none" w:sz="0" w:space="0" w:color="auto"/>
                    <w:left w:val="none" w:sz="0" w:space="0" w:color="auto"/>
                    <w:bottom w:val="none" w:sz="0" w:space="0" w:color="auto"/>
                    <w:right w:val="none" w:sz="0" w:space="0" w:color="auto"/>
                  </w:divBdr>
                  <w:divsChild>
                    <w:div w:id="478574768">
                      <w:marLeft w:val="0"/>
                      <w:marRight w:val="0"/>
                      <w:marTop w:val="0"/>
                      <w:marBottom w:val="0"/>
                      <w:divBdr>
                        <w:top w:val="none" w:sz="0" w:space="0" w:color="auto"/>
                        <w:left w:val="none" w:sz="0" w:space="0" w:color="auto"/>
                        <w:bottom w:val="none" w:sz="0" w:space="0" w:color="auto"/>
                        <w:right w:val="none" w:sz="0" w:space="0" w:color="auto"/>
                      </w:divBdr>
                    </w:div>
                  </w:divsChild>
                </w:div>
                <w:div w:id="404690408">
                  <w:marLeft w:val="0"/>
                  <w:marRight w:val="0"/>
                  <w:marTop w:val="0"/>
                  <w:marBottom w:val="0"/>
                  <w:divBdr>
                    <w:top w:val="none" w:sz="0" w:space="0" w:color="auto"/>
                    <w:left w:val="none" w:sz="0" w:space="0" w:color="auto"/>
                    <w:bottom w:val="none" w:sz="0" w:space="0" w:color="auto"/>
                    <w:right w:val="none" w:sz="0" w:space="0" w:color="auto"/>
                  </w:divBdr>
                  <w:divsChild>
                    <w:div w:id="41904800">
                      <w:marLeft w:val="0"/>
                      <w:marRight w:val="0"/>
                      <w:marTop w:val="0"/>
                      <w:marBottom w:val="0"/>
                      <w:divBdr>
                        <w:top w:val="none" w:sz="0" w:space="0" w:color="auto"/>
                        <w:left w:val="none" w:sz="0" w:space="0" w:color="auto"/>
                        <w:bottom w:val="none" w:sz="0" w:space="0" w:color="auto"/>
                        <w:right w:val="none" w:sz="0" w:space="0" w:color="auto"/>
                      </w:divBdr>
                    </w:div>
                  </w:divsChild>
                </w:div>
                <w:div w:id="460464393">
                  <w:marLeft w:val="0"/>
                  <w:marRight w:val="0"/>
                  <w:marTop w:val="0"/>
                  <w:marBottom w:val="0"/>
                  <w:divBdr>
                    <w:top w:val="none" w:sz="0" w:space="0" w:color="auto"/>
                    <w:left w:val="none" w:sz="0" w:space="0" w:color="auto"/>
                    <w:bottom w:val="none" w:sz="0" w:space="0" w:color="auto"/>
                    <w:right w:val="none" w:sz="0" w:space="0" w:color="auto"/>
                  </w:divBdr>
                  <w:divsChild>
                    <w:div w:id="1702511945">
                      <w:marLeft w:val="0"/>
                      <w:marRight w:val="0"/>
                      <w:marTop w:val="0"/>
                      <w:marBottom w:val="0"/>
                      <w:divBdr>
                        <w:top w:val="none" w:sz="0" w:space="0" w:color="auto"/>
                        <w:left w:val="none" w:sz="0" w:space="0" w:color="auto"/>
                        <w:bottom w:val="none" w:sz="0" w:space="0" w:color="auto"/>
                        <w:right w:val="none" w:sz="0" w:space="0" w:color="auto"/>
                      </w:divBdr>
                    </w:div>
                  </w:divsChild>
                </w:div>
                <w:div w:id="466162099">
                  <w:marLeft w:val="0"/>
                  <w:marRight w:val="0"/>
                  <w:marTop w:val="0"/>
                  <w:marBottom w:val="0"/>
                  <w:divBdr>
                    <w:top w:val="none" w:sz="0" w:space="0" w:color="auto"/>
                    <w:left w:val="none" w:sz="0" w:space="0" w:color="auto"/>
                    <w:bottom w:val="none" w:sz="0" w:space="0" w:color="auto"/>
                    <w:right w:val="none" w:sz="0" w:space="0" w:color="auto"/>
                  </w:divBdr>
                  <w:divsChild>
                    <w:div w:id="2075202749">
                      <w:marLeft w:val="0"/>
                      <w:marRight w:val="0"/>
                      <w:marTop w:val="0"/>
                      <w:marBottom w:val="0"/>
                      <w:divBdr>
                        <w:top w:val="none" w:sz="0" w:space="0" w:color="auto"/>
                        <w:left w:val="none" w:sz="0" w:space="0" w:color="auto"/>
                        <w:bottom w:val="none" w:sz="0" w:space="0" w:color="auto"/>
                        <w:right w:val="none" w:sz="0" w:space="0" w:color="auto"/>
                      </w:divBdr>
                    </w:div>
                  </w:divsChild>
                </w:div>
                <w:div w:id="482239213">
                  <w:marLeft w:val="0"/>
                  <w:marRight w:val="0"/>
                  <w:marTop w:val="0"/>
                  <w:marBottom w:val="0"/>
                  <w:divBdr>
                    <w:top w:val="none" w:sz="0" w:space="0" w:color="auto"/>
                    <w:left w:val="none" w:sz="0" w:space="0" w:color="auto"/>
                    <w:bottom w:val="none" w:sz="0" w:space="0" w:color="auto"/>
                    <w:right w:val="none" w:sz="0" w:space="0" w:color="auto"/>
                  </w:divBdr>
                  <w:divsChild>
                    <w:div w:id="809831335">
                      <w:marLeft w:val="0"/>
                      <w:marRight w:val="0"/>
                      <w:marTop w:val="0"/>
                      <w:marBottom w:val="0"/>
                      <w:divBdr>
                        <w:top w:val="none" w:sz="0" w:space="0" w:color="auto"/>
                        <w:left w:val="none" w:sz="0" w:space="0" w:color="auto"/>
                        <w:bottom w:val="none" w:sz="0" w:space="0" w:color="auto"/>
                        <w:right w:val="none" w:sz="0" w:space="0" w:color="auto"/>
                      </w:divBdr>
                    </w:div>
                  </w:divsChild>
                </w:div>
                <w:div w:id="482502226">
                  <w:marLeft w:val="0"/>
                  <w:marRight w:val="0"/>
                  <w:marTop w:val="0"/>
                  <w:marBottom w:val="0"/>
                  <w:divBdr>
                    <w:top w:val="none" w:sz="0" w:space="0" w:color="auto"/>
                    <w:left w:val="none" w:sz="0" w:space="0" w:color="auto"/>
                    <w:bottom w:val="none" w:sz="0" w:space="0" w:color="auto"/>
                    <w:right w:val="none" w:sz="0" w:space="0" w:color="auto"/>
                  </w:divBdr>
                  <w:divsChild>
                    <w:div w:id="1074622346">
                      <w:marLeft w:val="0"/>
                      <w:marRight w:val="0"/>
                      <w:marTop w:val="0"/>
                      <w:marBottom w:val="0"/>
                      <w:divBdr>
                        <w:top w:val="none" w:sz="0" w:space="0" w:color="auto"/>
                        <w:left w:val="none" w:sz="0" w:space="0" w:color="auto"/>
                        <w:bottom w:val="none" w:sz="0" w:space="0" w:color="auto"/>
                        <w:right w:val="none" w:sz="0" w:space="0" w:color="auto"/>
                      </w:divBdr>
                    </w:div>
                  </w:divsChild>
                </w:div>
                <w:div w:id="490414372">
                  <w:marLeft w:val="0"/>
                  <w:marRight w:val="0"/>
                  <w:marTop w:val="0"/>
                  <w:marBottom w:val="0"/>
                  <w:divBdr>
                    <w:top w:val="none" w:sz="0" w:space="0" w:color="auto"/>
                    <w:left w:val="none" w:sz="0" w:space="0" w:color="auto"/>
                    <w:bottom w:val="none" w:sz="0" w:space="0" w:color="auto"/>
                    <w:right w:val="none" w:sz="0" w:space="0" w:color="auto"/>
                  </w:divBdr>
                  <w:divsChild>
                    <w:div w:id="1904674534">
                      <w:marLeft w:val="0"/>
                      <w:marRight w:val="0"/>
                      <w:marTop w:val="0"/>
                      <w:marBottom w:val="0"/>
                      <w:divBdr>
                        <w:top w:val="none" w:sz="0" w:space="0" w:color="auto"/>
                        <w:left w:val="none" w:sz="0" w:space="0" w:color="auto"/>
                        <w:bottom w:val="none" w:sz="0" w:space="0" w:color="auto"/>
                        <w:right w:val="none" w:sz="0" w:space="0" w:color="auto"/>
                      </w:divBdr>
                    </w:div>
                  </w:divsChild>
                </w:div>
                <w:div w:id="496507396">
                  <w:marLeft w:val="0"/>
                  <w:marRight w:val="0"/>
                  <w:marTop w:val="0"/>
                  <w:marBottom w:val="0"/>
                  <w:divBdr>
                    <w:top w:val="none" w:sz="0" w:space="0" w:color="auto"/>
                    <w:left w:val="none" w:sz="0" w:space="0" w:color="auto"/>
                    <w:bottom w:val="none" w:sz="0" w:space="0" w:color="auto"/>
                    <w:right w:val="none" w:sz="0" w:space="0" w:color="auto"/>
                  </w:divBdr>
                  <w:divsChild>
                    <w:div w:id="867450385">
                      <w:marLeft w:val="0"/>
                      <w:marRight w:val="0"/>
                      <w:marTop w:val="0"/>
                      <w:marBottom w:val="0"/>
                      <w:divBdr>
                        <w:top w:val="none" w:sz="0" w:space="0" w:color="auto"/>
                        <w:left w:val="none" w:sz="0" w:space="0" w:color="auto"/>
                        <w:bottom w:val="none" w:sz="0" w:space="0" w:color="auto"/>
                        <w:right w:val="none" w:sz="0" w:space="0" w:color="auto"/>
                      </w:divBdr>
                    </w:div>
                  </w:divsChild>
                </w:div>
                <w:div w:id="530805544">
                  <w:marLeft w:val="0"/>
                  <w:marRight w:val="0"/>
                  <w:marTop w:val="0"/>
                  <w:marBottom w:val="0"/>
                  <w:divBdr>
                    <w:top w:val="none" w:sz="0" w:space="0" w:color="auto"/>
                    <w:left w:val="none" w:sz="0" w:space="0" w:color="auto"/>
                    <w:bottom w:val="none" w:sz="0" w:space="0" w:color="auto"/>
                    <w:right w:val="none" w:sz="0" w:space="0" w:color="auto"/>
                  </w:divBdr>
                  <w:divsChild>
                    <w:div w:id="1675111408">
                      <w:marLeft w:val="0"/>
                      <w:marRight w:val="0"/>
                      <w:marTop w:val="0"/>
                      <w:marBottom w:val="0"/>
                      <w:divBdr>
                        <w:top w:val="none" w:sz="0" w:space="0" w:color="auto"/>
                        <w:left w:val="none" w:sz="0" w:space="0" w:color="auto"/>
                        <w:bottom w:val="none" w:sz="0" w:space="0" w:color="auto"/>
                        <w:right w:val="none" w:sz="0" w:space="0" w:color="auto"/>
                      </w:divBdr>
                    </w:div>
                  </w:divsChild>
                </w:div>
                <w:div w:id="563562063">
                  <w:marLeft w:val="0"/>
                  <w:marRight w:val="0"/>
                  <w:marTop w:val="0"/>
                  <w:marBottom w:val="0"/>
                  <w:divBdr>
                    <w:top w:val="none" w:sz="0" w:space="0" w:color="auto"/>
                    <w:left w:val="none" w:sz="0" w:space="0" w:color="auto"/>
                    <w:bottom w:val="none" w:sz="0" w:space="0" w:color="auto"/>
                    <w:right w:val="none" w:sz="0" w:space="0" w:color="auto"/>
                  </w:divBdr>
                  <w:divsChild>
                    <w:div w:id="1878927997">
                      <w:marLeft w:val="0"/>
                      <w:marRight w:val="0"/>
                      <w:marTop w:val="0"/>
                      <w:marBottom w:val="0"/>
                      <w:divBdr>
                        <w:top w:val="none" w:sz="0" w:space="0" w:color="auto"/>
                        <w:left w:val="none" w:sz="0" w:space="0" w:color="auto"/>
                        <w:bottom w:val="none" w:sz="0" w:space="0" w:color="auto"/>
                        <w:right w:val="none" w:sz="0" w:space="0" w:color="auto"/>
                      </w:divBdr>
                    </w:div>
                  </w:divsChild>
                </w:div>
                <w:div w:id="564414292">
                  <w:marLeft w:val="0"/>
                  <w:marRight w:val="0"/>
                  <w:marTop w:val="0"/>
                  <w:marBottom w:val="0"/>
                  <w:divBdr>
                    <w:top w:val="none" w:sz="0" w:space="0" w:color="auto"/>
                    <w:left w:val="none" w:sz="0" w:space="0" w:color="auto"/>
                    <w:bottom w:val="none" w:sz="0" w:space="0" w:color="auto"/>
                    <w:right w:val="none" w:sz="0" w:space="0" w:color="auto"/>
                  </w:divBdr>
                  <w:divsChild>
                    <w:div w:id="692807301">
                      <w:marLeft w:val="0"/>
                      <w:marRight w:val="0"/>
                      <w:marTop w:val="0"/>
                      <w:marBottom w:val="0"/>
                      <w:divBdr>
                        <w:top w:val="none" w:sz="0" w:space="0" w:color="auto"/>
                        <w:left w:val="none" w:sz="0" w:space="0" w:color="auto"/>
                        <w:bottom w:val="none" w:sz="0" w:space="0" w:color="auto"/>
                        <w:right w:val="none" w:sz="0" w:space="0" w:color="auto"/>
                      </w:divBdr>
                    </w:div>
                  </w:divsChild>
                </w:div>
                <w:div w:id="581985687">
                  <w:marLeft w:val="0"/>
                  <w:marRight w:val="0"/>
                  <w:marTop w:val="0"/>
                  <w:marBottom w:val="0"/>
                  <w:divBdr>
                    <w:top w:val="none" w:sz="0" w:space="0" w:color="auto"/>
                    <w:left w:val="none" w:sz="0" w:space="0" w:color="auto"/>
                    <w:bottom w:val="none" w:sz="0" w:space="0" w:color="auto"/>
                    <w:right w:val="none" w:sz="0" w:space="0" w:color="auto"/>
                  </w:divBdr>
                  <w:divsChild>
                    <w:div w:id="990213543">
                      <w:marLeft w:val="0"/>
                      <w:marRight w:val="0"/>
                      <w:marTop w:val="0"/>
                      <w:marBottom w:val="0"/>
                      <w:divBdr>
                        <w:top w:val="none" w:sz="0" w:space="0" w:color="auto"/>
                        <w:left w:val="none" w:sz="0" w:space="0" w:color="auto"/>
                        <w:bottom w:val="none" w:sz="0" w:space="0" w:color="auto"/>
                        <w:right w:val="none" w:sz="0" w:space="0" w:color="auto"/>
                      </w:divBdr>
                    </w:div>
                  </w:divsChild>
                </w:div>
                <w:div w:id="606621285">
                  <w:marLeft w:val="0"/>
                  <w:marRight w:val="0"/>
                  <w:marTop w:val="0"/>
                  <w:marBottom w:val="0"/>
                  <w:divBdr>
                    <w:top w:val="none" w:sz="0" w:space="0" w:color="auto"/>
                    <w:left w:val="none" w:sz="0" w:space="0" w:color="auto"/>
                    <w:bottom w:val="none" w:sz="0" w:space="0" w:color="auto"/>
                    <w:right w:val="none" w:sz="0" w:space="0" w:color="auto"/>
                  </w:divBdr>
                  <w:divsChild>
                    <w:div w:id="760294888">
                      <w:marLeft w:val="0"/>
                      <w:marRight w:val="0"/>
                      <w:marTop w:val="0"/>
                      <w:marBottom w:val="0"/>
                      <w:divBdr>
                        <w:top w:val="none" w:sz="0" w:space="0" w:color="auto"/>
                        <w:left w:val="none" w:sz="0" w:space="0" w:color="auto"/>
                        <w:bottom w:val="none" w:sz="0" w:space="0" w:color="auto"/>
                        <w:right w:val="none" w:sz="0" w:space="0" w:color="auto"/>
                      </w:divBdr>
                    </w:div>
                  </w:divsChild>
                </w:div>
                <w:div w:id="611789595">
                  <w:marLeft w:val="0"/>
                  <w:marRight w:val="0"/>
                  <w:marTop w:val="0"/>
                  <w:marBottom w:val="0"/>
                  <w:divBdr>
                    <w:top w:val="none" w:sz="0" w:space="0" w:color="auto"/>
                    <w:left w:val="none" w:sz="0" w:space="0" w:color="auto"/>
                    <w:bottom w:val="none" w:sz="0" w:space="0" w:color="auto"/>
                    <w:right w:val="none" w:sz="0" w:space="0" w:color="auto"/>
                  </w:divBdr>
                  <w:divsChild>
                    <w:div w:id="1194805724">
                      <w:marLeft w:val="0"/>
                      <w:marRight w:val="0"/>
                      <w:marTop w:val="0"/>
                      <w:marBottom w:val="0"/>
                      <w:divBdr>
                        <w:top w:val="none" w:sz="0" w:space="0" w:color="auto"/>
                        <w:left w:val="none" w:sz="0" w:space="0" w:color="auto"/>
                        <w:bottom w:val="none" w:sz="0" w:space="0" w:color="auto"/>
                        <w:right w:val="none" w:sz="0" w:space="0" w:color="auto"/>
                      </w:divBdr>
                    </w:div>
                  </w:divsChild>
                </w:div>
                <w:div w:id="637564290">
                  <w:marLeft w:val="0"/>
                  <w:marRight w:val="0"/>
                  <w:marTop w:val="0"/>
                  <w:marBottom w:val="0"/>
                  <w:divBdr>
                    <w:top w:val="none" w:sz="0" w:space="0" w:color="auto"/>
                    <w:left w:val="none" w:sz="0" w:space="0" w:color="auto"/>
                    <w:bottom w:val="none" w:sz="0" w:space="0" w:color="auto"/>
                    <w:right w:val="none" w:sz="0" w:space="0" w:color="auto"/>
                  </w:divBdr>
                  <w:divsChild>
                    <w:div w:id="474838432">
                      <w:marLeft w:val="0"/>
                      <w:marRight w:val="0"/>
                      <w:marTop w:val="0"/>
                      <w:marBottom w:val="0"/>
                      <w:divBdr>
                        <w:top w:val="none" w:sz="0" w:space="0" w:color="auto"/>
                        <w:left w:val="none" w:sz="0" w:space="0" w:color="auto"/>
                        <w:bottom w:val="none" w:sz="0" w:space="0" w:color="auto"/>
                        <w:right w:val="none" w:sz="0" w:space="0" w:color="auto"/>
                      </w:divBdr>
                    </w:div>
                  </w:divsChild>
                </w:div>
                <w:div w:id="643898739">
                  <w:marLeft w:val="0"/>
                  <w:marRight w:val="0"/>
                  <w:marTop w:val="0"/>
                  <w:marBottom w:val="0"/>
                  <w:divBdr>
                    <w:top w:val="none" w:sz="0" w:space="0" w:color="auto"/>
                    <w:left w:val="none" w:sz="0" w:space="0" w:color="auto"/>
                    <w:bottom w:val="none" w:sz="0" w:space="0" w:color="auto"/>
                    <w:right w:val="none" w:sz="0" w:space="0" w:color="auto"/>
                  </w:divBdr>
                  <w:divsChild>
                    <w:div w:id="134303627">
                      <w:marLeft w:val="0"/>
                      <w:marRight w:val="0"/>
                      <w:marTop w:val="0"/>
                      <w:marBottom w:val="0"/>
                      <w:divBdr>
                        <w:top w:val="none" w:sz="0" w:space="0" w:color="auto"/>
                        <w:left w:val="none" w:sz="0" w:space="0" w:color="auto"/>
                        <w:bottom w:val="none" w:sz="0" w:space="0" w:color="auto"/>
                        <w:right w:val="none" w:sz="0" w:space="0" w:color="auto"/>
                      </w:divBdr>
                    </w:div>
                  </w:divsChild>
                </w:div>
                <w:div w:id="652682700">
                  <w:marLeft w:val="0"/>
                  <w:marRight w:val="0"/>
                  <w:marTop w:val="0"/>
                  <w:marBottom w:val="0"/>
                  <w:divBdr>
                    <w:top w:val="none" w:sz="0" w:space="0" w:color="auto"/>
                    <w:left w:val="none" w:sz="0" w:space="0" w:color="auto"/>
                    <w:bottom w:val="none" w:sz="0" w:space="0" w:color="auto"/>
                    <w:right w:val="none" w:sz="0" w:space="0" w:color="auto"/>
                  </w:divBdr>
                  <w:divsChild>
                    <w:div w:id="839659771">
                      <w:marLeft w:val="0"/>
                      <w:marRight w:val="0"/>
                      <w:marTop w:val="0"/>
                      <w:marBottom w:val="0"/>
                      <w:divBdr>
                        <w:top w:val="none" w:sz="0" w:space="0" w:color="auto"/>
                        <w:left w:val="none" w:sz="0" w:space="0" w:color="auto"/>
                        <w:bottom w:val="none" w:sz="0" w:space="0" w:color="auto"/>
                        <w:right w:val="none" w:sz="0" w:space="0" w:color="auto"/>
                      </w:divBdr>
                    </w:div>
                  </w:divsChild>
                </w:div>
                <w:div w:id="679966283">
                  <w:marLeft w:val="0"/>
                  <w:marRight w:val="0"/>
                  <w:marTop w:val="0"/>
                  <w:marBottom w:val="0"/>
                  <w:divBdr>
                    <w:top w:val="none" w:sz="0" w:space="0" w:color="auto"/>
                    <w:left w:val="none" w:sz="0" w:space="0" w:color="auto"/>
                    <w:bottom w:val="none" w:sz="0" w:space="0" w:color="auto"/>
                    <w:right w:val="none" w:sz="0" w:space="0" w:color="auto"/>
                  </w:divBdr>
                  <w:divsChild>
                    <w:div w:id="920068353">
                      <w:marLeft w:val="0"/>
                      <w:marRight w:val="0"/>
                      <w:marTop w:val="0"/>
                      <w:marBottom w:val="0"/>
                      <w:divBdr>
                        <w:top w:val="none" w:sz="0" w:space="0" w:color="auto"/>
                        <w:left w:val="none" w:sz="0" w:space="0" w:color="auto"/>
                        <w:bottom w:val="none" w:sz="0" w:space="0" w:color="auto"/>
                        <w:right w:val="none" w:sz="0" w:space="0" w:color="auto"/>
                      </w:divBdr>
                    </w:div>
                  </w:divsChild>
                </w:div>
                <w:div w:id="681977819">
                  <w:marLeft w:val="0"/>
                  <w:marRight w:val="0"/>
                  <w:marTop w:val="0"/>
                  <w:marBottom w:val="0"/>
                  <w:divBdr>
                    <w:top w:val="none" w:sz="0" w:space="0" w:color="auto"/>
                    <w:left w:val="none" w:sz="0" w:space="0" w:color="auto"/>
                    <w:bottom w:val="none" w:sz="0" w:space="0" w:color="auto"/>
                    <w:right w:val="none" w:sz="0" w:space="0" w:color="auto"/>
                  </w:divBdr>
                  <w:divsChild>
                    <w:div w:id="162402858">
                      <w:marLeft w:val="0"/>
                      <w:marRight w:val="0"/>
                      <w:marTop w:val="0"/>
                      <w:marBottom w:val="0"/>
                      <w:divBdr>
                        <w:top w:val="none" w:sz="0" w:space="0" w:color="auto"/>
                        <w:left w:val="none" w:sz="0" w:space="0" w:color="auto"/>
                        <w:bottom w:val="none" w:sz="0" w:space="0" w:color="auto"/>
                        <w:right w:val="none" w:sz="0" w:space="0" w:color="auto"/>
                      </w:divBdr>
                    </w:div>
                    <w:div w:id="1045249525">
                      <w:marLeft w:val="0"/>
                      <w:marRight w:val="0"/>
                      <w:marTop w:val="0"/>
                      <w:marBottom w:val="0"/>
                      <w:divBdr>
                        <w:top w:val="none" w:sz="0" w:space="0" w:color="auto"/>
                        <w:left w:val="none" w:sz="0" w:space="0" w:color="auto"/>
                        <w:bottom w:val="none" w:sz="0" w:space="0" w:color="auto"/>
                        <w:right w:val="none" w:sz="0" w:space="0" w:color="auto"/>
                      </w:divBdr>
                    </w:div>
                    <w:div w:id="1543790803">
                      <w:marLeft w:val="0"/>
                      <w:marRight w:val="0"/>
                      <w:marTop w:val="0"/>
                      <w:marBottom w:val="0"/>
                      <w:divBdr>
                        <w:top w:val="none" w:sz="0" w:space="0" w:color="auto"/>
                        <w:left w:val="none" w:sz="0" w:space="0" w:color="auto"/>
                        <w:bottom w:val="none" w:sz="0" w:space="0" w:color="auto"/>
                        <w:right w:val="none" w:sz="0" w:space="0" w:color="auto"/>
                      </w:divBdr>
                    </w:div>
                  </w:divsChild>
                </w:div>
                <w:div w:id="685450123">
                  <w:marLeft w:val="0"/>
                  <w:marRight w:val="0"/>
                  <w:marTop w:val="0"/>
                  <w:marBottom w:val="0"/>
                  <w:divBdr>
                    <w:top w:val="none" w:sz="0" w:space="0" w:color="auto"/>
                    <w:left w:val="none" w:sz="0" w:space="0" w:color="auto"/>
                    <w:bottom w:val="none" w:sz="0" w:space="0" w:color="auto"/>
                    <w:right w:val="none" w:sz="0" w:space="0" w:color="auto"/>
                  </w:divBdr>
                  <w:divsChild>
                    <w:div w:id="329914851">
                      <w:marLeft w:val="0"/>
                      <w:marRight w:val="0"/>
                      <w:marTop w:val="0"/>
                      <w:marBottom w:val="0"/>
                      <w:divBdr>
                        <w:top w:val="none" w:sz="0" w:space="0" w:color="auto"/>
                        <w:left w:val="none" w:sz="0" w:space="0" w:color="auto"/>
                        <w:bottom w:val="none" w:sz="0" w:space="0" w:color="auto"/>
                        <w:right w:val="none" w:sz="0" w:space="0" w:color="auto"/>
                      </w:divBdr>
                    </w:div>
                  </w:divsChild>
                </w:div>
                <w:div w:id="722604822">
                  <w:marLeft w:val="0"/>
                  <w:marRight w:val="0"/>
                  <w:marTop w:val="0"/>
                  <w:marBottom w:val="0"/>
                  <w:divBdr>
                    <w:top w:val="none" w:sz="0" w:space="0" w:color="auto"/>
                    <w:left w:val="none" w:sz="0" w:space="0" w:color="auto"/>
                    <w:bottom w:val="none" w:sz="0" w:space="0" w:color="auto"/>
                    <w:right w:val="none" w:sz="0" w:space="0" w:color="auto"/>
                  </w:divBdr>
                  <w:divsChild>
                    <w:div w:id="1980529907">
                      <w:marLeft w:val="0"/>
                      <w:marRight w:val="0"/>
                      <w:marTop w:val="0"/>
                      <w:marBottom w:val="0"/>
                      <w:divBdr>
                        <w:top w:val="none" w:sz="0" w:space="0" w:color="auto"/>
                        <w:left w:val="none" w:sz="0" w:space="0" w:color="auto"/>
                        <w:bottom w:val="none" w:sz="0" w:space="0" w:color="auto"/>
                        <w:right w:val="none" w:sz="0" w:space="0" w:color="auto"/>
                      </w:divBdr>
                    </w:div>
                  </w:divsChild>
                </w:div>
                <w:div w:id="725565449">
                  <w:marLeft w:val="0"/>
                  <w:marRight w:val="0"/>
                  <w:marTop w:val="0"/>
                  <w:marBottom w:val="0"/>
                  <w:divBdr>
                    <w:top w:val="none" w:sz="0" w:space="0" w:color="auto"/>
                    <w:left w:val="none" w:sz="0" w:space="0" w:color="auto"/>
                    <w:bottom w:val="none" w:sz="0" w:space="0" w:color="auto"/>
                    <w:right w:val="none" w:sz="0" w:space="0" w:color="auto"/>
                  </w:divBdr>
                  <w:divsChild>
                    <w:div w:id="407770862">
                      <w:marLeft w:val="0"/>
                      <w:marRight w:val="0"/>
                      <w:marTop w:val="0"/>
                      <w:marBottom w:val="0"/>
                      <w:divBdr>
                        <w:top w:val="none" w:sz="0" w:space="0" w:color="auto"/>
                        <w:left w:val="none" w:sz="0" w:space="0" w:color="auto"/>
                        <w:bottom w:val="none" w:sz="0" w:space="0" w:color="auto"/>
                        <w:right w:val="none" w:sz="0" w:space="0" w:color="auto"/>
                      </w:divBdr>
                    </w:div>
                  </w:divsChild>
                </w:div>
                <w:div w:id="737242979">
                  <w:marLeft w:val="0"/>
                  <w:marRight w:val="0"/>
                  <w:marTop w:val="0"/>
                  <w:marBottom w:val="0"/>
                  <w:divBdr>
                    <w:top w:val="none" w:sz="0" w:space="0" w:color="auto"/>
                    <w:left w:val="none" w:sz="0" w:space="0" w:color="auto"/>
                    <w:bottom w:val="none" w:sz="0" w:space="0" w:color="auto"/>
                    <w:right w:val="none" w:sz="0" w:space="0" w:color="auto"/>
                  </w:divBdr>
                  <w:divsChild>
                    <w:div w:id="397553345">
                      <w:marLeft w:val="0"/>
                      <w:marRight w:val="0"/>
                      <w:marTop w:val="0"/>
                      <w:marBottom w:val="0"/>
                      <w:divBdr>
                        <w:top w:val="none" w:sz="0" w:space="0" w:color="auto"/>
                        <w:left w:val="none" w:sz="0" w:space="0" w:color="auto"/>
                        <w:bottom w:val="none" w:sz="0" w:space="0" w:color="auto"/>
                        <w:right w:val="none" w:sz="0" w:space="0" w:color="auto"/>
                      </w:divBdr>
                    </w:div>
                  </w:divsChild>
                </w:div>
                <w:div w:id="740369093">
                  <w:marLeft w:val="0"/>
                  <w:marRight w:val="0"/>
                  <w:marTop w:val="0"/>
                  <w:marBottom w:val="0"/>
                  <w:divBdr>
                    <w:top w:val="none" w:sz="0" w:space="0" w:color="auto"/>
                    <w:left w:val="none" w:sz="0" w:space="0" w:color="auto"/>
                    <w:bottom w:val="none" w:sz="0" w:space="0" w:color="auto"/>
                    <w:right w:val="none" w:sz="0" w:space="0" w:color="auto"/>
                  </w:divBdr>
                  <w:divsChild>
                    <w:div w:id="484783386">
                      <w:marLeft w:val="0"/>
                      <w:marRight w:val="0"/>
                      <w:marTop w:val="0"/>
                      <w:marBottom w:val="0"/>
                      <w:divBdr>
                        <w:top w:val="none" w:sz="0" w:space="0" w:color="auto"/>
                        <w:left w:val="none" w:sz="0" w:space="0" w:color="auto"/>
                        <w:bottom w:val="none" w:sz="0" w:space="0" w:color="auto"/>
                        <w:right w:val="none" w:sz="0" w:space="0" w:color="auto"/>
                      </w:divBdr>
                    </w:div>
                  </w:divsChild>
                </w:div>
                <w:div w:id="762604210">
                  <w:marLeft w:val="0"/>
                  <w:marRight w:val="0"/>
                  <w:marTop w:val="0"/>
                  <w:marBottom w:val="0"/>
                  <w:divBdr>
                    <w:top w:val="none" w:sz="0" w:space="0" w:color="auto"/>
                    <w:left w:val="none" w:sz="0" w:space="0" w:color="auto"/>
                    <w:bottom w:val="none" w:sz="0" w:space="0" w:color="auto"/>
                    <w:right w:val="none" w:sz="0" w:space="0" w:color="auto"/>
                  </w:divBdr>
                  <w:divsChild>
                    <w:div w:id="210188997">
                      <w:marLeft w:val="0"/>
                      <w:marRight w:val="0"/>
                      <w:marTop w:val="0"/>
                      <w:marBottom w:val="0"/>
                      <w:divBdr>
                        <w:top w:val="none" w:sz="0" w:space="0" w:color="auto"/>
                        <w:left w:val="none" w:sz="0" w:space="0" w:color="auto"/>
                        <w:bottom w:val="none" w:sz="0" w:space="0" w:color="auto"/>
                        <w:right w:val="none" w:sz="0" w:space="0" w:color="auto"/>
                      </w:divBdr>
                    </w:div>
                  </w:divsChild>
                </w:div>
                <w:div w:id="806122592">
                  <w:marLeft w:val="0"/>
                  <w:marRight w:val="0"/>
                  <w:marTop w:val="0"/>
                  <w:marBottom w:val="0"/>
                  <w:divBdr>
                    <w:top w:val="none" w:sz="0" w:space="0" w:color="auto"/>
                    <w:left w:val="none" w:sz="0" w:space="0" w:color="auto"/>
                    <w:bottom w:val="none" w:sz="0" w:space="0" w:color="auto"/>
                    <w:right w:val="none" w:sz="0" w:space="0" w:color="auto"/>
                  </w:divBdr>
                  <w:divsChild>
                    <w:div w:id="1972326607">
                      <w:marLeft w:val="0"/>
                      <w:marRight w:val="0"/>
                      <w:marTop w:val="0"/>
                      <w:marBottom w:val="0"/>
                      <w:divBdr>
                        <w:top w:val="none" w:sz="0" w:space="0" w:color="auto"/>
                        <w:left w:val="none" w:sz="0" w:space="0" w:color="auto"/>
                        <w:bottom w:val="none" w:sz="0" w:space="0" w:color="auto"/>
                        <w:right w:val="none" w:sz="0" w:space="0" w:color="auto"/>
                      </w:divBdr>
                    </w:div>
                  </w:divsChild>
                </w:div>
                <w:div w:id="812528862">
                  <w:marLeft w:val="0"/>
                  <w:marRight w:val="0"/>
                  <w:marTop w:val="0"/>
                  <w:marBottom w:val="0"/>
                  <w:divBdr>
                    <w:top w:val="none" w:sz="0" w:space="0" w:color="auto"/>
                    <w:left w:val="none" w:sz="0" w:space="0" w:color="auto"/>
                    <w:bottom w:val="none" w:sz="0" w:space="0" w:color="auto"/>
                    <w:right w:val="none" w:sz="0" w:space="0" w:color="auto"/>
                  </w:divBdr>
                  <w:divsChild>
                    <w:div w:id="766586424">
                      <w:marLeft w:val="0"/>
                      <w:marRight w:val="0"/>
                      <w:marTop w:val="0"/>
                      <w:marBottom w:val="0"/>
                      <w:divBdr>
                        <w:top w:val="none" w:sz="0" w:space="0" w:color="auto"/>
                        <w:left w:val="none" w:sz="0" w:space="0" w:color="auto"/>
                        <w:bottom w:val="none" w:sz="0" w:space="0" w:color="auto"/>
                        <w:right w:val="none" w:sz="0" w:space="0" w:color="auto"/>
                      </w:divBdr>
                    </w:div>
                  </w:divsChild>
                </w:div>
                <w:div w:id="834418287">
                  <w:marLeft w:val="0"/>
                  <w:marRight w:val="0"/>
                  <w:marTop w:val="0"/>
                  <w:marBottom w:val="0"/>
                  <w:divBdr>
                    <w:top w:val="none" w:sz="0" w:space="0" w:color="auto"/>
                    <w:left w:val="none" w:sz="0" w:space="0" w:color="auto"/>
                    <w:bottom w:val="none" w:sz="0" w:space="0" w:color="auto"/>
                    <w:right w:val="none" w:sz="0" w:space="0" w:color="auto"/>
                  </w:divBdr>
                  <w:divsChild>
                    <w:div w:id="1960140221">
                      <w:marLeft w:val="0"/>
                      <w:marRight w:val="0"/>
                      <w:marTop w:val="0"/>
                      <w:marBottom w:val="0"/>
                      <w:divBdr>
                        <w:top w:val="none" w:sz="0" w:space="0" w:color="auto"/>
                        <w:left w:val="none" w:sz="0" w:space="0" w:color="auto"/>
                        <w:bottom w:val="none" w:sz="0" w:space="0" w:color="auto"/>
                        <w:right w:val="none" w:sz="0" w:space="0" w:color="auto"/>
                      </w:divBdr>
                    </w:div>
                  </w:divsChild>
                </w:div>
                <w:div w:id="848258602">
                  <w:marLeft w:val="0"/>
                  <w:marRight w:val="0"/>
                  <w:marTop w:val="0"/>
                  <w:marBottom w:val="0"/>
                  <w:divBdr>
                    <w:top w:val="none" w:sz="0" w:space="0" w:color="auto"/>
                    <w:left w:val="none" w:sz="0" w:space="0" w:color="auto"/>
                    <w:bottom w:val="none" w:sz="0" w:space="0" w:color="auto"/>
                    <w:right w:val="none" w:sz="0" w:space="0" w:color="auto"/>
                  </w:divBdr>
                  <w:divsChild>
                    <w:div w:id="374895035">
                      <w:marLeft w:val="0"/>
                      <w:marRight w:val="0"/>
                      <w:marTop w:val="0"/>
                      <w:marBottom w:val="0"/>
                      <w:divBdr>
                        <w:top w:val="none" w:sz="0" w:space="0" w:color="auto"/>
                        <w:left w:val="none" w:sz="0" w:space="0" w:color="auto"/>
                        <w:bottom w:val="none" w:sz="0" w:space="0" w:color="auto"/>
                        <w:right w:val="none" w:sz="0" w:space="0" w:color="auto"/>
                      </w:divBdr>
                    </w:div>
                  </w:divsChild>
                </w:div>
                <w:div w:id="854418488">
                  <w:marLeft w:val="0"/>
                  <w:marRight w:val="0"/>
                  <w:marTop w:val="0"/>
                  <w:marBottom w:val="0"/>
                  <w:divBdr>
                    <w:top w:val="none" w:sz="0" w:space="0" w:color="auto"/>
                    <w:left w:val="none" w:sz="0" w:space="0" w:color="auto"/>
                    <w:bottom w:val="none" w:sz="0" w:space="0" w:color="auto"/>
                    <w:right w:val="none" w:sz="0" w:space="0" w:color="auto"/>
                  </w:divBdr>
                  <w:divsChild>
                    <w:div w:id="1847860144">
                      <w:marLeft w:val="0"/>
                      <w:marRight w:val="0"/>
                      <w:marTop w:val="0"/>
                      <w:marBottom w:val="0"/>
                      <w:divBdr>
                        <w:top w:val="none" w:sz="0" w:space="0" w:color="auto"/>
                        <w:left w:val="none" w:sz="0" w:space="0" w:color="auto"/>
                        <w:bottom w:val="none" w:sz="0" w:space="0" w:color="auto"/>
                        <w:right w:val="none" w:sz="0" w:space="0" w:color="auto"/>
                      </w:divBdr>
                    </w:div>
                  </w:divsChild>
                </w:div>
                <w:div w:id="863130675">
                  <w:marLeft w:val="0"/>
                  <w:marRight w:val="0"/>
                  <w:marTop w:val="0"/>
                  <w:marBottom w:val="0"/>
                  <w:divBdr>
                    <w:top w:val="none" w:sz="0" w:space="0" w:color="auto"/>
                    <w:left w:val="none" w:sz="0" w:space="0" w:color="auto"/>
                    <w:bottom w:val="none" w:sz="0" w:space="0" w:color="auto"/>
                    <w:right w:val="none" w:sz="0" w:space="0" w:color="auto"/>
                  </w:divBdr>
                  <w:divsChild>
                    <w:div w:id="712776607">
                      <w:marLeft w:val="0"/>
                      <w:marRight w:val="0"/>
                      <w:marTop w:val="0"/>
                      <w:marBottom w:val="0"/>
                      <w:divBdr>
                        <w:top w:val="none" w:sz="0" w:space="0" w:color="auto"/>
                        <w:left w:val="none" w:sz="0" w:space="0" w:color="auto"/>
                        <w:bottom w:val="none" w:sz="0" w:space="0" w:color="auto"/>
                        <w:right w:val="none" w:sz="0" w:space="0" w:color="auto"/>
                      </w:divBdr>
                    </w:div>
                  </w:divsChild>
                </w:div>
                <w:div w:id="863203742">
                  <w:marLeft w:val="0"/>
                  <w:marRight w:val="0"/>
                  <w:marTop w:val="0"/>
                  <w:marBottom w:val="0"/>
                  <w:divBdr>
                    <w:top w:val="none" w:sz="0" w:space="0" w:color="auto"/>
                    <w:left w:val="none" w:sz="0" w:space="0" w:color="auto"/>
                    <w:bottom w:val="none" w:sz="0" w:space="0" w:color="auto"/>
                    <w:right w:val="none" w:sz="0" w:space="0" w:color="auto"/>
                  </w:divBdr>
                  <w:divsChild>
                    <w:div w:id="243801748">
                      <w:marLeft w:val="0"/>
                      <w:marRight w:val="0"/>
                      <w:marTop w:val="0"/>
                      <w:marBottom w:val="0"/>
                      <w:divBdr>
                        <w:top w:val="none" w:sz="0" w:space="0" w:color="auto"/>
                        <w:left w:val="none" w:sz="0" w:space="0" w:color="auto"/>
                        <w:bottom w:val="none" w:sz="0" w:space="0" w:color="auto"/>
                        <w:right w:val="none" w:sz="0" w:space="0" w:color="auto"/>
                      </w:divBdr>
                    </w:div>
                  </w:divsChild>
                </w:div>
                <w:div w:id="864051545">
                  <w:marLeft w:val="0"/>
                  <w:marRight w:val="0"/>
                  <w:marTop w:val="0"/>
                  <w:marBottom w:val="0"/>
                  <w:divBdr>
                    <w:top w:val="none" w:sz="0" w:space="0" w:color="auto"/>
                    <w:left w:val="none" w:sz="0" w:space="0" w:color="auto"/>
                    <w:bottom w:val="none" w:sz="0" w:space="0" w:color="auto"/>
                    <w:right w:val="none" w:sz="0" w:space="0" w:color="auto"/>
                  </w:divBdr>
                  <w:divsChild>
                    <w:div w:id="1267543071">
                      <w:marLeft w:val="0"/>
                      <w:marRight w:val="0"/>
                      <w:marTop w:val="0"/>
                      <w:marBottom w:val="0"/>
                      <w:divBdr>
                        <w:top w:val="none" w:sz="0" w:space="0" w:color="auto"/>
                        <w:left w:val="none" w:sz="0" w:space="0" w:color="auto"/>
                        <w:bottom w:val="none" w:sz="0" w:space="0" w:color="auto"/>
                        <w:right w:val="none" w:sz="0" w:space="0" w:color="auto"/>
                      </w:divBdr>
                    </w:div>
                  </w:divsChild>
                </w:div>
                <w:div w:id="865675854">
                  <w:marLeft w:val="0"/>
                  <w:marRight w:val="0"/>
                  <w:marTop w:val="0"/>
                  <w:marBottom w:val="0"/>
                  <w:divBdr>
                    <w:top w:val="none" w:sz="0" w:space="0" w:color="auto"/>
                    <w:left w:val="none" w:sz="0" w:space="0" w:color="auto"/>
                    <w:bottom w:val="none" w:sz="0" w:space="0" w:color="auto"/>
                    <w:right w:val="none" w:sz="0" w:space="0" w:color="auto"/>
                  </w:divBdr>
                  <w:divsChild>
                    <w:div w:id="248083305">
                      <w:marLeft w:val="0"/>
                      <w:marRight w:val="0"/>
                      <w:marTop w:val="0"/>
                      <w:marBottom w:val="0"/>
                      <w:divBdr>
                        <w:top w:val="none" w:sz="0" w:space="0" w:color="auto"/>
                        <w:left w:val="none" w:sz="0" w:space="0" w:color="auto"/>
                        <w:bottom w:val="none" w:sz="0" w:space="0" w:color="auto"/>
                        <w:right w:val="none" w:sz="0" w:space="0" w:color="auto"/>
                      </w:divBdr>
                    </w:div>
                  </w:divsChild>
                </w:div>
                <w:div w:id="883564098">
                  <w:marLeft w:val="0"/>
                  <w:marRight w:val="0"/>
                  <w:marTop w:val="0"/>
                  <w:marBottom w:val="0"/>
                  <w:divBdr>
                    <w:top w:val="none" w:sz="0" w:space="0" w:color="auto"/>
                    <w:left w:val="none" w:sz="0" w:space="0" w:color="auto"/>
                    <w:bottom w:val="none" w:sz="0" w:space="0" w:color="auto"/>
                    <w:right w:val="none" w:sz="0" w:space="0" w:color="auto"/>
                  </w:divBdr>
                  <w:divsChild>
                    <w:div w:id="304969601">
                      <w:marLeft w:val="0"/>
                      <w:marRight w:val="0"/>
                      <w:marTop w:val="0"/>
                      <w:marBottom w:val="0"/>
                      <w:divBdr>
                        <w:top w:val="none" w:sz="0" w:space="0" w:color="auto"/>
                        <w:left w:val="none" w:sz="0" w:space="0" w:color="auto"/>
                        <w:bottom w:val="none" w:sz="0" w:space="0" w:color="auto"/>
                        <w:right w:val="none" w:sz="0" w:space="0" w:color="auto"/>
                      </w:divBdr>
                    </w:div>
                  </w:divsChild>
                </w:div>
                <w:div w:id="907378326">
                  <w:marLeft w:val="0"/>
                  <w:marRight w:val="0"/>
                  <w:marTop w:val="0"/>
                  <w:marBottom w:val="0"/>
                  <w:divBdr>
                    <w:top w:val="none" w:sz="0" w:space="0" w:color="auto"/>
                    <w:left w:val="none" w:sz="0" w:space="0" w:color="auto"/>
                    <w:bottom w:val="none" w:sz="0" w:space="0" w:color="auto"/>
                    <w:right w:val="none" w:sz="0" w:space="0" w:color="auto"/>
                  </w:divBdr>
                  <w:divsChild>
                    <w:div w:id="182669329">
                      <w:marLeft w:val="0"/>
                      <w:marRight w:val="0"/>
                      <w:marTop w:val="0"/>
                      <w:marBottom w:val="0"/>
                      <w:divBdr>
                        <w:top w:val="none" w:sz="0" w:space="0" w:color="auto"/>
                        <w:left w:val="none" w:sz="0" w:space="0" w:color="auto"/>
                        <w:bottom w:val="none" w:sz="0" w:space="0" w:color="auto"/>
                        <w:right w:val="none" w:sz="0" w:space="0" w:color="auto"/>
                      </w:divBdr>
                    </w:div>
                  </w:divsChild>
                </w:div>
                <w:div w:id="912012480">
                  <w:marLeft w:val="0"/>
                  <w:marRight w:val="0"/>
                  <w:marTop w:val="0"/>
                  <w:marBottom w:val="0"/>
                  <w:divBdr>
                    <w:top w:val="none" w:sz="0" w:space="0" w:color="auto"/>
                    <w:left w:val="none" w:sz="0" w:space="0" w:color="auto"/>
                    <w:bottom w:val="none" w:sz="0" w:space="0" w:color="auto"/>
                    <w:right w:val="none" w:sz="0" w:space="0" w:color="auto"/>
                  </w:divBdr>
                  <w:divsChild>
                    <w:div w:id="988170667">
                      <w:marLeft w:val="0"/>
                      <w:marRight w:val="0"/>
                      <w:marTop w:val="0"/>
                      <w:marBottom w:val="0"/>
                      <w:divBdr>
                        <w:top w:val="none" w:sz="0" w:space="0" w:color="auto"/>
                        <w:left w:val="none" w:sz="0" w:space="0" w:color="auto"/>
                        <w:bottom w:val="none" w:sz="0" w:space="0" w:color="auto"/>
                        <w:right w:val="none" w:sz="0" w:space="0" w:color="auto"/>
                      </w:divBdr>
                    </w:div>
                  </w:divsChild>
                </w:div>
                <w:div w:id="913784436">
                  <w:marLeft w:val="0"/>
                  <w:marRight w:val="0"/>
                  <w:marTop w:val="0"/>
                  <w:marBottom w:val="0"/>
                  <w:divBdr>
                    <w:top w:val="none" w:sz="0" w:space="0" w:color="auto"/>
                    <w:left w:val="none" w:sz="0" w:space="0" w:color="auto"/>
                    <w:bottom w:val="none" w:sz="0" w:space="0" w:color="auto"/>
                    <w:right w:val="none" w:sz="0" w:space="0" w:color="auto"/>
                  </w:divBdr>
                  <w:divsChild>
                    <w:div w:id="101607099">
                      <w:marLeft w:val="0"/>
                      <w:marRight w:val="0"/>
                      <w:marTop w:val="0"/>
                      <w:marBottom w:val="0"/>
                      <w:divBdr>
                        <w:top w:val="none" w:sz="0" w:space="0" w:color="auto"/>
                        <w:left w:val="none" w:sz="0" w:space="0" w:color="auto"/>
                        <w:bottom w:val="none" w:sz="0" w:space="0" w:color="auto"/>
                        <w:right w:val="none" w:sz="0" w:space="0" w:color="auto"/>
                      </w:divBdr>
                    </w:div>
                  </w:divsChild>
                </w:div>
                <w:div w:id="918759314">
                  <w:marLeft w:val="0"/>
                  <w:marRight w:val="0"/>
                  <w:marTop w:val="0"/>
                  <w:marBottom w:val="0"/>
                  <w:divBdr>
                    <w:top w:val="none" w:sz="0" w:space="0" w:color="auto"/>
                    <w:left w:val="none" w:sz="0" w:space="0" w:color="auto"/>
                    <w:bottom w:val="none" w:sz="0" w:space="0" w:color="auto"/>
                    <w:right w:val="none" w:sz="0" w:space="0" w:color="auto"/>
                  </w:divBdr>
                  <w:divsChild>
                    <w:div w:id="659043580">
                      <w:marLeft w:val="0"/>
                      <w:marRight w:val="0"/>
                      <w:marTop w:val="0"/>
                      <w:marBottom w:val="0"/>
                      <w:divBdr>
                        <w:top w:val="none" w:sz="0" w:space="0" w:color="auto"/>
                        <w:left w:val="none" w:sz="0" w:space="0" w:color="auto"/>
                        <w:bottom w:val="none" w:sz="0" w:space="0" w:color="auto"/>
                        <w:right w:val="none" w:sz="0" w:space="0" w:color="auto"/>
                      </w:divBdr>
                    </w:div>
                  </w:divsChild>
                </w:div>
                <w:div w:id="958100611">
                  <w:marLeft w:val="0"/>
                  <w:marRight w:val="0"/>
                  <w:marTop w:val="0"/>
                  <w:marBottom w:val="0"/>
                  <w:divBdr>
                    <w:top w:val="none" w:sz="0" w:space="0" w:color="auto"/>
                    <w:left w:val="none" w:sz="0" w:space="0" w:color="auto"/>
                    <w:bottom w:val="none" w:sz="0" w:space="0" w:color="auto"/>
                    <w:right w:val="none" w:sz="0" w:space="0" w:color="auto"/>
                  </w:divBdr>
                  <w:divsChild>
                    <w:div w:id="14771449">
                      <w:marLeft w:val="0"/>
                      <w:marRight w:val="0"/>
                      <w:marTop w:val="0"/>
                      <w:marBottom w:val="0"/>
                      <w:divBdr>
                        <w:top w:val="none" w:sz="0" w:space="0" w:color="auto"/>
                        <w:left w:val="none" w:sz="0" w:space="0" w:color="auto"/>
                        <w:bottom w:val="none" w:sz="0" w:space="0" w:color="auto"/>
                        <w:right w:val="none" w:sz="0" w:space="0" w:color="auto"/>
                      </w:divBdr>
                    </w:div>
                  </w:divsChild>
                </w:div>
                <w:div w:id="1002313975">
                  <w:marLeft w:val="0"/>
                  <w:marRight w:val="0"/>
                  <w:marTop w:val="0"/>
                  <w:marBottom w:val="0"/>
                  <w:divBdr>
                    <w:top w:val="none" w:sz="0" w:space="0" w:color="auto"/>
                    <w:left w:val="none" w:sz="0" w:space="0" w:color="auto"/>
                    <w:bottom w:val="none" w:sz="0" w:space="0" w:color="auto"/>
                    <w:right w:val="none" w:sz="0" w:space="0" w:color="auto"/>
                  </w:divBdr>
                  <w:divsChild>
                    <w:div w:id="770129616">
                      <w:marLeft w:val="0"/>
                      <w:marRight w:val="0"/>
                      <w:marTop w:val="0"/>
                      <w:marBottom w:val="0"/>
                      <w:divBdr>
                        <w:top w:val="none" w:sz="0" w:space="0" w:color="auto"/>
                        <w:left w:val="none" w:sz="0" w:space="0" w:color="auto"/>
                        <w:bottom w:val="none" w:sz="0" w:space="0" w:color="auto"/>
                        <w:right w:val="none" w:sz="0" w:space="0" w:color="auto"/>
                      </w:divBdr>
                    </w:div>
                  </w:divsChild>
                </w:div>
                <w:div w:id="1009254870">
                  <w:marLeft w:val="0"/>
                  <w:marRight w:val="0"/>
                  <w:marTop w:val="0"/>
                  <w:marBottom w:val="0"/>
                  <w:divBdr>
                    <w:top w:val="none" w:sz="0" w:space="0" w:color="auto"/>
                    <w:left w:val="none" w:sz="0" w:space="0" w:color="auto"/>
                    <w:bottom w:val="none" w:sz="0" w:space="0" w:color="auto"/>
                    <w:right w:val="none" w:sz="0" w:space="0" w:color="auto"/>
                  </w:divBdr>
                  <w:divsChild>
                    <w:div w:id="124086067">
                      <w:marLeft w:val="0"/>
                      <w:marRight w:val="0"/>
                      <w:marTop w:val="0"/>
                      <w:marBottom w:val="0"/>
                      <w:divBdr>
                        <w:top w:val="none" w:sz="0" w:space="0" w:color="auto"/>
                        <w:left w:val="none" w:sz="0" w:space="0" w:color="auto"/>
                        <w:bottom w:val="none" w:sz="0" w:space="0" w:color="auto"/>
                        <w:right w:val="none" w:sz="0" w:space="0" w:color="auto"/>
                      </w:divBdr>
                    </w:div>
                  </w:divsChild>
                </w:div>
                <w:div w:id="1040397881">
                  <w:marLeft w:val="0"/>
                  <w:marRight w:val="0"/>
                  <w:marTop w:val="0"/>
                  <w:marBottom w:val="0"/>
                  <w:divBdr>
                    <w:top w:val="none" w:sz="0" w:space="0" w:color="auto"/>
                    <w:left w:val="none" w:sz="0" w:space="0" w:color="auto"/>
                    <w:bottom w:val="none" w:sz="0" w:space="0" w:color="auto"/>
                    <w:right w:val="none" w:sz="0" w:space="0" w:color="auto"/>
                  </w:divBdr>
                  <w:divsChild>
                    <w:div w:id="1833596804">
                      <w:marLeft w:val="0"/>
                      <w:marRight w:val="0"/>
                      <w:marTop w:val="0"/>
                      <w:marBottom w:val="0"/>
                      <w:divBdr>
                        <w:top w:val="none" w:sz="0" w:space="0" w:color="auto"/>
                        <w:left w:val="none" w:sz="0" w:space="0" w:color="auto"/>
                        <w:bottom w:val="none" w:sz="0" w:space="0" w:color="auto"/>
                        <w:right w:val="none" w:sz="0" w:space="0" w:color="auto"/>
                      </w:divBdr>
                    </w:div>
                  </w:divsChild>
                </w:div>
                <w:div w:id="1052466489">
                  <w:marLeft w:val="0"/>
                  <w:marRight w:val="0"/>
                  <w:marTop w:val="0"/>
                  <w:marBottom w:val="0"/>
                  <w:divBdr>
                    <w:top w:val="none" w:sz="0" w:space="0" w:color="auto"/>
                    <w:left w:val="none" w:sz="0" w:space="0" w:color="auto"/>
                    <w:bottom w:val="none" w:sz="0" w:space="0" w:color="auto"/>
                    <w:right w:val="none" w:sz="0" w:space="0" w:color="auto"/>
                  </w:divBdr>
                  <w:divsChild>
                    <w:div w:id="1475099133">
                      <w:marLeft w:val="0"/>
                      <w:marRight w:val="0"/>
                      <w:marTop w:val="0"/>
                      <w:marBottom w:val="0"/>
                      <w:divBdr>
                        <w:top w:val="none" w:sz="0" w:space="0" w:color="auto"/>
                        <w:left w:val="none" w:sz="0" w:space="0" w:color="auto"/>
                        <w:bottom w:val="none" w:sz="0" w:space="0" w:color="auto"/>
                        <w:right w:val="none" w:sz="0" w:space="0" w:color="auto"/>
                      </w:divBdr>
                    </w:div>
                  </w:divsChild>
                </w:div>
                <w:div w:id="1056931720">
                  <w:marLeft w:val="0"/>
                  <w:marRight w:val="0"/>
                  <w:marTop w:val="0"/>
                  <w:marBottom w:val="0"/>
                  <w:divBdr>
                    <w:top w:val="none" w:sz="0" w:space="0" w:color="auto"/>
                    <w:left w:val="none" w:sz="0" w:space="0" w:color="auto"/>
                    <w:bottom w:val="none" w:sz="0" w:space="0" w:color="auto"/>
                    <w:right w:val="none" w:sz="0" w:space="0" w:color="auto"/>
                  </w:divBdr>
                  <w:divsChild>
                    <w:div w:id="516847226">
                      <w:marLeft w:val="0"/>
                      <w:marRight w:val="0"/>
                      <w:marTop w:val="0"/>
                      <w:marBottom w:val="0"/>
                      <w:divBdr>
                        <w:top w:val="none" w:sz="0" w:space="0" w:color="auto"/>
                        <w:left w:val="none" w:sz="0" w:space="0" w:color="auto"/>
                        <w:bottom w:val="none" w:sz="0" w:space="0" w:color="auto"/>
                        <w:right w:val="none" w:sz="0" w:space="0" w:color="auto"/>
                      </w:divBdr>
                    </w:div>
                  </w:divsChild>
                </w:div>
                <w:div w:id="1070079448">
                  <w:marLeft w:val="0"/>
                  <w:marRight w:val="0"/>
                  <w:marTop w:val="0"/>
                  <w:marBottom w:val="0"/>
                  <w:divBdr>
                    <w:top w:val="none" w:sz="0" w:space="0" w:color="auto"/>
                    <w:left w:val="none" w:sz="0" w:space="0" w:color="auto"/>
                    <w:bottom w:val="none" w:sz="0" w:space="0" w:color="auto"/>
                    <w:right w:val="none" w:sz="0" w:space="0" w:color="auto"/>
                  </w:divBdr>
                  <w:divsChild>
                    <w:div w:id="2072927240">
                      <w:marLeft w:val="0"/>
                      <w:marRight w:val="0"/>
                      <w:marTop w:val="0"/>
                      <w:marBottom w:val="0"/>
                      <w:divBdr>
                        <w:top w:val="none" w:sz="0" w:space="0" w:color="auto"/>
                        <w:left w:val="none" w:sz="0" w:space="0" w:color="auto"/>
                        <w:bottom w:val="none" w:sz="0" w:space="0" w:color="auto"/>
                        <w:right w:val="none" w:sz="0" w:space="0" w:color="auto"/>
                      </w:divBdr>
                    </w:div>
                  </w:divsChild>
                </w:div>
                <w:div w:id="1104497923">
                  <w:marLeft w:val="0"/>
                  <w:marRight w:val="0"/>
                  <w:marTop w:val="0"/>
                  <w:marBottom w:val="0"/>
                  <w:divBdr>
                    <w:top w:val="none" w:sz="0" w:space="0" w:color="auto"/>
                    <w:left w:val="none" w:sz="0" w:space="0" w:color="auto"/>
                    <w:bottom w:val="none" w:sz="0" w:space="0" w:color="auto"/>
                    <w:right w:val="none" w:sz="0" w:space="0" w:color="auto"/>
                  </w:divBdr>
                  <w:divsChild>
                    <w:div w:id="403842119">
                      <w:marLeft w:val="0"/>
                      <w:marRight w:val="0"/>
                      <w:marTop w:val="0"/>
                      <w:marBottom w:val="0"/>
                      <w:divBdr>
                        <w:top w:val="none" w:sz="0" w:space="0" w:color="auto"/>
                        <w:left w:val="none" w:sz="0" w:space="0" w:color="auto"/>
                        <w:bottom w:val="none" w:sz="0" w:space="0" w:color="auto"/>
                        <w:right w:val="none" w:sz="0" w:space="0" w:color="auto"/>
                      </w:divBdr>
                    </w:div>
                  </w:divsChild>
                </w:div>
                <w:div w:id="1116949917">
                  <w:marLeft w:val="0"/>
                  <w:marRight w:val="0"/>
                  <w:marTop w:val="0"/>
                  <w:marBottom w:val="0"/>
                  <w:divBdr>
                    <w:top w:val="none" w:sz="0" w:space="0" w:color="auto"/>
                    <w:left w:val="none" w:sz="0" w:space="0" w:color="auto"/>
                    <w:bottom w:val="none" w:sz="0" w:space="0" w:color="auto"/>
                    <w:right w:val="none" w:sz="0" w:space="0" w:color="auto"/>
                  </w:divBdr>
                  <w:divsChild>
                    <w:div w:id="1257396839">
                      <w:marLeft w:val="0"/>
                      <w:marRight w:val="0"/>
                      <w:marTop w:val="0"/>
                      <w:marBottom w:val="0"/>
                      <w:divBdr>
                        <w:top w:val="none" w:sz="0" w:space="0" w:color="auto"/>
                        <w:left w:val="none" w:sz="0" w:space="0" w:color="auto"/>
                        <w:bottom w:val="none" w:sz="0" w:space="0" w:color="auto"/>
                        <w:right w:val="none" w:sz="0" w:space="0" w:color="auto"/>
                      </w:divBdr>
                    </w:div>
                  </w:divsChild>
                </w:div>
                <w:div w:id="1144195117">
                  <w:marLeft w:val="0"/>
                  <w:marRight w:val="0"/>
                  <w:marTop w:val="0"/>
                  <w:marBottom w:val="0"/>
                  <w:divBdr>
                    <w:top w:val="none" w:sz="0" w:space="0" w:color="auto"/>
                    <w:left w:val="none" w:sz="0" w:space="0" w:color="auto"/>
                    <w:bottom w:val="none" w:sz="0" w:space="0" w:color="auto"/>
                    <w:right w:val="none" w:sz="0" w:space="0" w:color="auto"/>
                  </w:divBdr>
                  <w:divsChild>
                    <w:div w:id="1548026024">
                      <w:marLeft w:val="0"/>
                      <w:marRight w:val="0"/>
                      <w:marTop w:val="0"/>
                      <w:marBottom w:val="0"/>
                      <w:divBdr>
                        <w:top w:val="none" w:sz="0" w:space="0" w:color="auto"/>
                        <w:left w:val="none" w:sz="0" w:space="0" w:color="auto"/>
                        <w:bottom w:val="none" w:sz="0" w:space="0" w:color="auto"/>
                        <w:right w:val="none" w:sz="0" w:space="0" w:color="auto"/>
                      </w:divBdr>
                    </w:div>
                  </w:divsChild>
                </w:div>
                <w:div w:id="1152066103">
                  <w:marLeft w:val="0"/>
                  <w:marRight w:val="0"/>
                  <w:marTop w:val="0"/>
                  <w:marBottom w:val="0"/>
                  <w:divBdr>
                    <w:top w:val="none" w:sz="0" w:space="0" w:color="auto"/>
                    <w:left w:val="none" w:sz="0" w:space="0" w:color="auto"/>
                    <w:bottom w:val="none" w:sz="0" w:space="0" w:color="auto"/>
                    <w:right w:val="none" w:sz="0" w:space="0" w:color="auto"/>
                  </w:divBdr>
                  <w:divsChild>
                    <w:div w:id="724986142">
                      <w:marLeft w:val="0"/>
                      <w:marRight w:val="0"/>
                      <w:marTop w:val="0"/>
                      <w:marBottom w:val="0"/>
                      <w:divBdr>
                        <w:top w:val="none" w:sz="0" w:space="0" w:color="auto"/>
                        <w:left w:val="none" w:sz="0" w:space="0" w:color="auto"/>
                        <w:bottom w:val="none" w:sz="0" w:space="0" w:color="auto"/>
                        <w:right w:val="none" w:sz="0" w:space="0" w:color="auto"/>
                      </w:divBdr>
                    </w:div>
                  </w:divsChild>
                </w:div>
                <w:div w:id="1158107580">
                  <w:marLeft w:val="0"/>
                  <w:marRight w:val="0"/>
                  <w:marTop w:val="0"/>
                  <w:marBottom w:val="0"/>
                  <w:divBdr>
                    <w:top w:val="none" w:sz="0" w:space="0" w:color="auto"/>
                    <w:left w:val="none" w:sz="0" w:space="0" w:color="auto"/>
                    <w:bottom w:val="none" w:sz="0" w:space="0" w:color="auto"/>
                    <w:right w:val="none" w:sz="0" w:space="0" w:color="auto"/>
                  </w:divBdr>
                  <w:divsChild>
                    <w:div w:id="5600870">
                      <w:marLeft w:val="0"/>
                      <w:marRight w:val="0"/>
                      <w:marTop w:val="0"/>
                      <w:marBottom w:val="0"/>
                      <w:divBdr>
                        <w:top w:val="none" w:sz="0" w:space="0" w:color="auto"/>
                        <w:left w:val="none" w:sz="0" w:space="0" w:color="auto"/>
                        <w:bottom w:val="none" w:sz="0" w:space="0" w:color="auto"/>
                        <w:right w:val="none" w:sz="0" w:space="0" w:color="auto"/>
                      </w:divBdr>
                    </w:div>
                  </w:divsChild>
                </w:div>
                <w:div w:id="1222449691">
                  <w:marLeft w:val="0"/>
                  <w:marRight w:val="0"/>
                  <w:marTop w:val="0"/>
                  <w:marBottom w:val="0"/>
                  <w:divBdr>
                    <w:top w:val="none" w:sz="0" w:space="0" w:color="auto"/>
                    <w:left w:val="none" w:sz="0" w:space="0" w:color="auto"/>
                    <w:bottom w:val="none" w:sz="0" w:space="0" w:color="auto"/>
                    <w:right w:val="none" w:sz="0" w:space="0" w:color="auto"/>
                  </w:divBdr>
                  <w:divsChild>
                    <w:div w:id="198785687">
                      <w:marLeft w:val="0"/>
                      <w:marRight w:val="0"/>
                      <w:marTop w:val="0"/>
                      <w:marBottom w:val="0"/>
                      <w:divBdr>
                        <w:top w:val="none" w:sz="0" w:space="0" w:color="auto"/>
                        <w:left w:val="none" w:sz="0" w:space="0" w:color="auto"/>
                        <w:bottom w:val="none" w:sz="0" w:space="0" w:color="auto"/>
                        <w:right w:val="none" w:sz="0" w:space="0" w:color="auto"/>
                      </w:divBdr>
                    </w:div>
                  </w:divsChild>
                </w:div>
                <w:div w:id="1230847341">
                  <w:marLeft w:val="0"/>
                  <w:marRight w:val="0"/>
                  <w:marTop w:val="0"/>
                  <w:marBottom w:val="0"/>
                  <w:divBdr>
                    <w:top w:val="none" w:sz="0" w:space="0" w:color="auto"/>
                    <w:left w:val="none" w:sz="0" w:space="0" w:color="auto"/>
                    <w:bottom w:val="none" w:sz="0" w:space="0" w:color="auto"/>
                    <w:right w:val="none" w:sz="0" w:space="0" w:color="auto"/>
                  </w:divBdr>
                  <w:divsChild>
                    <w:div w:id="74863747">
                      <w:marLeft w:val="0"/>
                      <w:marRight w:val="0"/>
                      <w:marTop w:val="0"/>
                      <w:marBottom w:val="0"/>
                      <w:divBdr>
                        <w:top w:val="none" w:sz="0" w:space="0" w:color="auto"/>
                        <w:left w:val="none" w:sz="0" w:space="0" w:color="auto"/>
                        <w:bottom w:val="none" w:sz="0" w:space="0" w:color="auto"/>
                        <w:right w:val="none" w:sz="0" w:space="0" w:color="auto"/>
                      </w:divBdr>
                    </w:div>
                  </w:divsChild>
                </w:div>
                <w:div w:id="1250381722">
                  <w:marLeft w:val="0"/>
                  <w:marRight w:val="0"/>
                  <w:marTop w:val="0"/>
                  <w:marBottom w:val="0"/>
                  <w:divBdr>
                    <w:top w:val="none" w:sz="0" w:space="0" w:color="auto"/>
                    <w:left w:val="none" w:sz="0" w:space="0" w:color="auto"/>
                    <w:bottom w:val="none" w:sz="0" w:space="0" w:color="auto"/>
                    <w:right w:val="none" w:sz="0" w:space="0" w:color="auto"/>
                  </w:divBdr>
                  <w:divsChild>
                    <w:div w:id="1065302225">
                      <w:marLeft w:val="0"/>
                      <w:marRight w:val="0"/>
                      <w:marTop w:val="0"/>
                      <w:marBottom w:val="0"/>
                      <w:divBdr>
                        <w:top w:val="none" w:sz="0" w:space="0" w:color="auto"/>
                        <w:left w:val="none" w:sz="0" w:space="0" w:color="auto"/>
                        <w:bottom w:val="none" w:sz="0" w:space="0" w:color="auto"/>
                        <w:right w:val="none" w:sz="0" w:space="0" w:color="auto"/>
                      </w:divBdr>
                    </w:div>
                  </w:divsChild>
                </w:div>
                <w:div w:id="1252468916">
                  <w:marLeft w:val="0"/>
                  <w:marRight w:val="0"/>
                  <w:marTop w:val="0"/>
                  <w:marBottom w:val="0"/>
                  <w:divBdr>
                    <w:top w:val="none" w:sz="0" w:space="0" w:color="auto"/>
                    <w:left w:val="none" w:sz="0" w:space="0" w:color="auto"/>
                    <w:bottom w:val="none" w:sz="0" w:space="0" w:color="auto"/>
                    <w:right w:val="none" w:sz="0" w:space="0" w:color="auto"/>
                  </w:divBdr>
                  <w:divsChild>
                    <w:div w:id="1209561508">
                      <w:marLeft w:val="0"/>
                      <w:marRight w:val="0"/>
                      <w:marTop w:val="0"/>
                      <w:marBottom w:val="0"/>
                      <w:divBdr>
                        <w:top w:val="none" w:sz="0" w:space="0" w:color="auto"/>
                        <w:left w:val="none" w:sz="0" w:space="0" w:color="auto"/>
                        <w:bottom w:val="none" w:sz="0" w:space="0" w:color="auto"/>
                        <w:right w:val="none" w:sz="0" w:space="0" w:color="auto"/>
                      </w:divBdr>
                    </w:div>
                  </w:divsChild>
                </w:div>
                <w:div w:id="1267812712">
                  <w:marLeft w:val="0"/>
                  <w:marRight w:val="0"/>
                  <w:marTop w:val="0"/>
                  <w:marBottom w:val="0"/>
                  <w:divBdr>
                    <w:top w:val="none" w:sz="0" w:space="0" w:color="auto"/>
                    <w:left w:val="none" w:sz="0" w:space="0" w:color="auto"/>
                    <w:bottom w:val="none" w:sz="0" w:space="0" w:color="auto"/>
                    <w:right w:val="none" w:sz="0" w:space="0" w:color="auto"/>
                  </w:divBdr>
                  <w:divsChild>
                    <w:div w:id="1032923534">
                      <w:marLeft w:val="0"/>
                      <w:marRight w:val="0"/>
                      <w:marTop w:val="0"/>
                      <w:marBottom w:val="0"/>
                      <w:divBdr>
                        <w:top w:val="none" w:sz="0" w:space="0" w:color="auto"/>
                        <w:left w:val="none" w:sz="0" w:space="0" w:color="auto"/>
                        <w:bottom w:val="none" w:sz="0" w:space="0" w:color="auto"/>
                        <w:right w:val="none" w:sz="0" w:space="0" w:color="auto"/>
                      </w:divBdr>
                    </w:div>
                  </w:divsChild>
                </w:div>
                <w:div w:id="1269846466">
                  <w:marLeft w:val="0"/>
                  <w:marRight w:val="0"/>
                  <w:marTop w:val="0"/>
                  <w:marBottom w:val="0"/>
                  <w:divBdr>
                    <w:top w:val="none" w:sz="0" w:space="0" w:color="auto"/>
                    <w:left w:val="none" w:sz="0" w:space="0" w:color="auto"/>
                    <w:bottom w:val="none" w:sz="0" w:space="0" w:color="auto"/>
                    <w:right w:val="none" w:sz="0" w:space="0" w:color="auto"/>
                  </w:divBdr>
                  <w:divsChild>
                    <w:div w:id="1589924808">
                      <w:marLeft w:val="0"/>
                      <w:marRight w:val="0"/>
                      <w:marTop w:val="0"/>
                      <w:marBottom w:val="0"/>
                      <w:divBdr>
                        <w:top w:val="none" w:sz="0" w:space="0" w:color="auto"/>
                        <w:left w:val="none" w:sz="0" w:space="0" w:color="auto"/>
                        <w:bottom w:val="none" w:sz="0" w:space="0" w:color="auto"/>
                        <w:right w:val="none" w:sz="0" w:space="0" w:color="auto"/>
                      </w:divBdr>
                    </w:div>
                  </w:divsChild>
                </w:div>
                <w:div w:id="1270426284">
                  <w:marLeft w:val="0"/>
                  <w:marRight w:val="0"/>
                  <w:marTop w:val="0"/>
                  <w:marBottom w:val="0"/>
                  <w:divBdr>
                    <w:top w:val="none" w:sz="0" w:space="0" w:color="auto"/>
                    <w:left w:val="none" w:sz="0" w:space="0" w:color="auto"/>
                    <w:bottom w:val="none" w:sz="0" w:space="0" w:color="auto"/>
                    <w:right w:val="none" w:sz="0" w:space="0" w:color="auto"/>
                  </w:divBdr>
                  <w:divsChild>
                    <w:div w:id="914125200">
                      <w:marLeft w:val="0"/>
                      <w:marRight w:val="0"/>
                      <w:marTop w:val="0"/>
                      <w:marBottom w:val="0"/>
                      <w:divBdr>
                        <w:top w:val="none" w:sz="0" w:space="0" w:color="auto"/>
                        <w:left w:val="none" w:sz="0" w:space="0" w:color="auto"/>
                        <w:bottom w:val="none" w:sz="0" w:space="0" w:color="auto"/>
                        <w:right w:val="none" w:sz="0" w:space="0" w:color="auto"/>
                      </w:divBdr>
                    </w:div>
                  </w:divsChild>
                </w:div>
                <w:div w:id="1300066189">
                  <w:marLeft w:val="0"/>
                  <w:marRight w:val="0"/>
                  <w:marTop w:val="0"/>
                  <w:marBottom w:val="0"/>
                  <w:divBdr>
                    <w:top w:val="none" w:sz="0" w:space="0" w:color="auto"/>
                    <w:left w:val="none" w:sz="0" w:space="0" w:color="auto"/>
                    <w:bottom w:val="none" w:sz="0" w:space="0" w:color="auto"/>
                    <w:right w:val="none" w:sz="0" w:space="0" w:color="auto"/>
                  </w:divBdr>
                  <w:divsChild>
                    <w:div w:id="139539355">
                      <w:marLeft w:val="0"/>
                      <w:marRight w:val="0"/>
                      <w:marTop w:val="0"/>
                      <w:marBottom w:val="0"/>
                      <w:divBdr>
                        <w:top w:val="none" w:sz="0" w:space="0" w:color="auto"/>
                        <w:left w:val="none" w:sz="0" w:space="0" w:color="auto"/>
                        <w:bottom w:val="none" w:sz="0" w:space="0" w:color="auto"/>
                        <w:right w:val="none" w:sz="0" w:space="0" w:color="auto"/>
                      </w:divBdr>
                    </w:div>
                  </w:divsChild>
                </w:div>
                <w:div w:id="1301885058">
                  <w:marLeft w:val="0"/>
                  <w:marRight w:val="0"/>
                  <w:marTop w:val="0"/>
                  <w:marBottom w:val="0"/>
                  <w:divBdr>
                    <w:top w:val="none" w:sz="0" w:space="0" w:color="auto"/>
                    <w:left w:val="none" w:sz="0" w:space="0" w:color="auto"/>
                    <w:bottom w:val="none" w:sz="0" w:space="0" w:color="auto"/>
                    <w:right w:val="none" w:sz="0" w:space="0" w:color="auto"/>
                  </w:divBdr>
                  <w:divsChild>
                    <w:div w:id="89550">
                      <w:marLeft w:val="0"/>
                      <w:marRight w:val="0"/>
                      <w:marTop w:val="0"/>
                      <w:marBottom w:val="0"/>
                      <w:divBdr>
                        <w:top w:val="none" w:sz="0" w:space="0" w:color="auto"/>
                        <w:left w:val="none" w:sz="0" w:space="0" w:color="auto"/>
                        <w:bottom w:val="none" w:sz="0" w:space="0" w:color="auto"/>
                        <w:right w:val="none" w:sz="0" w:space="0" w:color="auto"/>
                      </w:divBdr>
                    </w:div>
                  </w:divsChild>
                </w:div>
                <w:div w:id="1303342085">
                  <w:marLeft w:val="0"/>
                  <w:marRight w:val="0"/>
                  <w:marTop w:val="0"/>
                  <w:marBottom w:val="0"/>
                  <w:divBdr>
                    <w:top w:val="none" w:sz="0" w:space="0" w:color="auto"/>
                    <w:left w:val="none" w:sz="0" w:space="0" w:color="auto"/>
                    <w:bottom w:val="none" w:sz="0" w:space="0" w:color="auto"/>
                    <w:right w:val="none" w:sz="0" w:space="0" w:color="auto"/>
                  </w:divBdr>
                  <w:divsChild>
                    <w:div w:id="536281323">
                      <w:marLeft w:val="0"/>
                      <w:marRight w:val="0"/>
                      <w:marTop w:val="0"/>
                      <w:marBottom w:val="0"/>
                      <w:divBdr>
                        <w:top w:val="none" w:sz="0" w:space="0" w:color="auto"/>
                        <w:left w:val="none" w:sz="0" w:space="0" w:color="auto"/>
                        <w:bottom w:val="none" w:sz="0" w:space="0" w:color="auto"/>
                        <w:right w:val="none" w:sz="0" w:space="0" w:color="auto"/>
                      </w:divBdr>
                    </w:div>
                  </w:divsChild>
                </w:div>
                <w:div w:id="1347633885">
                  <w:marLeft w:val="0"/>
                  <w:marRight w:val="0"/>
                  <w:marTop w:val="0"/>
                  <w:marBottom w:val="0"/>
                  <w:divBdr>
                    <w:top w:val="none" w:sz="0" w:space="0" w:color="auto"/>
                    <w:left w:val="none" w:sz="0" w:space="0" w:color="auto"/>
                    <w:bottom w:val="none" w:sz="0" w:space="0" w:color="auto"/>
                    <w:right w:val="none" w:sz="0" w:space="0" w:color="auto"/>
                  </w:divBdr>
                  <w:divsChild>
                    <w:div w:id="1951933831">
                      <w:marLeft w:val="0"/>
                      <w:marRight w:val="0"/>
                      <w:marTop w:val="0"/>
                      <w:marBottom w:val="0"/>
                      <w:divBdr>
                        <w:top w:val="none" w:sz="0" w:space="0" w:color="auto"/>
                        <w:left w:val="none" w:sz="0" w:space="0" w:color="auto"/>
                        <w:bottom w:val="none" w:sz="0" w:space="0" w:color="auto"/>
                        <w:right w:val="none" w:sz="0" w:space="0" w:color="auto"/>
                      </w:divBdr>
                    </w:div>
                  </w:divsChild>
                </w:div>
                <w:div w:id="1382368655">
                  <w:marLeft w:val="0"/>
                  <w:marRight w:val="0"/>
                  <w:marTop w:val="0"/>
                  <w:marBottom w:val="0"/>
                  <w:divBdr>
                    <w:top w:val="none" w:sz="0" w:space="0" w:color="auto"/>
                    <w:left w:val="none" w:sz="0" w:space="0" w:color="auto"/>
                    <w:bottom w:val="none" w:sz="0" w:space="0" w:color="auto"/>
                    <w:right w:val="none" w:sz="0" w:space="0" w:color="auto"/>
                  </w:divBdr>
                  <w:divsChild>
                    <w:div w:id="1691106167">
                      <w:marLeft w:val="0"/>
                      <w:marRight w:val="0"/>
                      <w:marTop w:val="0"/>
                      <w:marBottom w:val="0"/>
                      <w:divBdr>
                        <w:top w:val="none" w:sz="0" w:space="0" w:color="auto"/>
                        <w:left w:val="none" w:sz="0" w:space="0" w:color="auto"/>
                        <w:bottom w:val="none" w:sz="0" w:space="0" w:color="auto"/>
                        <w:right w:val="none" w:sz="0" w:space="0" w:color="auto"/>
                      </w:divBdr>
                    </w:div>
                  </w:divsChild>
                </w:div>
                <w:div w:id="1411586391">
                  <w:marLeft w:val="0"/>
                  <w:marRight w:val="0"/>
                  <w:marTop w:val="0"/>
                  <w:marBottom w:val="0"/>
                  <w:divBdr>
                    <w:top w:val="none" w:sz="0" w:space="0" w:color="auto"/>
                    <w:left w:val="none" w:sz="0" w:space="0" w:color="auto"/>
                    <w:bottom w:val="none" w:sz="0" w:space="0" w:color="auto"/>
                    <w:right w:val="none" w:sz="0" w:space="0" w:color="auto"/>
                  </w:divBdr>
                  <w:divsChild>
                    <w:div w:id="320424500">
                      <w:marLeft w:val="0"/>
                      <w:marRight w:val="0"/>
                      <w:marTop w:val="0"/>
                      <w:marBottom w:val="0"/>
                      <w:divBdr>
                        <w:top w:val="none" w:sz="0" w:space="0" w:color="auto"/>
                        <w:left w:val="none" w:sz="0" w:space="0" w:color="auto"/>
                        <w:bottom w:val="none" w:sz="0" w:space="0" w:color="auto"/>
                        <w:right w:val="none" w:sz="0" w:space="0" w:color="auto"/>
                      </w:divBdr>
                    </w:div>
                  </w:divsChild>
                </w:div>
                <w:div w:id="1445734766">
                  <w:marLeft w:val="0"/>
                  <w:marRight w:val="0"/>
                  <w:marTop w:val="0"/>
                  <w:marBottom w:val="0"/>
                  <w:divBdr>
                    <w:top w:val="none" w:sz="0" w:space="0" w:color="auto"/>
                    <w:left w:val="none" w:sz="0" w:space="0" w:color="auto"/>
                    <w:bottom w:val="none" w:sz="0" w:space="0" w:color="auto"/>
                    <w:right w:val="none" w:sz="0" w:space="0" w:color="auto"/>
                  </w:divBdr>
                  <w:divsChild>
                    <w:div w:id="315888917">
                      <w:marLeft w:val="0"/>
                      <w:marRight w:val="0"/>
                      <w:marTop w:val="0"/>
                      <w:marBottom w:val="0"/>
                      <w:divBdr>
                        <w:top w:val="none" w:sz="0" w:space="0" w:color="auto"/>
                        <w:left w:val="none" w:sz="0" w:space="0" w:color="auto"/>
                        <w:bottom w:val="none" w:sz="0" w:space="0" w:color="auto"/>
                        <w:right w:val="none" w:sz="0" w:space="0" w:color="auto"/>
                      </w:divBdr>
                    </w:div>
                  </w:divsChild>
                </w:div>
                <w:div w:id="1453667245">
                  <w:marLeft w:val="0"/>
                  <w:marRight w:val="0"/>
                  <w:marTop w:val="0"/>
                  <w:marBottom w:val="0"/>
                  <w:divBdr>
                    <w:top w:val="none" w:sz="0" w:space="0" w:color="auto"/>
                    <w:left w:val="none" w:sz="0" w:space="0" w:color="auto"/>
                    <w:bottom w:val="none" w:sz="0" w:space="0" w:color="auto"/>
                    <w:right w:val="none" w:sz="0" w:space="0" w:color="auto"/>
                  </w:divBdr>
                  <w:divsChild>
                    <w:div w:id="1662926364">
                      <w:marLeft w:val="0"/>
                      <w:marRight w:val="0"/>
                      <w:marTop w:val="0"/>
                      <w:marBottom w:val="0"/>
                      <w:divBdr>
                        <w:top w:val="none" w:sz="0" w:space="0" w:color="auto"/>
                        <w:left w:val="none" w:sz="0" w:space="0" w:color="auto"/>
                        <w:bottom w:val="none" w:sz="0" w:space="0" w:color="auto"/>
                        <w:right w:val="none" w:sz="0" w:space="0" w:color="auto"/>
                      </w:divBdr>
                    </w:div>
                  </w:divsChild>
                </w:div>
                <w:div w:id="1456171312">
                  <w:marLeft w:val="0"/>
                  <w:marRight w:val="0"/>
                  <w:marTop w:val="0"/>
                  <w:marBottom w:val="0"/>
                  <w:divBdr>
                    <w:top w:val="none" w:sz="0" w:space="0" w:color="auto"/>
                    <w:left w:val="none" w:sz="0" w:space="0" w:color="auto"/>
                    <w:bottom w:val="none" w:sz="0" w:space="0" w:color="auto"/>
                    <w:right w:val="none" w:sz="0" w:space="0" w:color="auto"/>
                  </w:divBdr>
                  <w:divsChild>
                    <w:div w:id="1982078049">
                      <w:marLeft w:val="0"/>
                      <w:marRight w:val="0"/>
                      <w:marTop w:val="0"/>
                      <w:marBottom w:val="0"/>
                      <w:divBdr>
                        <w:top w:val="none" w:sz="0" w:space="0" w:color="auto"/>
                        <w:left w:val="none" w:sz="0" w:space="0" w:color="auto"/>
                        <w:bottom w:val="none" w:sz="0" w:space="0" w:color="auto"/>
                        <w:right w:val="none" w:sz="0" w:space="0" w:color="auto"/>
                      </w:divBdr>
                    </w:div>
                  </w:divsChild>
                </w:div>
                <w:div w:id="1459370223">
                  <w:marLeft w:val="0"/>
                  <w:marRight w:val="0"/>
                  <w:marTop w:val="0"/>
                  <w:marBottom w:val="0"/>
                  <w:divBdr>
                    <w:top w:val="none" w:sz="0" w:space="0" w:color="auto"/>
                    <w:left w:val="none" w:sz="0" w:space="0" w:color="auto"/>
                    <w:bottom w:val="none" w:sz="0" w:space="0" w:color="auto"/>
                    <w:right w:val="none" w:sz="0" w:space="0" w:color="auto"/>
                  </w:divBdr>
                  <w:divsChild>
                    <w:div w:id="1644653321">
                      <w:marLeft w:val="0"/>
                      <w:marRight w:val="0"/>
                      <w:marTop w:val="0"/>
                      <w:marBottom w:val="0"/>
                      <w:divBdr>
                        <w:top w:val="none" w:sz="0" w:space="0" w:color="auto"/>
                        <w:left w:val="none" w:sz="0" w:space="0" w:color="auto"/>
                        <w:bottom w:val="none" w:sz="0" w:space="0" w:color="auto"/>
                        <w:right w:val="none" w:sz="0" w:space="0" w:color="auto"/>
                      </w:divBdr>
                    </w:div>
                  </w:divsChild>
                </w:div>
                <w:div w:id="1478572759">
                  <w:marLeft w:val="0"/>
                  <w:marRight w:val="0"/>
                  <w:marTop w:val="0"/>
                  <w:marBottom w:val="0"/>
                  <w:divBdr>
                    <w:top w:val="none" w:sz="0" w:space="0" w:color="auto"/>
                    <w:left w:val="none" w:sz="0" w:space="0" w:color="auto"/>
                    <w:bottom w:val="none" w:sz="0" w:space="0" w:color="auto"/>
                    <w:right w:val="none" w:sz="0" w:space="0" w:color="auto"/>
                  </w:divBdr>
                  <w:divsChild>
                    <w:div w:id="150560076">
                      <w:marLeft w:val="0"/>
                      <w:marRight w:val="0"/>
                      <w:marTop w:val="0"/>
                      <w:marBottom w:val="0"/>
                      <w:divBdr>
                        <w:top w:val="none" w:sz="0" w:space="0" w:color="auto"/>
                        <w:left w:val="none" w:sz="0" w:space="0" w:color="auto"/>
                        <w:bottom w:val="none" w:sz="0" w:space="0" w:color="auto"/>
                        <w:right w:val="none" w:sz="0" w:space="0" w:color="auto"/>
                      </w:divBdr>
                    </w:div>
                  </w:divsChild>
                </w:div>
                <w:div w:id="1491562628">
                  <w:marLeft w:val="0"/>
                  <w:marRight w:val="0"/>
                  <w:marTop w:val="0"/>
                  <w:marBottom w:val="0"/>
                  <w:divBdr>
                    <w:top w:val="none" w:sz="0" w:space="0" w:color="auto"/>
                    <w:left w:val="none" w:sz="0" w:space="0" w:color="auto"/>
                    <w:bottom w:val="none" w:sz="0" w:space="0" w:color="auto"/>
                    <w:right w:val="none" w:sz="0" w:space="0" w:color="auto"/>
                  </w:divBdr>
                  <w:divsChild>
                    <w:div w:id="1329752474">
                      <w:marLeft w:val="0"/>
                      <w:marRight w:val="0"/>
                      <w:marTop w:val="0"/>
                      <w:marBottom w:val="0"/>
                      <w:divBdr>
                        <w:top w:val="none" w:sz="0" w:space="0" w:color="auto"/>
                        <w:left w:val="none" w:sz="0" w:space="0" w:color="auto"/>
                        <w:bottom w:val="none" w:sz="0" w:space="0" w:color="auto"/>
                        <w:right w:val="none" w:sz="0" w:space="0" w:color="auto"/>
                      </w:divBdr>
                    </w:div>
                  </w:divsChild>
                </w:div>
                <w:div w:id="1529024142">
                  <w:marLeft w:val="0"/>
                  <w:marRight w:val="0"/>
                  <w:marTop w:val="0"/>
                  <w:marBottom w:val="0"/>
                  <w:divBdr>
                    <w:top w:val="none" w:sz="0" w:space="0" w:color="auto"/>
                    <w:left w:val="none" w:sz="0" w:space="0" w:color="auto"/>
                    <w:bottom w:val="none" w:sz="0" w:space="0" w:color="auto"/>
                    <w:right w:val="none" w:sz="0" w:space="0" w:color="auto"/>
                  </w:divBdr>
                  <w:divsChild>
                    <w:div w:id="2049528113">
                      <w:marLeft w:val="0"/>
                      <w:marRight w:val="0"/>
                      <w:marTop w:val="0"/>
                      <w:marBottom w:val="0"/>
                      <w:divBdr>
                        <w:top w:val="none" w:sz="0" w:space="0" w:color="auto"/>
                        <w:left w:val="none" w:sz="0" w:space="0" w:color="auto"/>
                        <w:bottom w:val="none" w:sz="0" w:space="0" w:color="auto"/>
                        <w:right w:val="none" w:sz="0" w:space="0" w:color="auto"/>
                      </w:divBdr>
                    </w:div>
                  </w:divsChild>
                </w:div>
                <w:div w:id="1537162922">
                  <w:marLeft w:val="0"/>
                  <w:marRight w:val="0"/>
                  <w:marTop w:val="0"/>
                  <w:marBottom w:val="0"/>
                  <w:divBdr>
                    <w:top w:val="none" w:sz="0" w:space="0" w:color="auto"/>
                    <w:left w:val="none" w:sz="0" w:space="0" w:color="auto"/>
                    <w:bottom w:val="none" w:sz="0" w:space="0" w:color="auto"/>
                    <w:right w:val="none" w:sz="0" w:space="0" w:color="auto"/>
                  </w:divBdr>
                  <w:divsChild>
                    <w:div w:id="1868905558">
                      <w:marLeft w:val="0"/>
                      <w:marRight w:val="0"/>
                      <w:marTop w:val="0"/>
                      <w:marBottom w:val="0"/>
                      <w:divBdr>
                        <w:top w:val="none" w:sz="0" w:space="0" w:color="auto"/>
                        <w:left w:val="none" w:sz="0" w:space="0" w:color="auto"/>
                        <w:bottom w:val="none" w:sz="0" w:space="0" w:color="auto"/>
                        <w:right w:val="none" w:sz="0" w:space="0" w:color="auto"/>
                      </w:divBdr>
                    </w:div>
                  </w:divsChild>
                </w:div>
                <w:div w:id="1539389498">
                  <w:marLeft w:val="0"/>
                  <w:marRight w:val="0"/>
                  <w:marTop w:val="0"/>
                  <w:marBottom w:val="0"/>
                  <w:divBdr>
                    <w:top w:val="none" w:sz="0" w:space="0" w:color="auto"/>
                    <w:left w:val="none" w:sz="0" w:space="0" w:color="auto"/>
                    <w:bottom w:val="none" w:sz="0" w:space="0" w:color="auto"/>
                    <w:right w:val="none" w:sz="0" w:space="0" w:color="auto"/>
                  </w:divBdr>
                  <w:divsChild>
                    <w:div w:id="647588086">
                      <w:marLeft w:val="0"/>
                      <w:marRight w:val="0"/>
                      <w:marTop w:val="0"/>
                      <w:marBottom w:val="0"/>
                      <w:divBdr>
                        <w:top w:val="none" w:sz="0" w:space="0" w:color="auto"/>
                        <w:left w:val="none" w:sz="0" w:space="0" w:color="auto"/>
                        <w:bottom w:val="none" w:sz="0" w:space="0" w:color="auto"/>
                        <w:right w:val="none" w:sz="0" w:space="0" w:color="auto"/>
                      </w:divBdr>
                    </w:div>
                  </w:divsChild>
                </w:div>
                <w:div w:id="1587153490">
                  <w:marLeft w:val="0"/>
                  <w:marRight w:val="0"/>
                  <w:marTop w:val="0"/>
                  <w:marBottom w:val="0"/>
                  <w:divBdr>
                    <w:top w:val="none" w:sz="0" w:space="0" w:color="auto"/>
                    <w:left w:val="none" w:sz="0" w:space="0" w:color="auto"/>
                    <w:bottom w:val="none" w:sz="0" w:space="0" w:color="auto"/>
                    <w:right w:val="none" w:sz="0" w:space="0" w:color="auto"/>
                  </w:divBdr>
                  <w:divsChild>
                    <w:div w:id="97255470">
                      <w:marLeft w:val="0"/>
                      <w:marRight w:val="0"/>
                      <w:marTop w:val="0"/>
                      <w:marBottom w:val="0"/>
                      <w:divBdr>
                        <w:top w:val="none" w:sz="0" w:space="0" w:color="auto"/>
                        <w:left w:val="none" w:sz="0" w:space="0" w:color="auto"/>
                        <w:bottom w:val="none" w:sz="0" w:space="0" w:color="auto"/>
                        <w:right w:val="none" w:sz="0" w:space="0" w:color="auto"/>
                      </w:divBdr>
                    </w:div>
                  </w:divsChild>
                </w:div>
                <w:div w:id="1632049798">
                  <w:marLeft w:val="0"/>
                  <w:marRight w:val="0"/>
                  <w:marTop w:val="0"/>
                  <w:marBottom w:val="0"/>
                  <w:divBdr>
                    <w:top w:val="none" w:sz="0" w:space="0" w:color="auto"/>
                    <w:left w:val="none" w:sz="0" w:space="0" w:color="auto"/>
                    <w:bottom w:val="none" w:sz="0" w:space="0" w:color="auto"/>
                    <w:right w:val="none" w:sz="0" w:space="0" w:color="auto"/>
                  </w:divBdr>
                  <w:divsChild>
                    <w:div w:id="1603604907">
                      <w:marLeft w:val="0"/>
                      <w:marRight w:val="0"/>
                      <w:marTop w:val="0"/>
                      <w:marBottom w:val="0"/>
                      <w:divBdr>
                        <w:top w:val="none" w:sz="0" w:space="0" w:color="auto"/>
                        <w:left w:val="none" w:sz="0" w:space="0" w:color="auto"/>
                        <w:bottom w:val="none" w:sz="0" w:space="0" w:color="auto"/>
                        <w:right w:val="none" w:sz="0" w:space="0" w:color="auto"/>
                      </w:divBdr>
                    </w:div>
                  </w:divsChild>
                </w:div>
                <w:div w:id="1670517152">
                  <w:marLeft w:val="0"/>
                  <w:marRight w:val="0"/>
                  <w:marTop w:val="0"/>
                  <w:marBottom w:val="0"/>
                  <w:divBdr>
                    <w:top w:val="none" w:sz="0" w:space="0" w:color="auto"/>
                    <w:left w:val="none" w:sz="0" w:space="0" w:color="auto"/>
                    <w:bottom w:val="none" w:sz="0" w:space="0" w:color="auto"/>
                    <w:right w:val="none" w:sz="0" w:space="0" w:color="auto"/>
                  </w:divBdr>
                  <w:divsChild>
                    <w:div w:id="1179199153">
                      <w:marLeft w:val="0"/>
                      <w:marRight w:val="0"/>
                      <w:marTop w:val="0"/>
                      <w:marBottom w:val="0"/>
                      <w:divBdr>
                        <w:top w:val="none" w:sz="0" w:space="0" w:color="auto"/>
                        <w:left w:val="none" w:sz="0" w:space="0" w:color="auto"/>
                        <w:bottom w:val="none" w:sz="0" w:space="0" w:color="auto"/>
                        <w:right w:val="none" w:sz="0" w:space="0" w:color="auto"/>
                      </w:divBdr>
                    </w:div>
                  </w:divsChild>
                </w:div>
                <w:div w:id="1679963662">
                  <w:marLeft w:val="0"/>
                  <w:marRight w:val="0"/>
                  <w:marTop w:val="0"/>
                  <w:marBottom w:val="0"/>
                  <w:divBdr>
                    <w:top w:val="none" w:sz="0" w:space="0" w:color="auto"/>
                    <w:left w:val="none" w:sz="0" w:space="0" w:color="auto"/>
                    <w:bottom w:val="none" w:sz="0" w:space="0" w:color="auto"/>
                    <w:right w:val="none" w:sz="0" w:space="0" w:color="auto"/>
                  </w:divBdr>
                  <w:divsChild>
                    <w:div w:id="620569685">
                      <w:marLeft w:val="0"/>
                      <w:marRight w:val="0"/>
                      <w:marTop w:val="0"/>
                      <w:marBottom w:val="0"/>
                      <w:divBdr>
                        <w:top w:val="none" w:sz="0" w:space="0" w:color="auto"/>
                        <w:left w:val="none" w:sz="0" w:space="0" w:color="auto"/>
                        <w:bottom w:val="none" w:sz="0" w:space="0" w:color="auto"/>
                        <w:right w:val="none" w:sz="0" w:space="0" w:color="auto"/>
                      </w:divBdr>
                    </w:div>
                  </w:divsChild>
                </w:div>
                <w:div w:id="1682775820">
                  <w:marLeft w:val="0"/>
                  <w:marRight w:val="0"/>
                  <w:marTop w:val="0"/>
                  <w:marBottom w:val="0"/>
                  <w:divBdr>
                    <w:top w:val="none" w:sz="0" w:space="0" w:color="auto"/>
                    <w:left w:val="none" w:sz="0" w:space="0" w:color="auto"/>
                    <w:bottom w:val="none" w:sz="0" w:space="0" w:color="auto"/>
                    <w:right w:val="none" w:sz="0" w:space="0" w:color="auto"/>
                  </w:divBdr>
                  <w:divsChild>
                    <w:div w:id="185559577">
                      <w:marLeft w:val="0"/>
                      <w:marRight w:val="0"/>
                      <w:marTop w:val="0"/>
                      <w:marBottom w:val="0"/>
                      <w:divBdr>
                        <w:top w:val="none" w:sz="0" w:space="0" w:color="auto"/>
                        <w:left w:val="none" w:sz="0" w:space="0" w:color="auto"/>
                        <w:bottom w:val="none" w:sz="0" w:space="0" w:color="auto"/>
                        <w:right w:val="none" w:sz="0" w:space="0" w:color="auto"/>
                      </w:divBdr>
                    </w:div>
                  </w:divsChild>
                </w:div>
                <w:div w:id="1701734547">
                  <w:marLeft w:val="0"/>
                  <w:marRight w:val="0"/>
                  <w:marTop w:val="0"/>
                  <w:marBottom w:val="0"/>
                  <w:divBdr>
                    <w:top w:val="none" w:sz="0" w:space="0" w:color="auto"/>
                    <w:left w:val="none" w:sz="0" w:space="0" w:color="auto"/>
                    <w:bottom w:val="none" w:sz="0" w:space="0" w:color="auto"/>
                    <w:right w:val="none" w:sz="0" w:space="0" w:color="auto"/>
                  </w:divBdr>
                  <w:divsChild>
                    <w:div w:id="1450321248">
                      <w:marLeft w:val="0"/>
                      <w:marRight w:val="0"/>
                      <w:marTop w:val="0"/>
                      <w:marBottom w:val="0"/>
                      <w:divBdr>
                        <w:top w:val="none" w:sz="0" w:space="0" w:color="auto"/>
                        <w:left w:val="none" w:sz="0" w:space="0" w:color="auto"/>
                        <w:bottom w:val="none" w:sz="0" w:space="0" w:color="auto"/>
                        <w:right w:val="none" w:sz="0" w:space="0" w:color="auto"/>
                      </w:divBdr>
                    </w:div>
                  </w:divsChild>
                </w:div>
                <w:div w:id="1737775816">
                  <w:marLeft w:val="0"/>
                  <w:marRight w:val="0"/>
                  <w:marTop w:val="0"/>
                  <w:marBottom w:val="0"/>
                  <w:divBdr>
                    <w:top w:val="none" w:sz="0" w:space="0" w:color="auto"/>
                    <w:left w:val="none" w:sz="0" w:space="0" w:color="auto"/>
                    <w:bottom w:val="none" w:sz="0" w:space="0" w:color="auto"/>
                    <w:right w:val="none" w:sz="0" w:space="0" w:color="auto"/>
                  </w:divBdr>
                  <w:divsChild>
                    <w:div w:id="669060473">
                      <w:marLeft w:val="0"/>
                      <w:marRight w:val="0"/>
                      <w:marTop w:val="0"/>
                      <w:marBottom w:val="0"/>
                      <w:divBdr>
                        <w:top w:val="none" w:sz="0" w:space="0" w:color="auto"/>
                        <w:left w:val="none" w:sz="0" w:space="0" w:color="auto"/>
                        <w:bottom w:val="none" w:sz="0" w:space="0" w:color="auto"/>
                        <w:right w:val="none" w:sz="0" w:space="0" w:color="auto"/>
                      </w:divBdr>
                    </w:div>
                  </w:divsChild>
                </w:div>
                <w:div w:id="1768185236">
                  <w:marLeft w:val="0"/>
                  <w:marRight w:val="0"/>
                  <w:marTop w:val="0"/>
                  <w:marBottom w:val="0"/>
                  <w:divBdr>
                    <w:top w:val="none" w:sz="0" w:space="0" w:color="auto"/>
                    <w:left w:val="none" w:sz="0" w:space="0" w:color="auto"/>
                    <w:bottom w:val="none" w:sz="0" w:space="0" w:color="auto"/>
                    <w:right w:val="none" w:sz="0" w:space="0" w:color="auto"/>
                  </w:divBdr>
                  <w:divsChild>
                    <w:div w:id="1597589982">
                      <w:marLeft w:val="0"/>
                      <w:marRight w:val="0"/>
                      <w:marTop w:val="0"/>
                      <w:marBottom w:val="0"/>
                      <w:divBdr>
                        <w:top w:val="none" w:sz="0" w:space="0" w:color="auto"/>
                        <w:left w:val="none" w:sz="0" w:space="0" w:color="auto"/>
                        <w:bottom w:val="none" w:sz="0" w:space="0" w:color="auto"/>
                        <w:right w:val="none" w:sz="0" w:space="0" w:color="auto"/>
                      </w:divBdr>
                    </w:div>
                  </w:divsChild>
                </w:div>
                <w:div w:id="1802265213">
                  <w:marLeft w:val="0"/>
                  <w:marRight w:val="0"/>
                  <w:marTop w:val="0"/>
                  <w:marBottom w:val="0"/>
                  <w:divBdr>
                    <w:top w:val="none" w:sz="0" w:space="0" w:color="auto"/>
                    <w:left w:val="none" w:sz="0" w:space="0" w:color="auto"/>
                    <w:bottom w:val="none" w:sz="0" w:space="0" w:color="auto"/>
                    <w:right w:val="none" w:sz="0" w:space="0" w:color="auto"/>
                  </w:divBdr>
                  <w:divsChild>
                    <w:div w:id="740058475">
                      <w:marLeft w:val="0"/>
                      <w:marRight w:val="0"/>
                      <w:marTop w:val="0"/>
                      <w:marBottom w:val="0"/>
                      <w:divBdr>
                        <w:top w:val="none" w:sz="0" w:space="0" w:color="auto"/>
                        <w:left w:val="none" w:sz="0" w:space="0" w:color="auto"/>
                        <w:bottom w:val="none" w:sz="0" w:space="0" w:color="auto"/>
                        <w:right w:val="none" w:sz="0" w:space="0" w:color="auto"/>
                      </w:divBdr>
                    </w:div>
                  </w:divsChild>
                </w:div>
                <w:div w:id="1866365790">
                  <w:marLeft w:val="0"/>
                  <w:marRight w:val="0"/>
                  <w:marTop w:val="0"/>
                  <w:marBottom w:val="0"/>
                  <w:divBdr>
                    <w:top w:val="none" w:sz="0" w:space="0" w:color="auto"/>
                    <w:left w:val="none" w:sz="0" w:space="0" w:color="auto"/>
                    <w:bottom w:val="none" w:sz="0" w:space="0" w:color="auto"/>
                    <w:right w:val="none" w:sz="0" w:space="0" w:color="auto"/>
                  </w:divBdr>
                  <w:divsChild>
                    <w:div w:id="206335814">
                      <w:marLeft w:val="0"/>
                      <w:marRight w:val="0"/>
                      <w:marTop w:val="0"/>
                      <w:marBottom w:val="0"/>
                      <w:divBdr>
                        <w:top w:val="none" w:sz="0" w:space="0" w:color="auto"/>
                        <w:left w:val="none" w:sz="0" w:space="0" w:color="auto"/>
                        <w:bottom w:val="none" w:sz="0" w:space="0" w:color="auto"/>
                        <w:right w:val="none" w:sz="0" w:space="0" w:color="auto"/>
                      </w:divBdr>
                    </w:div>
                  </w:divsChild>
                </w:div>
                <w:div w:id="1889300613">
                  <w:marLeft w:val="0"/>
                  <w:marRight w:val="0"/>
                  <w:marTop w:val="0"/>
                  <w:marBottom w:val="0"/>
                  <w:divBdr>
                    <w:top w:val="none" w:sz="0" w:space="0" w:color="auto"/>
                    <w:left w:val="none" w:sz="0" w:space="0" w:color="auto"/>
                    <w:bottom w:val="none" w:sz="0" w:space="0" w:color="auto"/>
                    <w:right w:val="none" w:sz="0" w:space="0" w:color="auto"/>
                  </w:divBdr>
                  <w:divsChild>
                    <w:div w:id="1675912912">
                      <w:marLeft w:val="0"/>
                      <w:marRight w:val="0"/>
                      <w:marTop w:val="0"/>
                      <w:marBottom w:val="0"/>
                      <w:divBdr>
                        <w:top w:val="none" w:sz="0" w:space="0" w:color="auto"/>
                        <w:left w:val="none" w:sz="0" w:space="0" w:color="auto"/>
                        <w:bottom w:val="none" w:sz="0" w:space="0" w:color="auto"/>
                        <w:right w:val="none" w:sz="0" w:space="0" w:color="auto"/>
                      </w:divBdr>
                    </w:div>
                  </w:divsChild>
                </w:div>
                <w:div w:id="1891644532">
                  <w:marLeft w:val="0"/>
                  <w:marRight w:val="0"/>
                  <w:marTop w:val="0"/>
                  <w:marBottom w:val="0"/>
                  <w:divBdr>
                    <w:top w:val="none" w:sz="0" w:space="0" w:color="auto"/>
                    <w:left w:val="none" w:sz="0" w:space="0" w:color="auto"/>
                    <w:bottom w:val="none" w:sz="0" w:space="0" w:color="auto"/>
                    <w:right w:val="none" w:sz="0" w:space="0" w:color="auto"/>
                  </w:divBdr>
                  <w:divsChild>
                    <w:div w:id="1340041266">
                      <w:marLeft w:val="0"/>
                      <w:marRight w:val="0"/>
                      <w:marTop w:val="0"/>
                      <w:marBottom w:val="0"/>
                      <w:divBdr>
                        <w:top w:val="none" w:sz="0" w:space="0" w:color="auto"/>
                        <w:left w:val="none" w:sz="0" w:space="0" w:color="auto"/>
                        <w:bottom w:val="none" w:sz="0" w:space="0" w:color="auto"/>
                        <w:right w:val="none" w:sz="0" w:space="0" w:color="auto"/>
                      </w:divBdr>
                    </w:div>
                  </w:divsChild>
                </w:div>
                <w:div w:id="1957909298">
                  <w:marLeft w:val="0"/>
                  <w:marRight w:val="0"/>
                  <w:marTop w:val="0"/>
                  <w:marBottom w:val="0"/>
                  <w:divBdr>
                    <w:top w:val="none" w:sz="0" w:space="0" w:color="auto"/>
                    <w:left w:val="none" w:sz="0" w:space="0" w:color="auto"/>
                    <w:bottom w:val="none" w:sz="0" w:space="0" w:color="auto"/>
                    <w:right w:val="none" w:sz="0" w:space="0" w:color="auto"/>
                  </w:divBdr>
                  <w:divsChild>
                    <w:div w:id="1431002428">
                      <w:marLeft w:val="0"/>
                      <w:marRight w:val="0"/>
                      <w:marTop w:val="0"/>
                      <w:marBottom w:val="0"/>
                      <w:divBdr>
                        <w:top w:val="none" w:sz="0" w:space="0" w:color="auto"/>
                        <w:left w:val="none" w:sz="0" w:space="0" w:color="auto"/>
                        <w:bottom w:val="none" w:sz="0" w:space="0" w:color="auto"/>
                        <w:right w:val="none" w:sz="0" w:space="0" w:color="auto"/>
                      </w:divBdr>
                    </w:div>
                  </w:divsChild>
                </w:div>
                <w:div w:id="1980189552">
                  <w:marLeft w:val="0"/>
                  <w:marRight w:val="0"/>
                  <w:marTop w:val="0"/>
                  <w:marBottom w:val="0"/>
                  <w:divBdr>
                    <w:top w:val="none" w:sz="0" w:space="0" w:color="auto"/>
                    <w:left w:val="none" w:sz="0" w:space="0" w:color="auto"/>
                    <w:bottom w:val="none" w:sz="0" w:space="0" w:color="auto"/>
                    <w:right w:val="none" w:sz="0" w:space="0" w:color="auto"/>
                  </w:divBdr>
                  <w:divsChild>
                    <w:div w:id="1453867432">
                      <w:marLeft w:val="0"/>
                      <w:marRight w:val="0"/>
                      <w:marTop w:val="0"/>
                      <w:marBottom w:val="0"/>
                      <w:divBdr>
                        <w:top w:val="none" w:sz="0" w:space="0" w:color="auto"/>
                        <w:left w:val="none" w:sz="0" w:space="0" w:color="auto"/>
                        <w:bottom w:val="none" w:sz="0" w:space="0" w:color="auto"/>
                        <w:right w:val="none" w:sz="0" w:space="0" w:color="auto"/>
                      </w:divBdr>
                    </w:div>
                  </w:divsChild>
                </w:div>
                <w:div w:id="2027169335">
                  <w:marLeft w:val="0"/>
                  <w:marRight w:val="0"/>
                  <w:marTop w:val="0"/>
                  <w:marBottom w:val="0"/>
                  <w:divBdr>
                    <w:top w:val="none" w:sz="0" w:space="0" w:color="auto"/>
                    <w:left w:val="none" w:sz="0" w:space="0" w:color="auto"/>
                    <w:bottom w:val="none" w:sz="0" w:space="0" w:color="auto"/>
                    <w:right w:val="none" w:sz="0" w:space="0" w:color="auto"/>
                  </w:divBdr>
                  <w:divsChild>
                    <w:div w:id="307130329">
                      <w:marLeft w:val="0"/>
                      <w:marRight w:val="0"/>
                      <w:marTop w:val="0"/>
                      <w:marBottom w:val="0"/>
                      <w:divBdr>
                        <w:top w:val="none" w:sz="0" w:space="0" w:color="auto"/>
                        <w:left w:val="none" w:sz="0" w:space="0" w:color="auto"/>
                        <w:bottom w:val="none" w:sz="0" w:space="0" w:color="auto"/>
                        <w:right w:val="none" w:sz="0" w:space="0" w:color="auto"/>
                      </w:divBdr>
                    </w:div>
                  </w:divsChild>
                </w:div>
                <w:div w:id="2068644477">
                  <w:marLeft w:val="0"/>
                  <w:marRight w:val="0"/>
                  <w:marTop w:val="0"/>
                  <w:marBottom w:val="0"/>
                  <w:divBdr>
                    <w:top w:val="none" w:sz="0" w:space="0" w:color="auto"/>
                    <w:left w:val="none" w:sz="0" w:space="0" w:color="auto"/>
                    <w:bottom w:val="none" w:sz="0" w:space="0" w:color="auto"/>
                    <w:right w:val="none" w:sz="0" w:space="0" w:color="auto"/>
                  </w:divBdr>
                  <w:divsChild>
                    <w:div w:id="847016107">
                      <w:marLeft w:val="0"/>
                      <w:marRight w:val="0"/>
                      <w:marTop w:val="0"/>
                      <w:marBottom w:val="0"/>
                      <w:divBdr>
                        <w:top w:val="none" w:sz="0" w:space="0" w:color="auto"/>
                        <w:left w:val="none" w:sz="0" w:space="0" w:color="auto"/>
                        <w:bottom w:val="none" w:sz="0" w:space="0" w:color="auto"/>
                        <w:right w:val="none" w:sz="0" w:space="0" w:color="auto"/>
                      </w:divBdr>
                    </w:div>
                  </w:divsChild>
                </w:div>
                <w:div w:id="2074547238">
                  <w:marLeft w:val="0"/>
                  <w:marRight w:val="0"/>
                  <w:marTop w:val="0"/>
                  <w:marBottom w:val="0"/>
                  <w:divBdr>
                    <w:top w:val="none" w:sz="0" w:space="0" w:color="auto"/>
                    <w:left w:val="none" w:sz="0" w:space="0" w:color="auto"/>
                    <w:bottom w:val="none" w:sz="0" w:space="0" w:color="auto"/>
                    <w:right w:val="none" w:sz="0" w:space="0" w:color="auto"/>
                  </w:divBdr>
                  <w:divsChild>
                    <w:div w:id="1338146124">
                      <w:marLeft w:val="0"/>
                      <w:marRight w:val="0"/>
                      <w:marTop w:val="0"/>
                      <w:marBottom w:val="0"/>
                      <w:divBdr>
                        <w:top w:val="none" w:sz="0" w:space="0" w:color="auto"/>
                        <w:left w:val="none" w:sz="0" w:space="0" w:color="auto"/>
                        <w:bottom w:val="none" w:sz="0" w:space="0" w:color="auto"/>
                        <w:right w:val="none" w:sz="0" w:space="0" w:color="auto"/>
                      </w:divBdr>
                    </w:div>
                  </w:divsChild>
                </w:div>
                <w:div w:id="2082173667">
                  <w:marLeft w:val="0"/>
                  <w:marRight w:val="0"/>
                  <w:marTop w:val="0"/>
                  <w:marBottom w:val="0"/>
                  <w:divBdr>
                    <w:top w:val="none" w:sz="0" w:space="0" w:color="auto"/>
                    <w:left w:val="none" w:sz="0" w:space="0" w:color="auto"/>
                    <w:bottom w:val="none" w:sz="0" w:space="0" w:color="auto"/>
                    <w:right w:val="none" w:sz="0" w:space="0" w:color="auto"/>
                  </w:divBdr>
                  <w:divsChild>
                    <w:div w:id="1637375453">
                      <w:marLeft w:val="0"/>
                      <w:marRight w:val="0"/>
                      <w:marTop w:val="0"/>
                      <w:marBottom w:val="0"/>
                      <w:divBdr>
                        <w:top w:val="none" w:sz="0" w:space="0" w:color="auto"/>
                        <w:left w:val="none" w:sz="0" w:space="0" w:color="auto"/>
                        <w:bottom w:val="none" w:sz="0" w:space="0" w:color="auto"/>
                        <w:right w:val="none" w:sz="0" w:space="0" w:color="auto"/>
                      </w:divBdr>
                    </w:div>
                  </w:divsChild>
                </w:div>
                <w:div w:id="2086762682">
                  <w:marLeft w:val="0"/>
                  <w:marRight w:val="0"/>
                  <w:marTop w:val="0"/>
                  <w:marBottom w:val="0"/>
                  <w:divBdr>
                    <w:top w:val="none" w:sz="0" w:space="0" w:color="auto"/>
                    <w:left w:val="none" w:sz="0" w:space="0" w:color="auto"/>
                    <w:bottom w:val="none" w:sz="0" w:space="0" w:color="auto"/>
                    <w:right w:val="none" w:sz="0" w:space="0" w:color="auto"/>
                  </w:divBdr>
                  <w:divsChild>
                    <w:div w:id="1234052028">
                      <w:marLeft w:val="0"/>
                      <w:marRight w:val="0"/>
                      <w:marTop w:val="0"/>
                      <w:marBottom w:val="0"/>
                      <w:divBdr>
                        <w:top w:val="none" w:sz="0" w:space="0" w:color="auto"/>
                        <w:left w:val="none" w:sz="0" w:space="0" w:color="auto"/>
                        <w:bottom w:val="none" w:sz="0" w:space="0" w:color="auto"/>
                        <w:right w:val="none" w:sz="0" w:space="0" w:color="auto"/>
                      </w:divBdr>
                    </w:div>
                  </w:divsChild>
                </w:div>
                <w:div w:id="2097818318">
                  <w:marLeft w:val="0"/>
                  <w:marRight w:val="0"/>
                  <w:marTop w:val="0"/>
                  <w:marBottom w:val="0"/>
                  <w:divBdr>
                    <w:top w:val="none" w:sz="0" w:space="0" w:color="auto"/>
                    <w:left w:val="none" w:sz="0" w:space="0" w:color="auto"/>
                    <w:bottom w:val="none" w:sz="0" w:space="0" w:color="auto"/>
                    <w:right w:val="none" w:sz="0" w:space="0" w:color="auto"/>
                  </w:divBdr>
                  <w:divsChild>
                    <w:div w:id="1091319685">
                      <w:marLeft w:val="0"/>
                      <w:marRight w:val="0"/>
                      <w:marTop w:val="0"/>
                      <w:marBottom w:val="0"/>
                      <w:divBdr>
                        <w:top w:val="none" w:sz="0" w:space="0" w:color="auto"/>
                        <w:left w:val="none" w:sz="0" w:space="0" w:color="auto"/>
                        <w:bottom w:val="none" w:sz="0" w:space="0" w:color="auto"/>
                        <w:right w:val="none" w:sz="0" w:space="0" w:color="auto"/>
                      </w:divBdr>
                    </w:div>
                  </w:divsChild>
                </w:div>
                <w:div w:id="2103330436">
                  <w:marLeft w:val="0"/>
                  <w:marRight w:val="0"/>
                  <w:marTop w:val="0"/>
                  <w:marBottom w:val="0"/>
                  <w:divBdr>
                    <w:top w:val="none" w:sz="0" w:space="0" w:color="auto"/>
                    <w:left w:val="none" w:sz="0" w:space="0" w:color="auto"/>
                    <w:bottom w:val="none" w:sz="0" w:space="0" w:color="auto"/>
                    <w:right w:val="none" w:sz="0" w:space="0" w:color="auto"/>
                  </w:divBdr>
                  <w:divsChild>
                    <w:div w:id="1075397503">
                      <w:marLeft w:val="0"/>
                      <w:marRight w:val="0"/>
                      <w:marTop w:val="0"/>
                      <w:marBottom w:val="0"/>
                      <w:divBdr>
                        <w:top w:val="none" w:sz="0" w:space="0" w:color="auto"/>
                        <w:left w:val="none" w:sz="0" w:space="0" w:color="auto"/>
                        <w:bottom w:val="none" w:sz="0" w:space="0" w:color="auto"/>
                        <w:right w:val="none" w:sz="0" w:space="0" w:color="auto"/>
                      </w:divBdr>
                    </w:div>
                  </w:divsChild>
                </w:div>
                <w:div w:id="2111731001">
                  <w:marLeft w:val="0"/>
                  <w:marRight w:val="0"/>
                  <w:marTop w:val="0"/>
                  <w:marBottom w:val="0"/>
                  <w:divBdr>
                    <w:top w:val="none" w:sz="0" w:space="0" w:color="auto"/>
                    <w:left w:val="none" w:sz="0" w:space="0" w:color="auto"/>
                    <w:bottom w:val="none" w:sz="0" w:space="0" w:color="auto"/>
                    <w:right w:val="none" w:sz="0" w:space="0" w:color="auto"/>
                  </w:divBdr>
                  <w:divsChild>
                    <w:div w:id="326204661">
                      <w:marLeft w:val="0"/>
                      <w:marRight w:val="0"/>
                      <w:marTop w:val="0"/>
                      <w:marBottom w:val="0"/>
                      <w:divBdr>
                        <w:top w:val="none" w:sz="0" w:space="0" w:color="auto"/>
                        <w:left w:val="none" w:sz="0" w:space="0" w:color="auto"/>
                        <w:bottom w:val="none" w:sz="0" w:space="0" w:color="auto"/>
                        <w:right w:val="none" w:sz="0" w:space="0" w:color="auto"/>
                      </w:divBdr>
                    </w:div>
                  </w:divsChild>
                </w:div>
                <w:div w:id="2129737596">
                  <w:marLeft w:val="0"/>
                  <w:marRight w:val="0"/>
                  <w:marTop w:val="0"/>
                  <w:marBottom w:val="0"/>
                  <w:divBdr>
                    <w:top w:val="none" w:sz="0" w:space="0" w:color="auto"/>
                    <w:left w:val="none" w:sz="0" w:space="0" w:color="auto"/>
                    <w:bottom w:val="none" w:sz="0" w:space="0" w:color="auto"/>
                    <w:right w:val="none" w:sz="0" w:space="0" w:color="auto"/>
                  </w:divBdr>
                  <w:divsChild>
                    <w:div w:id="1676415668">
                      <w:marLeft w:val="0"/>
                      <w:marRight w:val="0"/>
                      <w:marTop w:val="0"/>
                      <w:marBottom w:val="0"/>
                      <w:divBdr>
                        <w:top w:val="none" w:sz="0" w:space="0" w:color="auto"/>
                        <w:left w:val="none" w:sz="0" w:space="0" w:color="auto"/>
                        <w:bottom w:val="none" w:sz="0" w:space="0" w:color="auto"/>
                        <w:right w:val="none" w:sz="0" w:space="0" w:color="auto"/>
                      </w:divBdr>
                    </w:div>
                  </w:divsChild>
                </w:div>
                <w:div w:id="2134521517">
                  <w:marLeft w:val="0"/>
                  <w:marRight w:val="0"/>
                  <w:marTop w:val="0"/>
                  <w:marBottom w:val="0"/>
                  <w:divBdr>
                    <w:top w:val="none" w:sz="0" w:space="0" w:color="auto"/>
                    <w:left w:val="none" w:sz="0" w:space="0" w:color="auto"/>
                    <w:bottom w:val="none" w:sz="0" w:space="0" w:color="auto"/>
                    <w:right w:val="none" w:sz="0" w:space="0" w:color="auto"/>
                  </w:divBdr>
                  <w:divsChild>
                    <w:div w:id="1039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9828">
      <w:bodyDiv w:val="1"/>
      <w:marLeft w:val="0"/>
      <w:marRight w:val="0"/>
      <w:marTop w:val="0"/>
      <w:marBottom w:val="0"/>
      <w:divBdr>
        <w:top w:val="none" w:sz="0" w:space="0" w:color="auto"/>
        <w:left w:val="none" w:sz="0" w:space="0" w:color="auto"/>
        <w:bottom w:val="none" w:sz="0" w:space="0" w:color="auto"/>
        <w:right w:val="none" w:sz="0" w:space="0" w:color="auto"/>
      </w:divBdr>
    </w:div>
    <w:div w:id="1744765474">
      <w:bodyDiv w:val="1"/>
      <w:marLeft w:val="0"/>
      <w:marRight w:val="0"/>
      <w:marTop w:val="0"/>
      <w:marBottom w:val="0"/>
      <w:divBdr>
        <w:top w:val="none" w:sz="0" w:space="0" w:color="auto"/>
        <w:left w:val="none" w:sz="0" w:space="0" w:color="auto"/>
        <w:bottom w:val="none" w:sz="0" w:space="0" w:color="auto"/>
        <w:right w:val="none" w:sz="0" w:space="0" w:color="auto"/>
      </w:divBdr>
      <w:divsChild>
        <w:div w:id="888616663">
          <w:marLeft w:val="0"/>
          <w:marRight w:val="0"/>
          <w:marTop w:val="0"/>
          <w:marBottom w:val="0"/>
          <w:divBdr>
            <w:top w:val="none" w:sz="0" w:space="0" w:color="auto"/>
            <w:left w:val="none" w:sz="0" w:space="0" w:color="auto"/>
            <w:bottom w:val="none" w:sz="0" w:space="0" w:color="auto"/>
            <w:right w:val="none" w:sz="0" w:space="0" w:color="auto"/>
          </w:divBdr>
        </w:div>
        <w:div w:id="1245996067">
          <w:marLeft w:val="0"/>
          <w:marRight w:val="0"/>
          <w:marTop w:val="0"/>
          <w:marBottom w:val="0"/>
          <w:divBdr>
            <w:top w:val="none" w:sz="0" w:space="0" w:color="auto"/>
            <w:left w:val="none" w:sz="0" w:space="0" w:color="auto"/>
            <w:bottom w:val="none" w:sz="0" w:space="0" w:color="auto"/>
            <w:right w:val="none" w:sz="0" w:space="0" w:color="auto"/>
          </w:divBdr>
        </w:div>
      </w:divsChild>
    </w:div>
    <w:div w:id="1765955302">
      <w:bodyDiv w:val="1"/>
      <w:marLeft w:val="0"/>
      <w:marRight w:val="0"/>
      <w:marTop w:val="0"/>
      <w:marBottom w:val="0"/>
      <w:divBdr>
        <w:top w:val="none" w:sz="0" w:space="0" w:color="auto"/>
        <w:left w:val="none" w:sz="0" w:space="0" w:color="auto"/>
        <w:bottom w:val="none" w:sz="0" w:space="0" w:color="auto"/>
        <w:right w:val="none" w:sz="0" w:space="0" w:color="auto"/>
      </w:divBdr>
      <w:divsChild>
        <w:div w:id="538929742">
          <w:marLeft w:val="0"/>
          <w:marRight w:val="0"/>
          <w:marTop w:val="0"/>
          <w:marBottom w:val="0"/>
          <w:divBdr>
            <w:top w:val="none" w:sz="0" w:space="0" w:color="auto"/>
            <w:left w:val="none" w:sz="0" w:space="0" w:color="auto"/>
            <w:bottom w:val="none" w:sz="0" w:space="0" w:color="auto"/>
            <w:right w:val="none" w:sz="0" w:space="0" w:color="auto"/>
          </w:divBdr>
        </w:div>
        <w:div w:id="1917006464">
          <w:marLeft w:val="0"/>
          <w:marRight w:val="0"/>
          <w:marTop w:val="0"/>
          <w:marBottom w:val="0"/>
          <w:divBdr>
            <w:top w:val="none" w:sz="0" w:space="0" w:color="auto"/>
            <w:left w:val="none" w:sz="0" w:space="0" w:color="auto"/>
            <w:bottom w:val="none" w:sz="0" w:space="0" w:color="auto"/>
            <w:right w:val="none" w:sz="0" w:space="0" w:color="auto"/>
          </w:divBdr>
          <w:divsChild>
            <w:div w:id="148181860">
              <w:marLeft w:val="-75"/>
              <w:marRight w:val="0"/>
              <w:marTop w:val="30"/>
              <w:marBottom w:val="30"/>
              <w:divBdr>
                <w:top w:val="none" w:sz="0" w:space="0" w:color="auto"/>
                <w:left w:val="none" w:sz="0" w:space="0" w:color="auto"/>
                <w:bottom w:val="none" w:sz="0" w:space="0" w:color="auto"/>
                <w:right w:val="none" w:sz="0" w:space="0" w:color="auto"/>
              </w:divBdr>
              <w:divsChild>
                <w:div w:id="87586176">
                  <w:marLeft w:val="0"/>
                  <w:marRight w:val="0"/>
                  <w:marTop w:val="0"/>
                  <w:marBottom w:val="0"/>
                  <w:divBdr>
                    <w:top w:val="none" w:sz="0" w:space="0" w:color="auto"/>
                    <w:left w:val="none" w:sz="0" w:space="0" w:color="auto"/>
                    <w:bottom w:val="none" w:sz="0" w:space="0" w:color="auto"/>
                    <w:right w:val="none" w:sz="0" w:space="0" w:color="auto"/>
                  </w:divBdr>
                  <w:divsChild>
                    <w:div w:id="588925247">
                      <w:marLeft w:val="0"/>
                      <w:marRight w:val="0"/>
                      <w:marTop w:val="0"/>
                      <w:marBottom w:val="0"/>
                      <w:divBdr>
                        <w:top w:val="none" w:sz="0" w:space="0" w:color="auto"/>
                        <w:left w:val="none" w:sz="0" w:space="0" w:color="auto"/>
                        <w:bottom w:val="none" w:sz="0" w:space="0" w:color="auto"/>
                        <w:right w:val="none" w:sz="0" w:space="0" w:color="auto"/>
                      </w:divBdr>
                    </w:div>
                  </w:divsChild>
                </w:div>
                <w:div w:id="117799588">
                  <w:marLeft w:val="0"/>
                  <w:marRight w:val="0"/>
                  <w:marTop w:val="0"/>
                  <w:marBottom w:val="0"/>
                  <w:divBdr>
                    <w:top w:val="none" w:sz="0" w:space="0" w:color="auto"/>
                    <w:left w:val="none" w:sz="0" w:space="0" w:color="auto"/>
                    <w:bottom w:val="none" w:sz="0" w:space="0" w:color="auto"/>
                    <w:right w:val="none" w:sz="0" w:space="0" w:color="auto"/>
                  </w:divBdr>
                  <w:divsChild>
                    <w:div w:id="1704011465">
                      <w:marLeft w:val="0"/>
                      <w:marRight w:val="0"/>
                      <w:marTop w:val="0"/>
                      <w:marBottom w:val="0"/>
                      <w:divBdr>
                        <w:top w:val="none" w:sz="0" w:space="0" w:color="auto"/>
                        <w:left w:val="none" w:sz="0" w:space="0" w:color="auto"/>
                        <w:bottom w:val="none" w:sz="0" w:space="0" w:color="auto"/>
                        <w:right w:val="none" w:sz="0" w:space="0" w:color="auto"/>
                      </w:divBdr>
                    </w:div>
                  </w:divsChild>
                </w:div>
                <w:div w:id="202863776">
                  <w:marLeft w:val="0"/>
                  <w:marRight w:val="0"/>
                  <w:marTop w:val="0"/>
                  <w:marBottom w:val="0"/>
                  <w:divBdr>
                    <w:top w:val="none" w:sz="0" w:space="0" w:color="auto"/>
                    <w:left w:val="none" w:sz="0" w:space="0" w:color="auto"/>
                    <w:bottom w:val="none" w:sz="0" w:space="0" w:color="auto"/>
                    <w:right w:val="none" w:sz="0" w:space="0" w:color="auto"/>
                  </w:divBdr>
                  <w:divsChild>
                    <w:div w:id="1697849570">
                      <w:marLeft w:val="0"/>
                      <w:marRight w:val="0"/>
                      <w:marTop w:val="0"/>
                      <w:marBottom w:val="0"/>
                      <w:divBdr>
                        <w:top w:val="none" w:sz="0" w:space="0" w:color="auto"/>
                        <w:left w:val="none" w:sz="0" w:space="0" w:color="auto"/>
                        <w:bottom w:val="none" w:sz="0" w:space="0" w:color="auto"/>
                        <w:right w:val="none" w:sz="0" w:space="0" w:color="auto"/>
                      </w:divBdr>
                    </w:div>
                  </w:divsChild>
                </w:div>
                <w:div w:id="257568649">
                  <w:marLeft w:val="0"/>
                  <w:marRight w:val="0"/>
                  <w:marTop w:val="0"/>
                  <w:marBottom w:val="0"/>
                  <w:divBdr>
                    <w:top w:val="none" w:sz="0" w:space="0" w:color="auto"/>
                    <w:left w:val="none" w:sz="0" w:space="0" w:color="auto"/>
                    <w:bottom w:val="none" w:sz="0" w:space="0" w:color="auto"/>
                    <w:right w:val="none" w:sz="0" w:space="0" w:color="auto"/>
                  </w:divBdr>
                  <w:divsChild>
                    <w:div w:id="1818834965">
                      <w:marLeft w:val="0"/>
                      <w:marRight w:val="0"/>
                      <w:marTop w:val="0"/>
                      <w:marBottom w:val="0"/>
                      <w:divBdr>
                        <w:top w:val="none" w:sz="0" w:space="0" w:color="auto"/>
                        <w:left w:val="none" w:sz="0" w:space="0" w:color="auto"/>
                        <w:bottom w:val="none" w:sz="0" w:space="0" w:color="auto"/>
                        <w:right w:val="none" w:sz="0" w:space="0" w:color="auto"/>
                      </w:divBdr>
                    </w:div>
                  </w:divsChild>
                </w:div>
                <w:div w:id="264846606">
                  <w:marLeft w:val="0"/>
                  <w:marRight w:val="0"/>
                  <w:marTop w:val="0"/>
                  <w:marBottom w:val="0"/>
                  <w:divBdr>
                    <w:top w:val="none" w:sz="0" w:space="0" w:color="auto"/>
                    <w:left w:val="none" w:sz="0" w:space="0" w:color="auto"/>
                    <w:bottom w:val="none" w:sz="0" w:space="0" w:color="auto"/>
                    <w:right w:val="none" w:sz="0" w:space="0" w:color="auto"/>
                  </w:divBdr>
                  <w:divsChild>
                    <w:div w:id="1780683664">
                      <w:marLeft w:val="0"/>
                      <w:marRight w:val="0"/>
                      <w:marTop w:val="0"/>
                      <w:marBottom w:val="0"/>
                      <w:divBdr>
                        <w:top w:val="none" w:sz="0" w:space="0" w:color="auto"/>
                        <w:left w:val="none" w:sz="0" w:space="0" w:color="auto"/>
                        <w:bottom w:val="none" w:sz="0" w:space="0" w:color="auto"/>
                        <w:right w:val="none" w:sz="0" w:space="0" w:color="auto"/>
                      </w:divBdr>
                    </w:div>
                  </w:divsChild>
                </w:div>
                <w:div w:id="281036346">
                  <w:marLeft w:val="0"/>
                  <w:marRight w:val="0"/>
                  <w:marTop w:val="0"/>
                  <w:marBottom w:val="0"/>
                  <w:divBdr>
                    <w:top w:val="none" w:sz="0" w:space="0" w:color="auto"/>
                    <w:left w:val="none" w:sz="0" w:space="0" w:color="auto"/>
                    <w:bottom w:val="none" w:sz="0" w:space="0" w:color="auto"/>
                    <w:right w:val="none" w:sz="0" w:space="0" w:color="auto"/>
                  </w:divBdr>
                  <w:divsChild>
                    <w:div w:id="1366827511">
                      <w:marLeft w:val="0"/>
                      <w:marRight w:val="0"/>
                      <w:marTop w:val="0"/>
                      <w:marBottom w:val="0"/>
                      <w:divBdr>
                        <w:top w:val="none" w:sz="0" w:space="0" w:color="auto"/>
                        <w:left w:val="none" w:sz="0" w:space="0" w:color="auto"/>
                        <w:bottom w:val="none" w:sz="0" w:space="0" w:color="auto"/>
                        <w:right w:val="none" w:sz="0" w:space="0" w:color="auto"/>
                      </w:divBdr>
                    </w:div>
                  </w:divsChild>
                </w:div>
                <w:div w:id="293409054">
                  <w:marLeft w:val="0"/>
                  <w:marRight w:val="0"/>
                  <w:marTop w:val="0"/>
                  <w:marBottom w:val="0"/>
                  <w:divBdr>
                    <w:top w:val="none" w:sz="0" w:space="0" w:color="auto"/>
                    <w:left w:val="none" w:sz="0" w:space="0" w:color="auto"/>
                    <w:bottom w:val="none" w:sz="0" w:space="0" w:color="auto"/>
                    <w:right w:val="none" w:sz="0" w:space="0" w:color="auto"/>
                  </w:divBdr>
                  <w:divsChild>
                    <w:div w:id="633485236">
                      <w:marLeft w:val="0"/>
                      <w:marRight w:val="0"/>
                      <w:marTop w:val="0"/>
                      <w:marBottom w:val="0"/>
                      <w:divBdr>
                        <w:top w:val="none" w:sz="0" w:space="0" w:color="auto"/>
                        <w:left w:val="none" w:sz="0" w:space="0" w:color="auto"/>
                        <w:bottom w:val="none" w:sz="0" w:space="0" w:color="auto"/>
                        <w:right w:val="none" w:sz="0" w:space="0" w:color="auto"/>
                      </w:divBdr>
                    </w:div>
                  </w:divsChild>
                </w:div>
                <w:div w:id="294530817">
                  <w:marLeft w:val="0"/>
                  <w:marRight w:val="0"/>
                  <w:marTop w:val="0"/>
                  <w:marBottom w:val="0"/>
                  <w:divBdr>
                    <w:top w:val="none" w:sz="0" w:space="0" w:color="auto"/>
                    <w:left w:val="none" w:sz="0" w:space="0" w:color="auto"/>
                    <w:bottom w:val="none" w:sz="0" w:space="0" w:color="auto"/>
                    <w:right w:val="none" w:sz="0" w:space="0" w:color="auto"/>
                  </w:divBdr>
                  <w:divsChild>
                    <w:div w:id="918056441">
                      <w:marLeft w:val="0"/>
                      <w:marRight w:val="0"/>
                      <w:marTop w:val="0"/>
                      <w:marBottom w:val="0"/>
                      <w:divBdr>
                        <w:top w:val="none" w:sz="0" w:space="0" w:color="auto"/>
                        <w:left w:val="none" w:sz="0" w:space="0" w:color="auto"/>
                        <w:bottom w:val="none" w:sz="0" w:space="0" w:color="auto"/>
                        <w:right w:val="none" w:sz="0" w:space="0" w:color="auto"/>
                      </w:divBdr>
                    </w:div>
                  </w:divsChild>
                </w:div>
                <w:div w:id="371461465">
                  <w:marLeft w:val="0"/>
                  <w:marRight w:val="0"/>
                  <w:marTop w:val="0"/>
                  <w:marBottom w:val="0"/>
                  <w:divBdr>
                    <w:top w:val="none" w:sz="0" w:space="0" w:color="auto"/>
                    <w:left w:val="none" w:sz="0" w:space="0" w:color="auto"/>
                    <w:bottom w:val="none" w:sz="0" w:space="0" w:color="auto"/>
                    <w:right w:val="none" w:sz="0" w:space="0" w:color="auto"/>
                  </w:divBdr>
                  <w:divsChild>
                    <w:div w:id="152794614">
                      <w:marLeft w:val="0"/>
                      <w:marRight w:val="0"/>
                      <w:marTop w:val="0"/>
                      <w:marBottom w:val="0"/>
                      <w:divBdr>
                        <w:top w:val="none" w:sz="0" w:space="0" w:color="auto"/>
                        <w:left w:val="none" w:sz="0" w:space="0" w:color="auto"/>
                        <w:bottom w:val="none" w:sz="0" w:space="0" w:color="auto"/>
                        <w:right w:val="none" w:sz="0" w:space="0" w:color="auto"/>
                      </w:divBdr>
                    </w:div>
                  </w:divsChild>
                </w:div>
                <w:div w:id="404379753">
                  <w:marLeft w:val="0"/>
                  <w:marRight w:val="0"/>
                  <w:marTop w:val="0"/>
                  <w:marBottom w:val="0"/>
                  <w:divBdr>
                    <w:top w:val="none" w:sz="0" w:space="0" w:color="auto"/>
                    <w:left w:val="none" w:sz="0" w:space="0" w:color="auto"/>
                    <w:bottom w:val="none" w:sz="0" w:space="0" w:color="auto"/>
                    <w:right w:val="none" w:sz="0" w:space="0" w:color="auto"/>
                  </w:divBdr>
                  <w:divsChild>
                    <w:div w:id="1337418759">
                      <w:marLeft w:val="0"/>
                      <w:marRight w:val="0"/>
                      <w:marTop w:val="0"/>
                      <w:marBottom w:val="0"/>
                      <w:divBdr>
                        <w:top w:val="none" w:sz="0" w:space="0" w:color="auto"/>
                        <w:left w:val="none" w:sz="0" w:space="0" w:color="auto"/>
                        <w:bottom w:val="none" w:sz="0" w:space="0" w:color="auto"/>
                        <w:right w:val="none" w:sz="0" w:space="0" w:color="auto"/>
                      </w:divBdr>
                    </w:div>
                  </w:divsChild>
                </w:div>
                <w:div w:id="439034798">
                  <w:marLeft w:val="0"/>
                  <w:marRight w:val="0"/>
                  <w:marTop w:val="0"/>
                  <w:marBottom w:val="0"/>
                  <w:divBdr>
                    <w:top w:val="none" w:sz="0" w:space="0" w:color="auto"/>
                    <w:left w:val="none" w:sz="0" w:space="0" w:color="auto"/>
                    <w:bottom w:val="none" w:sz="0" w:space="0" w:color="auto"/>
                    <w:right w:val="none" w:sz="0" w:space="0" w:color="auto"/>
                  </w:divBdr>
                  <w:divsChild>
                    <w:div w:id="1095320324">
                      <w:marLeft w:val="0"/>
                      <w:marRight w:val="0"/>
                      <w:marTop w:val="0"/>
                      <w:marBottom w:val="0"/>
                      <w:divBdr>
                        <w:top w:val="none" w:sz="0" w:space="0" w:color="auto"/>
                        <w:left w:val="none" w:sz="0" w:space="0" w:color="auto"/>
                        <w:bottom w:val="none" w:sz="0" w:space="0" w:color="auto"/>
                        <w:right w:val="none" w:sz="0" w:space="0" w:color="auto"/>
                      </w:divBdr>
                    </w:div>
                  </w:divsChild>
                </w:div>
                <w:div w:id="662927685">
                  <w:marLeft w:val="0"/>
                  <w:marRight w:val="0"/>
                  <w:marTop w:val="0"/>
                  <w:marBottom w:val="0"/>
                  <w:divBdr>
                    <w:top w:val="none" w:sz="0" w:space="0" w:color="auto"/>
                    <w:left w:val="none" w:sz="0" w:space="0" w:color="auto"/>
                    <w:bottom w:val="none" w:sz="0" w:space="0" w:color="auto"/>
                    <w:right w:val="none" w:sz="0" w:space="0" w:color="auto"/>
                  </w:divBdr>
                  <w:divsChild>
                    <w:div w:id="1909458875">
                      <w:marLeft w:val="0"/>
                      <w:marRight w:val="0"/>
                      <w:marTop w:val="0"/>
                      <w:marBottom w:val="0"/>
                      <w:divBdr>
                        <w:top w:val="none" w:sz="0" w:space="0" w:color="auto"/>
                        <w:left w:val="none" w:sz="0" w:space="0" w:color="auto"/>
                        <w:bottom w:val="none" w:sz="0" w:space="0" w:color="auto"/>
                        <w:right w:val="none" w:sz="0" w:space="0" w:color="auto"/>
                      </w:divBdr>
                    </w:div>
                  </w:divsChild>
                </w:div>
                <w:div w:id="691109858">
                  <w:marLeft w:val="0"/>
                  <w:marRight w:val="0"/>
                  <w:marTop w:val="0"/>
                  <w:marBottom w:val="0"/>
                  <w:divBdr>
                    <w:top w:val="none" w:sz="0" w:space="0" w:color="auto"/>
                    <w:left w:val="none" w:sz="0" w:space="0" w:color="auto"/>
                    <w:bottom w:val="none" w:sz="0" w:space="0" w:color="auto"/>
                    <w:right w:val="none" w:sz="0" w:space="0" w:color="auto"/>
                  </w:divBdr>
                  <w:divsChild>
                    <w:div w:id="723911167">
                      <w:marLeft w:val="0"/>
                      <w:marRight w:val="0"/>
                      <w:marTop w:val="0"/>
                      <w:marBottom w:val="0"/>
                      <w:divBdr>
                        <w:top w:val="none" w:sz="0" w:space="0" w:color="auto"/>
                        <w:left w:val="none" w:sz="0" w:space="0" w:color="auto"/>
                        <w:bottom w:val="none" w:sz="0" w:space="0" w:color="auto"/>
                        <w:right w:val="none" w:sz="0" w:space="0" w:color="auto"/>
                      </w:divBdr>
                    </w:div>
                  </w:divsChild>
                </w:div>
                <w:div w:id="887762477">
                  <w:marLeft w:val="0"/>
                  <w:marRight w:val="0"/>
                  <w:marTop w:val="0"/>
                  <w:marBottom w:val="0"/>
                  <w:divBdr>
                    <w:top w:val="none" w:sz="0" w:space="0" w:color="auto"/>
                    <w:left w:val="none" w:sz="0" w:space="0" w:color="auto"/>
                    <w:bottom w:val="none" w:sz="0" w:space="0" w:color="auto"/>
                    <w:right w:val="none" w:sz="0" w:space="0" w:color="auto"/>
                  </w:divBdr>
                  <w:divsChild>
                    <w:div w:id="1753425000">
                      <w:marLeft w:val="0"/>
                      <w:marRight w:val="0"/>
                      <w:marTop w:val="0"/>
                      <w:marBottom w:val="0"/>
                      <w:divBdr>
                        <w:top w:val="none" w:sz="0" w:space="0" w:color="auto"/>
                        <w:left w:val="none" w:sz="0" w:space="0" w:color="auto"/>
                        <w:bottom w:val="none" w:sz="0" w:space="0" w:color="auto"/>
                        <w:right w:val="none" w:sz="0" w:space="0" w:color="auto"/>
                      </w:divBdr>
                    </w:div>
                  </w:divsChild>
                </w:div>
                <w:div w:id="1088237507">
                  <w:marLeft w:val="0"/>
                  <w:marRight w:val="0"/>
                  <w:marTop w:val="0"/>
                  <w:marBottom w:val="0"/>
                  <w:divBdr>
                    <w:top w:val="none" w:sz="0" w:space="0" w:color="auto"/>
                    <w:left w:val="none" w:sz="0" w:space="0" w:color="auto"/>
                    <w:bottom w:val="none" w:sz="0" w:space="0" w:color="auto"/>
                    <w:right w:val="none" w:sz="0" w:space="0" w:color="auto"/>
                  </w:divBdr>
                  <w:divsChild>
                    <w:div w:id="785007085">
                      <w:marLeft w:val="0"/>
                      <w:marRight w:val="0"/>
                      <w:marTop w:val="0"/>
                      <w:marBottom w:val="0"/>
                      <w:divBdr>
                        <w:top w:val="none" w:sz="0" w:space="0" w:color="auto"/>
                        <w:left w:val="none" w:sz="0" w:space="0" w:color="auto"/>
                        <w:bottom w:val="none" w:sz="0" w:space="0" w:color="auto"/>
                        <w:right w:val="none" w:sz="0" w:space="0" w:color="auto"/>
                      </w:divBdr>
                    </w:div>
                  </w:divsChild>
                </w:div>
                <w:div w:id="1136608405">
                  <w:marLeft w:val="0"/>
                  <w:marRight w:val="0"/>
                  <w:marTop w:val="0"/>
                  <w:marBottom w:val="0"/>
                  <w:divBdr>
                    <w:top w:val="none" w:sz="0" w:space="0" w:color="auto"/>
                    <w:left w:val="none" w:sz="0" w:space="0" w:color="auto"/>
                    <w:bottom w:val="none" w:sz="0" w:space="0" w:color="auto"/>
                    <w:right w:val="none" w:sz="0" w:space="0" w:color="auto"/>
                  </w:divBdr>
                  <w:divsChild>
                    <w:div w:id="2099015362">
                      <w:marLeft w:val="0"/>
                      <w:marRight w:val="0"/>
                      <w:marTop w:val="0"/>
                      <w:marBottom w:val="0"/>
                      <w:divBdr>
                        <w:top w:val="none" w:sz="0" w:space="0" w:color="auto"/>
                        <w:left w:val="none" w:sz="0" w:space="0" w:color="auto"/>
                        <w:bottom w:val="none" w:sz="0" w:space="0" w:color="auto"/>
                        <w:right w:val="none" w:sz="0" w:space="0" w:color="auto"/>
                      </w:divBdr>
                    </w:div>
                  </w:divsChild>
                </w:div>
                <w:div w:id="1150368612">
                  <w:marLeft w:val="0"/>
                  <w:marRight w:val="0"/>
                  <w:marTop w:val="0"/>
                  <w:marBottom w:val="0"/>
                  <w:divBdr>
                    <w:top w:val="none" w:sz="0" w:space="0" w:color="auto"/>
                    <w:left w:val="none" w:sz="0" w:space="0" w:color="auto"/>
                    <w:bottom w:val="none" w:sz="0" w:space="0" w:color="auto"/>
                    <w:right w:val="none" w:sz="0" w:space="0" w:color="auto"/>
                  </w:divBdr>
                  <w:divsChild>
                    <w:div w:id="2089379582">
                      <w:marLeft w:val="0"/>
                      <w:marRight w:val="0"/>
                      <w:marTop w:val="0"/>
                      <w:marBottom w:val="0"/>
                      <w:divBdr>
                        <w:top w:val="none" w:sz="0" w:space="0" w:color="auto"/>
                        <w:left w:val="none" w:sz="0" w:space="0" w:color="auto"/>
                        <w:bottom w:val="none" w:sz="0" w:space="0" w:color="auto"/>
                        <w:right w:val="none" w:sz="0" w:space="0" w:color="auto"/>
                      </w:divBdr>
                    </w:div>
                  </w:divsChild>
                </w:div>
                <w:div w:id="1166288995">
                  <w:marLeft w:val="0"/>
                  <w:marRight w:val="0"/>
                  <w:marTop w:val="0"/>
                  <w:marBottom w:val="0"/>
                  <w:divBdr>
                    <w:top w:val="none" w:sz="0" w:space="0" w:color="auto"/>
                    <w:left w:val="none" w:sz="0" w:space="0" w:color="auto"/>
                    <w:bottom w:val="none" w:sz="0" w:space="0" w:color="auto"/>
                    <w:right w:val="none" w:sz="0" w:space="0" w:color="auto"/>
                  </w:divBdr>
                  <w:divsChild>
                    <w:div w:id="1573546950">
                      <w:marLeft w:val="0"/>
                      <w:marRight w:val="0"/>
                      <w:marTop w:val="0"/>
                      <w:marBottom w:val="0"/>
                      <w:divBdr>
                        <w:top w:val="none" w:sz="0" w:space="0" w:color="auto"/>
                        <w:left w:val="none" w:sz="0" w:space="0" w:color="auto"/>
                        <w:bottom w:val="none" w:sz="0" w:space="0" w:color="auto"/>
                        <w:right w:val="none" w:sz="0" w:space="0" w:color="auto"/>
                      </w:divBdr>
                    </w:div>
                  </w:divsChild>
                </w:div>
                <w:div w:id="1210072601">
                  <w:marLeft w:val="0"/>
                  <w:marRight w:val="0"/>
                  <w:marTop w:val="0"/>
                  <w:marBottom w:val="0"/>
                  <w:divBdr>
                    <w:top w:val="none" w:sz="0" w:space="0" w:color="auto"/>
                    <w:left w:val="none" w:sz="0" w:space="0" w:color="auto"/>
                    <w:bottom w:val="none" w:sz="0" w:space="0" w:color="auto"/>
                    <w:right w:val="none" w:sz="0" w:space="0" w:color="auto"/>
                  </w:divBdr>
                  <w:divsChild>
                    <w:div w:id="648944921">
                      <w:marLeft w:val="0"/>
                      <w:marRight w:val="0"/>
                      <w:marTop w:val="0"/>
                      <w:marBottom w:val="0"/>
                      <w:divBdr>
                        <w:top w:val="none" w:sz="0" w:space="0" w:color="auto"/>
                        <w:left w:val="none" w:sz="0" w:space="0" w:color="auto"/>
                        <w:bottom w:val="none" w:sz="0" w:space="0" w:color="auto"/>
                        <w:right w:val="none" w:sz="0" w:space="0" w:color="auto"/>
                      </w:divBdr>
                    </w:div>
                  </w:divsChild>
                </w:div>
                <w:div w:id="1278946657">
                  <w:marLeft w:val="0"/>
                  <w:marRight w:val="0"/>
                  <w:marTop w:val="0"/>
                  <w:marBottom w:val="0"/>
                  <w:divBdr>
                    <w:top w:val="none" w:sz="0" w:space="0" w:color="auto"/>
                    <w:left w:val="none" w:sz="0" w:space="0" w:color="auto"/>
                    <w:bottom w:val="none" w:sz="0" w:space="0" w:color="auto"/>
                    <w:right w:val="none" w:sz="0" w:space="0" w:color="auto"/>
                  </w:divBdr>
                  <w:divsChild>
                    <w:div w:id="1446582235">
                      <w:marLeft w:val="0"/>
                      <w:marRight w:val="0"/>
                      <w:marTop w:val="0"/>
                      <w:marBottom w:val="0"/>
                      <w:divBdr>
                        <w:top w:val="none" w:sz="0" w:space="0" w:color="auto"/>
                        <w:left w:val="none" w:sz="0" w:space="0" w:color="auto"/>
                        <w:bottom w:val="none" w:sz="0" w:space="0" w:color="auto"/>
                        <w:right w:val="none" w:sz="0" w:space="0" w:color="auto"/>
                      </w:divBdr>
                    </w:div>
                  </w:divsChild>
                </w:div>
                <w:div w:id="1373921606">
                  <w:marLeft w:val="0"/>
                  <w:marRight w:val="0"/>
                  <w:marTop w:val="0"/>
                  <w:marBottom w:val="0"/>
                  <w:divBdr>
                    <w:top w:val="none" w:sz="0" w:space="0" w:color="auto"/>
                    <w:left w:val="none" w:sz="0" w:space="0" w:color="auto"/>
                    <w:bottom w:val="none" w:sz="0" w:space="0" w:color="auto"/>
                    <w:right w:val="none" w:sz="0" w:space="0" w:color="auto"/>
                  </w:divBdr>
                  <w:divsChild>
                    <w:div w:id="1784230824">
                      <w:marLeft w:val="0"/>
                      <w:marRight w:val="0"/>
                      <w:marTop w:val="0"/>
                      <w:marBottom w:val="0"/>
                      <w:divBdr>
                        <w:top w:val="none" w:sz="0" w:space="0" w:color="auto"/>
                        <w:left w:val="none" w:sz="0" w:space="0" w:color="auto"/>
                        <w:bottom w:val="none" w:sz="0" w:space="0" w:color="auto"/>
                        <w:right w:val="none" w:sz="0" w:space="0" w:color="auto"/>
                      </w:divBdr>
                    </w:div>
                  </w:divsChild>
                </w:div>
                <w:div w:id="1625766612">
                  <w:marLeft w:val="0"/>
                  <w:marRight w:val="0"/>
                  <w:marTop w:val="0"/>
                  <w:marBottom w:val="0"/>
                  <w:divBdr>
                    <w:top w:val="none" w:sz="0" w:space="0" w:color="auto"/>
                    <w:left w:val="none" w:sz="0" w:space="0" w:color="auto"/>
                    <w:bottom w:val="none" w:sz="0" w:space="0" w:color="auto"/>
                    <w:right w:val="none" w:sz="0" w:space="0" w:color="auto"/>
                  </w:divBdr>
                  <w:divsChild>
                    <w:div w:id="818034301">
                      <w:marLeft w:val="0"/>
                      <w:marRight w:val="0"/>
                      <w:marTop w:val="0"/>
                      <w:marBottom w:val="0"/>
                      <w:divBdr>
                        <w:top w:val="none" w:sz="0" w:space="0" w:color="auto"/>
                        <w:left w:val="none" w:sz="0" w:space="0" w:color="auto"/>
                        <w:bottom w:val="none" w:sz="0" w:space="0" w:color="auto"/>
                        <w:right w:val="none" w:sz="0" w:space="0" w:color="auto"/>
                      </w:divBdr>
                    </w:div>
                  </w:divsChild>
                </w:div>
                <w:div w:id="1771045812">
                  <w:marLeft w:val="0"/>
                  <w:marRight w:val="0"/>
                  <w:marTop w:val="0"/>
                  <w:marBottom w:val="0"/>
                  <w:divBdr>
                    <w:top w:val="none" w:sz="0" w:space="0" w:color="auto"/>
                    <w:left w:val="none" w:sz="0" w:space="0" w:color="auto"/>
                    <w:bottom w:val="none" w:sz="0" w:space="0" w:color="auto"/>
                    <w:right w:val="none" w:sz="0" w:space="0" w:color="auto"/>
                  </w:divBdr>
                  <w:divsChild>
                    <w:div w:id="667750294">
                      <w:marLeft w:val="0"/>
                      <w:marRight w:val="0"/>
                      <w:marTop w:val="0"/>
                      <w:marBottom w:val="0"/>
                      <w:divBdr>
                        <w:top w:val="none" w:sz="0" w:space="0" w:color="auto"/>
                        <w:left w:val="none" w:sz="0" w:space="0" w:color="auto"/>
                        <w:bottom w:val="none" w:sz="0" w:space="0" w:color="auto"/>
                        <w:right w:val="none" w:sz="0" w:space="0" w:color="auto"/>
                      </w:divBdr>
                    </w:div>
                  </w:divsChild>
                </w:div>
                <w:div w:id="1977711691">
                  <w:marLeft w:val="0"/>
                  <w:marRight w:val="0"/>
                  <w:marTop w:val="0"/>
                  <w:marBottom w:val="0"/>
                  <w:divBdr>
                    <w:top w:val="none" w:sz="0" w:space="0" w:color="auto"/>
                    <w:left w:val="none" w:sz="0" w:space="0" w:color="auto"/>
                    <w:bottom w:val="none" w:sz="0" w:space="0" w:color="auto"/>
                    <w:right w:val="none" w:sz="0" w:space="0" w:color="auto"/>
                  </w:divBdr>
                  <w:divsChild>
                    <w:div w:id="1818524914">
                      <w:marLeft w:val="0"/>
                      <w:marRight w:val="0"/>
                      <w:marTop w:val="0"/>
                      <w:marBottom w:val="0"/>
                      <w:divBdr>
                        <w:top w:val="none" w:sz="0" w:space="0" w:color="auto"/>
                        <w:left w:val="none" w:sz="0" w:space="0" w:color="auto"/>
                        <w:bottom w:val="none" w:sz="0" w:space="0" w:color="auto"/>
                        <w:right w:val="none" w:sz="0" w:space="0" w:color="auto"/>
                      </w:divBdr>
                    </w:div>
                  </w:divsChild>
                </w:div>
                <w:div w:id="2071347833">
                  <w:marLeft w:val="0"/>
                  <w:marRight w:val="0"/>
                  <w:marTop w:val="0"/>
                  <w:marBottom w:val="0"/>
                  <w:divBdr>
                    <w:top w:val="none" w:sz="0" w:space="0" w:color="auto"/>
                    <w:left w:val="none" w:sz="0" w:space="0" w:color="auto"/>
                    <w:bottom w:val="none" w:sz="0" w:space="0" w:color="auto"/>
                    <w:right w:val="none" w:sz="0" w:space="0" w:color="auto"/>
                  </w:divBdr>
                  <w:divsChild>
                    <w:div w:id="1481923637">
                      <w:marLeft w:val="0"/>
                      <w:marRight w:val="0"/>
                      <w:marTop w:val="0"/>
                      <w:marBottom w:val="0"/>
                      <w:divBdr>
                        <w:top w:val="none" w:sz="0" w:space="0" w:color="auto"/>
                        <w:left w:val="none" w:sz="0" w:space="0" w:color="auto"/>
                        <w:bottom w:val="none" w:sz="0" w:space="0" w:color="auto"/>
                        <w:right w:val="none" w:sz="0" w:space="0" w:color="auto"/>
                      </w:divBdr>
                    </w:div>
                  </w:divsChild>
                </w:div>
                <w:div w:id="2118673797">
                  <w:marLeft w:val="0"/>
                  <w:marRight w:val="0"/>
                  <w:marTop w:val="0"/>
                  <w:marBottom w:val="0"/>
                  <w:divBdr>
                    <w:top w:val="none" w:sz="0" w:space="0" w:color="auto"/>
                    <w:left w:val="none" w:sz="0" w:space="0" w:color="auto"/>
                    <w:bottom w:val="none" w:sz="0" w:space="0" w:color="auto"/>
                    <w:right w:val="none" w:sz="0" w:space="0" w:color="auto"/>
                  </w:divBdr>
                  <w:divsChild>
                    <w:div w:id="14866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28681">
          <w:marLeft w:val="0"/>
          <w:marRight w:val="0"/>
          <w:marTop w:val="0"/>
          <w:marBottom w:val="0"/>
          <w:divBdr>
            <w:top w:val="none" w:sz="0" w:space="0" w:color="auto"/>
            <w:left w:val="none" w:sz="0" w:space="0" w:color="auto"/>
            <w:bottom w:val="none" w:sz="0" w:space="0" w:color="auto"/>
            <w:right w:val="none" w:sz="0" w:space="0" w:color="auto"/>
          </w:divBdr>
        </w:div>
      </w:divsChild>
    </w:div>
    <w:div w:id="1830170662">
      <w:bodyDiv w:val="1"/>
      <w:marLeft w:val="0"/>
      <w:marRight w:val="0"/>
      <w:marTop w:val="0"/>
      <w:marBottom w:val="0"/>
      <w:divBdr>
        <w:top w:val="none" w:sz="0" w:space="0" w:color="auto"/>
        <w:left w:val="none" w:sz="0" w:space="0" w:color="auto"/>
        <w:bottom w:val="none" w:sz="0" w:space="0" w:color="auto"/>
        <w:right w:val="none" w:sz="0" w:space="0" w:color="auto"/>
      </w:divBdr>
      <w:divsChild>
        <w:div w:id="111480704">
          <w:marLeft w:val="0"/>
          <w:marRight w:val="0"/>
          <w:marTop w:val="0"/>
          <w:marBottom w:val="0"/>
          <w:divBdr>
            <w:top w:val="none" w:sz="0" w:space="0" w:color="auto"/>
            <w:left w:val="none" w:sz="0" w:space="0" w:color="auto"/>
            <w:bottom w:val="none" w:sz="0" w:space="0" w:color="auto"/>
            <w:right w:val="none" w:sz="0" w:space="0" w:color="auto"/>
          </w:divBdr>
        </w:div>
        <w:div w:id="183247109">
          <w:marLeft w:val="0"/>
          <w:marRight w:val="0"/>
          <w:marTop w:val="0"/>
          <w:marBottom w:val="0"/>
          <w:divBdr>
            <w:top w:val="none" w:sz="0" w:space="0" w:color="auto"/>
            <w:left w:val="none" w:sz="0" w:space="0" w:color="auto"/>
            <w:bottom w:val="none" w:sz="0" w:space="0" w:color="auto"/>
            <w:right w:val="none" w:sz="0" w:space="0" w:color="auto"/>
          </w:divBdr>
        </w:div>
        <w:div w:id="549728443">
          <w:marLeft w:val="0"/>
          <w:marRight w:val="0"/>
          <w:marTop w:val="0"/>
          <w:marBottom w:val="0"/>
          <w:divBdr>
            <w:top w:val="none" w:sz="0" w:space="0" w:color="auto"/>
            <w:left w:val="none" w:sz="0" w:space="0" w:color="auto"/>
            <w:bottom w:val="none" w:sz="0" w:space="0" w:color="auto"/>
            <w:right w:val="none" w:sz="0" w:space="0" w:color="auto"/>
          </w:divBdr>
        </w:div>
        <w:div w:id="611211794">
          <w:marLeft w:val="0"/>
          <w:marRight w:val="0"/>
          <w:marTop w:val="0"/>
          <w:marBottom w:val="0"/>
          <w:divBdr>
            <w:top w:val="none" w:sz="0" w:space="0" w:color="auto"/>
            <w:left w:val="none" w:sz="0" w:space="0" w:color="auto"/>
            <w:bottom w:val="none" w:sz="0" w:space="0" w:color="auto"/>
            <w:right w:val="none" w:sz="0" w:space="0" w:color="auto"/>
          </w:divBdr>
        </w:div>
        <w:div w:id="700327678">
          <w:marLeft w:val="0"/>
          <w:marRight w:val="0"/>
          <w:marTop w:val="0"/>
          <w:marBottom w:val="0"/>
          <w:divBdr>
            <w:top w:val="none" w:sz="0" w:space="0" w:color="auto"/>
            <w:left w:val="none" w:sz="0" w:space="0" w:color="auto"/>
            <w:bottom w:val="none" w:sz="0" w:space="0" w:color="auto"/>
            <w:right w:val="none" w:sz="0" w:space="0" w:color="auto"/>
          </w:divBdr>
        </w:div>
        <w:div w:id="824050227">
          <w:marLeft w:val="0"/>
          <w:marRight w:val="0"/>
          <w:marTop w:val="0"/>
          <w:marBottom w:val="0"/>
          <w:divBdr>
            <w:top w:val="none" w:sz="0" w:space="0" w:color="auto"/>
            <w:left w:val="none" w:sz="0" w:space="0" w:color="auto"/>
            <w:bottom w:val="none" w:sz="0" w:space="0" w:color="auto"/>
            <w:right w:val="none" w:sz="0" w:space="0" w:color="auto"/>
          </w:divBdr>
          <w:divsChild>
            <w:div w:id="38017778">
              <w:marLeft w:val="0"/>
              <w:marRight w:val="0"/>
              <w:marTop w:val="0"/>
              <w:marBottom w:val="0"/>
              <w:divBdr>
                <w:top w:val="none" w:sz="0" w:space="0" w:color="auto"/>
                <w:left w:val="none" w:sz="0" w:space="0" w:color="auto"/>
                <w:bottom w:val="none" w:sz="0" w:space="0" w:color="auto"/>
                <w:right w:val="none" w:sz="0" w:space="0" w:color="auto"/>
              </w:divBdr>
            </w:div>
            <w:div w:id="872114992">
              <w:marLeft w:val="0"/>
              <w:marRight w:val="0"/>
              <w:marTop w:val="0"/>
              <w:marBottom w:val="0"/>
              <w:divBdr>
                <w:top w:val="none" w:sz="0" w:space="0" w:color="auto"/>
                <w:left w:val="none" w:sz="0" w:space="0" w:color="auto"/>
                <w:bottom w:val="none" w:sz="0" w:space="0" w:color="auto"/>
                <w:right w:val="none" w:sz="0" w:space="0" w:color="auto"/>
              </w:divBdr>
            </w:div>
            <w:div w:id="2127845722">
              <w:marLeft w:val="0"/>
              <w:marRight w:val="0"/>
              <w:marTop w:val="0"/>
              <w:marBottom w:val="0"/>
              <w:divBdr>
                <w:top w:val="none" w:sz="0" w:space="0" w:color="auto"/>
                <w:left w:val="none" w:sz="0" w:space="0" w:color="auto"/>
                <w:bottom w:val="none" w:sz="0" w:space="0" w:color="auto"/>
                <w:right w:val="none" w:sz="0" w:space="0" w:color="auto"/>
              </w:divBdr>
            </w:div>
          </w:divsChild>
        </w:div>
        <w:div w:id="843859419">
          <w:marLeft w:val="0"/>
          <w:marRight w:val="0"/>
          <w:marTop w:val="0"/>
          <w:marBottom w:val="0"/>
          <w:divBdr>
            <w:top w:val="none" w:sz="0" w:space="0" w:color="auto"/>
            <w:left w:val="none" w:sz="0" w:space="0" w:color="auto"/>
            <w:bottom w:val="none" w:sz="0" w:space="0" w:color="auto"/>
            <w:right w:val="none" w:sz="0" w:space="0" w:color="auto"/>
          </w:divBdr>
          <w:divsChild>
            <w:div w:id="100801309">
              <w:marLeft w:val="0"/>
              <w:marRight w:val="0"/>
              <w:marTop w:val="0"/>
              <w:marBottom w:val="0"/>
              <w:divBdr>
                <w:top w:val="none" w:sz="0" w:space="0" w:color="auto"/>
                <w:left w:val="none" w:sz="0" w:space="0" w:color="auto"/>
                <w:bottom w:val="none" w:sz="0" w:space="0" w:color="auto"/>
                <w:right w:val="none" w:sz="0" w:space="0" w:color="auto"/>
              </w:divBdr>
            </w:div>
            <w:div w:id="216669516">
              <w:marLeft w:val="0"/>
              <w:marRight w:val="0"/>
              <w:marTop w:val="0"/>
              <w:marBottom w:val="0"/>
              <w:divBdr>
                <w:top w:val="none" w:sz="0" w:space="0" w:color="auto"/>
                <w:left w:val="none" w:sz="0" w:space="0" w:color="auto"/>
                <w:bottom w:val="none" w:sz="0" w:space="0" w:color="auto"/>
                <w:right w:val="none" w:sz="0" w:space="0" w:color="auto"/>
              </w:divBdr>
            </w:div>
            <w:div w:id="1056776831">
              <w:marLeft w:val="0"/>
              <w:marRight w:val="0"/>
              <w:marTop w:val="0"/>
              <w:marBottom w:val="0"/>
              <w:divBdr>
                <w:top w:val="none" w:sz="0" w:space="0" w:color="auto"/>
                <w:left w:val="none" w:sz="0" w:space="0" w:color="auto"/>
                <w:bottom w:val="none" w:sz="0" w:space="0" w:color="auto"/>
                <w:right w:val="none" w:sz="0" w:space="0" w:color="auto"/>
              </w:divBdr>
            </w:div>
            <w:div w:id="1462193228">
              <w:marLeft w:val="0"/>
              <w:marRight w:val="0"/>
              <w:marTop w:val="0"/>
              <w:marBottom w:val="0"/>
              <w:divBdr>
                <w:top w:val="none" w:sz="0" w:space="0" w:color="auto"/>
                <w:left w:val="none" w:sz="0" w:space="0" w:color="auto"/>
                <w:bottom w:val="none" w:sz="0" w:space="0" w:color="auto"/>
                <w:right w:val="none" w:sz="0" w:space="0" w:color="auto"/>
              </w:divBdr>
            </w:div>
            <w:div w:id="1912302259">
              <w:marLeft w:val="0"/>
              <w:marRight w:val="0"/>
              <w:marTop w:val="0"/>
              <w:marBottom w:val="0"/>
              <w:divBdr>
                <w:top w:val="none" w:sz="0" w:space="0" w:color="auto"/>
                <w:left w:val="none" w:sz="0" w:space="0" w:color="auto"/>
                <w:bottom w:val="none" w:sz="0" w:space="0" w:color="auto"/>
                <w:right w:val="none" w:sz="0" w:space="0" w:color="auto"/>
              </w:divBdr>
            </w:div>
          </w:divsChild>
        </w:div>
        <w:div w:id="1055815495">
          <w:marLeft w:val="0"/>
          <w:marRight w:val="0"/>
          <w:marTop w:val="0"/>
          <w:marBottom w:val="0"/>
          <w:divBdr>
            <w:top w:val="none" w:sz="0" w:space="0" w:color="auto"/>
            <w:left w:val="none" w:sz="0" w:space="0" w:color="auto"/>
            <w:bottom w:val="none" w:sz="0" w:space="0" w:color="auto"/>
            <w:right w:val="none" w:sz="0" w:space="0" w:color="auto"/>
          </w:divBdr>
          <w:divsChild>
            <w:div w:id="449057665">
              <w:marLeft w:val="-75"/>
              <w:marRight w:val="0"/>
              <w:marTop w:val="30"/>
              <w:marBottom w:val="30"/>
              <w:divBdr>
                <w:top w:val="none" w:sz="0" w:space="0" w:color="auto"/>
                <w:left w:val="none" w:sz="0" w:space="0" w:color="auto"/>
                <w:bottom w:val="none" w:sz="0" w:space="0" w:color="auto"/>
                <w:right w:val="none" w:sz="0" w:space="0" w:color="auto"/>
              </w:divBdr>
              <w:divsChild>
                <w:div w:id="2825401">
                  <w:marLeft w:val="0"/>
                  <w:marRight w:val="0"/>
                  <w:marTop w:val="0"/>
                  <w:marBottom w:val="0"/>
                  <w:divBdr>
                    <w:top w:val="none" w:sz="0" w:space="0" w:color="auto"/>
                    <w:left w:val="none" w:sz="0" w:space="0" w:color="auto"/>
                    <w:bottom w:val="none" w:sz="0" w:space="0" w:color="auto"/>
                    <w:right w:val="none" w:sz="0" w:space="0" w:color="auto"/>
                  </w:divBdr>
                  <w:divsChild>
                    <w:div w:id="1916548406">
                      <w:marLeft w:val="0"/>
                      <w:marRight w:val="0"/>
                      <w:marTop w:val="0"/>
                      <w:marBottom w:val="0"/>
                      <w:divBdr>
                        <w:top w:val="none" w:sz="0" w:space="0" w:color="auto"/>
                        <w:left w:val="none" w:sz="0" w:space="0" w:color="auto"/>
                        <w:bottom w:val="none" w:sz="0" w:space="0" w:color="auto"/>
                        <w:right w:val="none" w:sz="0" w:space="0" w:color="auto"/>
                      </w:divBdr>
                    </w:div>
                  </w:divsChild>
                </w:div>
                <w:div w:id="11685019">
                  <w:marLeft w:val="0"/>
                  <w:marRight w:val="0"/>
                  <w:marTop w:val="0"/>
                  <w:marBottom w:val="0"/>
                  <w:divBdr>
                    <w:top w:val="none" w:sz="0" w:space="0" w:color="auto"/>
                    <w:left w:val="none" w:sz="0" w:space="0" w:color="auto"/>
                    <w:bottom w:val="none" w:sz="0" w:space="0" w:color="auto"/>
                    <w:right w:val="none" w:sz="0" w:space="0" w:color="auto"/>
                  </w:divBdr>
                  <w:divsChild>
                    <w:div w:id="61998460">
                      <w:marLeft w:val="0"/>
                      <w:marRight w:val="0"/>
                      <w:marTop w:val="0"/>
                      <w:marBottom w:val="0"/>
                      <w:divBdr>
                        <w:top w:val="none" w:sz="0" w:space="0" w:color="auto"/>
                        <w:left w:val="none" w:sz="0" w:space="0" w:color="auto"/>
                        <w:bottom w:val="none" w:sz="0" w:space="0" w:color="auto"/>
                        <w:right w:val="none" w:sz="0" w:space="0" w:color="auto"/>
                      </w:divBdr>
                    </w:div>
                  </w:divsChild>
                </w:div>
                <w:div w:id="17897406">
                  <w:marLeft w:val="0"/>
                  <w:marRight w:val="0"/>
                  <w:marTop w:val="0"/>
                  <w:marBottom w:val="0"/>
                  <w:divBdr>
                    <w:top w:val="none" w:sz="0" w:space="0" w:color="auto"/>
                    <w:left w:val="none" w:sz="0" w:space="0" w:color="auto"/>
                    <w:bottom w:val="none" w:sz="0" w:space="0" w:color="auto"/>
                    <w:right w:val="none" w:sz="0" w:space="0" w:color="auto"/>
                  </w:divBdr>
                  <w:divsChild>
                    <w:div w:id="1625691294">
                      <w:marLeft w:val="0"/>
                      <w:marRight w:val="0"/>
                      <w:marTop w:val="0"/>
                      <w:marBottom w:val="0"/>
                      <w:divBdr>
                        <w:top w:val="none" w:sz="0" w:space="0" w:color="auto"/>
                        <w:left w:val="none" w:sz="0" w:space="0" w:color="auto"/>
                        <w:bottom w:val="none" w:sz="0" w:space="0" w:color="auto"/>
                        <w:right w:val="none" w:sz="0" w:space="0" w:color="auto"/>
                      </w:divBdr>
                    </w:div>
                  </w:divsChild>
                </w:div>
                <w:div w:id="67272405">
                  <w:marLeft w:val="0"/>
                  <w:marRight w:val="0"/>
                  <w:marTop w:val="0"/>
                  <w:marBottom w:val="0"/>
                  <w:divBdr>
                    <w:top w:val="none" w:sz="0" w:space="0" w:color="auto"/>
                    <w:left w:val="none" w:sz="0" w:space="0" w:color="auto"/>
                    <w:bottom w:val="none" w:sz="0" w:space="0" w:color="auto"/>
                    <w:right w:val="none" w:sz="0" w:space="0" w:color="auto"/>
                  </w:divBdr>
                  <w:divsChild>
                    <w:div w:id="1828787405">
                      <w:marLeft w:val="0"/>
                      <w:marRight w:val="0"/>
                      <w:marTop w:val="0"/>
                      <w:marBottom w:val="0"/>
                      <w:divBdr>
                        <w:top w:val="none" w:sz="0" w:space="0" w:color="auto"/>
                        <w:left w:val="none" w:sz="0" w:space="0" w:color="auto"/>
                        <w:bottom w:val="none" w:sz="0" w:space="0" w:color="auto"/>
                        <w:right w:val="none" w:sz="0" w:space="0" w:color="auto"/>
                      </w:divBdr>
                    </w:div>
                  </w:divsChild>
                </w:div>
                <w:div w:id="86659253">
                  <w:marLeft w:val="0"/>
                  <w:marRight w:val="0"/>
                  <w:marTop w:val="0"/>
                  <w:marBottom w:val="0"/>
                  <w:divBdr>
                    <w:top w:val="none" w:sz="0" w:space="0" w:color="auto"/>
                    <w:left w:val="none" w:sz="0" w:space="0" w:color="auto"/>
                    <w:bottom w:val="none" w:sz="0" w:space="0" w:color="auto"/>
                    <w:right w:val="none" w:sz="0" w:space="0" w:color="auto"/>
                  </w:divBdr>
                  <w:divsChild>
                    <w:div w:id="1020161295">
                      <w:marLeft w:val="0"/>
                      <w:marRight w:val="0"/>
                      <w:marTop w:val="0"/>
                      <w:marBottom w:val="0"/>
                      <w:divBdr>
                        <w:top w:val="none" w:sz="0" w:space="0" w:color="auto"/>
                        <w:left w:val="none" w:sz="0" w:space="0" w:color="auto"/>
                        <w:bottom w:val="none" w:sz="0" w:space="0" w:color="auto"/>
                        <w:right w:val="none" w:sz="0" w:space="0" w:color="auto"/>
                      </w:divBdr>
                    </w:div>
                  </w:divsChild>
                </w:div>
                <w:div w:id="120266394">
                  <w:marLeft w:val="0"/>
                  <w:marRight w:val="0"/>
                  <w:marTop w:val="0"/>
                  <w:marBottom w:val="0"/>
                  <w:divBdr>
                    <w:top w:val="none" w:sz="0" w:space="0" w:color="auto"/>
                    <w:left w:val="none" w:sz="0" w:space="0" w:color="auto"/>
                    <w:bottom w:val="none" w:sz="0" w:space="0" w:color="auto"/>
                    <w:right w:val="none" w:sz="0" w:space="0" w:color="auto"/>
                  </w:divBdr>
                  <w:divsChild>
                    <w:div w:id="1863736263">
                      <w:marLeft w:val="0"/>
                      <w:marRight w:val="0"/>
                      <w:marTop w:val="0"/>
                      <w:marBottom w:val="0"/>
                      <w:divBdr>
                        <w:top w:val="none" w:sz="0" w:space="0" w:color="auto"/>
                        <w:left w:val="none" w:sz="0" w:space="0" w:color="auto"/>
                        <w:bottom w:val="none" w:sz="0" w:space="0" w:color="auto"/>
                        <w:right w:val="none" w:sz="0" w:space="0" w:color="auto"/>
                      </w:divBdr>
                    </w:div>
                  </w:divsChild>
                </w:div>
                <w:div w:id="167719260">
                  <w:marLeft w:val="0"/>
                  <w:marRight w:val="0"/>
                  <w:marTop w:val="0"/>
                  <w:marBottom w:val="0"/>
                  <w:divBdr>
                    <w:top w:val="none" w:sz="0" w:space="0" w:color="auto"/>
                    <w:left w:val="none" w:sz="0" w:space="0" w:color="auto"/>
                    <w:bottom w:val="none" w:sz="0" w:space="0" w:color="auto"/>
                    <w:right w:val="none" w:sz="0" w:space="0" w:color="auto"/>
                  </w:divBdr>
                  <w:divsChild>
                    <w:div w:id="2051420794">
                      <w:marLeft w:val="0"/>
                      <w:marRight w:val="0"/>
                      <w:marTop w:val="0"/>
                      <w:marBottom w:val="0"/>
                      <w:divBdr>
                        <w:top w:val="none" w:sz="0" w:space="0" w:color="auto"/>
                        <w:left w:val="none" w:sz="0" w:space="0" w:color="auto"/>
                        <w:bottom w:val="none" w:sz="0" w:space="0" w:color="auto"/>
                        <w:right w:val="none" w:sz="0" w:space="0" w:color="auto"/>
                      </w:divBdr>
                    </w:div>
                  </w:divsChild>
                </w:div>
                <w:div w:id="169107000">
                  <w:marLeft w:val="0"/>
                  <w:marRight w:val="0"/>
                  <w:marTop w:val="0"/>
                  <w:marBottom w:val="0"/>
                  <w:divBdr>
                    <w:top w:val="none" w:sz="0" w:space="0" w:color="auto"/>
                    <w:left w:val="none" w:sz="0" w:space="0" w:color="auto"/>
                    <w:bottom w:val="none" w:sz="0" w:space="0" w:color="auto"/>
                    <w:right w:val="none" w:sz="0" w:space="0" w:color="auto"/>
                  </w:divBdr>
                  <w:divsChild>
                    <w:div w:id="1647316636">
                      <w:marLeft w:val="0"/>
                      <w:marRight w:val="0"/>
                      <w:marTop w:val="0"/>
                      <w:marBottom w:val="0"/>
                      <w:divBdr>
                        <w:top w:val="none" w:sz="0" w:space="0" w:color="auto"/>
                        <w:left w:val="none" w:sz="0" w:space="0" w:color="auto"/>
                        <w:bottom w:val="none" w:sz="0" w:space="0" w:color="auto"/>
                        <w:right w:val="none" w:sz="0" w:space="0" w:color="auto"/>
                      </w:divBdr>
                    </w:div>
                  </w:divsChild>
                </w:div>
                <w:div w:id="185336617">
                  <w:marLeft w:val="0"/>
                  <w:marRight w:val="0"/>
                  <w:marTop w:val="0"/>
                  <w:marBottom w:val="0"/>
                  <w:divBdr>
                    <w:top w:val="none" w:sz="0" w:space="0" w:color="auto"/>
                    <w:left w:val="none" w:sz="0" w:space="0" w:color="auto"/>
                    <w:bottom w:val="none" w:sz="0" w:space="0" w:color="auto"/>
                    <w:right w:val="none" w:sz="0" w:space="0" w:color="auto"/>
                  </w:divBdr>
                  <w:divsChild>
                    <w:div w:id="185801133">
                      <w:marLeft w:val="0"/>
                      <w:marRight w:val="0"/>
                      <w:marTop w:val="0"/>
                      <w:marBottom w:val="0"/>
                      <w:divBdr>
                        <w:top w:val="none" w:sz="0" w:space="0" w:color="auto"/>
                        <w:left w:val="none" w:sz="0" w:space="0" w:color="auto"/>
                        <w:bottom w:val="none" w:sz="0" w:space="0" w:color="auto"/>
                        <w:right w:val="none" w:sz="0" w:space="0" w:color="auto"/>
                      </w:divBdr>
                    </w:div>
                  </w:divsChild>
                </w:div>
                <w:div w:id="186719967">
                  <w:marLeft w:val="0"/>
                  <w:marRight w:val="0"/>
                  <w:marTop w:val="0"/>
                  <w:marBottom w:val="0"/>
                  <w:divBdr>
                    <w:top w:val="none" w:sz="0" w:space="0" w:color="auto"/>
                    <w:left w:val="none" w:sz="0" w:space="0" w:color="auto"/>
                    <w:bottom w:val="none" w:sz="0" w:space="0" w:color="auto"/>
                    <w:right w:val="none" w:sz="0" w:space="0" w:color="auto"/>
                  </w:divBdr>
                  <w:divsChild>
                    <w:div w:id="144055572">
                      <w:marLeft w:val="0"/>
                      <w:marRight w:val="0"/>
                      <w:marTop w:val="0"/>
                      <w:marBottom w:val="0"/>
                      <w:divBdr>
                        <w:top w:val="none" w:sz="0" w:space="0" w:color="auto"/>
                        <w:left w:val="none" w:sz="0" w:space="0" w:color="auto"/>
                        <w:bottom w:val="none" w:sz="0" w:space="0" w:color="auto"/>
                        <w:right w:val="none" w:sz="0" w:space="0" w:color="auto"/>
                      </w:divBdr>
                    </w:div>
                  </w:divsChild>
                </w:div>
                <w:div w:id="194974199">
                  <w:marLeft w:val="0"/>
                  <w:marRight w:val="0"/>
                  <w:marTop w:val="0"/>
                  <w:marBottom w:val="0"/>
                  <w:divBdr>
                    <w:top w:val="none" w:sz="0" w:space="0" w:color="auto"/>
                    <w:left w:val="none" w:sz="0" w:space="0" w:color="auto"/>
                    <w:bottom w:val="none" w:sz="0" w:space="0" w:color="auto"/>
                    <w:right w:val="none" w:sz="0" w:space="0" w:color="auto"/>
                  </w:divBdr>
                  <w:divsChild>
                    <w:div w:id="186333532">
                      <w:marLeft w:val="0"/>
                      <w:marRight w:val="0"/>
                      <w:marTop w:val="0"/>
                      <w:marBottom w:val="0"/>
                      <w:divBdr>
                        <w:top w:val="none" w:sz="0" w:space="0" w:color="auto"/>
                        <w:left w:val="none" w:sz="0" w:space="0" w:color="auto"/>
                        <w:bottom w:val="none" w:sz="0" w:space="0" w:color="auto"/>
                        <w:right w:val="none" w:sz="0" w:space="0" w:color="auto"/>
                      </w:divBdr>
                    </w:div>
                  </w:divsChild>
                </w:div>
                <w:div w:id="227347257">
                  <w:marLeft w:val="0"/>
                  <w:marRight w:val="0"/>
                  <w:marTop w:val="0"/>
                  <w:marBottom w:val="0"/>
                  <w:divBdr>
                    <w:top w:val="none" w:sz="0" w:space="0" w:color="auto"/>
                    <w:left w:val="none" w:sz="0" w:space="0" w:color="auto"/>
                    <w:bottom w:val="none" w:sz="0" w:space="0" w:color="auto"/>
                    <w:right w:val="none" w:sz="0" w:space="0" w:color="auto"/>
                  </w:divBdr>
                  <w:divsChild>
                    <w:div w:id="255209442">
                      <w:marLeft w:val="0"/>
                      <w:marRight w:val="0"/>
                      <w:marTop w:val="0"/>
                      <w:marBottom w:val="0"/>
                      <w:divBdr>
                        <w:top w:val="none" w:sz="0" w:space="0" w:color="auto"/>
                        <w:left w:val="none" w:sz="0" w:space="0" w:color="auto"/>
                        <w:bottom w:val="none" w:sz="0" w:space="0" w:color="auto"/>
                        <w:right w:val="none" w:sz="0" w:space="0" w:color="auto"/>
                      </w:divBdr>
                    </w:div>
                  </w:divsChild>
                </w:div>
                <w:div w:id="238489901">
                  <w:marLeft w:val="0"/>
                  <w:marRight w:val="0"/>
                  <w:marTop w:val="0"/>
                  <w:marBottom w:val="0"/>
                  <w:divBdr>
                    <w:top w:val="none" w:sz="0" w:space="0" w:color="auto"/>
                    <w:left w:val="none" w:sz="0" w:space="0" w:color="auto"/>
                    <w:bottom w:val="none" w:sz="0" w:space="0" w:color="auto"/>
                    <w:right w:val="none" w:sz="0" w:space="0" w:color="auto"/>
                  </w:divBdr>
                  <w:divsChild>
                    <w:div w:id="2052803810">
                      <w:marLeft w:val="0"/>
                      <w:marRight w:val="0"/>
                      <w:marTop w:val="0"/>
                      <w:marBottom w:val="0"/>
                      <w:divBdr>
                        <w:top w:val="none" w:sz="0" w:space="0" w:color="auto"/>
                        <w:left w:val="none" w:sz="0" w:space="0" w:color="auto"/>
                        <w:bottom w:val="none" w:sz="0" w:space="0" w:color="auto"/>
                        <w:right w:val="none" w:sz="0" w:space="0" w:color="auto"/>
                      </w:divBdr>
                    </w:div>
                  </w:divsChild>
                </w:div>
                <w:div w:id="270018590">
                  <w:marLeft w:val="0"/>
                  <w:marRight w:val="0"/>
                  <w:marTop w:val="0"/>
                  <w:marBottom w:val="0"/>
                  <w:divBdr>
                    <w:top w:val="none" w:sz="0" w:space="0" w:color="auto"/>
                    <w:left w:val="none" w:sz="0" w:space="0" w:color="auto"/>
                    <w:bottom w:val="none" w:sz="0" w:space="0" w:color="auto"/>
                    <w:right w:val="none" w:sz="0" w:space="0" w:color="auto"/>
                  </w:divBdr>
                  <w:divsChild>
                    <w:div w:id="952443239">
                      <w:marLeft w:val="0"/>
                      <w:marRight w:val="0"/>
                      <w:marTop w:val="0"/>
                      <w:marBottom w:val="0"/>
                      <w:divBdr>
                        <w:top w:val="none" w:sz="0" w:space="0" w:color="auto"/>
                        <w:left w:val="none" w:sz="0" w:space="0" w:color="auto"/>
                        <w:bottom w:val="none" w:sz="0" w:space="0" w:color="auto"/>
                        <w:right w:val="none" w:sz="0" w:space="0" w:color="auto"/>
                      </w:divBdr>
                    </w:div>
                  </w:divsChild>
                </w:div>
                <w:div w:id="305934956">
                  <w:marLeft w:val="0"/>
                  <w:marRight w:val="0"/>
                  <w:marTop w:val="0"/>
                  <w:marBottom w:val="0"/>
                  <w:divBdr>
                    <w:top w:val="none" w:sz="0" w:space="0" w:color="auto"/>
                    <w:left w:val="none" w:sz="0" w:space="0" w:color="auto"/>
                    <w:bottom w:val="none" w:sz="0" w:space="0" w:color="auto"/>
                    <w:right w:val="none" w:sz="0" w:space="0" w:color="auto"/>
                  </w:divBdr>
                  <w:divsChild>
                    <w:div w:id="863178143">
                      <w:marLeft w:val="0"/>
                      <w:marRight w:val="0"/>
                      <w:marTop w:val="0"/>
                      <w:marBottom w:val="0"/>
                      <w:divBdr>
                        <w:top w:val="none" w:sz="0" w:space="0" w:color="auto"/>
                        <w:left w:val="none" w:sz="0" w:space="0" w:color="auto"/>
                        <w:bottom w:val="none" w:sz="0" w:space="0" w:color="auto"/>
                        <w:right w:val="none" w:sz="0" w:space="0" w:color="auto"/>
                      </w:divBdr>
                    </w:div>
                  </w:divsChild>
                </w:div>
                <w:div w:id="348334758">
                  <w:marLeft w:val="0"/>
                  <w:marRight w:val="0"/>
                  <w:marTop w:val="0"/>
                  <w:marBottom w:val="0"/>
                  <w:divBdr>
                    <w:top w:val="none" w:sz="0" w:space="0" w:color="auto"/>
                    <w:left w:val="none" w:sz="0" w:space="0" w:color="auto"/>
                    <w:bottom w:val="none" w:sz="0" w:space="0" w:color="auto"/>
                    <w:right w:val="none" w:sz="0" w:space="0" w:color="auto"/>
                  </w:divBdr>
                  <w:divsChild>
                    <w:div w:id="1405756265">
                      <w:marLeft w:val="0"/>
                      <w:marRight w:val="0"/>
                      <w:marTop w:val="0"/>
                      <w:marBottom w:val="0"/>
                      <w:divBdr>
                        <w:top w:val="none" w:sz="0" w:space="0" w:color="auto"/>
                        <w:left w:val="none" w:sz="0" w:space="0" w:color="auto"/>
                        <w:bottom w:val="none" w:sz="0" w:space="0" w:color="auto"/>
                        <w:right w:val="none" w:sz="0" w:space="0" w:color="auto"/>
                      </w:divBdr>
                    </w:div>
                  </w:divsChild>
                </w:div>
                <w:div w:id="353190023">
                  <w:marLeft w:val="0"/>
                  <w:marRight w:val="0"/>
                  <w:marTop w:val="0"/>
                  <w:marBottom w:val="0"/>
                  <w:divBdr>
                    <w:top w:val="none" w:sz="0" w:space="0" w:color="auto"/>
                    <w:left w:val="none" w:sz="0" w:space="0" w:color="auto"/>
                    <w:bottom w:val="none" w:sz="0" w:space="0" w:color="auto"/>
                    <w:right w:val="none" w:sz="0" w:space="0" w:color="auto"/>
                  </w:divBdr>
                  <w:divsChild>
                    <w:div w:id="950481140">
                      <w:marLeft w:val="0"/>
                      <w:marRight w:val="0"/>
                      <w:marTop w:val="0"/>
                      <w:marBottom w:val="0"/>
                      <w:divBdr>
                        <w:top w:val="none" w:sz="0" w:space="0" w:color="auto"/>
                        <w:left w:val="none" w:sz="0" w:space="0" w:color="auto"/>
                        <w:bottom w:val="none" w:sz="0" w:space="0" w:color="auto"/>
                        <w:right w:val="none" w:sz="0" w:space="0" w:color="auto"/>
                      </w:divBdr>
                    </w:div>
                  </w:divsChild>
                </w:div>
                <w:div w:id="353191004">
                  <w:marLeft w:val="0"/>
                  <w:marRight w:val="0"/>
                  <w:marTop w:val="0"/>
                  <w:marBottom w:val="0"/>
                  <w:divBdr>
                    <w:top w:val="none" w:sz="0" w:space="0" w:color="auto"/>
                    <w:left w:val="none" w:sz="0" w:space="0" w:color="auto"/>
                    <w:bottom w:val="none" w:sz="0" w:space="0" w:color="auto"/>
                    <w:right w:val="none" w:sz="0" w:space="0" w:color="auto"/>
                  </w:divBdr>
                  <w:divsChild>
                    <w:div w:id="1516528804">
                      <w:marLeft w:val="0"/>
                      <w:marRight w:val="0"/>
                      <w:marTop w:val="0"/>
                      <w:marBottom w:val="0"/>
                      <w:divBdr>
                        <w:top w:val="none" w:sz="0" w:space="0" w:color="auto"/>
                        <w:left w:val="none" w:sz="0" w:space="0" w:color="auto"/>
                        <w:bottom w:val="none" w:sz="0" w:space="0" w:color="auto"/>
                        <w:right w:val="none" w:sz="0" w:space="0" w:color="auto"/>
                      </w:divBdr>
                    </w:div>
                  </w:divsChild>
                </w:div>
                <w:div w:id="369188117">
                  <w:marLeft w:val="0"/>
                  <w:marRight w:val="0"/>
                  <w:marTop w:val="0"/>
                  <w:marBottom w:val="0"/>
                  <w:divBdr>
                    <w:top w:val="none" w:sz="0" w:space="0" w:color="auto"/>
                    <w:left w:val="none" w:sz="0" w:space="0" w:color="auto"/>
                    <w:bottom w:val="none" w:sz="0" w:space="0" w:color="auto"/>
                    <w:right w:val="none" w:sz="0" w:space="0" w:color="auto"/>
                  </w:divBdr>
                  <w:divsChild>
                    <w:div w:id="1532458206">
                      <w:marLeft w:val="0"/>
                      <w:marRight w:val="0"/>
                      <w:marTop w:val="0"/>
                      <w:marBottom w:val="0"/>
                      <w:divBdr>
                        <w:top w:val="none" w:sz="0" w:space="0" w:color="auto"/>
                        <w:left w:val="none" w:sz="0" w:space="0" w:color="auto"/>
                        <w:bottom w:val="none" w:sz="0" w:space="0" w:color="auto"/>
                        <w:right w:val="none" w:sz="0" w:space="0" w:color="auto"/>
                      </w:divBdr>
                    </w:div>
                  </w:divsChild>
                </w:div>
                <w:div w:id="371076982">
                  <w:marLeft w:val="0"/>
                  <w:marRight w:val="0"/>
                  <w:marTop w:val="0"/>
                  <w:marBottom w:val="0"/>
                  <w:divBdr>
                    <w:top w:val="none" w:sz="0" w:space="0" w:color="auto"/>
                    <w:left w:val="none" w:sz="0" w:space="0" w:color="auto"/>
                    <w:bottom w:val="none" w:sz="0" w:space="0" w:color="auto"/>
                    <w:right w:val="none" w:sz="0" w:space="0" w:color="auto"/>
                  </w:divBdr>
                  <w:divsChild>
                    <w:div w:id="516311629">
                      <w:marLeft w:val="0"/>
                      <w:marRight w:val="0"/>
                      <w:marTop w:val="0"/>
                      <w:marBottom w:val="0"/>
                      <w:divBdr>
                        <w:top w:val="none" w:sz="0" w:space="0" w:color="auto"/>
                        <w:left w:val="none" w:sz="0" w:space="0" w:color="auto"/>
                        <w:bottom w:val="none" w:sz="0" w:space="0" w:color="auto"/>
                        <w:right w:val="none" w:sz="0" w:space="0" w:color="auto"/>
                      </w:divBdr>
                    </w:div>
                  </w:divsChild>
                </w:div>
                <w:div w:id="438451969">
                  <w:marLeft w:val="0"/>
                  <w:marRight w:val="0"/>
                  <w:marTop w:val="0"/>
                  <w:marBottom w:val="0"/>
                  <w:divBdr>
                    <w:top w:val="none" w:sz="0" w:space="0" w:color="auto"/>
                    <w:left w:val="none" w:sz="0" w:space="0" w:color="auto"/>
                    <w:bottom w:val="none" w:sz="0" w:space="0" w:color="auto"/>
                    <w:right w:val="none" w:sz="0" w:space="0" w:color="auto"/>
                  </w:divBdr>
                  <w:divsChild>
                    <w:div w:id="778141545">
                      <w:marLeft w:val="0"/>
                      <w:marRight w:val="0"/>
                      <w:marTop w:val="0"/>
                      <w:marBottom w:val="0"/>
                      <w:divBdr>
                        <w:top w:val="none" w:sz="0" w:space="0" w:color="auto"/>
                        <w:left w:val="none" w:sz="0" w:space="0" w:color="auto"/>
                        <w:bottom w:val="none" w:sz="0" w:space="0" w:color="auto"/>
                        <w:right w:val="none" w:sz="0" w:space="0" w:color="auto"/>
                      </w:divBdr>
                    </w:div>
                  </w:divsChild>
                </w:div>
                <w:div w:id="446200146">
                  <w:marLeft w:val="0"/>
                  <w:marRight w:val="0"/>
                  <w:marTop w:val="0"/>
                  <w:marBottom w:val="0"/>
                  <w:divBdr>
                    <w:top w:val="none" w:sz="0" w:space="0" w:color="auto"/>
                    <w:left w:val="none" w:sz="0" w:space="0" w:color="auto"/>
                    <w:bottom w:val="none" w:sz="0" w:space="0" w:color="auto"/>
                    <w:right w:val="none" w:sz="0" w:space="0" w:color="auto"/>
                  </w:divBdr>
                  <w:divsChild>
                    <w:div w:id="645163456">
                      <w:marLeft w:val="0"/>
                      <w:marRight w:val="0"/>
                      <w:marTop w:val="0"/>
                      <w:marBottom w:val="0"/>
                      <w:divBdr>
                        <w:top w:val="none" w:sz="0" w:space="0" w:color="auto"/>
                        <w:left w:val="none" w:sz="0" w:space="0" w:color="auto"/>
                        <w:bottom w:val="none" w:sz="0" w:space="0" w:color="auto"/>
                        <w:right w:val="none" w:sz="0" w:space="0" w:color="auto"/>
                      </w:divBdr>
                    </w:div>
                  </w:divsChild>
                </w:div>
                <w:div w:id="476578484">
                  <w:marLeft w:val="0"/>
                  <w:marRight w:val="0"/>
                  <w:marTop w:val="0"/>
                  <w:marBottom w:val="0"/>
                  <w:divBdr>
                    <w:top w:val="none" w:sz="0" w:space="0" w:color="auto"/>
                    <w:left w:val="none" w:sz="0" w:space="0" w:color="auto"/>
                    <w:bottom w:val="none" w:sz="0" w:space="0" w:color="auto"/>
                    <w:right w:val="none" w:sz="0" w:space="0" w:color="auto"/>
                  </w:divBdr>
                  <w:divsChild>
                    <w:div w:id="856508098">
                      <w:marLeft w:val="0"/>
                      <w:marRight w:val="0"/>
                      <w:marTop w:val="0"/>
                      <w:marBottom w:val="0"/>
                      <w:divBdr>
                        <w:top w:val="none" w:sz="0" w:space="0" w:color="auto"/>
                        <w:left w:val="none" w:sz="0" w:space="0" w:color="auto"/>
                        <w:bottom w:val="none" w:sz="0" w:space="0" w:color="auto"/>
                        <w:right w:val="none" w:sz="0" w:space="0" w:color="auto"/>
                      </w:divBdr>
                    </w:div>
                  </w:divsChild>
                </w:div>
                <w:div w:id="492332596">
                  <w:marLeft w:val="0"/>
                  <w:marRight w:val="0"/>
                  <w:marTop w:val="0"/>
                  <w:marBottom w:val="0"/>
                  <w:divBdr>
                    <w:top w:val="none" w:sz="0" w:space="0" w:color="auto"/>
                    <w:left w:val="none" w:sz="0" w:space="0" w:color="auto"/>
                    <w:bottom w:val="none" w:sz="0" w:space="0" w:color="auto"/>
                    <w:right w:val="none" w:sz="0" w:space="0" w:color="auto"/>
                  </w:divBdr>
                  <w:divsChild>
                    <w:div w:id="1193105919">
                      <w:marLeft w:val="0"/>
                      <w:marRight w:val="0"/>
                      <w:marTop w:val="0"/>
                      <w:marBottom w:val="0"/>
                      <w:divBdr>
                        <w:top w:val="none" w:sz="0" w:space="0" w:color="auto"/>
                        <w:left w:val="none" w:sz="0" w:space="0" w:color="auto"/>
                        <w:bottom w:val="none" w:sz="0" w:space="0" w:color="auto"/>
                        <w:right w:val="none" w:sz="0" w:space="0" w:color="auto"/>
                      </w:divBdr>
                    </w:div>
                  </w:divsChild>
                </w:div>
                <w:div w:id="517356264">
                  <w:marLeft w:val="0"/>
                  <w:marRight w:val="0"/>
                  <w:marTop w:val="0"/>
                  <w:marBottom w:val="0"/>
                  <w:divBdr>
                    <w:top w:val="none" w:sz="0" w:space="0" w:color="auto"/>
                    <w:left w:val="none" w:sz="0" w:space="0" w:color="auto"/>
                    <w:bottom w:val="none" w:sz="0" w:space="0" w:color="auto"/>
                    <w:right w:val="none" w:sz="0" w:space="0" w:color="auto"/>
                  </w:divBdr>
                  <w:divsChild>
                    <w:div w:id="410589920">
                      <w:marLeft w:val="0"/>
                      <w:marRight w:val="0"/>
                      <w:marTop w:val="0"/>
                      <w:marBottom w:val="0"/>
                      <w:divBdr>
                        <w:top w:val="none" w:sz="0" w:space="0" w:color="auto"/>
                        <w:left w:val="none" w:sz="0" w:space="0" w:color="auto"/>
                        <w:bottom w:val="none" w:sz="0" w:space="0" w:color="auto"/>
                        <w:right w:val="none" w:sz="0" w:space="0" w:color="auto"/>
                      </w:divBdr>
                    </w:div>
                  </w:divsChild>
                </w:div>
                <w:div w:id="552888633">
                  <w:marLeft w:val="0"/>
                  <w:marRight w:val="0"/>
                  <w:marTop w:val="0"/>
                  <w:marBottom w:val="0"/>
                  <w:divBdr>
                    <w:top w:val="none" w:sz="0" w:space="0" w:color="auto"/>
                    <w:left w:val="none" w:sz="0" w:space="0" w:color="auto"/>
                    <w:bottom w:val="none" w:sz="0" w:space="0" w:color="auto"/>
                    <w:right w:val="none" w:sz="0" w:space="0" w:color="auto"/>
                  </w:divBdr>
                  <w:divsChild>
                    <w:div w:id="580256769">
                      <w:marLeft w:val="0"/>
                      <w:marRight w:val="0"/>
                      <w:marTop w:val="0"/>
                      <w:marBottom w:val="0"/>
                      <w:divBdr>
                        <w:top w:val="none" w:sz="0" w:space="0" w:color="auto"/>
                        <w:left w:val="none" w:sz="0" w:space="0" w:color="auto"/>
                        <w:bottom w:val="none" w:sz="0" w:space="0" w:color="auto"/>
                        <w:right w:val="none" w:sz="0" w:space="0" w:color="auto"/>
                      </w:divBdr>
                    </w:div>
                  </w:divsChild>
                </w:div>
                <w:div w:id="571239861">
                  <w:marLeft w:val="0"/>
                  <w:marRight w:val="0"/>
                  <w:marTop w:val="0"/>
                  <w:marBottom w:val="0"/>
                  <w:divBdr>
                    <w:top w:val="none" w:sz="0" w:space="0" w:color="auto"/>
                    <w:left w:val="none" w:sz="0" w:space="0" w:color="auto"/>
                    <w:bottom w:val="none" w:sz="0" w:space="0" w:color="auto"/>
                    <w:right w:val="none" w:sz="0" w:space="0" w:color="auto"/>
                  </w:divBdr>
                  <w:divsChild>
                    <w:div w:id="1630932397">
                      <w:marLeft w:val="0"/>
                      <w:marRight w:val="0"/>
                      <w:marTop w:val="0"/>
                      <w:marBottom w:val="0"/>
                      <w:divBdr>
                        <w:top w:val="none" w:sz="0" w:space="0" w:color="auto"/>
                        <w:left w:val="none" w:sz="0" w:space="0" w:color="auto"/>
                        <w:bottom w:val="none" w:sz="0" w:space="0" w:color="auto"/>
                        <w:right w:val="none" w:sz="0" w:space="0" w:color="auto"/>
                      </w:divBdr>
                    </w:div>
                  </w:divsChild>
                </w:div>
                <w:div w:id="597910450">
                  <w:marLeft w:val="0"/>
                  <w:marRight w:val="0"/>
                  <w:marTop w:val="0"/>
                  <w:marBottom w:val="0"/>
                  <w:divBdr>
                    <w:top w:val="none" w:sz="0" w:space="0" w:color="auto"/>
                    <w:left w:val="none" w:sz="0" w:space="0" w:color="auto"/>
                    <w:bottom w:val="none" w:sz="0" w:space="0" w:color="auto"/>
                    <w:right w:val="none" w:sz="0" w:space="0" w:color="auto"/>
                  </w:divBdr>
                  <w:divsChild>
                    <w:div w:id="237253616">
                      <w:marLeft w:val="0"/>
                      <w:marRight w:val="0"/>
                      <w:marTop w:val="0"/>
                      <w:marBottom w:val="0"/>
                      <w:divBdr>
                        <w:top w:val="none" w:sz="0" w:space="0" w:color="auto"/>
                        <w:left w:val="none" w:sz="0" w:space="0" w:color="auto"/>
                        <w:bottom w:val="none" w:sz="0" w:space="0" w:color="auto"/>
                        <w:right w:val="none" w:sz="0" w:space="0" w:color="auto"/>
                      </w:divBdr>
                    </w:div>
                  </w:divsChild>
                </w:div>
                <w:div w:id="614674491">
                  <w:marLeft w:val="0"/>
                  <w:marRight w:val="0"/>
                  <w:marTop w:val="0"/>
                  <w:marBottom w:val="0"/>
                  <w:divBdr>
                    <w:top w:val="none" w:sz="0" w:space="0" w:color="auto"/>
                    <w:left w:val="none" w:sz="0" w:space="0" w:color="auto"/>
                    <w:bottom w:val="none" w:sz="0" w:space="0" w:color="auto"/>
                    <w:right w:val="none" w:sz="0" w:space="0" w:color="auto"/>
                  </w:divBdr>
                  <w:divsChild>
                    <w:div w:id="1649286994">
                      <w:marLeft w:val="0"/>
                      <w:marRight w:val="0"/>
                      <w:marTop w:val="0"/>
                      <w:marBottom w:val="0"/>
                      <w:divBdr>
                        <w:top w:val="none" w:sz="0" w:space="0" w:color="auto"/>
                        <w:left w:val="none" w:sz="0" w:space="0" w:color="auto"/>
                        <w:bottom w:val="none" w:sz="0" w:space="0" w:color="auto"/>
                        <w:right w:val="none" w:sz="0" w:space="0" w:color="auto"/>
                      </w:divBdr>
                    </w:div>
                  </w:divsChild>
                </w:div>
                <w:div w:id="618029338">
                  <w:marLeft w:val="0"/>
                  <w:marRight w:val="0"/>
                  <w:marTop w:val="0"/>
                  <w:marBottom w:val="0"/>
                  <w:divBdr>
                    <w:top w:val="none" w:sz="0" w:space="0" w:color="auto"/>
                    <w:left w:val="none" w:sz="0" w:space="0" w:color="auto"/>
                    <w:bottom w:val="none" w:sz="0" w:space="0" w:color="auto"/>
                    <w:right w:val="none" w:sz="0" w:space="0" w:color="auto"/>
                  </w:divBdr>
                  <w:divsChild>
                    <w:div w:id="333142707">
                      <w:marLeft w:val="0"/>
                      <w:marRight w:val="0"/>
                      <w:marTop w:val="0"/>
                      <w:marBottom w:val="0"/>
                      <w:divBdr>
                        <w:top w:val="none" w:sz="0" w:space="0" w:color="auto"/>
                        <w:left w:val="none" w:sz="0" w:space="0" w:color="auto"/>
                        <w:bottom w:val="none" w:sz="0" w:space="0" w:color="auto"/>
                        <w:right w:val="none" w:sz="0" w:space="0" w:color="auto"/>
                      </w:divBdr>
                    </w:div>
                  </w:divsChild>
                </w:div>
                <w:div w:id="641813623">
                  <w:marLeft w:val="0"/>
                  <w:marRight w:val="0"/>
                  <w:marTop w:val="0"/>
                  <w:marBottom w:val="0"/>
                  <w:divBdr>
                    <w:top w:val="none" w:sz="0" w:space="0" w:color="auto"/>
                    <w:left w:val="none" w:sz="0" w:space="0" w:color="auto"/>
                    <w:bottom w:val="none" w:sz="0" w:space="0" w:color="auto"/>
                    <w:right w:val="none" w:sz="0" w:space="0" w:color="auto"/>
                  </w:divBdr>
                  <w:divsChild>
                    <w:div w:id="320039114">
                      <w:marLeft w:val="0"/>
                      <w:marRight w:val="0"/>
                      <w:marTop w:val="0"/>
                      <w:marBottom w:val="0"/>
                      <w:divBdr>
                        <w:top w:val="none" w:sz="0" w:space="0" w:color="auto"/>
                        <w:left w:val="none" w:sz="0" w:space="0" w:color="auto"/>
                        <w:bottom w:val="none" w:sz="0" w:space="0" w:color="auto"/>
                        <w:right w:val="none" w:sz="0" w:space="0" w:color="auto"/>
                      </w:divBdr>
                    </w:div>
                  </w:divsChild>
                </w:div>
                <w:div w:id="681396801">
                  <w:marLeft w:val="0"/>
                  <w:marRight w:val="0"/>
                  <w:marTop w:val="0"/>
                  <w:marBottom w:val="0"/>
                  <w:divBdr>
                    <w:top w:val="none" w:sz="0" w:space="0" w:color="auto"/>
                    <w:left w:val="none" w:sz="0" w:space="0" w:color="auto"/>
                    <w:bottom w:val="none" w:sz="0" w:space="0" w:color="auto"/>
                    <w:right w:val="none" w:sz="0" w:space="0" w:color="auto"/>
                  </w:divBdr>
                  <w:divsChild>
                    <w:div w:id="814643473">
                      <w:marLeft w:val="0"/>
                      <w:marRight w:val="0"/>
                      <w:marTop w:val="0"/>
                      <w:marBottom w:val="0"/>
                      <w:divBdr>
                        <w:top w:val="none" w:sz="0" w:space="0" w:color="auto"/>
                        <w:left w:val="none" w:sz="0" w:space="0" w:color="auto"/>
                        <w:bottom w:val="none" w:sz="0" w:space="0" w:color="auto"/>
                        <w:right w:val="none" w:sz="0" w:space="0" w:color="auto"/>
                      </w:divBdr>
                    </w:div>
                  </w:divsChild>
                </w:div>
                <w:div w:id="682129790">
                  <w:marLeft w:val="0"/>
                  <w:marRight w:val="0"/>
                  <w:marTop w:val="0"/>
                  <w:marBottom w:val="0"/>
                  <w:divBdr>
                    <w:top w:val="none" w:sz="0" w:space="0" w:color="auto"/>
                    <w:left w:val="none" w:sz="0" w:space="0" w:color="auto"/>
                    <w:bottom w:val="none" w:sz="0" w:space="0" w:color="auto"/>
                    <w:right w:val="none" w:sz="0" w:space="0" w:color="auto"/>
                  </w:divBdr>
                  <w:divsChild>
                    <w:div w:id="2038501154">
                      <w:marLeft w:val="0"/>
                      <w:marRight w:val="0"/>
                      <w:marTop w:val="0"/>
                      <w:marBottom w:val="0"/>
                      <w:divBdr>
                        <w:top w:val="none" w:sz="0" w:space="0" w:color="auto"/>
                        <w:left w:val="none" w:sz="0" w:space="0" w:color="auto"/>
                        <w:bottom w:val="none" w:sz="0" w:space="0" w:color="auto"/>
                        <w:right w:val="none" w:sz="0" w:space="0" w:color="auto"/>
                      </w:divBdr>
                    </w:div>
                  </w:divsChild>
                </w:div>
                <w:div w:id="693531057">
                  <w:marLeft w:val="0"/>
                  <w:marRight w:val="0"/>
                  <w:marTop w:val="0"/>
                  <w:marBottom w:val="0"/>
                  <w:divBdr>
                    <w:top w:val="none" w:sz="0" w:space="0" w:color="auto"/>
                    <w:left w:val="none" w:sz="0" w:space="0" w:color="auto"/>
                    <w:bottom w:val="none" w:sz="0" w:space="0" w:color="auto"/>
                    <w:right w:val="none" w:sz="0" w:space="0" w:color="auto"/>
                  </w:divBdr>
                  <w:divsChild>
                    <w:div w:id="252249863">
                      <w:marLeft w:val="0"/>
                      <w:marRight w:val="0"/>
                      <w:marTop w:val="0"/>
                      <w:marBottom w:val="0"/>
                      <w:divBdr>
                        <w:top w:val="none" w:sz="0" w:space="0" w:color="auto"/>
                        <w:left w:val="none" w:sz="0" w:space="0" w:color="auto"/>
                        <w:bottom w:val="none" w:sz="0" w:space="0" w:color="auto"/>
                        <w:right w:val="none" w:sz="0" w:space="0" w:color="auto"/>
                      </w:divBdr>
                    </w:div>
                  </w:divsChild>
                </w:div>
                <w:div w:id="698748639">
                  <w:marLeft w:val="0"/>
                  <w:marRight w:val="0"/>
                  <w:marTop w:val="0"/>
                  <w:marBottom w:val="0"/>
                  <w:divBdr>
                    <w:top w:val="none" w:sz="0" w:space="0" w:color="auto"/>
                    <w:left w:val="none" w:sz="0" w:space="0" w:color="auto"/>
                    <w:bottom w:val="none" w:sz="0" w:space="0" w:color="auto"/>
                    <w:right w:val="none" w:sz="0" w:space="0" w:color="auto"/>
                  </w:divBdr>
                  <w:divsChild>
                    <w:div w:id="442381163">
                      <w:marLeft w:val="0"/>
                      <w:marRight w:val="0"/>
                      <w:marTop w:val="0"/>
                      <w:marBottom w:val="0"/>
                      <w:divBdr>
                        <w:top w:val="none" w:sz="0" w:space="0" w:color="auto"/>
                        <w:left w:val="none" w:sz="0" w:space="0" w:color="auto"/>
                        <w:bottom w:val="none" w:sz="0" w:space="0" w:color="auto"/>
                        <w:right w:val="none" w:sz="0" w:space="0" w:color="auto"/>
                      </w:divBdr>
                    </w:div>
                  </w:divsChild>
                </w:div>
                <w:div w:id="701131352">
                  <w:marLeft w:val="0"/>
                  <w:marRight w:val="0"/>
                  <w:marTop w:val="0"/>
                  <w:marBottom w:val="0"/>
                  <w:divBdr>
                    <w:top w:val="none" w:sz="0" w:space="0" w:color="auto"/>
                    <w:left w:val="none" w:sz="0" w:space="0" w:color="auto"/>
                    <w:bottom w:val="none" w:sz="0" w:space="0" w:color="auto"/>
                    <w:right w:val="none" w:sz="0" w:space="0" w:color="auto"/>
                  </w:divBdr>
                  <w:divsChild>
                    <w:div w:id="1063915849">
                      <w:marLeft w:val="0"/>
                      <w:marRight w:val="0"/>
                      <w:marTop w:val="0"/>
                      <w:marBottom w:val="0"/>
                      <w:divBdr>
                        <w:top w:val="none" w:sz="0" w:space="0" w:color="auto"/>
                        <w:left w:val="none" w:sz="0" w:space="0" w:color="auto"/>
                        <w:bottom w:val="none" w:sz="0" w:space="0" w:color="auto"/>
                        <w:right w:val="none" w:sz="0" w:space="0" w:color="auto"/>
                      </w:divBdr>
                    </w:div>
                  </w:divsChild>
                </w:div>
                <w:div w:id="706754215">
                  <w:marLeft w:val="0"/>
                  <w:marRight w:val="0"/>
                  <w:marTop w:val="0"/>
                  <w:marBottom w:val="0"/>
                  <w:divBdr>
                    <w:top w:val="none" w:sz="0" w:space="0" w:color="auto"/>
                    <w:left w:val="none" w:sz="0" w:space="0" w:color="auto"/>
                    <w:bottom w:val="none" w:sz="0" w:space="0" w:color="auto"/>
                    <w:right w:val="none" w:sz="0" w:space="0" w:color="auto"/>
                  </w:divBdr>
                  <w:divsChild>
                    <w:div w:id="1351951450">
                      <w:marLeft w:val="0"/>
                      <w:marRight w:val="0"/>
                      <w:marTop w:val="0"/>
                      <w:marBottom w:val="0"/>
                      <w:divBdr>
                        <w:top w:val="none" w:sz="0" w:space="0" w:color="auto"/>
                        <w:left w:val="none" w:sz="0" w:space="0" w:color="auto"/>
                        <w:bottom w:val="none" w:sz="0" w:space="0" w:color="auto"/>
                        <w:right w:val="none" w:sz="0" w:space="0" w:color="auto"/>
                      </w:divBdr>
                    </w:div>
                  </w:divsChild>
                </w:div>
                <w:div w:id="718744200">
                  <w:marLeft w:val="0"/>
                  <w:marRight w:val="0"/>
                  <w:marTop w:val="0"/>
                  <w:marBottom w:val="0"/>
                  <w:divBdr>
                    <w:top w:val="none" w:sz="0" w:space="0" w:color="auto"/>
                    <w:left w:val="none" w:sz="0" w:space="0" w:color="auto"/>
                    <w:bottom w:val="none" w:sz="0" w:space="0" w:color="auto"/>
                    <w:right w:val="none" w:sz="0" w:space="0" w:color="auto"/>
                  </w:divBdr>
                  <w:divsChild>
                    <w:div w:id="915671112">
                      <w:marLeft w:val="0"/>
                      <w:marRight w:val="0"/>
                      <w:marTop w:val="0"/>
                      <w:marBottom w:val="0"/>
                      <w:divBdr>
                        <w:top w:val="none" w:sz="0" w:space="0" w:color="auto"/>
                        <w:left w:val="none" w:sz="0" w:space="0" w:color="auto"/>
                        <w:bottom w:val="none" w:sz="0" w:space="0" w:color="auto"/>
                        <w:right w:val="none" w:sz="0" w:space="0" w:color="auto"/>
                      </w:divBdr>
                    </w:div>
                  </w:divsChild>
                </w:div>
                <w:div w:id="802119521">
                  <w:marLeft w:val="0"/>
                  <w:marRight w:val="0"/>
                  <w:marTop w:val="0"/>
                  <w:marBottom w:val="0"/>
                  <w:divBdr>
                    <w:top w:val="none" w:sz="0" w:space="0" w:color="auto"/>
                    <w:left w:val="none" w:sz="0" w:space="0" w:color="auto"/>
                    <w:bottom w:val="none" w:sz="0" w:space="0" w:color="auto"/>
                    <w:right w:val="none" w:sz="0" w:space="0" w:color="auto"/>
                  </w:divBdr>
                  <w:divsChild>
                    <w:div w:id="1488131605">
                      <w:marLeft w:val="0"/>
                      <w:marRight w:val="0"/>
                      <w:marTop w:val="0"/>
                      <w:marBottom w:val="0"/>
                      <w:divBdr>
                        <w:top w:val="none" w:sz="0" w:space="0" w:color="auto"/>
                        <w:left w:val="none" w:sz="0" w:space="0" w:color="auto"/>
                        <w:bottom w:val="none" w:sz="0" w:space="0" w:color="auto"/>
                        <w:right w:val="none" w:sz="0" w:space="0" w:color="auto"/>
                      </w:divBdr>
                    </w:div>
                  </w:divsChild>
                </w:div>
                <w:div w:id="803737804">
                  <w:marLeft w:val="0"/>
                  <w:marRight w:val="0"/>
                  <w:marTop w:val="0"/>
                  <w:marBottom w:val="0"/>
                  <w:divBdr>
                    <w:top w:val="none" w:sz="0" w:space="0" w:color="auto"/>
                    <w:left w:val="none" w:sz="0" w:space="0" w:color="auto"/>
                    <w:bottom w:val="none" w:sz="0" w:space="0" w:color="auto"/>
                    <w:right w:val="none" w:sz="0" w:space="0" w:color="auto"/>
                  </w:divBdr>
                  <w:divsChild>
                    <w:div w:id="427652622">
                      <w:marLeft w:val="0"/>
                      <w:marRight w:val="0"/>
                      <w:marTop w:val="0"/>
                      <w:marBottom w:val="0"/>
                      <w:divBdr>
                        <w:top w:val="none" w:sz="0" w:space="0" w:color="auto"/>
                        <w:left w:val="none" w:sz="0" w:space="0" w:color="auto"/>
                        <w:bottom w:val="none" w:sz="0" w:space="0" w:color="auto"/>
                        <w:right w:val="none" w:sz="0" w:space="0" w:color="auto"/>
                      </w:divBdr>
                    </w:div>
                  </w:divsChild>
                </w:div>
                <w:div w:id="807817071">
                  <w:marLeft w:val="0"/>
                  <w:marRight w:val="0"/>
                  <w:marTop w:val="0"/>
                  <w:marBottom w:val="0"/>
                  <w:divBdr>
                    <w:top w:val="none" w:sz="0" w:space="0" w:color="auto"/>
                    <w:left w:val="none" w:sz="0" w:space="0" w:color="auto"/>
                    <w:bottom w:val="none" w:sz="0" w:space="0" w:color="auto"/>
                    <w:right w:val="none" w:sz="0" w:space="0" w:color="auto"/>
                  </w:divBdr>
                  <w:divsChild>
                    <w:div w:id="814831990">
                      <w:marLeft w:val="0"/>
                      <w:marRight w:val="0"/>
                      <w:marTop w:val="0"/>
                      <w:marBottom w:val="0"/>
                      <w:divBdr>
                        <w:top w:val="none" w:sz="0" w:space="0" w:color="auto"/>
                        <w:left w:val="none" w:sz="0" w:space="0" w:color="auto"/>
                        <w:bottom w:val="none" w:sz="0" w:space="0" w:color="auto"/>
                        <w:right w:val="none" w:sz="0" w:space="0" w:color="auto"/>
                      </w:divBdr>
                    </w:div>
                  </w:divsChild>
                </w:div>
                <w:div w:id="809709290">
                  <w:marLeft w:val="0"/>
                  <w:marRight w:val="0"/>
                  <w:marTop w:val="0"/>
                  <w:marBottom w:val="0"/>
                  <w:divBdr>
                    <w:top w:val="none" w:sz="0" w:space="0" w:color="auto"/>
                    <w:left w:val="none" w:sz="0" w:space="0" w:color="auto"/>
                    <w:bottom w:val="none" w:sz="0" w:space="0" w:color="auto"/>
                    <w:right w:val="none" w:sz="0" w:space="0" w:color="auto"/>
                  </w:divBdr>
                  <w:divsChild>
                    <w:div w:id="1180199217">
                      <w:marLeft w:val="0"/>
                      <w:marRight w:val="0"/>
                      <w:marTop w:val="0"/>
                      <w:marBottom w:val="0"/>
                      <w:divBdr>
                        <w:top w:val="none" w:sz="0" w:space="0" w:color="auto"/>
                        <w:left w:val="none" w:sz="0" w:space="0" w:color="auto"/>
                        <w:bottom w:val="none" w:sz="0" w:space="0" w:color="auto"/>
                        <w:right w:val="none" w:sz="0" w:space="0" w:color="auto"/>
                      </w:divBdr>
                    </w:div>
                  </w:divsChild>
                </w:div>
                <w:div w:id="827596774">
                  <w:marLeft w:val="0"/>
                  <w:marRight w:val="0"/>
                  <w:marTop w:val="0"/>
                  <w:marBottom w:val="0"/>
                  <w:divBdr>
                    <w:top w:val="none" w:sz="0" w:space="0" w:color="auto"/>
                    <w:left w:val="none" w:sz="0" w:space="0" w:color="auto"/>
                    <w:bottom w:val="none" w:sz="0" w:space="0" w:color="auto"/>
                    <w:right w:val="none" w:sz="0" w:space="0" w:color="auto"/>
                  </w:divBdr>
                  <w:divsChild>
                    <w:div w:id="855458105">
                      <w:marLeft w:val="0"/>
                      <w:marRight w:val="0"/>
                      <w:marTop w:val="0"/>
                      <w:marBottom w:val="0"/>
                      <w:divBdr>
                        <w:top w:val="none" w:sz="0" w:space="0" w:color="auto"/>
                        <w:left w:val="none" w:sz="0" w:space="0" w:color="auto"/>
                        <w:bottom w:val="none" w:sz="0" w:space="0" w:color="auto"/>
                        <w:right w:val="none" w:sz="0" w:space="0" w:color="auto"/>
                      </w:divBdr>
                    </w:div>
                  </w:divsChild>
                </w:div>
                <w:div w:id="832993100">
                  <w:marLeft w:val="0"/>
                  <w:marRight w:val="0"/>
                  <w:marTop w:val="0"/>
                  <w:marBottom w:val="0"/>
                  <w:divBdr>
                    <w:top w:val="none" w:sz="0" w:space="0" w:color="auto"/>
                    <w:left w:val="none" w:sz="0" w:space="0" w:color="auto"/>
                    <w:bottom w:val="none" w:sz="0" w:space="0" w:color="auto"/>
                    <w:right w:val="none" w:sz="0" w:space="0" w:color="auto"/>
                  </w:divBdr>
                  <w:divsChild>
                    <w:div w:id="1197691504">
                      <w:marLeft w:val="0"/>
                      <w:marRight w:val="0"/>
                      <w:marTop w:val="0"/>
                      <w:marBottom w:val="0"/>
                      <w:divBdr>
                        <w:top w:val="none" w:sz="0" w:space="0" w:color="auto"/>
                        <w:left w:val="none" w:sz="0" w:space="0" w:color="auto"/>
                        <w:bottom w:val="none" w:sz="0" w:space="0" w:color="auto"/>
                        <w:right w:val="none" w:sz="0" w:space="0" w:color="auto"/>
                      </w:divBdr>
                    </w:div>
                  </w:divsChild>
                </w:div>
                <w:div w:id="838544802">
                  <w:marLeft w:val="0"/>
                  <w:marRight w:val="0"/>
                  <w:marTop w:val="0"/>
                  <w:marBottom w:val="0"/>
                  <w:divBdr>
                    <w:top w:val="none" w:sz="0" w:space="0" w:color="auto"/>
                    <w:left w:val="none" w:sz="0" w:space="0" w:color="auto"/>
                    <w:bottom w:val="none" w:sz="0" w:space="0" w:color="auto"/>
                    <w:right w:val="none" w:sz="0" w:space="0" w:color="auto"/>
                  </w:divBdr>
                  <w:divsChild>
                    <w:div w:id="1126309534">
                      <w:marLeft w:val="0"/>
                      <w:marRight w:val="0"/>
                      <w:marTop w:val="0"/>
                      <w:marBottom w:val="0"/>
                      <w:divBdr>
                        <w:top w:val="none" w:sz="0" w:space="0" w:color="auto"/>
                        <w:left w:val="none" w:sz="0" w:space="0" w:color="auto"/>
                        <w:bottom w:val="none" w:sz="0" w:space="0" w:color="auto"/>
                        <w:right w:val="none" w:sz="0" w:space="0" w:color="auto"/>
                      </w:divBdr>
                    </w:div>
                  </w:divsChild>
                </w:div>
                <w:div w:id="846404853">
                  <w:marLeft w:val="0"/>
                  <w:marRight w:val="0"/>
                  <w:marTop w:val="0"/>
                  <w:marBottom w:val="0"/>
                  <w:divBdr>
                    <w:top w:val="none" w:sz="0" w:space="0" w:color="auto"/>
                    <w:left w:val="none" w:sz="0" w:space="0" w:color="auto"/>
                    <w:bottom w:val="none" w:sz="0" w:space="0" w:color="auto"/>
                    <w:right w:val="none" w:sz="0" w:space="0" w:color="auto"/>
                  </w:divBdr>
                  <w:divsChild>
                    <w:div w:id="700740961">
                      <w:marLeft w:val="0"/>
                      <w:marRight w:val="0"/>
                      <w:marTop w:val="0"/>
                      <w:marBottom w:val="0"/>
                      <w:divBdr>
                        <w:top w:val="none" w:sz="0" w:space="0" w:color="auto"/>
                        <w:left w:val="none" w:sz="0" w:space="0" w:color="auto"/>
                        <w:bottom w:val="none" w:sz="0" w:space="0" w:color="auto"/>
                        <w:right w:val="none" w:sz="0" w:space="0" w:color="auto"/>
                      </w:divBdr>
                    </w:div>
                  </w:divsChild>
                </w:div>
                <w:div w:id="852648382">
                  <w:marLeft w:val="0"/>
                  <w:marRight w:val="0"/>
                  <w:marTop w:val="0"/>
                  <w:marBottom w:val="0"/>
                  <w:divBdr>
                    <w:top w:val="none" w:sz="0" w:space="0" w:color="auto"/>
                    <w:left w:val="none" w:sz="0" w:space="0" w:color="auto"/>
                    <w:bottom w:val="none" w:sz="0" w:space="0" w:color="auto"/>
                    <w:right w:val="none" w:sz="0" w:space="0" w:color="auto"/>
                  </w:divBdr>
                  <w:divsChild>
                    <w:div w:id="759373284">
                      <w:marLeft w:val="0"/>
                      <w:marRight w:val="0"/>
                      <w:marTop w:val="0"/>
                      <w:marBottom w:val="0"/>
                      <w:divBdr>
                        <w:top w:val="none" w:sz="0" w:space="0" w:color="auto"/>
                        <w:left w:val="none" w:sz="0" w:space="0" w:color="auto"/>
                        <w:bottom w:val="none" w:sz="0" w:space="0" w:color="auto"/>
                        <w:right w:val="none" w:sz="0" w:space="0" w:color="auto"/>
                      </w:divBdr>
                    </w:div>
                  </w:divsChild>
                </w:div>
                <w:div w:id="852917813">
                  <w:marLeft w:val="0"/>
                  <w:marRight w:val="0"/>
                  <w:marTop w:val="0"/>
                  <w:marBottom w:val="0"/>
                  <w:divBdr>
                    <w:top w:val="none" w:sz="0" w:space="0" w:color="auto"/>
                    <w:left w:val="none" w:sz="0" w:space="0" w:color="auto"/>
                    <w:bottom w:val="none" w:sz="0" w:space="0" w:color="auto"/>
                    <w:right w:val="none" w:sz="0" w:space="0" w:color="auto"/>
                  </w:divBdr>
                  <w:divsChild>
                    <w:div w:id="2114395673">
                      <w:marLeft w:val="0"/>
                      <w:marRight w:val="0"/>
                      <w:marTop w:val="0"/>
                      <w:marBottom w:val="0"/>
                      <w:divBdr>
                        <w:top w:val="none" w:sz="0" w:space="0" w:color="auto"/>
                        <w:left w:val="none" w:sz="0" w:space="0" w:color="auto"/>
                        <w:bottom w:val="none" w:sz="0" w:space="0" w:color="auto"/>
                        <w:right w:val="none" w:sz="0" w:space="0" w:color="auto"/>
                      </w:divBdr>
                    </w:div>
                  </w:divsChild>
                </w:div>
                <w:div w:id="861554441">
                  <w:marLeft w:val="0"/>
                  <w:marRight w:val="0"/>
                  <w:marTop w:val="0"/>
                  <w:marBottom w:val="0"/>
                  <w:divBdr>
                    <w:top w:val="none" w:sz="0" w:space="0" w:color="auto"/>
                    <w:left w:val="none" w:sz="0" w:space="0" w:color="auto"/>
                    <w:bottom w:val="none" w:sz="0" w:space="0" w:color="auto"/>
                    <w:right w:val="none" w:sz="0" w:space="0" w:color="auto"/>
                  </w:divBdr>
                  <w:divsChild>
                    <w:div w:id="357662090">
                      <w:marLeft w:val="0"/>
                      <w:marRight w:val="0"/>
                      <w:marTop w:val="0"/>
                      <w:marBottom w:val="0"/>
                      <w:divBdr>
                        <w:top w:val="none" w:sz="0" w:space="0" w:color="auto"/>
                        <w:left w:val="none" w:sz="0" w:space="0" w:color="auto"/>
                        <w:bottom w:val="none" w:sz="0" w:space="0" w:color="auto"/>
                        <w:right w:val="none" w:sz="0" w:space="0" w:color="auto"/>
                      </w:divBdr>
                    </w:div>
                  </w:divsChild>
                </w:div>
                <w:div w:id="862131950">
                  <w:marLeft w:val="0"/>
                  <w:marRight w:val="0"/>
                  <w:marTop w:val="0"/>
                  <w:marBottom w:val="0"/>
                  <w:divBdr>
                    <w:top w:val="none" w:sz="0" w:space="0" w:color="auto"/>
                    <w:left w:val="none" w:sz="0" w:space="0" w:color="auto"/>
                    <w:bottom w:val="none" w:sz="0" w:space="0" w:color="auto"/>
                    <w:right w:val="none" w:sz="0" w:space="0" w:color="auto"/>
                  </w:divBdr>
                  <w:divsChild>
                    <w:div w:id="865757366">
                      <w:marLeft w:val="0"/>
                      <w:marRight w:val="0"/>
                      <w:marTop w:val="0"/>
                      <w:marBottom w:val="0"/>
                      <w:divBdr>
                        <w:top w:val="none" w:sz="0" w:space="0" w:color="auto"/>
                        <w:left w:val="none" w:sz="0" w:space="0" w:color="auto"/>
                        <w:bottom w:val="none" w:sz="0" w:space="0" w:color="auto"/>
                        <w:right w:val="none" w:sz="0" w:space="0" w:color="auto"/>
                      </w:divBdr>
                    </w:div>
                  </w:divsChild>
                </w:div>
                <w:div w:id="881332483">
                  <w:marLeft w:val="0"/>
                  <w:marRight w:val="0"/>
                  <w:marTop w:val="0"/>
                  <w:marBottom w:val="0"/>
                  <w:divBdr>
                    <w:top w:val="none" w:sz="0" w:space="0" w:color="auto"/>
                    <w:left w:val="none" w:sz="0" w:space="0" w:color="auto"/>
                    <w:bottom w:val="none" w:sz="0" w:space="0" w:color="auto"/>
                    <w:right w:val="none" w:sz="0" w:space="0" w:color="auto"/>
                  </w:divBdr>
                  <w:divsChild>
                    <w:div w:id="71515201">
                      <w:marLeft w:val="0"/>
                      <w:marRight w:val="0"/>
                      <w:marTop w:val="0"/>
                      <w:marBottom w:val="0"/>
                      <w:divBdr>
                        <w:top w:val="none" w:sz="0" w:space="0" w:color="auto"/>
                        <w:left w:val="none" w:sz="0" w:space="0" w:color="auto"/>
                        <w:bottom w:val="none" w:sz="0" w:space="0" w:color="auto"/>
                        <w:right w:val="none" w:sz="0" w:space="0" w:color="auto"/>
                      </w:divBdr>
                    </w:div>
                  </w:divsChild>
                </w:div>
                <w:div w:id="881400331">
                  <w:marLeft w:val="0"/>
                  <w:marRight w:val="0"/>
                  <w:marTop w:val="0"/>
                  <w:marBottom w:val="0"/>
                  <w:divBdr>
                    <w:top w:val="none" w:sz="0" w:space="0" w:color="auto"/>
                    <w:left w:val="none" w:sz="0" w:space="0" w:color="auto"/>
                    <w:bottom w:val="none" w:sz="0" w:space="0" w:color="auto"/>
                    <w:right w:val="none" w:sz="0" w:space="0" w:color="auto"/>
                  </w:divBdr>
                  <w:divsChild>
                    <w:div w:id="40905228">
                      <w:marLeft w:val="0"/>
                      <w:marRight w:val="0"/>
                      <w:marTop w:val="0"/>
                      <w:marBottom w:val="0"/>
                      <w:divBdr>
                        <w:top w:val="none" w:sz="0" w:space="0" w:color="auto"/>
                        <w:left w:val="none" w:sz="0" w:space="0" w:color="auto"/>
                        <w:bottom w:val="none" w:sz="0" w:space="0" w:color="auto"/>
                        <w:right w:val="none" w:sz="0" w:space="0" w:color="auto"/>
                      </w:divBdr>
                    </w:div>
                  </w:divsChild>
                </w:div>
                <w:div w:id="912550095">
                  <w:marLeft w:val="0"/>
                  <w:marRight w:val="0"/>
                  <w:marTop w:val="0"/>
                  <w:marBottom w:val="0"/>
                  <w:divBdr>
                    <w:top w:val="none" w:sz="0" w:space="0" w:color="auto"/>
                    <w:left w:val="none" w:sz="0" w:space="0" w:color="auto"/>
                    <w:bottom w:val="none" w:sz="0" w:space="0" w:color="auto"/>
                    <w:right w:val="none" w:sz="0" w:space="0" w:color="auto"/>
                  </w:divBdr>
                  <w:divsChild>
                    <w:div w:id="1783573705">
                      <w:marLeft w:val="0"/>
                      <w:marRight w:val="0"/>
                      <w:marTop w:val="0"/>
                      <w:marBottom w:val="0"/>
                      <w:divBdr>
                        <w:top w:val="none" w:sz="0" w:space="0" w:color="auto"/>
                        <w:left w:val="none" w:sz="0" w:space="0" w:color="auto"/>
                        <w:bottom w:val="none" w:sz="0" w:space="0" w:color="auto"/>
                        <w:right w:val="none" w:sz="0" w:space="0" w:color="auto"/>
                      </w:divBdr>
                    </w:div>
                  </w:divsChild>
                </w:div>
                <w:div w:id="914240098">
                  <w:marLeft w:val="0"/>
                  <w:marRight w:val="0"/>
                  <w:marTop w:val="0"/>
                  <w:marBottom w:val="0"/>
                  <w:divBdr>
                    <w:top w:val="none" w:sz="0" w:space="0" w:color="auto"/>
                    <w:left w:val="none" w:sz="0" w:space="0" w:color="auto"/>
                    <w:bottom w:val="none" w:sz="0" w:space="0" w:color="auto"/>
                    <w:right w:val="none" w:sz="0" w:space="0" w:color="auto"/>
                  </w:divBdr>
                  <w:divsChild>
                    <w:div w:id="1528833718">
                      <w:marLeft w:val="0"/>
                      <w:marRight w:val="0"/>
                      <w:marTop w:val="0"/>
                      <w:marBottom w:val="0"/>
                      <w:divBdr>
                        <w:top w:val="none" w:sz="0" w:space="0" w:color="auto"/>
                        <w:left w:val="none" w:sz="0" w:space="0" w:color="auto"/>
                        <w:bottom w:val="none" w:sz="0" w:space="0" w:color="auto"/>
                        <w:right w:val="none" w:sz="0" w:space="0" w:color="auto"/>
                      </w:divBdr>
                    </w:div>
                  </w:divsChild>
                </w:div>
                <w:div w:id="965231473">
                  <w:marLeft w:val="0"/>
                  <w:marRight w:val="0"/>
                  <w:marTop w:val="0"/>
                  <w:marBottom w:val="0"/>
                  <w:divBdr>
                    <w:top w:val="none" w:sz="0" w:space="0" w:color="auto"/>
                    <w:left w:val="none" w:sz="0" w:space="0" w:color="auto"/>
                    <w:bottom w:val="none" w:sz="0" w:space="0" w:color="auto"/>
                    <w:right w:val="none" w:sz="0" w:space="0" w:color="auto"/>
                  </w:divBdr>
                  <w:divsChild>
                    <w:div w:id="1462990434">
                      <w:marLeft w:val="0"/>
                      <w:marRight w:val="0"/>
                      <w:marTop w:val="0"/>
                      <w:marBottom w:val="0"/>
                      <w:divBdr>
                        <w:top w:val="none" w:sz="0" w:space="0" w:color="auto"/>
                        <w:left w:val="none" w:sz="0" w:space="0" w:color="auto"/>
                        <w:bottom w:val="none" w:sz="0" w:space="0" w:color="auto"/>
                        <w:right w:val="none" w:sz="0" w:space="0" w:color="auto"/>
                      </w:divBdr>
                    </w:div>
                  </w:divsChild>
                </w:div>
                <w:div w:id="967272652">
                  <w:marLeft w:val="0"/>
                  <w:marRight w:val="0"/>
                  <w:marTop w:val="0"/>
                  <w:marBottom w:val="0"/>
                  <w:divBdr>
                    <w:top w:val="none" w:sz="0" w:space="0" w:color="auto"/>
                    <w:left w:val="none" w:sz="0" w:space="0" w:color="auto"/>
                    <w:bottom w:val="none" w:sz="0" w:space="0" w:color="auto"/>
                    <w:right w:val="none" w:sz="0" w:space="0" w:color="auto"/>
                  </w:divBdr>
                  <w:divsChild>
                    <w:div w:id="573591489">
                      <w:marLeft w:val="0"/>
                      <w:marRight w:val="0"/>
                      <w:marTop w:val="0"/>
                      <w:marBottom w:val="0"/>
                      <w:divBdr>
                        <w:top w:val="none" w:sz="0" w:space="0" w:color="auto"/>
                        <w:left w:val="none" w:sz="0" w:space="0" w:color="auto"/>
                        <w:bottom w:val="none" w:sz="0" w:space="0" w:color="auto"/>
                        <w:right w:val="none" w:sz="0" w:space="0" w:color="auto"/>
                      </w:divBdr>
                    </w:div>
                  </w:divsChild>
                </w:div>
                <w:div w:id="989560094">
                  <w:marLeft w:val="0"/>
                  <w:marRight w:val="0"/>
                  <w:marTop w:val="0"/>
                  <w:marBottom w:val="0"/>
                  <w:divBdr>
                    <w:top w:val="none" w:sz="0" w:space="0" w:color="auto"/>
                    <w:left w:val="none" w:sz="0" w:space="0" w:color="auto"/>
                    <w:bottom w:val="none" w:sz="0" w:space="0" w:color="auto"/>
                    <w:right w:val="none" w:sz="0" w:space="0" w:color="auto"/>
                  </w:divBdr>
                  <w:divsChild>
                    <w:div w:id="1163661865">
                      <w:marLeft w:val="0"/>
                      <w:marRight w:val="0"/>
                      <w:marTop w:val="0"/>
                      <w:marBottom w:val="0"/>
                      <w:divBdr>
                        <w:top w:val="none" w:sz="0" w:space="0" w:color="auto"/>
                        <w:left w:val="none" w:sz="0" w:space="0" w:color="auto"/>
                        <w:bottom w:val="none" w:sz="0" w:space="0" w:color="auto"/>
                        <w:right w:val="none" w:sz="0" w:space="0" w:color="auto"/>
                      </w:divBdr>
                    </w:div>
                  </w:divsChild>
                </w:div>
                <w:div w:id="1012873893">
                  <w:marLeft w:val="0"/>
                  <w:marRight w:val="0"/>
                  <w:marTop w:val="0"/>
                  <w:marBottom w:val="0"/>
                  <w:divBdr>
                    <w:top w:val="none" w:sz="0" w:space="0" w:color="auto"/>
                    <w:left w:val="none" w:sz="0" w:space="0" w:color="auto"/>
                    <w:bottom w:val="none" w:sz="0" w:space="0" w:color="auto"/>
                    <w:right w:val="none" w:sz="0" w:space="0" w:color="auto"/>
                  </w:divBdr>
                  <w:divsChild>
                    <w:div w:id="2014453437">
                      <w:marLeft w:val="0"/>
                      <w:marRight w:val="0"/>
                      <w:marTop w:val="0"/>
                      <w:marBottom w:val="0"/>
                      <w:divBdr>
                        <w:top w:val="none" w:sz="0" w:space="0" w:color="auto"/>
                        <w:left w:val="none" w:sz="0" w:space="0" w:color="auto"/>
                        <w:bottom w:val="none" w:sz="0" w:space="0" w:color="auto"/>
                        <w:right w:val="none" w:sz="0" w:space="0" w:color="auto"/>
                      </w:divBdr>
                    </w:div>
                  </w:divsChild>
                </w:div>
                <w:div w:id="1021125795">
                  <w:marLeft w:val="0"/>
                  <w:marRight w:val="0"/>
                  <w:marTop w:val="0"/>
                  <w:marBottom w:val="0"/>
                  <w:divBdr>
                    <w:top w:val="none" w:sz="0" w:space="0" w:color="auto"/>
                    <w:left w:val="none" w:sz="0" w:space="0" w:color="auto"/>
                    <w:bottom w:val="none" w:sz="0" w:space="0" w:color="auto"/>
                    <w:right w:val="none" w:sz="0" w:space="0" w:color="auto"/>
                  </w:divBdr>
                  <w:divsChild>
                    <w:div w:id="1770084560">
                      <w:marLeft w:val="0"/>
                      <w:marRight w:val="0"/>
                      <w:marTop w:val="0"/>
                      <w:marBottom w:val="0"/>
                      <w:divBdr>
                        <w:top w:val="none" w:sz="0" w:space="0" w:color="auto"/>
                        <w:left w:val="none" w:sz="0" w:space="0" w:color="auto"/>
                        <w:bottom w:val="none" w:sz="0" w:space="0" w:color="auto"/>
                        <w:right w:val="none" w:sz="0" w:space="0" w:color="auto"/>
                      </w:divBdr>
                    </w:div>
                  </w:divsChild>
                </w:div>
                <w:div w:id="1034620968">
                  <w:marLeft w:val="0"/>
                  <w:marRight w:val="0"/>
                  <w:marTop w:val="0"/>
                  <w:marBottom w:val="0"/>
                  <w:divBdr>
                    <w:top w:val="none" w:sz="0" w:space="0" w:color="auto"/>
                    <w:left w:val="none" w:sz="0" w:space="0" w:color="auto"/>
                    <w:bottom w:val="none" w:sz="0" w:space="0" w:color="auto"/>
                    <w:right w:val="none" w:sz="0" w:space="0" w:color="auto"/>
                  </w:divBdr>
                  <w:divsChild>
                    <w:div w:id="859466371">
                      <w:marLeft w:val="0"/>
                      <w:marRight w:val="0"/>
                      <w:marTop w:val="0"/>
                      <w:marBottom w:val="0"/>
                      <w:divBdr>
                        <w:top w:val="none" w:sz="0" w:space="0" w:color="auto"/>
                        <w:left w:val="none" w:sz="0" w:space="0" w:color="auto"/>
                        <w:bottom w:val="none" w:sz="0" w:space="0" w:color="auto"/>
                        <w:right w:val="none" w:sz="0" w:space="0" w:color="auto"/>
                      </w:divBdr>
                    </w:div>
                  </w:divsChild>
                </w:div>
                <w:div w:id="1040862449">
                  <w:marLeft w:val="0"/>
                  <w:marRight w:val="0"/>
                  <w:marTop w:val="0"/>
                  <w:marBottom w:val="0"/>
                  <w:divBdr>
                    <w:top w:val="none" w:sz="0" w:space="0" w:color="auto"/>
                    <w:left w:val="none" w:sz="0" w:space="0" w:color="auto"/>
                    <w:bottom w:val="none" w:sz="0" w:space="0" w:color="auto"/>
                    <w:right w:val="none" w:sz="0" w:space="0" w:color="auto"/>
                  </w:divBdr>
                  <w:divsChild>
                    <w:div w:id="95945576">
                      <w:marLeft w:val="0"/>
                      <w:marRight w:val="0"/>
                      <w:marTop w:val="0"/>
                      <w:marBottom w:val="0"/>
                      <w:divBdr>
                        <w:top w:val="none" w:sz="0" w:space="0" w:color="auto"/>
                        <w:left w:val="none" w:sz="0" w:space="0" w:color="auto"/>
                        <w:bottom w:val="none" w:sz="0" w:space="0" w:color="auto"/>
                        <w:right w:val="none" w:sz="0" w:space="0" w:color="auto"/>
                      </w:divBdr>
                    </w:div>
                  </w:divsChild>
                </w:div>
                <w:div w:id="1066303158">
                  <w:marLeft w:val="0"/>
                  <w:marRight w:val="0"/>
                  <w:marTop w:val="0"/>
                  <w:marBottom w:val="0"/>
                  <w:divBdr>
                    <w:top w:val="none" w:sz="0" w:space="0" w:color="auto"/>
                    <w:left w:val="none" w:sz="0" w:space="0" w:color="auto"/>
                    <w:bottom w:val="none" w:sz="0" w:space="0" w:color="auto"/>
                    <w:right w:val="none" w:sz="0" w:space="0" w:color="auto"/>
                  </w:divBdr>
                  <w:divsChild>
                    <w:div w:id="458650327">
                      <w:marLeft w:val="0"/>
                      <w:marRight w:val="0"/>
                      <w:marTop w:val="0"/>
                      <w:marBottom w:val="0"/>
                      <w:divBdr>
                        <w:top w:val="none" w:sz="0" w:space="0" w:color="auto"/>
                        <w:left w:val="none" w:sz="0" w:space="0" w:color="auto"/>
                        <w:bottom w:val="none" w:sz="0" w:space="0" w:color="auto"/>
                        <w:right w:val="none" w:sz="0" w:space="0" w:color="auto"/>
                      </w:divBdr>
                    </w:div>
                  </w:divsChild>
                </w:div>
                <w:div w:id="1087531102">
                  <w:marLeft w:val="0"/>
                  <w:marRight w:val="0"/>
                  <w:marTop w:val="0"/>
                  <w:marBottom w:val="0"/>
                  <w:divBdr>
                    <w:top w:val="none" w:sz="0" w:space="0" w:color="auto"/>
                    <w:left w:val="none" w:sz="0" w:space="0" w:color="auto"/>
                    <w:bottom w:val="none" w:sz="0" w:space="0" w:color="auto"/>
                    <w:right w:val="none" w:sz="0" w:space="0" w:color="auto"/>
                  </w:divBdr>
                  <w:divsChild>
                    <w:div w:id="1311522915">
                      <w:marLeft w:val="0"/>
                      <w:marRight w:val="0"/>
                      <w:marTop w:val="0"/>
                      <w:marBottom w:val="0"/>
                      <w:divBdr>
                        <w:top w:val="none" w:sz="0" w:space="0" w:color="auto"/>
                        <w:left w:val="none" w:sz="0" w:space="0" w:color="auto"/>
                        <w:bottom w:val="none" w:sz="0" w:space="0" w:color="auto"/>
                        <w:right w:val="none" w:sz="0" w:space="0" w:color="auto"/>
                      </w:divBdr>
                    </w:div>
                  </w:divsChild>
                </w:div>
                <w:div w:id="1109545793">
                  <w:marLeft w:val="0"/>
                  <w:marRight w:val="0"/>
                  <w:marTop w:val="0"/>
                  <w:marBottom w:val="0"/>
                  <w:divBdr>
                    <w:top w:val="none" w:sz="0" w:space="0" w:color="auto"/>
                    <w:left w:val="none" w:sz="0" w:space="0" w:color="auto"/>
                    <w:bottom w:val="none" w:sz="0" w:space="0" w:color="auto"/>
                    <w:right w:val="none" w:sz="0" w:space="0" w:color="auto"/>
                  </w:divBdr>
                  <w:divsChild>
                    <w:div w:id="780338888">
                      <w:marLeft w:val="0"/>
                      <w:marRight w:val="0"/>
                      <w:marTop w:val="0"/>
                      <w:marBottom w:val="0"/>
                      <w:divBdr>
                        <w:top w:val="none" w:sz="0" w:space="0" w:color="auto"/>
                        <w:left w:val="none" w:sz="0" w:space="0" w:color="auto"/>
                        <w:bottom w:val="none" w:sz="0" w:space="0" w:color="auto"/>
                        <w:right w:val="none" w:sz="0" w:space="0" w:color="auto"/>
                      </w:divBdr>
                    </w:div>
                  </w:divsChild>
                </w:div>
                <w:div w:id="1167749225">
                  <w:marLeft w:val="0"/>
                  <w:marRight w:val="0"/>
                  <w:marTop w:val="0"/>
                  <w:marBottom w:val="0"/>
                  <w:divBdr>
                    <w:top w:val="none" w:sz="0" w:space="0" w:color="auto"/>
                    <w:left w:val="none" w:sz="0" w:space="0" w:color="auto"/>
                    <w:bottom w:val="none" w:sz="0" w:space="0" w:color="auto"/>
                    <w:right w:val="none" w:sz="0" w:space="0" w:color="auto"/>
                  </w:divBdr>
                  <w:divsChild>
                    <w:div w:id="309480809">
                      <w:marLeft w:val="0"/>
                      <w:marRight w:val="0"/>
                      <w:marTop w:val="0"/>
                      <w:marBottom w:val="0"/>
                      <w:divBdr>
                        <w:top w:val="none" w:sz="0" w:space="0" w:color="auto"/>
                        <w:left w:val="none" w:sz="0" w:space="0" w:color="auto"/>
                        <w:bottom w:val="none" w:sz="0" w:space="0" w:color="auto"/>
                        <w:right w:val="none" w:sz="0" w:space="0" w:color="auto"/>
                      </w:divBdr>
                    </w:div>
                  </w:divsChild>
                </w:div>
                <w:div w:id="1168448187">
                  <w:marLeft w:val="0"/>
                  <w:marRight w:val="0"/>
                  <w:marTop w:val="0"/>
                  <w:marBottom w:val="0"/>
                  <w:divBdr>
                    <w:top w:val="none" w:sz="0" w:space="0" w:color="auto"/>
                    <w:left w:val="none" w:sz="0" w:space="0" w:color="auto"/>
                    <w:bottom w:val="none" w:sz="0" w:space="0" w:color="auto"/>
                    <w:right w:val="none" w:sz="0" w:space="0" w:color="auto"/>
                  </w:divBdr>
                  <w:divsChild>
                    <w:div w:id="556628068">
                      <w:marLeft w:val="0"/>
                      <w:marRight w:val="0"/>
                      <w:marTop w:val="0"/>
                      <w:marBottom w:val="0"/>
                      <w:divBdr>
                        <w:top w:val="none" w:sz="0" w:space="0" w:color="auto"/>
                        <w:left w:val="none" w:sz="0" w:space="0" w:color="auto"/>
                        <w:bottom w:val="none" w:sz="0" w:space="0" w:color="auto"/>
                        <w:right w:val="none" w:sz="0" w:space="0" w:color="auto"/>
                      </w:divBdr>
                    </w:div>
                  </w:divsChild>
                </w:div>
                <w:div w:id="1172337506">
                  <w:marLeft w:val="0"/>
                  <w:marRight w:val="0"/>
                  <w:marTop w:val="0"/>
                  <w:marBottom w:val="0"/>
                  <w:divBdr>
                    <w:top w:val="none" w:sz="0" w:space="0" w:color="auto"/>
                    <w:left w:val="none" w:sz="0" w:space="0" w:color="auto"/>
                    <w:bottom w:val="none" w:sz="0" w:space="0" w:color="auto"/>
                    <w:right w:val="none" w:sz="0" w:space="0" w:color="auto"/>
                  </w:divBdr>
                  <w:divsChild>
                    <w:div w:id="942227192">
                      <w:marLeft w:val="0"/>
                      <w:marRight w:val="0"/>
                      <w:marTop w:val="0"/>
                      <w:marBottom w:val="0"/>
                      <w:divBdr>
                        <w:top w:val="none" w:sz="0" w:space="0" w:color="auto"/>
                        <w:left w:val="none" w:sz="0" w:space="0" w:color="auto"/>
                        <w:bottom w:val="none" w:sz="0" w:space="0" w:color="auto"/>
                        <w:right w:val="none" w:sz="0" w:space="0" w:color="auto"/>
                      </w:divBdr>
                    </w:div>
                  </w:divsChild>
                </w:div>
                <w:div w:id="1183671511">
                  <w:marLeft w:val="0"/>
                  <w:marRight w:val="0"/>
                  <w:marTop w:val="0"/>
                  <w:marBottom w:val="0"/>
                  <w:divBdr>
                    <w:top w:val="none" w:sz="0" w:space="0" w:color="auto"/>
                    <w:left w:val="none" w:sz="0" w:space="0" w:color="auto"/>
                    <w:bottom w:val="none" w:sz="0" w:space="0" w:color="auto"/>
                    <w:right w:val="none" w:sz="0" w:space="0" w:color="auto"/>
                  </w:divBdr>
                  <w:divsChild>
                    <w:div w:id="1716006250">
                      <w:marLeft w:val="0"/>
                      <w:marRight w:val="0"/>
                      <w:marTop w:val="0"/>
                      <w:marBottom w:val="0"/>
                      <w:divBdr>
                        <w:top w:val="none" w:sz="0" w:space="0" w:color="auto"/>
                        <w:left w:val="none" w:sz="0" w:space="0" w:color="auto"/>
                        <w:bottom w:val="none" w:sz="0" w:space="0" w:color="auto"/>
                        <w:right w:val="none" w:sz="0" w:space="0" w:color="auto"/>
                      </w:divBdr>
                    </w:div>
                  </w:divsChild>
                </w:div>
                <w:div w:id="1206287749">
                  <w:marLeft w:val="0"/>
                  <w:marRight w:val="0"/>
                  <w:marTop w:val="0"/>
                  <w:marBottom w:val="0"/>
                  <w:divBdr>
                    <w:top w:val="none" w:sz="0" w:space="0" w:color="auto"/>
                    <w:left w:val="none" w:sz="0" w:space="0" w:color="auto"/>
                    <w:bottom w:val="none" w:sz="0" w:space="0" w:color="auto"/>
                    <w:right w:val="none" w:sz="0" w:space="0" w:color="auto"/>
                  </w:divBdr>
                  <w:divsChild>
                    <w:div w:id="2099906539">
                      <w:marLeft w:val="0"/>
                      <w:marRight w:val="0"/>
                      <w:marTop w:val="0"/>
                      <w:marBottom w:val="0"/>
                      <w:divBdr>
                        <w:top w:val="none" w:sz="0" w:space="0" w:color="auto"/>
                        <w:left w:val="none" w:sz="0" w:space="0" w:color="auto"/>
                        <w:bottom w:val="none" w:sz="0" w:space="0" w:color="auto"/>
                        <w:right w:val="none" w:sz="0" w:space="0" w:color="auto"/>
                      </w:divBdr>
                    </w:div>
                  </w:divsChild>
                </w:div>
                <w:div w:id="1208185330">
                  <w:marLeft w:val="0"/>
                  <w:marRight w:val="0"/>
                  <w:marTop w:val="0"/>
                  <w:marBottom w:val="0"/>
                  <w:divBdr>
                    <w:top w:val="none" w:sz="0" w:space="0" w:color="auto"/>
                    <w:left w:val="none" w:sz="0" w:space="0" w:color="auto"/>
                    <w:bottom w:val="none" w:sz="0" w:space="0" w:color="auto"/>
                    <w:right w:val="none" w:sz="0" w:space="0" w:color="auto"/>
                  </w:divBdr>
                  <w:divsChild>
                    <w:div w:id="974408371">
                      <w:marLeft w:val="0"/>
                      <w:marRight w:val="0"/>
                      <w:marTop w:val="0"/>
                      <w:marBottom w:val="0"/>
                      <w:divBdr>
                        <w:top w:val="none" w:sz="0" w:space="0" w:color="auto"/>
                        <w:left w:val="none" w:sz="0" w:space="0" w:color="auto"/>
                        <w:bottom w:val="none" w:sz="0" w:space="0" w:color="auto"/>
                        <w:right w:val="none" w:sz="0" w:space="0" w:color="auto"/>
                      </w:divBdr>
                    </w:div>
                  </w:divsChild>
                </w:div>
                <w:div w:id="1263606040">
                  <w:marLeft w:val="0"/>
                  <w:marRight w:val="0"/>
                  <w:marTop w:val="0"/>
                  <w:marBottom w:val="0"/>
                  <w:divBdr>
                    <w:top w:val="none" w:sz="0" w:space="0" w:color="auto"/>
                    <w:left w:val="none" w:sz="0" w:space="0" w:color="auto"/>
                    <w:bottom w:val="none" w:sz="0" w:space="0" w:color="auto"/>
                    <w:right w:val="none" w:sz="0" w:space="0" w:color="auto"/>
                  </w:divBdr>
                  <w:divsChild>
                    <w:div w:id="45838692">
                      <w:marLeft w:val="0"/>
                      <w:marRight w:val="0"/>
                      <w:marTop w:val="0"/>
                      <w:marBottom w:val="0"/>
                      <w:divBdr>
                        <w:top w:val="none" w:sz="0" w:space="0" w:color="auto"/>
                        <w:left w:val="none" w:sz="0" w:space="0" w:color="auto"/>
                        <w:bottom w:val="none" w:sz="0" w:space="0" w:color="auto"/>
                        <w:right w:val="none" w:sz="0" w:space="0" w:color="auto"/>
                      </w:divBdr>
                    </w:div>
                    <w:div w:id="236987119">
                      <w:marLeft w:val="0"/>
                      <w:marRight w:val="0"/>
                      <w:marTop w:val="0"/>
                      <w:marBottom w:val="0"/>
                      <w:divBdr>
                        <w:top w:val="none" w:sz="0" w:space="0" w:color="auto"/>
                        <w:left w:val="none" w:sz="0" w:space="0" w:color="auto"/>
                        <w:bottom w:val="none" w:sz="0" w:space="0" w:color="auto"/>
                        <w:right w:val="none" w:sz="0" w:space="0" w:color="auto"/>
                      </w:divBdr>
                    </w:div>
                    <w:div w:id="1026444477">
                      <w:marLeft w:val="0"/>
                      <w:marRight w:val="0"/>
                      <w:marTop w:val="0"/>
                      <w:marBottom w:val="0"/>
                      <w:divBdr>
                        <w:top w:val="none" w:sz="0" w:space="0" w:color="auto"/>
                        <w:left w:val="none" w:sz="0" w:space="0" w:color="auto"/>
                        <w:bottom w:val="none" w:sz="0" w:space="0" w:color="auto"/>
                        <w:right w:val="none" w:sz="0" w:space="0" w:color="auto"/>
                      </w:divBdr>
                    </w:div>
                  </w:divsChild>
                </w:div>
                <w:div w:id="1271670307">
                  <w:marLeft w:val="0"/>
                  <w:marRight w:val="0"/>
                  <w:marTop w:val="0"/>
                  <w:marBottom w:val="0"/>
                  <w:divBdr>
                    <w:top w:val="none" w:sz="0" w:space="0" w:color="auto"/>
                    <w:left w:val="none" w:sz="0" w:space="0" w:color="auto"/>
                    <w:bottom w:val="none" w:sz="0" w:space="0" w:color="auto"/>
                    <w:right w:val="none" w:sz="0" w:space="0" w:color="auto"/>
                  </w:divBdr>
                  <w:divsChild>
                    <w:div w:id="437801251">
                      <w:marLeft w:val="0"/>
                      <w:marRight w:val="0"/>
                      <w:marTop w:val="0"/>
                      <w:marBottom w:val="0"/>
                      <w:divBdr>
                        <w:top w:val="none" w:sz="0" w:space="0" w:color="auto"/>
                        <w:left w:val="none" w:sz="0" w:space="0" w:color="auto"/>
                        <w:bottom w:val="none" w:sz="0" w:space="0" w:color="auto"/>
                        <w:right w:val="none" w:sz="0" w:space="0" w:color="auto"/>
                      </w:divBdr>
                    </w:div>
                  </w:divsChild>
                </w:div>
                <w:div w:id="1278291176">
                  <w:marLeft w:val="0"/>
                  <w:marRight w:val="0"/>
                  <w:marTop w:val="0"/>
                  <w:marBottom w:val="0"/>
                  <w:divBdr>
                    <w:top w:val="none" w:sz="0" w:space="0" w:color="auto"/>
                    <w:left w:val="none" w:sz="0" w:space="0" w:color="auto"/>
                    <w:bottom w:val="none" w:sz="0" w:space="0" w:color="auto"/>
                    <w:right w:val="none" w:sz="0" w:space="0" w:color="auto"/>
                  </w:divBdr>
                  <w:divsChild>
                    <w:div w:id="39942408">
                      <w:marLeft w:val="0"/>
                      <w:marRight w:val="0"/>
                      <w:marTop w:val="0"/>
                      <w:marBottom w:val="0"/>
                      <w:divBdr>
                        <w:top w:val="none" w:sz="0" w:space="0" w:color="auto"/>
                        <w:left w:val="none" w:sz="0" w:space="0" w:color="auto"/>
                        <w:bottom w:val="none" w:sz="0" w:space="0" w:color="auto"/>
                        <w:right w:val="none" w:sz="0" w:space="0" w:color="auto"/>
                      </w:divBdr>
                    </w:div>
                  </w:divsChild>
                </w:div>
                <w:div w:id="1291858960">
                  <w:marLeft w:val="0"/>
                  <w:marRight w:val="0"/>
                  <w:marTop w:val="0"/>
                  <w:marBottom w:val="0"/>
                  <w:divBdr>
                    <w:top w:val="none" w:sz="0" w:space="0" w:color="auto"/>
                    <w:left w:val="none" w:sz="0" w:space="0" w:color="auto"/>
                    <w:bottom w:val="none" w:sz="0" w:space="0" w:color="auto"/>
                    <w:right w:val="none" w:sz="0" w:space="0" w:color="auto"/>
                  </w:divBdr>
                  <w:divsChild>
                    <w:div w:id="477261063">
                      <w:marLeft w:val="0"/>
                      <w:marRight w:val="0"/>
                      <w:marTop w:val="0"/>
                      <w:marBottom w:val="0"/>
                      <w:divBdr>
                        <w:top w:val="none" w:sz="0" w:space="0" w:color="auto"/>
                        <w:left w:val="none" w:sz="0" w:space="0" w:color="auto"/>
                        <w:bottom w:val="none" w:sz="0" w:space="0" w:color="auto"/>
                        <w:right w:val="none" w:sz="0" w:space="0" w:color="auto"/>
                      </w:divBdr>
                    </w:div>
                  </w:divsChild>
                </w:div>
                <w:div w:id="1313562837">
                  <w:marLeft w:val="0"/>
                  <w:marRight w:val="0"/>
                  <w:marTop w:val="0"/>
                  <w:marBottom w:val="0"/>
                  <w:divBdr>
                    <w:top w:val="none" w:sz="0" w:space="0" w:color="auto"/>
                    <w:left w:val="none" w:sz="0" w:space="0" w:color="auto"/>
                    <w:bottom w:val="none" w:sz="0" w:space="0" w:color="auto"/>
                    <w:right w:val="none" w:sz="0" w:space="0" w:color="auto"/>
                  </w:divBdr>
                  <w:divsChild>
                    <w:div w:id="1167405582">
                      <w:marLeft w:val="0"/>
                      <w:marRight w:val="0"/>
                      <w:marTop w:val="0"/>
                      <w:marBottom w:val="0"/>
                      <w:divBdr>
                        <w:top w:val="none" w:sz="0" w:space="0" w:color="auto"/>
                        <w:left w:val="none" w:sz="0" w:space="0" w:color="auto"/>
                        <w:bottom w:val="none" w:sz="0" w:space="0" w:color="auto"/>
                        <w:right w:val="none" w:sz="0" w:space="0" w:color="auto"/>
                      </w:divBdr>
                    </w:div>
                  </w:divsChild>
                </w:div>
                <w:div w:id="1347755901">
                  <w:marLeft w:val="0"/>
                  <w:marRight w:val="0"/>
                  <w:marTop w:val="0"/>
                  <w:marBottom w:val="0"/>
                  <w:divBdr>
                    <w:top w:val="none" w:sz="0" w:space="0" w:color="auto"/>
                    <w:left w:val="none" w:sz="0" w:space="0" w:color="auto"/>
                    <w:bottom w:val="none" w:sz="0" w:space="0" w:color="auto"/>
                    <w:right w:val="none" w:sz="0" w:space="0" w:color="auto"/>
                  </w:divBdr>
                  <w:divsChild>
                    <w:div w:id="283846811">
                      <w:marLeft w:val="0"/>
                      <w:marRight w:val="0"/>
                      <w:marTop w:val="0"/>
                      <w:marBottom w:val="0"/>
                      <w:divBdr>
                        <w:top w:val="none" w:sz="0" w:space="0" w:color="auto"/>
                        <w:left w:val="none" w:sz="0" w:space="0" w:color="auto"/>
                        <w:bottom w:val="none" w:sz="0" w:space="0" w:color="auto"/>
                        <w:right w:val="none" w:sz="0" w:space="0" w:color="auto"/>
                      </w:divBdr>
                    </w:div>
                  </w:divsChild>
                </w:div>
                <w:div w:id="1353649553">
                  <w:marLeft w:val="0"/>
                  <w:marRight w:val="0"/>
                  <w:marTop w:val="0"/>
                  <w:marBottom w:val="0"/>
                  <w:divBdr>
                    <w:top w:val="none" w:sz="0" w:space="0" w:color="auto"/>
                    <w:left w:val="none" w:sz="0" w:space="0" w:color="auto"/>
                    <w:bottom w:val="none" w:sz="0" w:space="0" w:color="auto"/>
                    <w:right w:val="none" w:sz="0" w:space="0" w:color="auto"/>
                  </w:divBdr>
                  <w:divsChild>
                    <w:div w:id="1493521449">
                      <w:marLeft w:val="0"/>
                      <w:marRight w:val="0"/>
                      <w:marTop w:val="0"/>
                      <w:marBottom w:val="0"/>
                      <w:divBdr>
                        <w:top w:val="none" w:sz="0" w:space="0" w:color="auto"/>
                        <w:left w:val="none" w:sz="0" w:space="0" w:color="auto"/>
                        <w:bottom w:val="none" w:sz="0" w:space="0" w:color="auto"/>
                        <w:right w:val="none" w:sz="0" w:space="0" w:color="auto"/>
                      </w:divBdr>
                    </w:div>
                  </w:divsChild>
                </w:div>
                <w:div w:id="1370297143">
                  <w:marLeft w:val="0"/>
                  <w:marRight w:val="0"/>
                  <w:marTop w:val="0"/>
                  <w:marBottom w:val="0"/>
                  <w:divBdr>
                    <w:top w:val="none" w:sz="0" w:space="0" w:color="auto"/>
                    <w:left w:val="none" w:sz="0" w:space="0" w:color="auto"/>
                    <w:bottom w:val="none" w:sz="0" w:space="0" w:color="auto"/>
                    <w:right w:val="none" w:sz="0" w:space="0" w:color="auto"/>
                  </w:divBdr>
                  <w:divsChild>
                    <w:div w:id="393049165">
                      <w:marLeft w:val="0"/>
                      <w:marRight w:val="0"/>
                      <w:marTop w:val="0"/>
                      <w:marBottom w:val="0"/>
                      <w:divBdr>
                        <w:top w:val="none" w:sz="0" w:space="0" w:color="auto"/>
                        <w:left w:val="none" w:sz="0" w:space="0" w:color="auto"/>
                        <w:bottom w:val="none" w:sz="0" w:space="0" w:color="auto"/>
                        <w:right w:val="none" w:sz="0" w:space="0" w:color="auto"/>
                      </w:divBdr>
                    </w:div>
                  </w:divsChild>
                </w:div>
                <w:div w:id="1373339498">
                  <w:marLeft w:val="0"/>
                  <w:marRight w:val="0"/>
                  <w:marTop w:val="0"/>
                  <w:marBottom w:val="0"/>
                  <w:divBdr>
                    <w:top w:val="none" w:sz="0" w:space="0" w:color="auto"/>
                    <w:left w:val="none" w:sz="0" w:space="0" w:color="auto"/>
                    <w:bottom w:val="none" w:sz="0" w:space="0" w:color="auto"/>
                    <w:right w:val="none" w:sz="0" w:space="0" w:color="auto"/>
                  </w:divBdr>
                  <w:divsChild>
                    <w:div w:id="1146168611">
                      <w:marLeft w:val="0"/>
                      <w:marRight w:val="0"/>
                      <w:marTop w:val="0"/>
                      <w:marBottom w:val="0"/>
                      <w:divBdr>
                        <w:top w:val="none" w:sz="0" w:space="0" w:color="auto"/>
                        <w:left w:val="none" w:sz="0" w:space="0" w:color="auto"/>
                        <w:bottom w:val="none" w:sz="0" w:space="0" w:color="auto"/>
                        <w:right w:val="none" w:sz="0" w:space="0" w:color="auto"/>
                      </w:divBdr>
                    </w:div>
                  </w:divsChild>
                </w:div>
                <w:div w:id="1383018783">
                  <w:marLeft w:val="0"/>
                  <w:marRight w:val="0"/>
                  <w:marTop w:val="0"/>
                  <w:marBottom w:val="0"/>
                  <w:divBdr>
                    <w:top w:val="none" w:sz="0" w:space="0" w:color="auto"/>
                    <w:left w:val="none" w:sz="0" w:space="0" w:color="auto"/>
                    <w:bottom w:val="none" w:sz="0" w:space="0" w:color="auto"/>
                    <w:right w:val="none" w:sz="0" w:space="0" w:color="auto"/>
                  </w:divBdr>
                  <w:divsChild>
                    <w:div w:id="1761027927">
                      <w:marLeft w:val="0"/>
                      <w:marRight w:val="0"/>
                      <w:marTop w:val="0"/>
                      <w:marBottom w:val="0"/>
                      <w:divBdr>
                        <w:top w:val="none" w:sz="0" w:space="0" w:color="auto"/>
                        <w:left w:val="none" w:sz="0" w:space="0" w:color="auto"/>
                        <w:bottom w:val="none" w:sz="0" w:space="0" w:color="auto"/>
                        <w:right w:val="none" w:sz="0" w:space="0" w:color="auto"/>
                      </w:divBdr>
                    </w:div>
                  </w:divsChild>
                </w:div>
                <w:div w:id="1383869963">
                  <w:marLeft w:val="0"/>
                  <w:marRight w:val="0"/>
                  <w:marTop w:val="0"/>
                  <w:marBottom w:val="0"/>
                  <w:divBdr>
                    <w:top w:val="none" w:sz="0" w:space="0" w:color="auto"/>
                    <w:left w:val="none" w:sz="0" w:space="0" w:color="auto"/>
                    <w:bottom w:val="none" w:sz="0" w:space="0" w:color="auto"/>
                    <w:right w:val="none" w:sz="0" w:space="0" w:color="auto"/>
                  </w:divBdr>
                  <w:divsChild>
                    <w:div w:id="779489447">
                      <w:marLeft w:val="0"/>
                      <w:marRight w:val="0"/>
                      <w:marTop w:val="0"/>
                      <w:marBottom w:val="0"/>
                      <w:divBdr>
                        <w:top w:val="none" w:sz="0" w:space="0" w:color="auto"/>
                        <w:left w:val="none" w:sz="0" w:space="0" w:color="auto"/>
                        <w:bottom w:val="none" w:sz="0" w:space="0" w:color="auto"/>
                        <w:right w:val="none" w:sz="0" w:space="0" w:color="auto"/>
                      </w:divBdr>
                    </w:div>
                  </w:divsChild>
                </w:div>
                <w:div w:id="1415467243">
                  <w:marLeft w:val="0"/>
                  <w:marRight w:val="0"/>
                  <w:marTop w:val="0"/>
                  <w:marBottom w:val="0"/>
                  <w:divBdr>
                    <w:top w:val="none" w:sz="0" w:space="0" w:color="auto"/>
                    <w:left w:val="none" w:sz="0" w:space="0" w:color="auto"/>
                    <w:bottom w:val="none" w:sz="0" w:space="0" w:color="auto"/>
                    <w:right w:val="none" w:sz="0" w:space="0" w:color="auto"/>
                  </w:divBdr>
                  <w:divsChild>
                    <w:div w:id="1687058172">
                      <w:marLeft w:val="0"/>
                      <w:marRight w:val="0"/>
                      <w:marTop w:val="0"/>
                      <w:marBottom w:val="0"/>
                      <w:divBdr>
                        <w:top w:val="none" w:sz="0" w:space="0" w:color="auto"/>
                        <w:left w:val="none" w:sz="0" w:space="0" w:color="auto"/>
                        <w:bottom w:val="none" w:sz="0" w:space="0" w:color="auto"/>
                        <w:right w:val="none" w:sz="0" w:space="0" w:color="auto"/>
                      </w:divBdr>
                    </w:div>
                  </w:divsChild>
                </w:div>
                <w:div w:id="1428572118">
                  <w:marLeft w:val="0"/>
                  <w:marRight w:val="0"/>
                  <w:marTop w:val="0"/>
                  <w:marBottom w:val="0"/>
                  <w:divBdr>
                    <w:top w:val="none" w:sz="0" w:space="0" w:color="auto"/>
                    <w:left w:val="none" w:sz="0" w:space="0" w:color="auto"/>
                    <w:bottom w:val="none" w:sz="0" w:space="0" w:color="auto"/>
                    <w:right w:val="none" w:sz="0" w:space="0" w:color="auto"/>
                  </w:divBdr>
                  <w:divsChild>
                    <w:div w:id="571546655">
                      <w:marLeft w:val="0"/>
                      <w:marRight w:val="0"/>
                      <w:marTop w:val="0"/>
                      <w:marBottom w:val="0"/>
                      <w:divBdr>
                        <w:top w:val="none" w:sz="0" w:space="0" w:color="auto"/>
                        <w:left w:val="none" w:sz="0" w:space="0" w:color="auto"/>
                        <w:bottom w:val="none" w:sz="0" w:space="0" w:color="auto"/>
                        <w:right w:val="none" w:sz="0" w:space="0" w:color="auto"/>
                      </w:divBdr>
                    </w:div>
                  </w:divsChild>
                </w:div>
                <w:div w:id="1433890236">
                  <w:marLeft w:val="0"/>
                  <w:marRight w:val="0"/>
                  <w:marTop w:val="0"/>
                  <w:marBottom w:val="0"/>
                  <w:divBdr>
                    <w:top w:val="none" w:sz="0" w:space="0" w:color="auto"/>
                    <w:left w:val="none" w:sz="0" w:space="0" w:color="auto"/>
                    <w:bottom w:val="none" w:sz="0" w:space="0" w:color="auto"/>
                    <w:right w:val="none" w:sz="0" w:space="0" w:color="auto"/>
                  </w:divBdr>
                  <w:divsChild>
                    <w:div w:id="1051927590">
                      <w:marLeft w:val="0"/>
                      <w:marRight w:val="0"/>
                      <w:marTop w:val="0"/>
                      <w:marBottom w:val="0"/>
                      <w:divBdr>
                        <w:top w:val="none" w:sz="0" w:space="0" w:color="auto"/>
                        <w:left w:val="none" w:sz="0" w:space="0" w:color="auto"/>
                        <w:bottom w:val="none" w:sz="0" w:space="0" w:color="auto"/>
                        <w:right w:val="none" w:sz="0" w:space="0" w:color="auto"/>
                      </w:divBdr>
                    </w:div>
                  </w:divsChild>
                </w:div>
                <w:div w:id="1524442892">
                  <w:marLeft w:val="0"/>
                  <w:marRight w:val="0"/>
                  <w:marTop w:val="0"/>
                  <w:marBottom w:val="0"/>
                  <w:divBdr>
                    <w:top w:val="none" w:sz="0" w:space="0" w:color="auto"/>
                    <w:left w:val="none" w:sz="0" w:space="0" w:color="auto"/>
                    <w:bottom w:val="none" w:sz="0" w:space="0" w:color="auto"/>
                    <w:right w:val="none" w:sz="0" w:space="0" w:color="auto"/>
                  </w:divBdr>
                  <w:divsChild>
                    <w:div w:id="2111658449">
                      <w:marLeft w:val="0"/>
                      <w:marRight w:val="0"/>
                      <w:marTop w:val="0"/>
                      <w:marBottom w:val="0"/>
                      <w:divBdr>
                        <w:top w:val="none" w:sz="0" w:space="0" w:color="auto"/>
                        <w:left w:val="none" w:sz="0" w:space="0" w:color="auto"/>
                        <w:bottom w:val="none" w:sz="0" w:space="0" w:color="auto"/>
                        <w:right w:val="none" w:sz="0" w:space="0" w:color="auto"/>
                      </w:divBdr>
                    </w:div>
                  </w:divsChild>
                </w:div>
                <w:div w:id="1559583648">
                  <w:marLeft w:val="0"/>
                  <w:marRight w:val="0"/>
                  <w:marTop w:val="0"/>
                  <w:marBottom w:val="0"/>
                  <w:divBdr>
                    <w:top w:val="none" w:sz="0" w:space="0" w:color="auto"/>
                    <w:left w:val="none" w:sz="0" w:space="0" w:color="auto"/>
                    <w:bottom w:val="none" w:sz="0" w:space="0" w:color="auto"/>
                    <w:right w:val="none" w:sz="0" w:space="0" w:color="auto"/>
                  </w:divBdr>
                  <w:divsChild>
                    <w:div w:id="1293052774">
                      <w:marLeft w:val="0"/>
                      <w:marRight w:val="0"/>
                      <w:marTop w:val="0"/>
                      <w:marBottom w:val="0"/>
                      <w:divBdr>
                        <w:top w:val="none" w:sz="0" w:space="0" w:color="auto"/>
                        <w:left w:val="none" w:sz="0" w:space="0" w:color="auto"/>
                        <w:bottom w:val="none" w:sz="0" w:space="0" w:color="auto"/>
                        <w:right w:val="none" w:sz="0" w:space="0" w:color="auto"/>
                      </w:divBdr>
                    </w:div>
                  </w:divsChild>
                </w:div>
                <w:div w:id="1576545211">
                  <w:marLeft w:val="0"/>
                  <w:marRight w:val="0"/>
                  <w:marTop w:val="0"/>
                  <w:marBottom w:val="0"/>
                  <w:divBdr>
                    <w:top w:val="none" w:sz="0" w:space="0" w:color="auto"/>
                    <w:left w:val="none" w:sz="0" w:space="0" w:color="auto"/>
                    <w:bottom w:val="none" w:sz="0" w:space="0" w:color="auto"/>
                    <w:right w:val="none" w:sz="0" w:space="0" w:color="auto"/>
                  </w:divBdr>
                  <w:divsChild>
                    <w:div w:id="535504040">
                      <w:marLeft w:val="0"/>
                      <w:marRight w:val="0"/>
                      <w:marTop w:val="0"/>
                      <w:marBottom w:val="0"/>
                      <w:divBdr>
                        <w:top w:val="none" w:sz="0" w:space="0" w:color="auto"/>
                        <w:left w:val="none" w:sz="0" w:space="0" w:color="auto"/>
                        <w:bottom w:val="none" w:sz="0" w:space="0" w:color="auto"/>
                        <w:right w:val="none" w:sz="0" w:space="0" w:color="auto"/>
                      </w:divBdr>
                    </w:div>
                  </w:divsChild>
                </w:div>
                <w:div w:id="1579752414">
                  <w:marLeft w:val="0"/>
                  <w:marRight w:val="0"/>
                  <w:marTop w:val="0"/>
                  <w:marBottom w:val="0"/>
                  <w:divBdr>
                    <w:top w:val="none" w:sz="0" w:space="0" w:color="auto"/>
                    <w:left w:val="none" w:sz="0" w:space="0" w:color="auto"/>
                    <w:bottom w:val="none" w:sz="0" w:space="0" w:color="auto"/>
                    <w:right w:val="none" w:sz="0" w:space="0" w:color="auto"/>
                  </w:divBdr>
                  <w:divsChild>
                    <w:div w:id="1978489041">
                      <w:marLeft w:val="0"/>
                      <w:marRight w:val="0"/>
                      <w:marTop w:val="0"/>
                      <w:marBottom w:val="0"/>
                      <w:divBdr>
                        <w:top w:val="none" w:sz="0" w:space="0" w:color="auto"/>
                        <w:left w:val="none" w:sz="0" w:space="0" w:color="auto"/>
                        <w:bottom w:val="none" w:sz="0" w:space="0" w:color="auto"/>
                        <w:right w:val="none" w:sz="0" w:space="0" w:color="auto"/>
                      </w:divBdr>
                    </w:div>
                  </w:divsChild>
                </w:div>
                <w:div w:id="1600285309">
                  <w:marLeft w:val="0"/>
                  <w:marRight w:val="0"/>
                  <w:marTop w:val="0"/>
                  <w:marBottom w:val="0"/>
                  <w:divBdr>
                    <w:top w:val="none" w:sz="0" w:space="0" w:color="auto"/>
                    <w:left w:val="none" w:sz="0" w:space="0" w:color="auto"/>
                    <w:bottom w:val="none" w:sz="0" w:space="0" w:color="auto"/>
                    <w:right w:val="none" w:sz="0" w:space="0" w:color="auto"/>
                  </w:divBdr>
                  <w:divsChild>
                    <w:div w:id="1613825981">
                      <w:marLeft w:val="0"/>
                      <w:marRight w:val="0"/>
                      <w:marTop w:val="0"/>
                      <w:marBottom w:val="0"/>
                      <w:divBdr>
                        <w:top w:val="none" w:sz="0" w:space="0" w:color="auto"/>
                        <w:left w:val="none" w:sz="0" w:space="0" w:color="auto"/>
                        <w:bottom w:val="none" w:sz="0" w:space="0" w:color="auto"/>
                        <w:right w:val="none" w:sz="0" w:space="0" w:color="auto"/>
                      </w:divBdr>
                    </w:div>
                  </w:divsChild>
                </w:div>
                <w:div w:id="1628195877">
                  <w:marLeft w:val="0"/>
                  <w:marRight w:val="0"/>
                  <w:marTop w:val="0"/>
                  <w:marBottom w:val="0"/>
                  <w:divBdr>
                    <w:top w:val="none" w:sz="0" w:space="0" w:color="auto"/>
                    <w:left w:val="none" w:sz="0" w:space="0" w:color="auto"/>
                    <w:bottom w:val="none" w:sz="0" w:space="0" w:color="auto"/>
                    <w:right w:val="none" w:sz="0" w:space="0" w:color="auto"/>
                  </w:divBdr>
                  <w:divsChild>
                    <w:div w:id="136724260">
                      <w:marLeft w:val="0"/>
                      <w:marRight w:val="0"/>
                      <w:marTop w:val="0"/>
                      <w:marBottom w:val="0"/>
                      <w:divBdr>
                        <w:top w:val="none" w:sz="0" w:space="0" w:color="auto"/>
                        <w:left w:val="none" w:sz="0" w:space="0" w:color="auto"/>
                        <w:bottom w:val="none" w:sz="0" w:space="0" w:color="auto"/>
                        <w:right w:val="none" w:sz="0" w:space="0" w:color="auto"/>
                      </w:divBdr>
                    </w:div>
                  </w:divsChild>
                </w:div>
                <w:div w:id="1631084153">
                  <w:marLeft w:val="0"/>
                  <w:marRight w:val="0"/>
                  <w:marTop w:val="0"/>
                  <w:marBottom w:val="0"/>
                  <w:divBdr>
                    <w:top w:val="none" w:sz="0" w:space="0" w:color="auto"/>
                    <w:left w:val="none" w:sz="0" w:space="0" w:color="auto"/>
                    <w:bottom w:val="none" w:sz="0" w:space="0" w:color="auto"/>
                    <w:right w:val="none" w:sz="0" w:space="0" w:color="auto"/>
                  </w:divBdr>
                  <w:divsChild>
                    <w:div w:id="1447964961">
                      <w:marLeft w:val="0"/>
                      <w:marRight w:val="0"/>
                      <w:marTop w:val="0"/>
                      <w:marBottom w:val="0"/>
                      <w:divBdr>
                        <w:top w:val="none" w:sz="0" w:space="0" w:color="auto"/>
                        <w:left w:val="none" w:sz="0" w:space="0" w:color="auto"/>
                        <w:bottom w:val="none" w:sz="0" w:space="0" w:color="auto"/>
                        <w:right w:val="none" w:sz="0" w:space="0" w:color="auto"/>
                      </w:divBdr>
                    </w:div>
                  </w:divsChild>
                </w:div>
                <w:div w:id="1639530149">
                  <w:marLeft w:val="0"/>
                  <w:marRight w:val="0"/>
                  <w:marTop w:val="0"/>
                  <w:marBottom w:val="0"/>
                  <w:divBdr>
                    <w:top w:val="none" w:sz="0" w:space="0" w:color="auto"/>
                    <w:left w:val="none" w:sz="0" w:space="0" w:color="auto"/>
                    <w:bottom w:val="none" w:sz="0" w:space="0" w:color="auto"/>
                    <w:right w:val="none" w:sz="0" w:space="0" w:color="auto"/>
                  </w:divBdr>
                  <w:divsChild>
                    <w:div w:id="1703675920">
                      <w:marLeft w:val="0"/>
                      <w:marRight w:val="0"/>
                      <w:marTop w:val="0"/>
                      <w:marBottom w:val="0"/>
                      <w:divBdr>
                        <w:top w:val="none" w:sz="0" w:space="0" w:color="auto"/>
                        <w:left w:val="none" w:sz="0" w:space="0" w:color="auto"/>
                        <w:bottom w:val="none" w:sz="0" w:space="0" w:color="auto"/>
                        <w:right w:val="none" w:sz="0" w:space="0" w:color="auto"/>
                      </w:divBdr>
                    </w:div>
                  </w:divsChild>
                </w:div>
                <w:div w:id="1640040377">
                  <w:marLeft w:val="0"/>
                  <w:marRight w:val="0"/>
                  <w:marTop w:val="0"/>
                  <w:marBottom w:val="0"/>
                  <w:divBdr>
                    <w:top w:val="none" w:sz="0" w:space="0" w:color="auto"/>
                    <w:left w:val="none" w:sz="0" w:space="0" w:color="auto"/>
                    <w:bottom w:val="none" w:sz="0" w:space="0" w:color="auto"/>
                    <w:right w:val="none" w:sz="0" w:space="0" w:color="auto"/>
                  </w:divBdr>
                  <w:divsChild>
                    <w:div w:id="1609700619">
                      <w:marLeft w:val="0"/>
                      <w:marRight w:val="0"/>
                      <w:marTop w:val="0"/>
                      <w:marBottom w:val="0"/>
                      <w:divBdr>
                        <w:top w:val="none" w:sz="0" w:space="0" w:color="auto"/>
                        <w:left w:val="none" w:sz="0" w:space="0" w:color="auto"/>
                        <w:bottom w:val="none" w:sz="0" w:space="0" w:color="auto"/>
                        <w:right w:val="none" w:sz="0" w:space="0" w:color="auto"/>
                      </w:divBdr>
                    </w:div>
                  </w:divsChild>
                </w:div>
                <w:div w:id="1647516775">
                  <w:marLeft w:val="0"/>
                  <w:marRight w:val="0"/>
                  <w:marTop w:val="0"/>
                  <w:marBottom w:val="0"/>
                  <w:divBdr>
                    <w:top w:val="none" w:sz="0" w:space="0" w:color="auto"/>
                    <w:left w:val="none" w:sz="0" w:space="0" w:color="auto"/>
                    <w:bottom w:val="none" w:sz="0" w:space="0" w:color="auto"/>
                    <w:right w:val="none" w:sz="0" w:space="0" w:color="auto"/>
                  </w:divBdr>
                  <w:divsChild>
                    <w:div w:id="800223045">
                      <w:marLeft w:val="0"/>
                      <w:marRight w:val="0"/>
                      <w:marTop w:val="0"/>
                      <w:marBottom w:val="0"/>
                      <w:divBdr>
                        <w:top w:val="none" w:sz="0" w:space="0" w:color="auto"/>
                        <w:left w:val="none" w:sz="0" w:space="0" w:color="auto"/>
                        <w:bottom w:val="none" w:sz="0" w:space="0" w:color="auto"/>
                        <w:right w:val="none" w:sz="0" w:space="0" w:color="auto"/>
                      </w:divBdr>
                    </w:div>
                  </w:divsChild>
                </w:div>
                <w:div w:id="1667857774">
                  <w:marLeft w:val="0"/>
                  <w:marRight w:val="0"/>
                  <w:marTop w:val="0"/>
                  <w:marBottom w:val="0"/>
                  <w:divBdr>
                    <w:top w:val="none" w:sz="0" w:space="0" w:color="auto"/>
                    <w:left w:val="none" w:sz="0" w:space="0" w:color="auto"/>
                    <w:bottom w:val="none" w:sz="0" w:space="0" w:color="auto"/>
                    <w:right w:val="none" w:sz="0" w:space="0" w:color="auto"/>
                  </w:divBdr>
                  <w:divsChild>
                    <w:div w:id="1948465699">
                      <w:marLeft w:val="0"/>
                      <w:marRight w:val="0"/>
                      <w:marTop w:val="0"/>
                      <w:marBottom w:val="0"/>
                      <w:divBdr>
                        <w:top w:val="none" w:sz="0" w:space="0" w:color="auto"/>
                        <w:left w:val="none" w:sz="0" w:space="0" w:color="auto"/>
                        <w:bottom w:val="none" w:sz="0" w:space="0" w:color="auto"/>
                        <w:right w:val="none" w:sz="0" w:space="0" w:color="auto"/>
                      </w:divBdr>
                    </w:div>
                  </w:divsChild>
                </w:div>
                <w:div w:id="1676230738">
                  <w:marLeft w:val="0"/>
                  <w:marRight w:val="0"/>
                  <w:marTop w:val="0"/>
                  <w:marBottom w:val="0"/>
                  <w:divBdr>
                    <w:top w:val="none" w:sz="0" w:space="0" w:color="auto"/>
                    <w:left w:val="none" w:sz="0" w:space="0" w:color="auto"/>
                    <w:bottom w:val="none" w:sz="0" w:space="0" w:color="auto"/>
                    <w:right w:val="none" w:sz="0" w:space="0" w:color="auto"/>
                  </w:divBdr>
                  <w:divsChild>
                    <w:div w:id="1227690828">
                      <w:marLeft w:val="0"/>
                      <w:marRight w:val="0"/>
                      <w:marTop w:val="0"/>
                      <w:marBottom w:val="0"/>
                      <w:divBdr>
                        <w:top w:val="none" w:sz="0" w:space="0" w:color="auto"/>
                        <w:left w:val="none" w:sz="0" w:space="0" w:color="auto"/>
                        <w:bottom w:val="none" w:sz="0" w:space="0" w:color="auto"/>
                        <w:right w:val="none" w:sz="0" w:space="0" w:color="auto"/>
                      </w:divBdr>
                    </w:div>
                  </w:divsChild>
                </w:div>
                <w:div w:id="1722823020">
                  <w:marLeft w:val="0"/>
                  <w:marRight w:val="0"/>
                  <w:marTop w:val="0"/>
                  <w:marBottom w:val="0"/>
                  <w:divBdr>
                    <w:top w:val="none" w:sz="0" w:space="0" w:color="auto"/>
                    <w:left w:val="none" w:sz="0" w:space="0" w:color="auto"/>
                    <w:bottom w:val="none" w:sz="0" w:space="0" w:color="auto"/>
                    <w:right w:val="none" w:sz="0" w:space="0" w:color="auto"/>
                  </w:divBdr>
                  <w:divsChild>
                    <w:div w:id="51586607">
                      <w:marLeft w:val="0"/>
                      <w:marRight w:val="0"/>
                      <w:marTop w:val="0"/>
                      <w:marBottom w:val="0"/>
                      <w:divBdr>
                        <w:top w:val="none" w:sz="0" w:space="0" w:color="auto"/>
                        <w:left w:val="none" w:sz="0" w:space="0" w:color="auto"/>
                        <w:bottom w:val="none" w:sz="0" w:space="0" w:color="auto"/>
                        <w:right w:val="none" w:sz="0" w:space="0" w:color="auto"/>
                      </w:divBdr>
                    </w:div>
                  </w:divsChild>
                </w:div>
                <w:div w:id="1731535083">
                  <w:marLeft w:val="0"/>
                  <w:marRight w:val="0"/>
                  <w:marTop w:val="0"/>
                  <w:marBottom w:val="0"/>
                  <w:divBdr>
                    <w:top w:val="none" w:sz="0" w:space="0" w:color="auto"/>
                    <w:left w:val="none" w:sz="0" w:space="0" w:color="auto"/>
                    <w:bottom w:val="none" w:sz="0" w:space="0" w:color="auto"/>
                    <w:right w:val="none" w:sz="0" w:space="0" w:color="auto"/>
                  </w:divBdr>
                  <w:divsChild>
                    <w:div w:id="2001496294">
                      <w:marLeft w:val="0"/>
                      <w:marRight w:val="0"/>
                      <w:marTop w:val="0"/>
                      <w:marBottom w:val="0"/>
                      <w:divBdr>
                        <w:top w:val="none" w:sz="0" w:space="0" w:color="auto"/>
                        <w:left w:val="none" w:sz="0" w:space="0" w:color="auto"/>
                        <w:bottom w:val="none" w:sz="0" w:space="0" w:color="auto"/>
                        <w:right w:val="none" w:sz="0" w:space="0" w:color="auto"/>
                      </w:divBdr>
                    </w:div>
                  </w:divsChild>
                </w:div>
                <w:div w:id="1733457601">
                  <w:marLeft w:val="0"/>
                  <w:marRight w:val="0"/>
                  <w:marTop w:val="0"/>
                  <w:marBottom w:val="0"/>
                  <w:divBdr>
                    <w:top w:val="none" w:sz="0" w:space="0" w:color="auto"/>
                    <w:left w:val="none" w:sz="0" w:space="0" w:color="auto"/>
                    <w:bottom w:val="none" w:sz="0" w:space="0" w:color="auto"/>
                    <w:right w:val="none" w:sz="0" w:space="0" w:color="auto"/>
                  </w:divBdr>
                  <w:divsChild>
                    <w:div w:id="1128355532">
                      <w:marLeft w:val="0"/>
                      <w:marRight w:val="0"/>
                      <w:marTop w:val="0"/>
                      <w:marBottom w:val="0"/>
                      <w:divBdr>
                        <w:top w:val="none" w:sz="0" w:space="0" w:color="auto"/>
                        <w:left w:val="none" w:sz="0" w:space="0" w:color="auto"/>
                        <w:bottom w:val="none" w:sz="0" w:space="0" w:color="auto"/>
                        <w:right w:val="none" w:sz="0" w:space="0" w:color="auto"/>
                      </w:divBdr>
                    </w:div>
                  </w:divsChild>
                </w:div>
                <w:div w:id="1763643105">
                  <w:marLeft w:val="0"/>
                  <w:marRight w:val="0"/>
                  <w:marTop w:val="0"/>
                  <w:marBottom w:val="0"/>
                  <w:divBdr>
                    <w:top w:val="none" w:sz="0" w:space="0" w:color="auto"/>
                    <w:left w:val="none" w:sz="0" w:space="0" w:color="auto"/>
                    <w:bottom w:val="none" w:sz="0" w:space="0" w:color="auto"/>
                    <w:right w:val="none" w:sz="0" w:space="0" w:color="auto"/>
                  </w:divBdr>
                  <w:divsChild>
                    <w:div w:id="473181223">
                      <w:marLeft w:val="0"/>
                      <w:marRight w:val="0"/>
                      <w:marTop w:val="0"/>
                      <w:marBottom w:val="0"/>
                      <w:divBdr>
                        <w:top w:val="none" w:sz="0" w:space="0" w:color="auto"/>
                        <w:left w:val="none" w:sz="0" w:space="0" w:color="auto"/>
                        <w:bottom w:val="none" w:sz="0" w:space="0" w:color="auto"/>
                        <w:right w:val="none" w:sz="0" w:space="0" w:color="auto"/>
                      </w:divBdr>
                    </w:div>
                  </w:divsChild>
                </w:div>
                <w:div w:id="1777824423">
                  <w:marLeft w:val="0"/>
                  <w:marRight w:val="0"/>
                  <w:marTop w:val="0"/>
                  <w:marBottom w:val="0"/>
                  <w:divBdr>
                    <w:top w:val="none" w:sz="0" w:space="0" w:color="auto"/>
                    <w:left w:val="none" w:sz="0" w:space="0" w:color="auto"/>
                    <w:bottom w:val="none" w:sz="0" w:space="0" w:color="auto"/>
                    <w:right w:val="none" w:sz="0" w:space="0" w:color="auto"/>
                  </w:divBdr>
                  <w:divsChild>
                    <w:div w:id="280722650">
                      <w:marLeft w:val="0"/>
                      <w:marRight w:val="0"/>
                      <w:marTop w:val="0"/>
                      <w:marBottom w:val="0"/>
                      <w:divBdr>
                        <w:top w:val="none" w:sz="0" w:space="0" w:color="auto"/>
                        <w:left w:val="none" w:sz="0" w:space="0" w:color="auto"/>
                        <w:bottom w:val="none" w:sz="0" w:space="0" w:color="auto"/>
                        <w:right w:val="none" w:sz="0" w:space="0" w:color="auto"/>
                      </w:divBdr>
                    </w:div>
                  </w:divsChild>
                </w:div>
                <w:div w:id="1783650991">
                  <w:marLeft w:val="0"/>
                  <w:marRight w:val="0"/>
                  <w:marTop w:val="0"/>
                  <w:marBottom w:val="0"/>
                  <w:divBdr>
                    <w:top w:val="none" w:sz="0" w:space="0" w:color="auto"/>
                    <w:left w:val="none" w:sz="0" w:space="0" w:color="auto"/>
                    <w:bottom w:val="none" w:sz="0" w:space="0" w:color="auto"/>
                    <w:right w:val="none" w:sz="0" w:space="0" w:color="auto"/>
                  </w:divBdr>
                  <w:divsChild>
                    <w:div w:id="1106734884">
                      <w:marLeft w:val="0"/>
                      <w:marRight w:val="0"/>
                      <w:marTop w:val="0"/>
                      <w:marBottom w:val="0"/>
                      <w:divBdr>
                        <w:top w:val="none" w:sz="0" w:space="0" w:color="auto"/>
                        <w:left w:val="none" w:sz="0" w:space="0" w:color="auto"/>
                        <w:bottom w:val="none" w:sz="0" w:space="0" w:color="auto"/>
                        <w:right w:val="none" w:sz="0" w:space="0" w:color="auto"/>
                      </w:divBdr>
                    </w:div>
                  </w:divsChild>
                </w:div>
                <w:div w:id="1787697100">
                  <w:marLeft w:val="0"/>
                  <w:marRight w:val="0"/>
                  <w:marTop w:val="0"/>
                  <w:marBottom w:val="0"/>
                  <w:divBdr>
                    <w:top w:val="none" w:sz="0" w:space="0" w:color="auto"/>
                    <w:left w:val="none" w:sz="0" w:space="0" w:color="auto"/>
                    <w:bottom w:val="none" w:sz="0" w:space="0" w:color="auto"/>
                    <w:right w:val="none" w:sz="0" w:space="0" w:color="auto"/>
                  </w:divBdr>
                  <w:divsChild>
                    <w:div w:id="1667201469">
                      <w:marLeft w:val="0"/>
                      <w:marRight w:val="0"/>
                      <w:marTop w:val="0"/>
                      <w:marBottom w:val="0"/>
                      <w:divBdr>
                        <w:top w:val="none" w:sz="0" w:space="0" w:color="auto"/>
                        <w:left w:val="none" w:sz="0" w:space="0" w:color="auto"/>
                        <w:bottom w:val="none" w:sz="0" w:space="0" w:color="auto"/>
                        <w:right w:val="none" w:sz="0" w:space="0" w:color="auto"/>
                      </w:divBdr>
                    </w:div>
                  </w:divsChild>
                </w:div>
                <w:div w:id="1790733664">
                  <w:marLeft w:val="0"/>
                  <w:marRight w:val="0"/>
                  <w:marTop w:val="0"/>
                  <w:marBottom w:val="0"/>
                  <w:divBdr>
                    <w:top w:val="none" w:sz="0" w:space="0" w:color="auto"/>
                    <w:left w:val="none" w:sz="0" w:space="0" w:color="auto"/>
                    <w:bottom w:val="none" w:sz="0" w:space="0" w:color="auto"/>
                    <w:right w:val="none" w:sz="0" w:space="0" w:color="auto"/>
                  </w:divBdr>
                  <w:divsChild>
                    <w:div w:id="1713505540">
                      <w:marLeft w:val="0"/>
                      <w:marRight w:val="0"/>
                      <w:marTop w:val="0"/>
                      <w:marBottom w:val="0"/>
                      <w:divBdr>
                        <w:top w:val="none" w:sz="0" w:space="0" w:color="auto"/>
                        <w:left w:val="none" w:sz="0" w:space="0" w:color="auto"/>
                        <w:bottom w:val="none" w:sz="0" w:space="0" w:color="auto"/>
                        <w:right w:val="none" w:sz="0" w:space="0" w:color="auto"/>
                      </w:divBdr>
                    </w:div>
                  </w:divsChild>
                </w:div>
                <w:div w:id="1795708290">
                  <w:marLeft w:val="0"/>
                  <w:marRight w:val="0"/>
                  <w:marTop w:val="0"/>
                  <w:marBottom w:val="0"/>
                  <w:divBdr>
                    <w:top w:val="none" w:sz="0" w:space="0" w:color="auto"/>
                    <w:left w:val="none" w:sz="0" w:space="0" w:color="auto"/>
                    <w:bottom w:val="none" w:sz="0" w:space="0" w:color="auto"/>
                    <w:right w:val="none" w:sz="0" w:space="0" w:color="auto"/>
                  </w:divBdr>
                  <w:divsChild>
                    <w:div w:id="1834254174">
                      <w:marLeft w:val="0"/>
                      <w:marRight w:val="0"/>
                      <w:marTop w:val="0"/>
                      <w:marBottom w:val="0"/>
                      <w:divBdr>
                        <w:top w:val="none" w:sz="0" w:space="0" w:color="auto"/>
                        <w:left w:val="none" w:sz="0" w:space="0" w:color="auto"/>
                        <w:bottom w:val="none" w:sz="0" w:space="0" w:color="auto"/>
                        <w:right w:val="none" w:sz="0" w:space="0" w:color="auto"/>
                      </w:divBdr>
                    </w:div>
                  </w:divsChild>
                </w:div>
                <w:div w:id="1796752910">
                  <w:marLeft w:val="0"/>
                  <w:marRight w:val="0"/>
                  <w:marTop w:val="0"/>
                  <w:marBottom w:val="0"/>
                  <w:divBdr>
                    <w:top w:val="none" w:sz="0" w:space="0" w:color="auto"/>
                    <w:left w:val="none" w:sz="0" w:space="0" w:color="auto"/>
                    <w:bottom w:val="none" w:sz="0" w:space="0" w:color="auto"/>
                    <w:right w:val="none" w:sz="0" w:space="0" w:color="auto"/>
                  </w:divBdr>
                  <w:divsChild>
                    <w:div w:id="2043554695">
                      <w:marLeft w:val="0"/>
                      <w:marRight w:val="0"/>
                      <w:marTop w:val="0"/>
                      <w:marBottom w:val="0"/>
                      <w:divBdr>
                        <w:top w:val="none" w:sz="0" w:space="0" w:color="auto"/>
                        <w:left w:val="none" w:sz="0" w:space="0" w:color="auto"/>
                        <w:bottom w:val="none" w:sz="0" w:space="0" w:color="auto"/>
                        <w:right w:val="none" w:sz="0" w:space="0" w:color="auto"/>
                      </w:divBdr>
                    </w:div>
                  </w:divsChild>
                </w:div>
                <w:div w:id="1809126359">
                  <w:marLeft w:val="0"/>
                  <w:marRight w:val="0"/>
                  <w:marTop w:val="0"/>
                  <w:marBottom w:val="0"/>
                  <w:divBdr>
                    <w:top w:val="none" w:sz="0" w:space="0" w:color="auto"/>
                    <w:left w:val="none" w:sz="0" w:space="0" w:color="auto"/>
                    <w:bottom w:val="none" w:sz="0" w:space="0" w:color="auto"/>
                    <w:right w:val="none" w:sz="0" w:space="0" w:color="auto"/>
                  </w:divBdr>
                  <w:divsChild>
                    <w:div w:id="1828471585">
                      <w:marLeft w:val="0"/>
                      <w:marRight w:val="0"/>
                      <w:marTop w:val="0"/>
                      <w:marBottom w:val="0"/>
                      <w:divBdr>
                        <w:top w:val="none" w:sz="0" w:space="0" w:color="auto"/>
                        <w:left w:val="none" w:sz="0" w:space="0" w:color="auto"/>
                        <w:bottom w:val="none" w:sz="0" w:space="0" w:color="auto"/>
                        <w:right w:val="none" w:sz="0" w:space="0" w:color="auto"/>
                      </w:divBdr>
                    </w:div>
                  </w:divsChild>
                </w:div>
                <w:div w:id="1812137250">
                  <w:marLeft w:val="0"/>
                  <w:marRight w:val="0"/>
                  <w:marTop w:val="0"/>
                  <w:marBottom w:val="0"/>
                  <w:divBdr>
                    <w:top w:val="none" w:sz="0" w:space="0" w:color="auto"/>
                    <w:left w:val="none" w:sz="0" w:space="0" w:color="auto"/>
                    <w:bottom w:val="none" w:sz="0" w:space="0" w:color="auto"/>
                    <w:right w:val="none" w:sz="0" w:space="0" w:color="auto"/>
                  </w:divBdr>
                  <w:divsChild>
                    <w:div w:id="671949876">
                      <w:marLeft w:val="0"/>
                      <w:marRight w:val="0"/>
                      <w:marTop w:val="0"/>
                      <w:marBottom w:val="0"/>
                      <w:divBdr>
                        <w:top w:val="none" w:sz="0" w:space="0" w:color="auto"/>
                        <w:left w:val="none" w:sz="0" w:space="0" w:color="auto"/>
                        <w:bottom w:val="none" w:sz="0" w:space="0" w:color="auto"/>
                        <w:right w:val="none" w:sz="0" w:space="0" w:color="auto"/>
                      </w:divBdr>
                    </w:div>
                  </w:divsChild>
                </w:div>
                <w:div w:id="1820656882">
                  <w:marLeft w:val="0"/>
                  <w:marRight w:val="0"/>
                  <w:marTop w:val="0"/>
                  <w:marBottom w:val="0"/>
                  <w:divBdr>
                    <w:top w:val="none" w:sz="0" w:space="0" w:color="auto"/>
                    <w:left w:val="none" w:sz="0" w:space="0" w:color="auto"/>
                    <w:bottom w:val="none" w:sz="0" w:space="0" w:color="auto"/>
                    <w:right w:val="none" w:sz="0" w:space="0" w:color="auto"/>
                  </w:divBdr>
                  <w:divsChild>
                    <w:div w:id="381095122">
                      <w:marLeft w:val="0"/>
                      <w:marRight w:val="0"/>
                      <w:marTop w:val="0"/>
                      <w:marBottom w:val="0"/>
                      <w:divBdr>
                        <w:top w:val="none" w:sz="0" w:space="0" w:color="auto"/>
                        <w:left w:val="none" w:sz="0" w:space="0" w:color="auto"/>
                        <w:bottom w:val="none" w:sz="0" w:space="0" w:color="auto"/>
                        <w:right w:val="none" w:sz="0" w:space="0" w:color="auto"/>
                      </w:divBdr>
                    </w:div>
                  </w:divsChild>
                </w:div>
                <w:div w:id="1822303719">
                  <w:marLeft w:val="0"/>
                  <w:marRight w:val="0"/>
                  <w:marTop w:val="0"/>
                  <w:marBottom w:val="0"/>
                  <w:divBdr>
                    <w:top w:val="none" w:sz="0" w:space="0" w:color="auto"/>
                    <w:left w:val="none" w:sz="0" w:space="0" w:color="auto"/>
                    <w:bottom w:val="none" w:sz="0" w:space="0" w:color="auto"/>
                    <w:right w:val="none" w:sz="0" w:space="0" w:color="auto"/>
                  </w:divBdr>
                  <w:divsChild>
                    <w:div w:id="745879789">
                      <w:marLeft w:val="0"/>
                      <w:marRight w:val="0"/>
                      <w:marTop w:val="0"/>
                      <w:marBottom w:val="0"/>
                      <w:divBdr>
                        <w:top w:val="none" w:sz="0" w:space="0" w:color="auto"/>
                        <w:left w:val="none" w:sz="0" w:space="0" w:color="auto"/>
                        <w:bottom w:val="none" w:sz="0" w:space="0" w:color="auto"/>
                        <w:right w:val="none" w:sz="0" w:space="0" w:color="auto"/>
                      </w:divBdr>
                    </w:div>
                  </w:divsChild>
                </w:div>
                <w:div w:id="1854102631">
                  <w:marLeft w:val="0"/>
                  <w:marRight w:val="0"/>
                  <w:marTop w:val="0"/>
                  <w:marBottom w:val="0"/>
                  <w:divBdr>
                    <w:top w:val="none" w:sz="0" w:space="0" w:color="auto"/>
                    <w:left w:val="none" w:sz="0" w:space="0" w:color="auto"/>
                    <w:bottom w:val="none" w:sz="0" w:space="0" w:color="auto"/>
                    <w:right w:val="none" w:sz="0" w:space="0" w:color="auto"/>
                  </w:divBdr>
                  <w:divsChild>
                    <w:div w:id="628827281">
                      <w:marLeft w:val="0"/>
                      <w:marRight w:val="0"/>
                      <w:marTop w:val="0"/>
                      <w:marBottom w:val="0"/>
                      <w:divBdr>
                        <w:top w:val="none" w:sz="0" w:space="0" w:color="auto"/>
                        <w:left w:val="none" w:sz="0" w:space="0" w:color="auto"/>
                        <w:bottom w:val="none" w:sz="0" w:space="0" w:color="auto"/>
                        <w:right w:val="none" w:sz="0" w:space="0" w:color="auto"/>
                      </w:divBdr>
                    </w:div>
                  </w:divsChild>
                </w:div>
                <w:div w:id="1857117320">
                  <w:marLeft w:val="0"/>
                  <w:marRight w:val="0"/>
                  <w:marTop w:val="0"/>
                  <w:marBottom w:val="0"/>
                  <w:divBdr>
                    <w:top w:val="none" w:sz="0" w:space="0" w:color="auto"/>
                    <w:left w:val="none" w:sz="0" w:space="0" w:color="auto"/>
                    <w:bottom w:val="none" w:sz="0" w:space="0" w:color="auto"/>
                    <w:right w:val="none" w:sz="0" w:space="0" w:color="auto"/>
                  </w:divBdr>
                  <w:divsChild>
                    <w:div w:id="2073311866">
                      <w:marLeft w:val="0"/>
                      <w:marRight w:val="0"/>
                      <w:marTop w:val="0"/>
                      <w:marBottom w:val="0"/>
                      <w:divBdr>
                        <w:top w:val="none" w:sz="0" w:space="0" w:color="auto"/>
                        <w:left w:val="none" w:sz="0" w:space="0" w:color="auto"/>
                        <w:bottom w:val="none" w:sz="0" w:space="0" w:color="auto"/>
                        <w:right w:val="none" w:sz="0" w:space="0" w:color="auto"/>
                      </w:divBdr>
                    </w:div>
                  </w:divsChild>
                </w:div>
                <w:div w:id="1874800633">
                  <w:marLeft w:val="0"/>
                  <w:marRight w:val="0"/>
                  <w:marTop w:val="0"/>
                  <w:marBottom w:val="0"/>
                  <w:divBdr>
                    <w:top w:val="none" w:sz="0" w:space="0" w:color="auto"/>
                    <w:left w:val="none" w:sz="0" w:space="0" w:color="auto"/>
                    <w:bottom w:val="none" w:sz="0" w:space="0" w:color="auto"/>
                    <w:right w:val="none" w:sz="0" w:space="0" w:color="auto"/>
                  </w:divBdr>
                  <w:divsChild>
                    <w:div w:id="379792380">
                      <w:marLeft w:val="0"/>
                      <w:marRight w:val="0"/>
                      <w:marTop w:val="0"/>
                      <w:marBottom w:val="0"/>
                      <w:divBdr>
                        <w:top w:val="none" w:sz="0" w:space="0" w:color="auto"/>
                        <w:left w:val="none" w:sz="0" w:space="0" w:color="auto"/>
                        <w:bottom w:val="none" w:sz="0" w:space="0" w:color="auto"/>
                        <w:right w:val="none" w:sz="0" w:space="0" w:color="auto"/>
                      </w:divBdr>
                    </w:div>
                  </w:divsChild>
                </w:div>
                <w:div w:id="1878204455">
                  <w:marLeft w:val="0"/>
                  <w:marRight w:val="0"/>
                  <w:marTop w:val="0"/>
                  <w:marBottom w:val="0"/>
                  <w:divBdr>
                    <w:top w:val="none" w:sz="0" w:space="0" w:color="auto"/>
                    <w:left w:val="none" w:sz="0" w:space="0" w:color="auto"/>
                    <w:bottom w:val="none" w:sz="0" w:space="0" w:color="auto"/>
                    <w:right w:val="none" w:sz="0" w:space="0" w:color="auto"/>
                  </w:divBdr>
                  <w:divsChild>
                    <w:div w:id="235170943">
                      <w:marLeft w:val="0"/>
                      <w:marRight w:val="0"/>
                      <w:marTop w:val="0"/>
                      <w:marBottom w:val="0"/>
                      <w:divBdr>
                        <w:top w:val="none" w:sz="0" w:space="0" w:color="auto"/>
                        <w:left w:val="none" w:sz="0" w:space="0" w:color="auto"/>
                        <w:bottom w:val="none" w:sz="0" w:space="0" w:color="auto"/>
                        <w:right w:val="none" w:sz="0" w:space="0" w:color="auto"/>
                      </w:divBdr>
                    </w:div>
                  </w:divsChild>
                </w:div>
                <w:div w:id="1934124401">
                  <w:marLeft w:val="0"/>
                  <w:marRight w:val="0"/>
                  <w:marTop w:val="0"/>
                  <w:marBottom w:val="0"/>
                  <w:divBdr>
                    <w:top w:val="none" w:sz="0" w:space="0" w:color="auto"/>
                    <w:left w:val="none" w:sz="0" w:space="0" w:color="auto"/>
                    <w:bottom w:val="none" w:sz="0" w:space="0" w:color="auto"/>
                    <w:right w:val="none" w:sz="0" w:space="0" w:color="auto"/>
                  </w:divBdr>
                  <w:divsChild>
                    <w:div w:id="1755469569">
                      <w:marLeft w:val="0"/>
                      <w:marRight w:val="0"/>
                      <w:marTop w:val="0"/>
                      <w:marBottom w:val="0"/>
                      <w:divBdr>
                        <w:top w:val="none" w:sz="0" w:space="0" w:color="auto"/>
                        <w:left w:val="none" w:sz="0" w:space="0" w:color="auto"/>
                        <w:bottom w:val="none" w:sz="0" w:space="0" w:color="auto"/>
                        <w:right w:val="none" w:sz="0" w:space="0" w:color="auto"/>
                      </w:divBdr>
                    </w:div>
                  </w:divsChild>
                </w:div>
                <w:div w:id="1985158286">
                  <w:marLeft w:val="0"/>
                  <w:marRight w:val="0"/>
                  <w:marTop w:val="0"/>
                  <w:marBottom w:val="0"/>
                  <w:divBdr>
                    <w:top w:val="none" w:sz="0" w:space="0" w:color="auto"/>
                    <w:left w:val="none" w:sz="0" w:space="0" w:color="auto"/>
                    <w:bottom w:val="none" w:sz="0" w:space="0" w:color="auto"/>
                    <w:right w:val="none" w:sz="0" w:space="0" w:color="auto"/>
                  </w:divBdr>
                  <w:divsChild>
                    <w:div w:id="1610965956">
                      <w:marLeft w:val="0"/>
                      <w:marRight w:val="0"/>
                      <w:marTop w:val="0"/>
                      <w:marBottom w:val="0"/>
                      <w:divBdr>
                        <w:top w:val="none" w:sz="0" w:space="0" w:color="auto"/>
                        <w:left w:val="none" w:sz="0" w:space="0" w:color="auto"/>
                        <w:bottom w:val="none" w:sz="0" w:space="0" w:color="auto"/>
                        <w:right w:val="none" w:sz="0" w:space="0" w:color="auto"/>
                      </w:divBdr>
                    </w:div>
                  </w:divsChild>
                </w:div>
                <w:div w:id="1988513366">
                  <w:marLeft w:val="0"/>
                  <w:marRight w:val="0"/>
                  <w:marTop w:val="0"/>
                  <w:marBottom w:val="0"/>
                  <w:divBdr>
                    <w:top w:val="none" w:sz="0" w:space="0" w:color="auto"/>
                    <w:left w:val="none" w:sz="0" w:space="0" w:color="auto"/>
                    <w:bottom w:val="none" w:sz="0" w:space="0" w:color="auto"/>
                    <w:right w:val="none" w:sz="0" w:space="0" w:color="auto"/>
                  </w:divBdr>
                  <w:divsChild>
                    <w:div w:id="1066565253">
                      <w:marLeft w:val="0"/>
                      <w:marRight w:val="0"/>
                      <w:marTop w:val="0"/>
                      <w:marBottom w:val="0"/>
                      <w:divBdr>
                        <w:top w:val="none" w:sz="0" w:space="0" w:color="auto"/>
                        <w:left w:val="none" w:sz="0" w:space="0" w:color="auto"/>
                        <w:bottom w:val="none" w:sz="0" w:space="0" w:color="auto"/>
                        <w:right w:val="none" w:sz="0" w:space="0" w:color="auto"/>
                      </w:divBdr>
                    </w:div>
                    <w:div w:id="1741445032">
                      <w:marLeft w:val="0"/>
                      <w:marRight w:val="0"/>
                      <w:marTop w:val="0"/>
                      <w:marBottom w:val="0"/>
                      <w:divBdr>
                        <w:top w:val="none" w:sz="0" w:space="0" w:color="auto"/>
                        <w:left w:val="none" w:sz="0" w:space="0" w:color="auto"/>
                        <w:bottom w:val="none" w:sz="0" w:space="0" w:color="auto"/>
                        <w:right w:val="none" w:sz="0" w:space="0" w:color="auto"/>
                      </w:divBdr>
                    </w:div>
                  </w:divsChild>
                </w:div>
                <w:div w:id="1995793856">
                  <w:marLeft w:val="0"/>
                  <w:marRight w:val="0"/>
                  <w:marTop w:val="0"/>
                  <w:marBottom w:val="0"/>
                  <w:divBdr>
                    <w:top w:val="none" w:sz="0" w:space="0" w:color="auto"/>
                    <w:left w:val="none" w:sz="0" w:space="0" w:color="auto"/>
                    <w:bottom w:val="none" w:sz="0" w:space="0" w:color="auto"/>
                    <w:right w:val="none" w:sz="0" w:space="0" w:color="auto"/>
                  </w:divBdr>
                  <w:divsChild>
                    <w:div w:id="1822044457">
                      <w:marLeft w:val="0"/>
                      <w:marRight w:val="0"/>
                      <w:marTop w:val="0"/>
                      <w:marBottom w:val="0"/>
                      <w:divBdr>
                        <w:top w:val="none" w:sz="0" w:space="0" w:color="auto"/>
                        <w:left w:val="none" w:sz="0" w:space="0" w:color="auto"/>
                        <w:bottom w:val="none" w:sz="0" w:space="0" w:color="auto"/>
                        <w:right w:val="none" w:sz="0" w:space="0" w:color="auto"/>
                      </w:divBdr>
                    </w:div>
                  </w:divsChild>
                </w:div>
                <w:div w:id="2008703263">
                  <w:marLeft w:val="0"/>
                  <w:marRight w:val="0"/>
                  <w:marTop w:val="0"/>
                  <w:marBottom w:val="0"/>
                  <w:divBdr>
                    <w:top w:val="none" w:sz="0" w:space="0" w:color="auto"/>
                    <w:left w:val="none" w:sz="0" w:space="0" w:color="auto"/>
                    <w:bottom w:val="none" w:sz="0" w:space="0" w:color="auto"/>
                    <w:right w:val="none" w:sz="0" w:space="0" w:color="auto"/>
                  </w:divBdr>
                  <w:divsChild>
                    <w:div w:id="248999994">
                      <w:marLeft w:val="0"/>
                      <w:marRight w:val="0"/>
                      <w:marTop w:val="0"/>
                      <w:marBottom w:val="0"/>
                      <w:divBdr>
                        <w:top w:val="none" w:sz="0" w:space="0" w:color="auto"/>
                        <w:left w:val="none" w:sz="0" w:space="0" w:color="auto"/>
                        <w:bottom w:val="none" w:sz="0" w:space="0" w:color="auto"/>
                        <w:right w:val="none" w:sz="0" w:space="0" w:color="auto"/>
                      </w:divBdr>
                    </w:div>
                  </w:divsChild>
                </w:div>
                <w:div w:id="2011790054">
                  <w:marLeft w:val="0"/>
                  <w:marRight w:val="0"/>
                  <w:marTop w:val="0"/>
                  <w:marBottom w:val="0"/>
                  <w:divBdr>
                    <w:top w:val="none" w:sz="0" w:space="0" w:color="auto"/>
                    <w:left w:val="none" w:sz="0" w:space="0" w:color="auto"/>
                    <w:bottom w:val="none" w:sz="0" w:space="0" w:color="auto"/>
                    <w:right w:val="none" w:sz="0" w:space="0" w:color="auto"/>
                  </w:divBdr>
                  <w:divsChild>
                    <w:div w:id="1830293471">
                      <w:marLeft w:val="0"/>
                      <w:marRight w:val="0"/>
                      <w:marTop w:val="0"/>
                      <w:marBottom w:val="0"/>
                      <w:divBdr>
                        <w:top w:val="none" w:sz="0" w:space="0" w:color="auto"/>
                        <w:left w:val="none" w:sz="0" w:space="0" w:color="auto"/>
                        <w:bottom w:val="none" w:sz="0" w:space="0" w:color="auto"/>
                        <w:right w:val="none" w:sz="0" w:space="0" w:color="auto"/>
                      </w:divBdr>
                    </w:div>
                  </w:divsChild>
                </w:div>
                <w:div w:id="2135556213">
                  <w:marLeft w:val="0"/>
                  <w:marRight w:val="0"/>
                  <w:marTop w:val="0"/>
                  <w:marBottom w:val="0"/>
                  <w:divBdr>
                    <w:top w:val="none" w:sz="0" w:space="0" w:color="auto"/>
                    <w:left w:val="none" w:sz="0" w:space="0" w:color="auto"/>
                    <w:bottom w:val="none" w:sz="0" w:space="0" w:color="auto"/>
                    <w:right w:val="none" w:sz="0" w:space="0" w:color="auto"/>
                  </w:divBdr>
                  <w:divsChild>
                    <w:div w:id="143073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057335">
          <w:marLeft w:val="0"/>
          <w:marRight w:val="0"/>
          <w:marTop w:val="0"/>
          <w:marBottom w:val="0"/>
          <w:divBdr>
            <w:top w:val="none" w:sz="0" w:space="0" w:color="auto"/>
            <w:left w:val="none" w:sz="0" w:space="0" w:color="auto"/>
            <w:bottom w:val="none" w:sz="0" w:space="0" w:color="auto"/>
            <w:right w:val="none" w:sz="0" w:space="0" w:color="auto"/>
          </w:divBdr>
        </w:div>
        <w:div w:id="1523473244">
          <w:marLeft w:val="0"/>
          <w:marRight w:val="0"/>
          <w:marTop w:val="0"/>
          <w:marBottom w:val="0"/>
          <w:divBdr>
            <w:top w:val="none" w:sz="0" w:space="0" w:color="auto"/>
            <w:left w:val="none" w:sz="0" w:space="0" w:color="auto"/>
            <w:bottom w:val="none" w:sz="0" w:space="0" w:color="auto"/>
            <w:right w:val="none" w:sz="0" w:space="0" w:color="auto"/>
          </w:divBdr>
        </w:div>
        <w:div w:id="1597441145">
          <w:marLeft w:val="0"/>
          <w:marRight w:val="0"/>
          <w:marTop w:val="0"/>
          <w:marBottom w:val="0"/>
          <w:divBdr>
            <w:top w:val="none" w:sz="0" w:space="0" w:color="auto"/>
            <w:left w:val="none" w:sz="0" w:space="0" w:color="auto"/>
            <w:bottom w:val="none" w:sz="0" w:space="0" w:color="auto"/>
            <w:right w:val="none" w:sz="0" w:space="0" w:color="auto"/>
          </w:divBdr>
          <w:divsChild>
            <w:div w:id="147749989">
              <w:marLeft w:val="0"/>
              <w:marRight w:val="0"/>
              <w:marTop w:val="0"/>
              <w:marBottom w:val="0"/>
              <w:divBdr>
                <w:top w:val="none" w:sz="0" w:space="0" w:color="auto"/>
                <w:left w:val="none" w:sz="0" w:space="0" w:color="auto"/>
                <w:bottom w:val="none" w:sz="0" w:space="0" w:color="auto"/>
                <w:right w:val="none" w:sz="0" w:space="0" w:color="auto"/>
              </w:divBdr>
            </w:div>
            <w:div w:id="185145169">
              <w:marLeft w:val="0"/>
              <w:marRight w:val="0"/>
              <w:marTop w:val="0"/>
              <w:marBottom w:val="0"/>
              <w:divBdr>
                <w:top w:val="none" w:sz="0" w:space="0" w:color="auto"/>
                <w:left w:val="none" w:sz="0" w:space="0" w:color="auto"/>
                <w:bottom w:val="none" w:sz="0" w:space="0" w:color="auto"/>
                <w:right w:val="none" w:sz="0" w:space="0" w:color="auto"/>
              </w:divBdr>
            </w:div>
            <w:div w:id="271976373">
              <w:marLeft w:val="0"/>
              <w:marRight w:val="0"/>
              <w:marTop w:val="0"/>
              <w:marBottom w:val="0"/>
              <w:divBdr>
                <w:top w:val="none" w:sz="0" w:space="0" w:color="auto"/>
                <w:left w:val="none" w:sz="0" w:space="0" w:color="auto"/>
                <w:bottom w:val="none" w:sz="0" w:space="0" w:color="auto"/>
                <w:right w:val="none" w:sz="0" w:space="0" w:color="auto"/>
              </w:divBdr>
            </w:div>
            <w:div w:id="1421871415">
              <w:marLeft w:val="0"/>
              <w:marRight w:val="0"/>
              <w:marTop w:val="0"/>
              <w:marBottom w:val="0"/>
              <w:divBdr>
                <w:top w:val="none" w:sz="0" w:space="0" w:color="auto"/>
                <w:left w:val="none" w:sz="0" w:space="0" w:color="auto"/>
                <w:bottom w:val="none" w:sz="0" w:space="0" w:color="auto"/>
                <w:right w:val="none" w:sz="0" w:space="0" w:color="auto"/>
              </w:divBdr>
            </w:div>
            <w:div w:id="1538469870">
              <w:marLeft w:val="0"/>
              <w:marRight w:val="0"/>
              <w:marTop w:val="0"/>
              <w:marBottom w:val="0"/>
              <w:divBdr>
                <w:top w:val="none" w:sz="0" w:space="0" w:color="auto"/>
                <w:left w:val="none" w:sz="0" w:space="0" w:color="auto"/>
                <w:bottom w:val="none" w:sz="0" w:space="0" w:color="auto"/>
                <w:right w:val="none" w:sz="0" w:space="0" w:color="auto"/>
              </w:divBdr>
            </w:div>
          </w:divsChild>
        </w:div>
        <w:div w:id="1601715268">
          <w:marLeft w:val="0"/>
          <w:marRight w:val="0"/>
          <w:marTop w:val="0"/>
          <w:marBottom w:val="0"/>
          <w:divBdr>
            <w:top w:val="none" w:sz="0" w:space="0" w:color="auto"/>
            <w:left w:val="none" w:sz="0" w:space="0" w:color="auto"/>
            <w:bottom w:val="none" w:sz="0" w:space="0" w:color="auto"/>
            <w:right w:val="none" w:sz="0" w:space="0" w:color="auto"/>
          </w:divBdr>
        </w:div>
        <w:div w:id="1851675529">
          <w:marLeft w:val="0"/>
          <w:marRight w:val="0"/>
          <w:marTop w:val="0"/>
          <w:marBottom w:val="0"/>
          <w:divBdr>
            <w:top w:val="none" w:sz="0" w:space="0" w:color="auto"/>
            <w:left w:val="none" w:sz="0" w:space="0" w:color="auto"/>
            <w:bottom w:val="none" w:sz="0" w:space="0" w:color="auto"/>
            <w:right w:val="none" w:sz="0" w:space="0" w:color="auto"/>
          </w:divBdr>
        </w:div>
        <w:div w:id="2075006528">
          <w:marLeft w:val="0"/>
          <w:marRight w:val="0"/>
          <w:marTop w:val="0"/>
          <w:marBottom w:val="0"/>
          <w:divBdr>
            <w:top w:val="none" w:sz="0" w:space="0" w:color="auto"/>
            <w:left w:val="none" w:sz="0" w:space="0" w:color="auto"/>
            <w:bottom w:val="none" w:sz="0" w:space="0" w:color="auto"/>
            <w:right w:val="none" w:sz="0" w:space="0" w:color="auto"/>
          </w:divBdr>
        </w:div>
      </w:divsChild>
    </w:div>
    <w:div w:id="1847477834">
      <w:bodyDiv w:val="1"/>
      <w:marLeft w:val="0"/>
      <w:marRight w:val="0"/>
      <w:marTop w:val="0"/>
      <w:marBottom w:val="0"/>
      <w:divBdr>
        <w:top w:val="none" w:sz="0" w:space="0" w:color="auto"/>
        <w:left w:val="none" w:sz="0" w:space="0" w:color="auto"/>
        <w:bottom w:val="none" w:sz="0" w:space="0" w:color="auto"/>
        <w:right w:val="none" w:sz="0" w:space="0" w:color="auto"/>
      </w:divBdr>
    </w:div>
    <w:div w:id="1860509948">
      <w:bodyDiv w:val="1"/>
      <w:marLeft w:val="0"/>
      <w:marRight w:val="0"/>
      <w:marTop w:val="0"/>
      <w:marBottom w:val="0"/>
      <w:divBdr>
        <w:top w:val="none" w:sz="0" w:space="0" w:color="auto"/>
        <w:left w:val="none" w:sz="0" w:space="0" w:color="auto"/>
        <w:bottom w:val="none" w:sz="0" w:space="0" w:color="auto"/>
        <w:right w:val="none" w:sz="0" w:space="0" w:color="auto"/>
      </w:divBdr>
    </w:div>
    <w:div w:id="1888180302">
      <w:bodyDiv w:val="1"/>
      <w:marLeft w:val="0"/>
      <w:marRight w:val="0"/>
      <w:marTop w:val="0"/>
      <w:marBottom w:val="0"/>
      <w:divBdr>
        <w:top w:val="none" w:sz="0" w:space="0" w:color="auto"/>
        <w:left w:val="none" w:sz="0" w:space="0" w:color="auto"/>
        <w:bottom w:val="none" w:sz="0" w:space="0" w:color="auto"/>
        <w:right w:val="none" w:sz="0" w:space="0" w:color="auto"/>
      </w:divBdr>
    </w:div>
    <w:div w:id="1933204361">
      <w:bodyDiv w:val="1"/>
      <w:marLeft w:val="0"/>
      <w:marRight w:val="0"/>
      <w:marTop w:val="0"/>
      <w:marBottom w:val="0"/>
      <w:divBdr>
        <w:top w:val="none" w:sz="0" w:space="0" w:color="auto"/>
        <w:left w:val="none" w:sz="0" w:space="0" w:color="auto"/>
        <w:bottom w:val="none" w:sz="0" w:space="0" w:color="auto"/>
        <w:right w:val="none" w:sz="0" w:space="0" w:color="auto"/>
      </w:divBdr>
    </w:div>
    <w:div w:id="1989818134">
      <w:bodyDiv w:val="1"/>
      <w:marLeft w:val="0"/>
      <w:marRight w:val="0"/>
      <w:marTop w:val="0"/>
      <w:marBottom w:val="0"/>
      <w:divBdr>
        <w:top w:val="none" w:sz="0" w:space="0" w:color="auto"/>
        <w:left w:val="none" w:sz="0" w:space="0" w:color="auto"/>
        <w:bottom w:val="none" w:sz="0" w:space="0" w:color="auto"/>
        <w:right w:val="none" w:sz="0" w:space="0" w:color="auto"/>
      </w:divBdr>
      <w:divsChild>
        <w:div w:id="305208323">
          <w:marLeft w:val="0"/>
          <w:marRight w:val="0"/>
          <w:marTop w:val="0"/>
          <w:marBottom w:val="0"/>
          <w:divBdr>
            <w:top w:val="none" w:sz="0" w:space="0" w:color="auto"/>
            <w:left w:val="none" w:sz="0" w:space="0" w:color="auto"/>
            <w:bottom w:val="none" w:sz="0" w:space="0" w:color="auto"/>
            <w:right w:val="none" w:sz="0" w:space="0" w:color="auto"/>
          </w:divBdr>
        </w:div>
        <w:div w:id="473841497">
          <w:marLeft w:val="0"/>
          <w:marRight w:val="0"/>
          <w:marTop w:val="0"/>
          <w:marBottom w:val="0"/>
          <w:divBdr>
            <w:top w:val="none" w:sz="0" w:space="0" w:color="auto"/>
            <w:left w:val="none" w:sz="0" w:space="0" w:color="auto"/>
            <w:bottom w:val="none" w:sz="0" w:space="0" w:color="auto"/>
            <w:right w:val="none" w:sz="0" w:space="0" w:color="auto"/>
          </w:divBdr>
        </w:div>
        <w:div w:id="1553882415">
          <w:marLeft w:val="0"/>
          <w:marRight w:val="0"/>
          <w:marTop w:val="0"/>
          <w:marBottom w:val="0"/>
          <w:divBdr>
            <w:top w:val="none" w:sz="0" w:space="0" w:color="auto"/>
            <w:left w:val="none" w:sz="0" w:space="0" w:color="auto"/>
            <w:bottom w:val="none" w:sz="0" w:space="0" w:color="auto"/>
            <w:right w:val="none" w:sz="0" w:space="0" w:color="auto"/>
          </w:divBdr>
        </w:div>
        <w:div w:id="1703087965">
          <w:marLeft w:val="0"/>
          <w:marRight w:val="0"/>
          <w:marTop w:val="0"/>
          <w:marBottom w:val="0"/>
          <w:divBdr>
            <w:top w:val="none" w:sz="0" w:space="0" w:color="auto"/>
            <w:left w:val="none" w:sz="0" w:space="0" w:color="auto"/>
            <w:bottom w:val="none" w:sz="0" w:space="0" w:color="auto"/>
            <w:right w:val="none" w:sz="0" w:space="0" w:color="auto"/>
          </w:divBdr>
        </w:div>
        <w:div w:id="1777284833">
          <w:marLeft w:val="0"/>
          <w:marRight w:val="0"/>
          <w:marTop w:val="0"/>
          <w:marBottom w:val="0"/>
          <w:divBdr>
            <w:top w:val="none" w:sz="0" w:space="0" w:color="auto"/>
            <w:left w:val="none" w:sz="0" w:space="0" w:color="auto"/>
            <w:bottom w:val="none" w:sz="0" w:space="0" w:color="auto"/>
            <w:right w:val="none" w:sz="0" w:space="0" w:color="auto"/>
          </w:divBdr>
        </w:div>
      </w:divsChild>
    </w:div>
    <w:div w:id="1994605889">
      <w:bodyDiv w:val="1"/>
      <w:marLeft w:val="0"/>
      <w:marRight w:val="0"/>
      <w:marTop w:val="0"/>
      <w:marBottom w:val="0"/>
      <w:divBdr>
        <w:top w:val="none" w:sz="0" w:space="0" w:color="auto"/>
        <w:left w:val="none" w:sz="0" w:space="0" w:color="auto"/>
        <w:bottom w:val="none" w:sz="0" w:space="0" w:color="auto"/>
        <w:right w:val="none" w:sz="0" w:space="0" w:color="auto"/>
      </w:divBdr>
      <w:divsChild>
        <w:div w:id="1333332432">
          <w:marLeft w:val="0"/>
          <w:marRight w:val="0"/>
          <w:marTop w:val="0"/>
          <w:marBottom w:val="0"/>
          <w:divBdr>
            <w:top w:val="none" w:sz="0" w:space="0" w:color="auto"/>
            <w:left w:val="none" w:sz="0" w:space="0" w:color="auto"/>
            <w:bottom w:val="none" w:sz="0" w:space="0" w:color="auto"/>
            <w:right w:val="none" w:sz="0" w:space="0" w:color="auto"/>
          </w:divBdr>
          <w:divsChild>
            <w:div w:id="256912763">
              <w:marLeft w:val="0"/>
              <w:marRight w:val="0"/>
              <w:marTop w:val="0"/>
              <w:marBottom w:val="0"/>
              <w:divBdr>
                <w:top w:val="none" w:sz="0" w:space="0" w:color="auto"/>
                <w:left w:val="none" w:sz="0" w:space="0" w:color="auto"/>
                <w:bottom w:val="none" w:sz="0" w:space="0" w:color="auto"/>
                <w:right w:val="none" w:sz="0" w:space="0" w:color="auto"/>
              </w:divBdr>
            </w:div>
          </w:divsChild>
        </w:div>
        <w:div w:id="2113502673">
          <w:marLeft w:val="0"/>
          <w:marRight w:val="0"/>
          <w:marTop w:val="0"/>
          <w:marBottom w:val="0"/>
          <w:divBdr>
            <w:top w:val="none" w:sz="0" w:space="0" w:color="auto"/>
            <w:left w:val="none" w:sz="0" w:space="0" w:color="auto"/>
            <w:bottom w:val="none" w:sz="0" w:space="0" w:color="auto"/>
            <w:right w:val="none" w:sz="0" w:space="0" w:color="auto"/>
          </w:divBdr>
          <w:divsChild>
            <w:div w:id="1501777477">
              <w:marLeft w:val="0"/>
              <w:marRight w:val="0"/>
              <w:marTop w:val="0"/>
              <w:marBottom w:val="0"/>
              <w:divBdr>
                <w:top w:val="none" w:sz="0" w:space="0" w:color="auto"/>
                <w:left w:val="none" w:sz="0" w:space="0" w:color="auto"/>
                <w:bottom w:val="none" w:sz="0" w:space="0" w:color="auto"/>
                <w:right w:val="none" w:sz="0" w:space="0" w:color="auto"/>
              </w:divBdr>
            </w:div>
            <w:div w:id="16162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79299">
      <w:bodyDiv w:val="1"/>
      <w:marLeft w:val="0"/>
      <w:marRight w:val="0"/>
      <w:marTop w:val="0"/>
      <w:marBottom w:val="0"/>
      <w:divBdr>
        <w:top w:val="none" w:sz="0" w:space="0" w:color="auto"/>
        <w:left w:val="none" w:sz="0" w:space="0" w:color="auto"/>
        <w:bottom w:val="none" w:sz="0" w:space="0" w:color="auto"/>
        <w:right w:val="none" w:sz="0" w:space="0" w:color="auto"/>
      </w:divBdr>
    </w:div>
    <w:div w:id="2092894176">
      <w:bodyDiv w:val="1"/>
      <w:marLeft w:val="0"/>
      <w:marRight w:val="0"/>
      <w:marTop w:val="0"/>
      <w:marBottom w:val="0"/>
      <w:divBdr>
        <w:top w:val="none" w:sz="0" w:space="0" w:color="auto"/>
        <w:left w:val="none" w:sz="0" w:space="0" w:color="auto"/>
        <w:bottom w:val="none" w:sz="0" w:space="0" w:color="auto"/>
        <w:right w:val="none" w:sz="0" w:space="0" w:color="auto"/>
      </w:divBdr>
    </w:div>
    <w:div w:id="2103141645">
      <w:bodyDiv w:val="1"/>
      <w:marLeft w:val="0"/>
      <w:marRight w:val="0"/>
      <w:marTop w:val="0"/>
      <w:marBottom w:val="0"/>
      <w:divBdr>
        <w:top w:val="none" w:sz="0" w:space="0" w:color="auto"/>
        <w:left w:val="none" w:sz="0" w:space="0" w:color="auto"/>
        <w:bottom w:val="none" w:sz="0" w:space="0" w:color="auto"/>
        <w:right w:val="none" w:sz="0" w:space="0" w:color="auto"/>
      </w:divBdr>
      <w:divsChild>
        <w:div w:id="5449879">
          <w:marLeft w:val="0"/>
          <w:marRight w:val="0"/>
          <w:marTop w:val="0"/>
          <w:marBottom w:val="0"/>
          <w:divBdr>
            <w:top w:val="none" w:sz="0" w:space="0" w:color="auto"/>
            <w:left w:val="none" w:sz="0" w:space="0" w:color="auto"/>
            <w:bottom w:val="none" w:sz="0" w:space="0" w:color="auto"/>
            <w:right w:val="none" w:sz="0" w:space="0" w:color="auto"/>
          </w:divBdr>
          <w:divsChild>
            <w:div w:id="1867012923">
              <w:marLeft w:val="0"/>
              <w:marRight w:val="0"/>
              <w:marTop w:val="0"/>
              <w:marBottom w:val="0"/>
              <w:divBdr>
                <w:top w:val="none" w:sz="0" w:space="0" w:color="auto"/>
                <w:left w:val="none" w:sz="0" w:space="0" w:color="auto"/>
                <w:bottom w:val="none" w:sz="0" w:space="0" w:color="auto"/>
                <w:right w:val="none" w:sz="0" w:space="0" w:color="auto"/>
              </w:divBdr>
            </w:div>
          </w:divsChild>
        </w:div>
        <w:div w:id="10838499">
          <w:marLeft w:val="0"/>
          <w:marRight w:val="0"/>
          <w:marTop w:val="0"/>
          <w:marBottom w:val="0"/>
          <w:divBdr>
            <w:top w:val="none" w:sz="0" w:space="0" w:color="auto"/>
            <w:left w:val="none" w:sz="0" w:space="0" w:color="auto"/>
            <w:bottom w:val="none" w:sz="0" w:space="0" w:color="auto"/>
            <w:right w:val="none" w:sz="0" w:space="0" w:color="auto"/>
          </w:divBdr>
          <w:divsChild>
            <w:div w:id="1384451967">
              <w:marLeft w:val="0"/>
              <w:marRight w:val="0"/>
              <w:marTop w:val="0"/>
              <w:marBottom w:val="0"/>
              <w:divBdr>
                <w:top w:val="none" w:sz="0" w:space="0" w:color="auto"/>
                <w:left w:val="none" w:sz="0" w:space="0" w:color="auto"/>
                <w:bottom w:val="none" w:sz="0" w:space="0" w:color="auto"/>
                <w:right w:val="none" w:sz="0" w:space="0" w:color="auto"/>
              </w:divBdr>
            </w:div>
          </w:divsChild>
        </w:div>
        <w:div w:id="24870414">
          <w:marLeft w:val="0"/>
          <w:marRight w:val="0"/>
          <w:marTop w:val="0"/>
          <w:marBottom w:val="0"/>
          <w:divBdr>
            <w:top w:val="none" w:sz="0" w:space="0" w:color="auto"/>
            <w:left w:val="none" w:sz="0" w:space="0" w:color="auto"/>
            <w:bottom w:val="none" w:sz="0" w:space="0" w:color="auto"/>
            <w:right w:val="none" w:sz="0" w:space="0" w:color="auto"/>
          </w:divBdr>
          <w:divsChild>
            <w:div w:id="1320311197">
              <w:marLeft w:val="0"/>
              <w:marRight w:val="0"/>
              <w:marTop w:val="0"/>
              <w:marBottom w:val="0"/>
              <w:divBdr>
                <w:top w:val="none" w:sz="0" w:space="0" w:color="auto"/>
                <w:left w:val="none" w:sz="0" w:space="0" w:color="auto"/>
                <w:bottom w:val="none" w:sz="0" w:space="0" w:color="auto"/>
                <w:right w:val="none" w:sz="0" w:space="0" w:color="auto"/>
              </w:divBdr>
            </w:div>
          </w:divsChild>
        </w:div>
        <w:div w:id="33043757">
          <w:marLeft w:val="0"/>
          <w:marRight w:val="0"/>
          <w:marTop w:val="0"/>
          <w:marBottom w:val="0"/>
          <w:divBdr>
            <w:top w:val="none" w:sz="0" w:space="0" w:color="auto"/>
            <w:left w:val="none" w:sz="0" w:space="0" w:color="auto"/>
            <w:bottom w:val="none" w:sz="0" w:space="0" w:color="auto"/>
            <w:right w:val="none" w:sz="0" w:space="0" w:color="auto"/>
          </w:divBdr>
          <w:divsChild>
            <w:div w:id="451021865">
              <w:marLeft w:val="0"/>
              <w:marRight w:val="0"/>
              <w:marTop w:val="0"/>
              <w:marBottom w:val="0"/>
              <w:divBdr>
                <w:top w:val="none" w:sz="0" w:space="0" w:color="auto"/>
                <w:left w:val="none" w:sz="0" w:space="0" w:color="auto"/>
                <w:bottom w:val="none" w:sz="0" w:space="0" w:color="auto"/>
                <w:right w:val="none" w:sz="0" w:space="0" w:color="auto"/>
              </w:divBdr>
            </w:div>
          </w:divsChild>
        </w:div>
        <w:div w:id="45641046">
          <w:marLeft w:val="0"/>
          <w:marRight w:val="0"/>
          <w:marTop w:val="0"/>
          <w:marBottom w:val="0"/>
          <w:divBdr>
            <w:top w:val="none" w:sz="0" w:space="0" w:color="auto"/>
            <w:left w:val="none" w:sz="0" w:space="0" w:color="auto"/>
            <w:bottom w:val="none" w:sz="0" w:space="0" w:color="auto"/>
            <w:right w:val="none" w:sz="0" w:space="0" w:color="auto"/>
          </w:divBdr>
          <w:divsChild>
            <w:div w:id="1405833015">
              <w:marLeft w:val="0"/>
              <w:marRight w:val="0"/>
              <w:marTop w:val="0"/>
              <w:marBottom w:val="0"/>
              <w:divBdr>
                <w:top w:val="none" w:sz="0" w:space="0" w:color="auto"/>
                <w:left w:val="none" w:sz="0" w:space="0" w:color="auto"/>
                <w:bottom w:val="none" w:sz="0" w:space="0" w:color="auto"/>
                <w:right w:val="none" w:sz="0" w:space="0" w:color="auto"/>
              </w:divBdr>
            </w:div>
          </w:divsChild>
        </w:div>
        <w:div w:id="52705810">
          <w:marLeft w:val="0"/>
          <w:marRight w:val="0"/>
          <w:marTop w:val="0"/>
          <w:marBottom w:val="0"/>
          <w:divBdr>
            <w:top w:val="none" w:sz="0" w:space="0" w:color="auto"/>
            <w:left w:val="none" w:sz="0" w:space="0" w:color="auto"/>
            <w:bottom w:val="none" w:sz="0" w:space="0" w:color="auto"/>
            <w:right w:val="none" w:sz="0" w:space="0" w:color="auto"/>
          </w:divBdr>
          <w:divsChild>
            <w:div w:id="601646644">
              <w:marLeft w:val="0"/>
              <w:marRight w:val="0"/>
              <w:marTop w:val="0"/>
              <w:marBottom w:val="0"/>
              <w:divBdr>
                <w:top w:val="none" w:sz="0" w:space="0" w:color="auto"/>
                <w:left w:val="none" w:sz="0" w:space="0" w:color="auto"/>
                <w:bottom w:val="none" w:sz="0" w:space="0" w:color="auto"/>
                <w:right w:val="none" w:sz="0" w:space="0" w:color="auto"/>
              </w:divBdr>
            </w:div>
          </w:divsChild>
        </w:div>
        <w:div w:id="97070006">
          <w:marLeft w:val="0"/>
          <w:marRight w:val="0"/>
          <w:marTop w:val="0"/>
          <w:marBottom w:val="0"/>
          <w:divBdr>
            <w:top w:val="none" w:sz="0" w:space="0" w:color="auto"/>
            <w:left w:val="none" w:sz="0" w:space="0" w:color="auto"/>
            <w:bottom w:val="none" w:sz="0" w:space="0" w:color="auto"/>
            <w:right w:val="none" w:sz="0" w:space="0" w:color="auto"/>
          </w:divBdr>
          <w:divsChild>
            <w:div w:id="644159983">
              <w:marLeft w:val="0"/>
              <w:marRight w:val="0"/>
              <w:marTop w:val="0"/>
              <w:marBottom w:val="0"/>
              <w:divBdr>
                <w:top w:val="none" w:sz="0" w:space="0" w:color="auto"/>
                <w:left w:val="none" w:sz="0" w:space="0" w:color="auto"/>
                <w:bottom w:val="none" w:sz="0" w:space="0" w:color="auto"/>
                <w:right w:val="none" w:sz="0" w:space="0" w:color="auto"/>
              </w:divBdr>
            </w:div>
          </w:divsChild>
        </w:div>
        <w:div w:id="132262672">
          <w:marLeft w:val="0"/>
          <w:marRight w:val="0"/>
          <w:marTop w:val="0"/>
          <w:marBottom w:val="0"/>
          <w:divBdr>
            <w:top w:val="none" w:sz="0" w:space="0" w:color="auto"/>
            <w:left w:val="none" w:sz="0" w:space="0" w:color="auto"/>
            <w:bottom w:val="none" w:sz="0" w:space="0" w:color="auto"/>
            <w:right w:val="none" w:sz="0" w:space="0" w:color="auto"/>
          </w:divBdr>
          <w:divsChild>
            <w:div w:id="1501461192">
              <w:marLeft w:val="0"/>
              <w:marRight w:val="0"/>
              <w:marTop w:val="0"/>
              <w:marBottom w:val="0"/>
              <w:divBdr>
                <w:top w:val="none" w:sz="0" w:space="0" w:color="auto"/>
                <w:left w:val="none" w:sz="0" w:space="0" w:color="auto"/>
                <w:bottom w:val="none" w:sz="0" w:space="0" w:color="auto"/>
                <w:right w:val="none" w:sz="0" w:space="0" w:color="auto"/>
              </w:divBdr>
            </w:div>
          </w:divsChild>
        </w:div>
        <w:div w:id="143745717">
          <w:marLeft w:val="0"/>
          <w:marRight w:val="0"/>
          <w:marTop w:val="0"/>
          <w:marBottom w:val="0"/>
          <w:divBdr>
            <w:top w:val="none" w:sz="0" w:space="0" w:color="auto"/>
            <w:left w:val="none" w:sz="0" w:space="0" w:color="auto"/>
            <w:bottom w:val="none" w:sz="0" w:space="0" w:color="auto"/>
            <w:right w:val="none" w:sz="0" w:space="0" w:color="auto"/>
          </w:divBdr>
          <w:divsChild>
            <w:div w:id="1879929177">
              <w:marLeft w:val="0"/>
              <w:marRight w:val="0"/>
              <w:marTop w:val="0"/>
              <w:marBottom w:val="0"/>
              <w:divBdr>
                <w:top w:val="none" w:sz="0" w:space="0" w:color="auto"/>
                <w:left w:val="none" w:sz="0" w:space="0" w:color="auto"/>
                <w:bottom w:val="none" w:sz="0" w:space="0" w:color="auto"/>
                <w:right w:val="none" w:sz="0" w:space="0" w:color="auto"/>
              </w:divBdr>
            </w:div>
          </w:divsChild>
        </w:div>
        <w:div w:id="145364259">
          <w:marLeft w:val="0"/>
          <w:marRight w:val="0"/>
          <w:marTop w:val="0"/>
          <w:marBottom w:val="0"/>
          <w:divBdr>
            <w:top w:val="none" w:sz="0" w:space="0" w:color="auto"/>
            <w:left w:val="none" w:sz="0" w:space="0" w:color="auto"/>
            <w:bottom w:val="none" w:sz="0" w:space="0" w:color="auto"/>
            <w:right w:val="none" w:sz="0" w:space="0" w:color="auto"/>
          </w:divBdr>
          <w:divsChild>
            <w:div w:id="386145402">
              <w:marLeft w:val="0"/>
              <w:marRight w:val="0"/>
              <w:marTop w:val="0"/>
              <w:marBottom w:val="0"/>
              <w:divBdr>
                <w:top w:val="none" w:sz="0" w:space="0" w:color="auto"/>
                <w:left w:val="none" w:sz="0" w:space="0" w:color="auto"/>
                <w:bottom w:val="none" w:sz="0" w:space="0" w:color="auto"/>
                <w:right w:val="none" w:sz="0" w:space="0" w:color="auto"/>
              </w:divBdr>
            </w:div>
          </w:divsChild>
        </w:div>
        <w:div w:id="177551122">
          <w:marLeft w:val="0"/>
          <w:marRight w:val="0"/>
          <w:marTop w:val="0"/>
          <w:marBottom w:val="0"/>
          <w:divBdr>
            <w:top w:val="none" w:sz="0" w:space="0" w:color="auto"/>
            <w:left w:val="none" w:sz="0" w:space="0" w:color="auto"/>
            <w:bottom w:val="none" w:sz="0" w:space="0" w:color="auto"/>
            <w:right w:val="none" w:sz="0" w:space="0" w:color="auto"/>
          </w:divBdr>
          <w:divsChild>
            <w:div w:id="589971948">
              <w:marLeft w:val="0"/>
              <w:marRight w:val="0"/>
              <w:marTop w:val="0"/>
              <w:marBottom w:val="0"/>
              <w:divBdr>
                <w:top w:val="none" w:sz="0" w:space="0" w:color="auto"/>
                <w:left w:val="none" w:sz="0" w:space="0" w:color="auto"/>
                <w:bottom w:val="none" w:sz="0" w:space="0" w:color="auto"/>
                <w:right w:val="none" w:sz="0" w:space="0" w:color="auto"/>
              </w:divBdr>
            </w:div>
          </w:divsChild>
        </w:div>
        <w:div w:id="182985284">
          <w:marLeft w:val="0"/>
          <w:marRight w:val="0"/>
          <w:marTop w:val="0"/>
          <w:marBottom w:val="0"/>
          <w:divBdr>
            <w:top w:val="none" w:sz="0" w:space="0" w:color="auto"/>
            <w:left w:val="none" w:sz="0" w:space="0" w:color="auto"/>
            <w:bottom w:val="none" w:sz="0" w:space="0" w:color="auto"/>
            <w:right w:val="none" w:sz="0" w:space="0" w:color="auto"/>
          </w:divBdr>
          <w:divsChild>
            <w:div w:id="1154490667">
              <w:marLeft w:val="0"/>
              <w:marRight w:val="0"/>
              <w:marTop w:val="0"/>
              <w:marBottom w:val="0"/>
              <w:divBdr>
                <w:top w:val="none" w:sz="0" w:space="0" w:color="auto"/>
                <w:left w:val="none" w:sz="0" w:space="0" w:color="auto"/>
                <w:bottom w:val="none" w:sz="0" w:space="0" w:color="auto"/>
                <w:right w:val="none" w:sz="0" w:space="0" w:color="auto"/>
              </w:divBdr>
            </w:div>
          </w:divsChild>
        </w:div>
        <w:div w:id="306015407">
          <w:marLeft w:val="0"/>
          <w:marRight w:val="0"/>
          <w:marTop w:val="0"/>
          <w:marBottom w:val="0"/>
          <w:divBdr>
            <w:top w:val="none" w:sz="0" w:space="0" w:color="auto"/>
            <w:left w:val="none" w:sz="0" w:space="0" w:color="auto"/>
            <w:bottom w:val="none" w:sz="0" w:space="0" w:color="auto"/>
            <w:right w:val="none" w:sz="0" w:space="0" w:color="auto"/>
          </w:divBdr>
          <w:divsChild>
            <w:div w:id="423572374">
              <w:marLeft w:val="0"/>
              <w:marRight w:val="0"/>
              <w:marTop w:val="0"/>
              <w:marBottom w:val="0"/>
              <w:divBdr>
                <w:top w:val="none" w:sz="0" w:space="0" w:color="auto"/>
                <w:left w:val="none" w:sz="0" w:space="0" w:color="auto"/>
                <w:bottom w:val="none" w:sz="0" w:space="0" w:color="auto"/>
                <w:right w:val="none" w:sz="0" w:space="0" w:color="auto"/>
              </w:divBdr>
            </w:div>
          </w:divsChild>
        </w:div>
        <w:div w:id="312686877">
          <w:marLeft w:val="0"/>
          <w:marRight w:val="0"/>
          <w:marTop w:val="0"/>
          <w:marBottom w:val="0"/>
          <w:divBdr>
            <w:top w:val="none" w:sz="0" w:space="0" w:color="auto"/>
            <w:left w:val="none" w:sz="0" w:space="0" w:color="auto"/>
            <w:bottom w:val="none" w:sz="0" w:space="0" w:color="auto"/>
            <w:right w:val="none" w:sz="0" w:space="0" w:color="auto"/>
          </w:divBdr>
          <w:divsChild>
            <w:div w:id="127167312">
              <w:marLeft w:val="0"/>
              <w:marRight w:val="0"/>
              <w:marTop w:val="0"/>
              <w:marBottom w:val="0"/>
              <w:divBdr>
                <w:top w:val="none" w:sz="0" w:space="0" w:color="auto"/>
                <w:left w:val="none" w:sz="0" w:space="0" w:color="auto"/>
                <w:bottom w:val="none" w:sz="0" w:space="0" w:color="auto"/>
                <w:right w:val="none" w:sz="0" w:space="0" w:color="auto"/>
              </w:divBdr>
            </w:div>
          </w:divsChild>
        </w:div>
        <w:div w:id="315496911">
          <w:marLeft w:val="0"/>
          <w:marRight w:val="0"/>
          <w:marTop w:val="0"/>
          <w:marBottom w:val="0"/>
          <w:divBdr>
            <w:top w:val="none" w:sz="0" w:space="0" w:color="auto"/>
            <w:left w:val="none" w:sz="0" w:space="0" w:color="auto"/>
            <w:bottom w:val="none" w:sz="0" w:space="0" w:color="auto"/>
            <w:right w:val="none" w:sz="0" w:space="0" w:color="auto"/>
          </w:divBdr>
          <w:divsChild>
            <w:div w:id="1094283676">
              <w:marLeft w:val="0"/>
              <w:marRight w:val="0"/>
              <w:marTop w:val="0"/>
              <w:marBottom w:val="0"/>
              <w:divBdr>
                <w:top w:val="none" w:sz="0" w:space="0" w:color="auto"/>
                <w:left w:val="none" w:sz="0" w:space="0" w:color="auto"/>
                <w:bottom w:val="none" w:sz="0" w:space="0" w:color="auto"/>
                <w:right w:val="none" w:sz="0" w:space="0" w:color="auto"/>
              </w:divBdr>
            </w:div>
          </w:divsChild>
        </w:div>
        <w:div w:id="329068717">
          <w:marLeft w:val="0"/>
          <w:marRight w:val="0"/>
          <w:marTop w:val="0"/>
          <w:marBottom w:val="0"/>
          <w:divBdr>
            <w:top w:val="none" w:sz="0" w:space="0" w:color="auto"/>
            <w:left w:val="none" w:sz="0" w:space="0" w:color="auto"/>
            <w:bottom w:val="none" w:sz="0" w:space="0" w:color="auto"/>
            <w:right w:val="none" w:sz="0" w:space="0" w:color="auto"/>
          </w:divBdr>
          <w:divsChild>
            <w:div w:id="59911145">
              <w:marLeft w:val="0"/>
              <w:marRight w:val="0"/>
              <w:marTop w:val="0"/>
              <w:marBottom w:val="0"/>
              <w:divBdr>
                <w:top w:val="none" w:sz="0" w:space="0" w:color="auto"/>
                <w:left w:val="none" w:sz="0" w:space="0" w:color="auto"/>
                <w:bottom w:val="none" w:sz="0" w:space="0" w:color="auto"/>
                <w:right w:val="none" w:sz="0" w:space="0" w:color="auto"/>
              </w:divBdr>
            </w:div>
          </w:divsChild>
        </w:div>
        <w:div w:id="329597574">
          <w:marLeft w:val="0"/>
          <w:marRight w:val="0"/>
          <w:marTop w:val="0"/>
          <w:marBottom w:val="0"/>
          <w:divBdr>
            <w:top w:val="none" w:sz="0" w:space="0" w:color="auto"/>
            <w:left w:val="none" w:sz="0" w:space="0" w:color="auto"/>
            <w:bottom w:val="none" w:sz="0" w:space="0" w:color="auto"/>
            <w:right w:val="none" w:sz="0" w:space="0" w:color="auto"/>
          </w:divBdr>
          <w:divsChild>
            <w:div w:id="523634632">
              <w:marLeft w:val="0"/>
              <w:marRight w:val="0"/>
              <w:marTop w:val="0"/>
              <w:marBottom w:val="0"/>
              <w:divBdr>
                <w:top w:val="none" w:sz="0" w:space="0" w:color="auto"/>
                <w:left w:val="none" w:sz="0" w:space="0" w:color="auto"/>
                <w:bottom w:val="none" w:sz="0" w:space="0" w:color="auto"/>
                <w:right w:val="none" w:sz="0" w:space="0" w:color="auto"/>
              </w:divBdr>
            </w:div>
          </w:divsChild>
        </w:div>
        <w:div w:id="345834934">
          <w:marLeft w:val="0"/>
          <w:marRight w:val="0"/>
          <w:marTop w:val="0"/>
          <w:marBottom w:val="0"/>
          <w:divBdr>
            <w:top w:val="none" w:sz="0" w:space="0" w:color="auto"/>
            <w:left w:val="none" w:sz="0" w:space="0" w:color="auto"/>
            <w:bottom w:val="none" w:sz="0" w:space="0" w:color="auto"/>
            <w:right w:val="none" w:sz="0" w:space="0" w:color="auto"/>
          </w:divBdr>
          <w:divsChild>
            <w:div w:id="405348601">
              <w:marLeft w:val="0"/>
              <w:marRight w:val="0"/>
              <w:marTop w:val="0"/>
              <w:marBottom w:val="0"/>
              <w:divBdr>
                <w:top w:val="none" w:sz="0" w:space="0" w:color="auto"/>
                <w:left w:val="none" w:sz="0" w:space="0" w:color="auto"/>
                <w:bottom w:val="none" w:sz="0" w:space="0" w:color="auto"/>
                <w:right w:val="none" w:sz="0" w:space="0" w:color="auto"/>
              </w:divBdr>
            </w:div>
          </w:divsChild>
        </w:div>
        <w:div w:id="354887415">
          <w:marLeft w:val="0"/>
          <w:marRight w:val="0"/>
          <w:marTop w:val="0"/>
          <w:marBottom w:val="0"/>
          <w:divBdr>
            <w:top w:val="none" w:sz="0" w:space="0" w:color="auto"/>
            <w:left w:val="none" w:sz="0" w:space="0" w:color="auto"/>
            <w:bottom w:val="none" w:sz="0" w:space="0" w:color="auto"/>
            <w:right w:val="none" w:sz="0" w:space="0" w:color="auto"/>
          </w:divBdr>
          <w:divsChild>
            <w:div w:id="1253977785">
              <w:marLeft w:val="0"/>
              <w:marRight w:val="0"/>
              <w:marTop w:val="0"/>
              <w:marBottom w:val="0"/>
              <w:divBdr>
                <w:top w:val="none" w:sz="0" w:space="0" w:color="auto"/>
                <w:left w:val="none" w:sz="0" w:space="0" w:color="auto"/>
                <w:bottom w:val="none" w:sz="0" w:space="0" w:color="auto"/>
                <w:right w:val="none" w:sz="0" w:space="0" w:color="auto"/>
              </w:divBdr>
            </w:div>
          </w:divsChild>
        </w:div>
        <w:div w:id="367875192">
          <w:marLeft w:val="0"/>
          <w:marRight w:val="0"/>
          <w:marTop w:val="0"/>
          <w:marBottom w:val="0"/>
          <w:divBdr>
            <w:top w:val="none" w:sz="0" w:space="0" w:color="auto"/>
            <w:left w:val="none" w:sz="0" w:space="0" w:color="auto"/>
            <w:bottom w:val="none" w:sz="0" w:space="0" w:color="auto"/>
            <w:right w:val="none" w:sz="0" w:space="0" w:color="auto"/>
          </w:divBdr>
          <w:divsChild>
            <w:div w:id="96759820">
              <w:marLeft w:val="0"/>
              <w:marRight w:val="0"/>
              <w:marTop w:val="0"/>
              <w:marBottom w:val="0"/>
              <w:divBdr>
                <w:top w:val="none" w:sz="0" w:space="0" w:color="auto"/>
                <w:left w:val="none" w:sz="0" w:space="0" w:color="auto"/>
                <w:bottom w:val="none" w:sz="0" w:space="0" w:color="auto"/>
                <w:right w:val="none" w:sz="0" w:space="0" w:color="auto"/>
              </w:divBdr>
            </w:div>
          </w:divsChild>
        </w:div>
        <w:div w:id="401759395">
          <w:marLeft w:val="0"/>
          <w:marRight w:val="0"/>
          <w:marTop w:val="0"/>
          <w:marBottom w:val="0"/>
          <w:divBdr>
            <w:top w:val="none" w:sz="0" w:space="0" w:color="auto"/>
            <w:left w:val="none" w:sz="0" w:space="0" w:color="auto"/>
            <w:bottom w:val="none" w:sz="0" w:space="0" w:color="auto"/>
            <w:right w:val="none" w:sz="0" w:space="0" w:color="auto"/>
          </w:divBdr>
          <w:divsChild>
            <w:div w:id="758254710">
              <w:marLeft w:val="0"/>
              <w:marRight w:val="0"/>
              <w:marTop w:val="0"/>
              <w:marBottom w:val="0"/>
              <w:divBdr>
                <w:top w:val="none" w:sz="0" w:space="0" w:color="auto"/>
                <w:left w:val="none" w:sz="0" w:space="0" w:color="auto"/>
                <w:bottom w:val="none" w:sz="0" w:space="0" w:color="auto"/>
                <w:right w:val="none" w:sz="0" w:space="0" w:color="auto"/>
              </w:divBdr>
            </w:div>
          </w:divsChild>
        </w:div>
        <w:div w:id="434063206">
          <w:marLeft w:val="0"/>
          <w:marRight w:val="0"/>
          <w:marTop w:val="0"/>
          <w:marBottom w:val="0"/>
          <w:divBdr>
            <w:top w:val="none" w:sz="0" w:space="0" w:color="auto"/>
            <w:left w:val="none" w:sz="0" w:space="0" w:color="auto"/>
            <w:bottom w:val="none" w:sz="0" w:space="0" w:color="auto"/>
            <w:right w:val="none" w:sz="0" w:space="0" w:color="auto"/>
          </w:divBdr>
          <w:divsChild>
            <w:div w:id="37171601">
              <w:marLeft w:val="0"/>
              <w:marRight w:val="0"/>
              <w:marTop w:val="0"/>
              <w:marBottom w:val="0"/>
              <w:divBdr>
                <w:top w:val="none" w:sz="0" w:space="0" w:color="auto"/>
                <w:left w:val="none" w:sz="0" w:space="0" w:color="auto"/>
                <w:bottom w:val="none" w:sz="0" w:space="0" w:color="auto"/>
                <w:right w:val="none" w:sz="0" w:space="0" w:color="auto"/>
              </w:divBdr>
            </w:div>
          </w:divsChild>
        </w:div>
        <w:div w:id="443888430">
          <w:marLeft w:val="0"/>
          <w:marRight w:val="0"/>
          <w:marTop w:val="0"/>
          <w:marBottom w:val="0"/>
          <w:divBdr>
            <w:top w:val="none" w:sz="0" w:space="0" w:color="auto"/>
            <w:left w:val="none" w:sz="0" w:space="0" w:color="auto"/>
            <w:bottom w:val="none" w:sz="0" w:space="0" w:color="auto"/>
            <w:right w:val="none" w:sz="0" w:space="0" w:color="auto"/>
          </w:divBdr>
          <w:divsChild>
            <w:div w:id="198905984">
              <w:marLeft w:val="0"/>
              <w:marRight w:val="0"/>
              <w:marTop w:val="0"/>
              <w:marBottom w:val="0"/>
              <w:divBdr>
                <w:top w:val="none" w:sz="0" w:space="0" w:color="auto"/>
                <w:left w:val="none" w:sz="0" w:space="0" w:color="auto"/>
                <w:bottom w:val="none" w:sz="0" w:space="0" w:color="auto"/>
                <w:right w:val="none" w:sz="0" w:space="0" w:color="auto"/>
              </w:divBdr>
            </w:div>
          </w:divsChild>
        </w:div>
        <w:div w:id="466319113">
          <w:marLeft w:val="0"/>
          <w:marRight w:val="0"/>
          <w:marTop w:val="0"/>
          <w:marBottom w:val="0"/>
          <w:divBdr>
            <w:top w:val="none" w:sz="0" w:space="0" w:color="auto"/>
            <w:left w:val="none" w:sz="0" w:space="0" w:color="auto"/>
            <w:bottom w:val="none" w:sz="0" w:space="0" w:color="auto"/>
            <w:right w:val="none" w:sz="0" w:space="0" w:color="auto"/>
          </w:divBdr>
          <w:divsChild>
            <w:div w:id="345717288">
              <w:marLeft w:val="0"/>
              <w:marRight w:val="0"/>
              <w:marTop w:val="0"/>
              <w:marBottom w:val="0"/>
              <w:divBdr>
                <w:top w:val="none" w:sz="0" w:space="0" w:color="auto"/>
                <w:left w:val="none" w:sz="0" w:space="0" w:color="auto"/>
                <w:bottom w:val="none" w:sz="0" w:space="0" w:color="auto"/>
                <w:right w:val="none" w:sz="0" w:space="0" w:color="auto"/>
              </w:divBdr>
            </w:div>
          </w:divsChild>
        </w:div>
        <w:div w:id="484784520">
          <w:marLeft w:val="0"/>
          <w:marRight w:val="0"/>
          <w:marTop w:val="0"/>
          <w:marBottom w:val="0"/>
          <w:divBdr>
            <w:top w:val="none" w:sz="0" w:space="0" w:color="auto"/>
            <w:left w:val="none" w:sz="0" w:space="0" w:color="auto"/>
            <w:bottom w:val="none" w:sz="0" w:space="0" w:color="auto"/>
            <w:right w:val="none" w:sz="0" w:space="0" w:color="auto"/>
          </w:divBdr>
          <w:divsChild>
            <w:div w:id="772433988">
              <w:marLeft w:val="0"/>
              <w:marRight w:val="0"/>
              <w:marTop w:val="0"/>
              <w:marBottom w:val="0"/>
              <w:divBdr>
                <w:top w:val="none" w:sz="0" w:space="0" w:color="auto"/>
                <w:left w:val="none" w:sz="0" w:space="0" w:color="auto"/>
                <w:bottom w:val="none" w:sz="0" w:space="0" w:color="auto"/>
                <w:right w:val="none" w:sz="0" w:space="0" w:color="auto"/>
              </w:divBdr>
            </w:div>
          </w:divsChild>
        </w:div>
        <w:div w:id="510872615">
          <w:marLeft w:val="0"/>
          <w:marRight w:val="0"/>
          <w:marTop w:val="0"/>
          <w:marBottom w:val="0"/>
          <w:divBdr>
            <w:top w:val="none" w:sz="0" w:space="0" w:color="auto"/>
            <w:left w:val="none" w:sz="0" w:space="0" w:color="auto"/>
            <w:bottom w:val="none" w:sz="0" w:space="0" w:color="auto"/>
            <w:right w:val="none" w:sz="0" w:space="0" w:color="auto"/>
          </w:divBdr>
          <w:divsChild>
            <w:div w:id="1691031621">
              <w:marLeft w:val="0"/>
              <w:marRight w:val="0"/>
              <w:marTop w:val="0"/>
              <w:marBottom w:val="0"/>
              <w:divBdr>
                <w:top w:val="none" w:sz="0" w:space="0" w:color="auto"/>
                <w:left w:val="none" w:sz="0" w:space="0" w:color="auto"/>
                <w:bottom w:val="none" w:sz="0" w:space="0" w:color="auto"/>
                <w:right w:val="none" w:sz="0" w:space="0" w:color="auto"/>
              </w:divBdr>
            </w:div>
          </w:divsChild>
        </w:div>
        <w:div w:id="510992307">
          <w:marLeft w:val="0"/>
          <w:marRight w:val="0"/>
          <w:marTop w:val="0"/>
          <w:marBottom w:val="0"/>
          <w:divBdr>
            <w:top w:val="none" w:sz="0" w:space="0" w:color="auto"/>
            <w:left w:val="none" w:sz="0" w:space="0" w:color="auto"/>
            <w:bottom w:val="none" w:sz="0" w:space="0" w:color="auto"/>
            <w:right w:val="none" w:sz="0" w:space="0" w:color="auto"/>
          </w:divBdr>
          <w:divsChild>
            <w:div w:id="1546022170">
              <w:marLeft w:val="0"/>
              <w:marRight w:val="0"/>
              <w:marTop w:val="0"/>
              <w:marBottom w:val="0"/>
              <w:divBdr>
                <w:top w:val="none" w:sz="0" w:space="0" w:color="auto"/>
                <w:left w:val="none" w:sz="0" w:space="0" w:color="auto"/>
                <w:bottom w:val="none" w:sz="0" w:space="0" w:color="auto"/>
                <w:right w:val="none" w:sz="0" w:space="0" w:color="auto"/>
              </w:divBdr>
            </w:div>
          </w:divsChild>
        </w:div>
        <w:div w:id="556671257">
          <w:marLeft w:val="0"/>
          <w:marRight w:val="0"/>
          <w:marTop w:val="0"/>
          <w:marBottom w:val="0"/>
          <w:divBdr>
            <w:top w:val="none" w:sz="0" w:space="0" w:color="auto"/>
            <w:left w:val="none" w:sz="0" w:space="0" w:color="auto"/>
            <w:bottom w:val="none" w:sz="0" w:space="0" w:color="auto"/>
            <w:right w:val="none" w:sz="0" w:space="0" w:color="auto"/>
          </w:divBdr>
          <w:divsChild>
            <w:div w:id="670136583">
              <w:marLeft w:val="0"/>
              <w:marRight w:val="0"/>
              <w:marTop w:val="0"/>
              <w:marBottom w:val="0"/>
              <w:divBdr>
                <w:top w:val="none" w:sz="0" w:space="0" w:color="auto"/>
                <w:left w:val="none" w:sz="0" w:space="0" w:color="auto"/>
                <w:bottom w:val="none" w:sz="0" w:space="0" w:color="auto"/>
                <w:right w:val="none" w:sz="0" w:space="0" w:color="auto"/>
              </w:divBdr>
            </w:div>
          </w:divsChild>
        </w:div>
        <w:div w:id="578713032">
          <w:marLeft w:val="0"/>
          <w:marRight w:val="0"/>
          <w:marTop w:val="0"/>
          <w:marBottom w:val="0"/>
          <w:divBdr>
            <w:top w:val="none" w:sz="0" w:space="0" w:color="auto"/>
            <w:left w:val="none" w:sz="0" w:space="0" w:color="auto"/>
            <w:bottom w:val="none" w:sz="0" w:space="0" w:color="auto"/>
            <w:right w:val="none" w:sz="0" w:space="0" w:color="auto"/>
          </w:divBdr>
          <w:divsChild>
            <w:div w:id="2092119288">
              <w:marLeft w:val="0"/>
              <w:marRight w:val="0"/>
              <w:marTop w:val="0"/>
              <w:marBottom w:val="0"/>
              <w:divBdr>
                <w:top w:val="none" w:sz="0" w:space="0" w:color="auto"/>
                <w:left w:val="none" w:sz="0" w:space="0" w:color="auto"/>
                <w:bottom w:val="none" w:sz="0" w:space="0" w:color="auto"/>
                <w:right w:val="none" w:sz="0" w:space="0" w:color="auto"/>
              </w:divBdr>
            </w:div>
          </w:divsChild>
        </w:div>
        <w:div w:id="601493456">
          <w:marLeft w:val="0"/>
          <w:marRight w:val="0"/>
          <w:marTop w:val="0"/>
          <w:marBottom w:val="0"/>
          <w:divBdr>
            <w:top w:val="none" w:sz="0" w:space="0" w:color="auto"/>
            <w:left w:val="none" w:sz="0" w:space="0" w:color="auto"/>
            <w:bottom w:val="none" w:sz="0" w:space="0" w:color="auto"/>
            <w:right w:val="none" w:sz="0" w:space="0" w:color="auto"/>
          </w:divBdr>
          <w:divsChild>
            <w:div w:id="478232525">
              <w:marLeft w:val="0"/>
              <w:marRight w:val="0"/>
              <w:marTop w:val="0"/>
              <w:marBottom w:val="0"/>
              <w:divBdr>
                <w:top w:val="none" w:sz="0" w:space="0" w:color="auto"/>
                <w:left w:val="none" w:sz="0" w:space="0" w:color="auto"/>
                <w:bottom w:val="none" w:sz="0" w:space="0" w:color="auto"/>
                <w:right w:val="none" w:sz="0" w:space="0" w:color="auto"/>
              </w:divBdr>
            </w:div>
          </w:divsChild>
        </w:div>
        <w:div w:id="616135697">
          <w:marLeft w:val="0"/>
          <w:marRight w:val="0"/>
          <w:marTop w:val="0"/>
          <w:marBottom w:val="0"/>
          <w:divBdr>
            <w:top w:val="none" w:sz="0" w:space="0" w:color="auto"/>
            <w:left w:val="none" w:sz="0" w:space="0" w:color="auto"/>
            <w:bottom w:val="none" w:sz="0" w:space="0" w:color="auto"/>
            <w:right w:val="none" w:sz="0" w:space="0" w:color="auto"/>
          </w:divBdr>
          <w:divsChild>
            <w:div w:id="1150829954">
              <w:marLeft w:val="0"/>
              <w:marRight w:val="0"/>
              <w:marTop w:val="0"/>
              <w:marBottom w:val="0"/>
              <w:divBdr>
                <w:top w:val="none" w:sz="0" w:space="0" w:color="auto"/>
                <w:left w:val="none" w:sz="0" w:space="0" w:color="auto"/>
                <w:bottom w:val="none" w:sz="0" w:space="0" w:color="auto"/>
                <w:right w:val="none" w:sz="0" w:space="0" w:color="auto"/>
              </w:divBdr>
            </w:div>
          </w:divsChild>
        </w:div>
        <w:div w:id="647828243">
          <w:marLeft w:val="0"/>
          <w:marRight w:val="0"/>
          <w:marTop w:val="0"/>
          <w:marBottom w:val="0"/>
          <w:divBdr>
            <w:top w:val="none" w:sz="0" w:space="0" w:color="auto"/>
            <w:left w:val="none" w:sz="0" w:space="0" w:color="auto"/>
            <w:bottom w:val="none" w:sz="0" w:space="0" w:color="auto"/>
            <w:right w:val="none" w:sz="0" w:space="0" w:color="auto"/>
          </w:divBdr>
          <w:divsChild>
            <w:div w:id="2129884863">
              <w:marLeft w:val="0"/>
              <w:marRight w:val="0"/>
              <w:marTop w:val="0"/>
              <w:marBottom w:val="0"/>
              <w:divBdr>
                <w:top w:val="none" w:sz="0" w:space="0" w:color="auto"/>
                <w:left w:val="none" w:sz="0" w:space="0" w:color="auto"/>
                <w:bottom w:val="none" w:sz="0" w:space="0" w:color="auto"/>
                <w:right w:val="none" w:sz="0" w:space="0" w:color="auto"/>
              </w:divBdr>
            </w:div>
          </w:divsChild>
        </w:div>
        <w:div w:id="650641483">
          <w:marLeft w:val="0"/>
          <w:marRight w:val="0"/>
          <w:marTop w:val="0"/>
          <w:marBottom w:val="0"/>
          <w:divBdr>
            <w:top w:val="none" w:sz="0" w:space="0" w:color="auto"/>
            <w:left w:val="none" w:sz="0" w:space="0" w:color="auto"/>
            <w:bottom w:val="none" w:sz="0" w:space="0" w:color="auto"/>
            <w:right w:val="none" w:sz="0" w:space="0" w:color="auto"/>
          </w:divBdr>
          <w:divsChild>
            <w:div w:id="1117876063">
              <w:marLeft w:val="0"/>
              <w:marRight w:val="0"/>
              <w:marTop w:val="0"/>
              <w:marBottom w:val="0"/>
              <w:divBdr>
                <w:top w:val="none" w:sz="0" w:space="0" w:color="auto"/>
                <w:left w:val="none" w:sz="0" w:space="0" w:color="auto"/>
                <w:bottom w:val="none" w:sz="0" w:space="0" w:color="auto"/>
                <w:right w:val="none" w:sz="0" w:space="0" w:color="auto"/>
              </w:divBdr>
            </w:div>
          </w:divsChild>
        </w:div>
        <w:div w:id="656154490">
          <w:marLeft w:val="0"/>
          <w:marRight w:val="0"/>
          <w:marTop w:val="0"/>
          <w:marBottom w:val="0"/>
          <w:divBdr>
            <w:top w:val="none" w:sz="0" w:space="0" w:color="auto"/>
            <w:left w:val="none" w:sz="0" w:space="0" w:color="auto"/>
            <w:bottom w:val="none" w:sz="0" w:space="0" w:color="auto"/>
            <w:right w:val="none" w:sz="0" w:space="0" w:color="auto"/>
          </w:divBdr>
          <w:divsChild>
            <w:div w:id="529148602">
              <w:marLeft w:val="0"/>
              <w:marRight w:val="0"/>
              <w:marTop w:val="0"/>
              <w:marBottom w:val="0"/>
              <w:divBdr>
                <w:top w:val="none" w:sz="0" w:space="0" w:color="auto"/>
                <w:left w:val="none" w:sz="0" w:space="0" w:color="auto"/>
                <w:bottom w:val="none" w:sz="0" w:space="0" w:color="auto"/>
                <w:right w:val="none" w:sz="0" w:space="0" w:color="auto"/>
              </w:divBdr>
            </w:div>
          </w:divsChild>
        </w:div>
        <w:div w:id="671836748">
          <w:marLeft w:val="0"/>
          <w:marRight w:val="0"/>
          <w:marTop w:val="0"/>
          <w:marBottom w:val="0"/>
          <w:divBdr>
            <w:top w:val="none" w:sz="0" w:space="0" w:color="auto"/>
            <w:left w:val="none" w:sz="0" w:space="0" w:color="auto"/>
            <w:bottom w:val="none" w:sz="0" w:space="0" w:color="auto"/>
            <w:right w:val="none" w:sz="0" w:space="0" w:color="auto"/>
          </w:divBdr>
          <w:divsChild>
            <w:div w:id="2108427629">
              <w:marLeft w:val="0"/>
              <w:marRight w:val="0"/>
              <w:marTop w:val="0"/>
              <w:marBottom w:val="0"/>
              <w:divBdr>
                <w:top w:val="none" w:sz="0" w:space="0" w:color="auto"/>
                <w:left w:val="none" w:sz="0" w:space="0" w:color="auto"/>
                <w:bottom w:val="none" w:sz="0" w:space="0" w:color="auto"/>
                <w:right w:val="none" w:sz="0" w:space="0" w:color="auto"/>
              </w:divBdr>
            </w:div>
          </w:divsChild>
        </w:div>
        <w:div w:id="682168448">
          <w:marLeft w:val="0"/>
          <w:marRight w:val="0"/>
          <w:marTop w:val="0"/>
          <w:marBottom w:val="0"/>
          <w:divBdr>
            <w:top w:val="none" w:sz="0" w:space="0" w:color="auto"/>
            <w:left w:val="none" w:sz="0" w:space="0" w:color="auto"/>
            <w:bottom w:val="none" w:sz="0" w:space="0" w:color="auto"/>
            <w:right w:val="none" w:sz="0" w:space="0" w:color="auto"/>
          </w:divBdr>
          <w:divsChild>
            <w:div w:id="95100874">
              <w:marLeft w:val="0"/>
              <w:marRight w:val="0"/>
              <w:marTop w:val="0"/>
              <w:marBottom w:val="0"/>
              <w:divBdr>
                <w:top w:val="none" w:sz="0" w:space="0" w:color="auto"/>
                <w:left w:val="none" w:sz="0" w:space="0" w:color="auto"/>
                <w:bottom w:val="none" w:sz="0" w:space="0" w:color="auto"/>
                <w:right w:val="none" w:sz="0" w:space="0" w:color="auto"/>
              </w:divBdr>
            </w:div>
          </w:divsChild>
        </w:div>
        <w:div w:id="730153045">
          <w:marLeft w:val="0"/>
          <w:marRight w:val="0"/>
          <w:marTop w:val="0"/>
          <w:marBottom w:val="0"/>
          <w:divBdr>
            <w:top w:val="none" w:sz="0" w:space="0" w:color="auto"/>
            <w:left w:val="none" w:sz="0" w:space="0" w:color="auto"/>
            <w:bottom w:val="none" w:sz="0" w:space="0" w:color="auto"/>
            <w:right w:val="none" w:sz="0" w:space="0" w:color="auto"/>
          </w:divBdr>
          <w:divsChild>
            <w:div w:id="2139300100">
              <w:marLeft w:val="0"/>
              <w:marRight w:val="0"/>
              <w:marTop w:val="0"/>
              <w:marBottom w:val="0"/>
              <w:divBdr>
                <w:top w:val="none" w:sz="0" w:space="0" w:color="auto"/>
                <w:left w:val="none" w:sz="0" w:space="0" w:color="auto"/>
                <w:bottom w:val="none" w:sz="0" w:space="0" w:color="auto"/>
                <w:right w:val="none" w:sz="0" w:space="0" w:color="auto"/>
              </w:divBdr>
            </w:div>
          </w:divsChild>
        </w:div>
        <w:div w:id="751239463">
          <w:marLeft w:val="0"/>
          <w:marRight w:val="0"/>
          <w:marTop w:val="0"/>
          <w:marBottom w:val="0"/>
          <w:divBdr>
            <w:top w:val="none" w:sz="0" w:space="0" w:color="auto"/>
            <w:left w:val="none" w:sz="0" w:space="0" w:color="auto"/>
            <w:bottom w:val="none" w:sz="0" w:space="0" w:color="auto"/>
            <w:right w:val="none" w:sz="0" w:space="0" w:color="auto"/>
          </w:divBdr>
          <w:divsChild>
            <w:div w:id="1385133379">
              <w:marLeft w:val="0"/>
              <w:marRight w:val="0"/>
              <w:marTop w:val="0"/>
              <w:marBottom w:val="0"/>
              <w:divBdr>
                <w:top w:val="none" w:sz="0" w:space="0" w:color="auto"/>
                <w:left w:val="none" w:sz="0" w:space="0" w:color="auto"/>
                <w:bottom w:val="none" w:sz="0" w:space="0" w:color="auto"/>
                <w:right w:val="none" w:sz="0" w:space="0" w:color="auto"/>
              </w:divBdr>
            </w:div>
          </w:divsChild>
        </w:div>
        <w:div w:id="759790549">
          <w:marLeft w:val="0"/>
          <w:marRight w:val="0"/>
          <w:marTop w:val="0"/>
          <w:marBottom w:val="0"/>
          <w:divBdr>
            <w:top w:val="none" w:sz="0" w:space="0" w:color="auto"/>
            <w:left w:val="none" w:sz="0" w:space="0" w:color="auto"/>
            <w:bottom w:val="none" w:sz="0" w:space="0" w:color="auto"/>
            <w:right w:val="none" w:sz="0" w:space="0" w:color="auto"/>
          </w:divBdr>
          <w:divsChild>
            <w:div w:id="1056903247">
              <w:marLeft w:val="0"/>
              <w:marRight w:val="0"/>
              <w:marTop w:val="0"/>
              <w:marBottom w:val="0"/>
              <w:divBdr>
                <w:top w:val="none" w:sz="0" w:space="0" w:color="auto"/>
                <w:left w:val="none" w:sz="0" w:space="0" w:color="auto"/>
                <w:bottom w:val="none" w:sz="0" w:space="0" w:color="auto"/>
                <w:right w:val="none" w:sz="0" w:space="0" w:color="auto"/>
              </w:divBdr>
            </w:div>
          </w:divsChild>
        </w:div>
        <w:div w:id="761680642">
          <w:marLeft w:val="0"/>
          <w:marRight w:val="0"/>
          <w:marTop w:val="0"/>
          <w:marBottom w:val="0"/>
          <w:divBdr>
            <w:top w:val="none" w:sz="0" w:space="0" w:color="auto"/>
            <w:left w:val="none" w:sz="0" w:space="0" w:color="auto"/>
            <w:bottom w:val="none" w:sz="0" w:space="0" w:color="auto"/>
            <w:right w:val="none" w:sz="0" w:space="0" w:color="auto"/>
          </w:divBdr>
          <w:divsChild>
            <w:div w:id="4016421">
              <w:marLeft w:val="0"/>
              <w:marRight w:val="0"/>
              <w:marTop w:val="0"/>
              <w:marBottom w:val="0"/>
              <w:divBdr>
                <w:top w:val="none" w:sz="0" w:space="0" w:color="auto"/>
                <w:left w:val="none" w:sz="0" w:space="0" w:color="auto"/>
                <w:bottom w:val="none" w:sz="0" w:space="0" w:color="auto"/>
                <w:right w:val="none" w:sz="0" w:space="0" w:color="auto"/>
              </w:divBdr>
            </w:div>
          </w:divsChild>
        </w:div>
        <w:div w:id="781192304">
          <w:marLeft w:val="0"/>
          <w:marRight w:val="0"/>
          <w:marTop w:val="0"/>
          <w:marBottom w:val="0"/>
          <w:divBdr>
            <w:top w:val="none" w:sz="0" w:space="0" w:color="auto"/>
            <w:left w:val="none" w:sz="0" w:space="0" w:color="auto"/>
            <w:bottom w:val="none" w:sz="0" w:space="0" w:color="auto"/>
            <w:right w:val="none" w:sz="0" w:space="0" w:color="auto"/>
          </w:divBdr>
          <w:divsChild>
            <w:div w:id="1434982303">
              <w:marLeft w:val="0"/>
              <w:marRight w:val="0"/>
              <w:marTop w:val="0"/>
              <w:marBottom w:val="0"/>
              <w:divBdr>
                <w:top w:val="none" w:sz="0" w:space="0" w:color="auto"/>
                <w:left w:val="none" w:sz="0" w:space="0" w:color="auto"/>
                <w:bottom w:val="none" w:sz="0" w:space="0" w:color="auto"/>
                <w:right w:val="none" w:sz="0" w:space="0" w:color="auto"/>
              </w:divBdr>
            </w:div>
          </w:divsChild>
        </w:div>
        <w:div w:id="782312266">
          <w:marLeft w:val="0"/>
          <w:marRight w:val="0"/>
          <w:marTop w:val="0"/>
          <w:marBottom w:val="0"/>
          <w:divBdr>
            <w:top w:val="none" w:sz="0" w:space="0" w:color="auto"/>
            <w:left w:val="none" w:sz="0" w:space="0" w:color="auto"/>
            <w:bottom w:val="none" w:sz="0" w:space="0" w:color="auto"/>
            <w:right w:val="none" w:sz="0" w:space="0" w:color="auto"/>
          </w:divBdr>
          <w:divsChild>
            <w:div w:id="587034926">
              <w:marLeft w:val="0"/>
              <w:marRight w:val="0"/>
              <w:marTop w:val="0"/>
              <w:marBottom w:val="0"/>
              <w:divBdr>
                <w:top w:val="none" w:sz="0" w:space="0" w:color="auto"/>
                <w:left w:val="none" w:sz="0" w:space="0" w:color="auto"/>
                <w:bottom w:val="none" w:sz="0" w:space="0" w:color="auto"/>
                <w:right w:val="none" w:sz="0" w:space="0" w:color="auto"/>
              </w:divBdr>
            </w:div>
          </w:divsChild>
        </w:div>
        <w:div w:id="823545674">
          <w:marLeft w:val="0"/>
          <w:marRight w:val="0"/>
          <w:marTop w:val="0"/>
          <w:marBottom w:val="0"/>
          <w:divBdr>
            <w:top w:val="none" w:sz="0" w:space="0" w:color="auto"/>
            <w:left w:val="none" w:sz="0" w:space="0" w:color="auto"/>
            <w:bottom w:val="none" w:sz="0" w:space="0" w:color="auto"/>
            <w:right w:val="none" w:sz="0" w:space="0" w:color="auto"/>
          </w:divBdr>
          <w:divsChild>
            <w:div w:id="1214343380">
              <w:marLeft w:val="0"/>
              <w:marRight w:val="0"/>
              <w:marTop w:val="0"/>
              <w:marBottom w:val="0"/>
              <w:divBdr>
                <w:top w:val="none" w:sz="0" w:space="0" w:color="auto"/>
                <w:left w:val="none" w:sz="0" w:space="0" w:color="auto"/>
                <w:bottom w:val="none" w:sz="0" w:space="0" w:color="auto"/>
                <w:right w:val="none" w:sz="0" w:space="0" w:color="auto"/>
              </w:divBdr>
            </w:div>
          </w:divsChild>
        </w:div>
        <w:div w:id="846864238">
          <w:marLeft w:val="0"/>
          <w:marRight w:val="0"/>
          <w:marTop w:val="0"/>
          <w:marBottom w:val="0"/>
          <w:divBdr>
            <w:top w:val="none" w:sz="0" w:space="0" w:color="auto"/>
            <w:left w:val="none" w:sz="0" w:space="0" w:color="auto"/>
            <w:bottom w:val="none" w:sz="0" w:space="0" w:color="auto"/>
            <w:right w:val="none" w:sz="0" w:space="0" w:color="auto"/>
          </w:divBdr>
          <w:divsChild>
            <w:div w:id="2075736406">
              <w:marLeft w:val="0"/>
              <w:marRight w:val="0"/>
              <w:marTop w:val="0"/>
              <w:marBottom w:val="0"/>
              <w:divBdr>
                <w:top w:val="none" w:sz="0" w:space="0" w:color="auto"/>
                <w:left w:val="none" w:sz="0" w:space="0" w:color="auto"/>
                <w:bottom w:val="none" w:sz="0" w:space="0" w:color="auto"/>
                <w:right w:val="none" w:sz="0" w:space="0" w:color="auto"/>
              </w:divBdr>
            </w:div>
          </w:divsChild>
        </w:div>
        <w:div w:id="885533043">
          <w:marLeft w:val="0"/>
          <w:marRight w:val="0"/>
          <w:marTop w:val="0"/>
          <w:marBottom w:val="0"/>
          <w:divBdr>
            <w:top w:val="none" w:sz="0" w:space="0" w:color="auto"/>
            <w:left w:val="none" w:sz="0" w:space="0" w:color="auto"/>
            <w:bottom w:val="none" w:sz="0" w:space="0" w:color="auto"/>
            <w:right w:val="none" w:sz="0" w:space="0" w:color="auto"/>
          </w:divBdr>
          <w:divsChild>
            <w:div w:id="72628703">
              <w:marLeft w:val="0"/>
              <w:marRight w:val="0"/>
              <w:marTop w:val="0"/>
              <w:marBottom w:val="0"/>
              <w:divBdr>
                <w:top w:val="none" w:sz="0" w:space="0" w:color="auto"/>
                <w:left w:val="none" w:sz="0" w:space="0" w:color="auto"/>
                <w:bottom w:val="none" w:sz="0" w:space="0" w:color="auto"/>
                <w:right w:val="none" w:sz="0" w:space="0" w:color="auto"/>
              </w:divBdr>
            </w:div>
          </w:divsChild>
        </w:div>
        <w:div w:id="907496871">
          <w:marLeft w:val="0"/>
          <w:marRight w:val="0"/>
          <w:marTop w:val="0"/>
          <w:marBottom w:val="0"/>
          <w:divBdr>
            <w:top w:val="none" w:sz="0" w:space="0" w:color="auto"/>
            <w:left w:val="none" w:sz="0" w:space="0" w:color="auto"/>
            <w:bottom w:val="none" w:sz="0" w:space="0" w:color="auto"/>
            <w:right w:val="none" w:sz="0" w:space="0" w:color="auto"/>
          </w:divBdr>
          <w:divsChild>
            <w:div w:id="1602646365">
              <w:marLeft w:val="0"/>
              <w:marRight w:val="0"/>
              <w:marTop w:val="0"/>
              <w:marBottom w:val="0"/>
              <w:divBdr>
                <w:top w:val="none" w:sz="0" w:space="0" w:color="auto"/>
                <w:left w:val="none" w:sz="0" w:space="0" w:color="auto"/>
                <w:bottom w:val="none" w:sz="0" w:space="0" w:color="auto"/>
                <w:right w:val="none" w:sz="0" w:space="0" w:color="auto"/>
              </w:divBdr>
            </w:div>
          </w:divsChild>
        </w:div>
        <w:div w:id="963344079">
          <w:marLeft w:val="0"/>
          <w:marRight w:val="0"/>
          <w:marTop w:val="0"/>
          <w:marBottom w:val="0"/>
          <w:divBdr>
            <w:top w:val="none" w:sz="0" w:space="0" w:color="auto"/>
            <w:left w:val="none" w:sz="0" w:space="0" w:color="auto"/>
            <w:bottom w:val="none" w:sz="0" w:space="0" w:color="auto"/>
            <w:right w:val="none" w:sz="0" w:space="0" w:color="auto"/>
          </w:divBdr>
          <w:divsChild>
            <w:div w:id="1010446144">
              <w:marLeft w:val="0"/>
              <w:marRight w:val="0"/>
              <w:marTop w:val="0"/>
              <w:marBottom w:val="0"/>
              <w:divBdr>
                <w:top w:val="none" w:sz="0" w:space="0" w:color="auto"/>
                <w:left w:val="none" w:sz="0" w:space="0" w:color="auto"/>
                <w:bottom w:val="none" w:sz="0" w:space="0" w:color="auto"/>
                <w:right w:val="none" w:sz="0" w:space="0" w:color="auto"/>
              </w:divBdr>
            </w:div>
          </w:divsChild>
        </w:div>
        <w:div w:id="989989661">
          <w:marLeft w:val="0"/>
          <w:marRight w:val="0"/>
          <w:marTop w:val="0"/>
          <w:marBottom w:val="0"/>
          <w:divBdr>
            <w:top w:val="none" w:sz="0" w:space="0" w:color="auto"/>
            <w:left w:val="none" w:sz="0" w:space="0" w:color="auto"/>
            <w:bottom w:val="none" w:sz="0" w:space="0" w:color="auto"/>
            <w:right w:val="none" w:sz="0" w:space="0" w:color="auto"/>
          </w:divBdr>
          <w:divsChild>
            <w:div w:id="2070807604">
              <w:marLeft w:val="0"/>
              <w:marRight w:val="0"/>
              <w:marTop w:val="0"/>
              <w:marBottom w:val="0"/>
              <w:divBdr>
                <w:top w:val="none" w:sz="0" w:space="0" w:color="auto"/>
                <w:left w:val="none" w:sz="0" w:space="0" w:color="auto"/>
                <w:bottom w:val="none" w:sz="0" w:space="0" w:color="auto"/>
                <w:right w:val="none" w:sz="0" w:space="0" w:color="auto"/>
              </w:divBdr>
            </w:div>
          </w:divsChild>
        </w:div>
        <w:div w:id="1026517573">
          <w:marLeft w:val="0"/>
          <w:marRight w:val="0"/>
          <w:marTop w:val="0"/>
          <w:marBottom w:val="0"/>
          <w:divBdr>
            <w:top w:val="none" w:sz="0" w:space="0" w:color="auto"/>
            <w:left w:val="none" w:sz="0" w:space="0" w:color="auto"/>
            <w:bottom w:val="none" w:sz="0" w:space="0" w:color="auto"/>
            <w:right w:val="none" w:sz="0" w:space="0" w:color="auto"/>
          </w:divBdr>
          <w:divsChild>
            <w:div w:id="340011189">
              <w:marLeft w:val="0"/>
              <w:marRight w:val="0"/>
              <w:marTop w:val="0"/>
              <w:marBottom w:val="0"/>
              <w:divBdr>
                <w:top w:val="none" w:sz="0" w:space="0" w:color="auto"/>
                <w:left w:val="none" w:sz="0" w:space="0" w:color="auto"/>
                <w:bottom w:val="none" w:sz="0" w:space="0" w:color="auto"/>
                <w:right w:val="none" w:sz="0" w:space="0" w:color="auto"/>
              </w:divBdr>
            </w:div>
          </w:divsChild>
        </w:div>
        <w:div w:id="1030450422">
          <w:marLeft w:val="0"/>
          <w:marRight w:val="0"/>
          <w:marTop w:val="0"/>
          <w:marBottom w:val="0"/>
          <w:divBdr>
            <w:top w:val="none" w:sz="0" w:space="0" w:color="auto"/>
            <w:left w:val="none" w:sz="0" w:space="0" w:color="auto"/>
            <w:bottom w:val="none" w:sz="0" w:space="0" w:color="auto"/>
            <w:right w:val="none" w:sz="0" w:space="0" w:color="auto"/>
          </w:divBdr>
          <w:divsChild>
            <w:div w:id="2137093350">
              <w:marLeft w:val="0"/>
              <w:marRight w:val="0"/>
              <w:marTop w:val="0"/>
              <w:marBottom w:val="0"/>
              <w:divBdr>
                <w:top w:val="none" w:sz="0" w:space="0" w:color="auto"/>
                <w:left w:val="none" w:sz="0" w:space="0" w:color="auto"/>
                <w:bottom w:val="none" w:sz="0" w:space="0" w:color="auto"/>
                <w:right w:val="none" w:sz="0" w:space="0" w:color="auto"/>
              </w:divBdr>
            </w:div>
          </w:divsChild>
        </w:div>
        <w:div w:id="1035889066">
          <w:marLeft w:val="0"/>
          <w:marRight w:val="0"/>
          <w:marTop w:val="0"/>
          <w:marBottom w:val="0"/>
          <w:divBdr>
            <w:top w:val="none" w:sz="0" w:space="0" w:color="auto"/>
            <w:left w:val="none" w:sz="0" w:space="0" w:color="auto"/>
            <w:bottom w:val="none" w:sz="0" w:space="0" w:color="auto"/>
            <w:right w:val="none" w:sz="0" w:space="0" w:color="auto"/>
          </w:divBdr>
          <w:divsChild>
            <w:div w:id="1887981815">
              <w:marLeft w:val="0"/>
              <w:marRight w:val="0"/>
              <w:marTop w:val="0"/>
              <w:marBottom w:val="0"/>
              <w:divBdr>
                <w:top w:val="none" w:sz="0" w:space="0" w:color="auto"/>
                <w:left w:val="none" w:sz="0" w:space="0" w:color="auto"/>
                <w:bottom w:val="none" w:sz="0" w:space="0" w:color="auto"/>
                <w:right w:val="none" w:sz="0" w:space="0" w:color="auto"/>
              </w:divBdr>
            </w:div>
          </w:divsChild>
        </w:div>
        <w:div w:id="1048260973">
          <w:marLeft w:val="0"/>
          <w:marRight w:val="0"/>
          <w:marTop w:val="0"/>
          <w:marBottom w:val="0"/>
          <w:divBdr>
            <w:top w:val="none" w:sz="0" w:space="0" w:color="auto"/>
            <w:left w:val="none" w:sz="0" w:space="0" w:color="auto"/>
            <w:bottom w:val="none" w:sz="0" w:space="0" w:color="auto"/>
            <w:right w:val="none" w:sz="0" w:space="0" w:color="auto"/>
          </w:divBdr>
          <w:divsChild>
            <w:div w:id="904071624">
              <w:marLeft w:val="0"/>
              <w:marRight w:val="0"/>
              <w:marTop w:val="0"/>
              <w:marBottom w:val="0"/>
              <w:divBdr>
                <w:top w:val="none" w:sz="0" w:space="0" w:color="auto"/>
                <w:left w:val="none" w:sz="0" w:space="0" w:color="auto"/>
                <w:bottom w:val="none" w:sz="0" w:space="0" w:color="auto"/>
                <w:right w:val="none" w:sz="0" w:space="0" w:color="auto"/>
              </w:divBdr>
            </w:div>
          </w:divsChild>
        </w:div>
        <w:div w:id="1049842560">
          <w:marLeft w:val="0"/>
          <w:marRight w:val="0"/>
          <w:marTop w:val="0"/>
          <w:marBottom w:val="0"/>
          <w:divBdr>
            <w:top w:val="none" w:sz="0" w:space="0" w:color="auto"/>
            <w:left w:val="none" w:sz="0" w:space="0" w:color="auto"/>
            <w:bottom w:val="none" w:sz="0" w:space="0" w:color="auto"/>
            <w:right w:val="none" w:sz="0" w:space="0" w:color="auto"/>
          </w:divBdr>
          <w:divsChild>
            <w:div w:id="95250548">
              <w:marLeft w:val="0"/>
              <w:marRight w:val="0"/>
              <w:marTop w:val="0"/>
              <w:marBottom w:val="0"/>
              <w:divBdr>
                <w:top w:val="none" w:sz="0" w:space="0" w:color="auto"/>
                <w:left w:val="none" w:sz="0" w:space="0" w:color="auto"/>
                <w:bottom w:val="none" w:sz="0" w:space="0" w:color="auto"/>
                <w:right w:val="none" w:sz="0" w:space="0" w:color="auto"/>
              </w:divBdr>
            </w:div>
          </w:divsChild>
        </w:div>
        <w:div w:id="1053429133">
          <w:marLeft w:val="0"/>
          <w:marRight w:val="0"/>
          <w:marTop w:val="0"/>
          <w:marBottom w:val="0"/>
          <w:divBdr>
            <w:top w:val="none" w:sz="0" w:space="0" w:color="auto"/>
            <w:left w:val="none" w:sz="0" w:space="0" w:color="auto"/>
            <w:bottom w:val="none" w:sz="0" w:space="0" w:color="auto"/>
            <w:right w:val="none" w:sz="0" w:space="0" w:color="auto"/>
          </w:divBdr>
          <w:divsChild>
            <w:div w:id="1209874688">
              <w:marLeft w:val="0"/>
              <w:marRight w:val="0"/>
              <w:marTop w:val="0"/>
              <w:marBottom w:val="0"/>
              <w:divBdr>
                <w:top w:val="none" w:sz="0" w:space="0" w:color="auto"/>
                <w:left w:val="none" w:sz="0" w:space="0" w:color="auto"/>
                <w:bottom w:val="none" w:sz="0" w:space="0" w:color="auto"/>
                <w:right w:val="none" w:sz="0" w:space="0" w:color="auto"/>
              </w:divBdr>
            </w:div>
          </w:divsChild>
        </w:div>
        <w:div w:id="1082140888">
          <w:marLeft w:val="0"/>
          <w:marRight w:val="0"/>
          <w:marTop w:val="0"/>
          <w:marBottom w:val="0"/>
          <w:divBdr>
            <w:top w:val="none" w:sz="0" w:space="0" w:color="auto"/>
            <w:left w:val="none" w:sz="0" w:space="0" w:color="auto"/>
            <w:bottom w:val="none" w:sz="0" w:space="0" w:color="auto"/>
            <w:right w:val="none" w:sz="0" w:space="0" w:color="auto"/>
          </w:divBdr>
          <w:divsChild>
            <w:div w:id="333459027">
              <w:marLeft w:val="0"/>
              <w:marRight w:val="0"/>
              <w:marTop w:val="0"/>
              <w:marBottom w:val="0"/>
              <w:divBdr>
                <w:top w:val="none" w:sz="0" w:space="0" w:color="auto"/>
                <w:left w:val="none" w:sz="0" w:space="0" w:color="auto"/>
                <w:bottom w:val="none" w:sz="0" w:space="0" w:color="auto"/>
                <w:right w:val="none" w:sz="0" w:space="0" w:color="auto"/>
              </w:divBdr>
            </w:div>
          </w:divsChild>
        </w:div>
        <w:div w:id="1082531423">
          <w:marLeft w:val="0"/>
          <w:marRight w:val="0"/>
          <w:marTop w:val="0"/>
          <w:marBottom w:val="0"/>
          <w:divBdr>
            <w:top w:val="none" w:sz="0" w:space="0" w:color="auto"/>
            <w:left w:val="none" w:sz="0" w:space="0" w:color="auto"/>
            <w:bottom w:val="none" w:sz="0" w:space="0" w:color="auto"/>
            <w:right w:val="none" w:sz="0" w:space="0" w:color="auto"/>
          </w:divBdr>
          <w:divsChild>
            <w:div w:id="430054036">
              <w:marLeft w:val="0"/>
              <w:marRight w:val="0"/>
              <w:marTop w:val="0"/>
              <w:marBottom w:val="0"/>
              <w:divBdr>
                <w:top w:val="none" w:sz="0" w:space="0" w:color="auto"/>
                <w:left w:val="none" w:sz="0" w:space="0" w:color="auto"/>
                <w:bottom w:val="none" w:sz="0" w:space="0" w:color="auto"/>
                <w:right w:val="none" w:sz="0" w:space="0" w:color="auto"/>
              </w:divBdr>
            </w:div>
          </w:divsChild>
        </w:div>
        <w:div w:id="1088113815">
          <w:marLeft w:val="0"/>
          <w:marRight w:val="0"/>
          <w:marTop w:val="0"/>
          <w:marBottom w:val="0"/>
          <w:divBdr>
            <w:top w:val="none" w:sz="0" w:space="0" w:color="auto"/>
            <w:left w:val="none" w:sz="0" w:space="0" w:color="auto"/>
            <w:bottom w:val="none" w:sz="0" w:space="0" w:color="auto"/>
            <w:right w:val="none" w:sz="0" w:space="0" w:color="auto"/>
          </w:divBdr>
          <w:divsChild>
            <w:div w:id="1684161886">
              <w:marLeft w:val="0"/>
              <w:marRight w:val="0"/>
              <w:marTop w:val="0"/>
              <w:marBottom w:val="0"/>
              <w:divBdr>
                <w:top w:val="none" w:sz="0" w:space="0" w:color="auto"/>
                <w:left w:val="none" w:sz="0" w:space="0" w:color="auto"/>
                <w:bottom w:val="none" w:sz="0" w:space="0" w:color="auto"/>
                <w:right w:val="none" w:sz="0" w:space="0" w:color="auto"/>
              </w:divBdr>
            </w:div>
          </w:divsChild>
        </w:div>
        <w:div w:id="1090395125">
          <w:marLeft w:val="0"/>
          <w:marRight w:val="0"/>
          <w:marTop w:val="0"/>
          <w:marBottom w:val="0"/>
          <w:divBdr>
            <w:top w:val="none" w:sz="0" w:space="0" w:color="auto"/>
            <w:left w:val="none" w:sz="0" w:space="0" w:color="auto"/>
            <w:bottom w:val="none" w:sz="0" w:space="0" w:color="auto"/>
            <w:right w:val="none" w:sz="0" w:space="0" w:color="auto"/>
          </w:divBdr>
          <w:divsChild>
            <w:div w:id="1776628207">
              <w:marLeft w:val="0"/>
              <w:marRight w:val="0"/>
              <w:marTop w:val="0"/>
              <w:marBottom w:val="0"/>
              <w:divBdr>
                <w:top w:val="none" w:sz="0" w:space="0" w:color="auto"/>
                <w:left w:val="none" w:sz="0" w:space="0" w:color="auto"/>
                <w:bottom w:val="none" w:sz="0" w:space="0" w:color="auto"/>
                <w:right w:val="none" w:sz="0" w:space="0" w:color="auto"/>
              </w:divBdr>
            </w:div>
          </w:divsChild>
        </w:div>
        <w:div w:id="1101074157">
          <w:marLeft w:val="0"/>
          <w:marRight w:val="0"/>
          <w:marTop w:val="0"/>
          <w:marBottom w:val="0"/>
          <w:divBdr>
            <w:top w:val="none" w:sz="0" w:space="0" w:color="auto"/>
            <w:left w:val="none" w:sz="0" w:space="0" w:color="auto"/>
            <w:bottom w:val="none" w:sz="0" w:space="0" w:color="auto"/>
            <w:right w:val="none" w:sz="0" w:space="0" w:color="auto"/>
          </w:divBdr>
          <w:divsChild>
            <w:div w:id="568459776">
              <w:marLeft w:val="0"/>
              <w:marRight w:val="0"/>
              <w:marTop w:val="0"/>
              <w:marBottom w:val="0"/>
              <w:divBdr>
                <w:top w:val="none" w:sz="0" w:space="0" w:color="auto"/>
                <w:left w:val="none" w:sz="0" w:space="0" w:color="auto"/>
                <w:bottom w:val="none" w:sz="0" w:space="0" w:color="auto"/>
                <w:right w:val="none" w:sz="0" w:space="0" w:color="auto"/>
              </w:divBdr>
            </w:div>
          </w:divsChild>
        </w:div>
        <w:div w:id="1109356501">
          <w:marLeft w:val="0"/>
          <w:marRight w:val="0"/>
          <w:marTop w:val="0"/>
          <w:marBottom w:val="0"/>
          <w:divBdr>
            <w:top w:val="none" w:sz="0" w:space="0" w:color="auto"/>
            <w:left w:val="none" w:sz="0" w:space="0" w:color="auto"/>
            <w:bottom w:val="none" w:sz="0" w:space="0" w:color="auto"/>
            <w:right w:val="none" w:sz="0" w:space="0" w:color="auto"/>
          </w:divBdr>
          <w:divsChild>
            <w:div w:id="521208287">
              <w:marLeft w:val="0"/>
              <w:marRight w:val="0"/>
              <w:marTop w:val="0"/>
              <w:marBottom w:val="0"/>
              <w:divBdr>
                <w:top w:val="none" w:sz="0" w:space="0" w:color="auto"/>
                <w:left w:val="none" w:sz="0" w:space="0" w:color="auto"/>
                <w:bottom w:val="none" w:sz="0" w:space="0" w:color="auto"/>
                <w:right w:val="none" w:sz="0" w:space="0" w:color="auto"/>
              </w:divBdr>
            </w:div>
          </w:divsChild>
        </w:div>
        <w:div w:id="1170945854">
          <w:marLeft w:val="0"/>
          <w:marRight w:val="0"/>
          <w:marTop w:val="0"/>
          <w:marBottom w:val="0"/>
          <w:divBdr>
            <w:top w:val="none" w:sz="0" w:space="0" w:color="auto"/>
            <w:left w:val="none" w:sz="0" w:space="0" w:color="auto"/>
            <w:bottom w:val="none" w:sz="0" w:space="0" w:color="auto"/>
            <w:right w:val="none" w:sz="0" w:space="0" w:color="auto"/>
          </w:divBdr>
          <w:divsChild>
            <w:div w:id="163781852">
              <w:marLeft w:val="0"/>
              <w:marRight w:val="0"/>
              <w:marTop w:val="0"/>
              <w:marBottom w:val="0"/>
              <w:divBdr>
                <w:top w:val="none" w:sz="0" w:space="0" w:color="auto"/>
                <w:left w:val="none" w:sz="0" w:space="0" w:color="auto"/>
                <w:bottom w:val="none" w:sz="0" w:space="0" w:color="auto"/>
                <w:right w:val="none" w:sz="0" w:space="0" w:color="auto"/>
              </w:divBdr>
            </w:div>
          </w:divsChild>
        </w:div>
        <w:div w:id="1184326803">
          <w:marLeft w:val="0"/>
          <w:marRight w:val="0"/>
          <w:marTop w:val="0"/>
          <w:marBottom w:val="0"/>
          <w:divBdr>
            <w:top w:val="none" w:sz="0" w:space="0" w:color="auto"/>
            <w:left w:val="none" w:sz="0" w:space="0" w:color="auto"/>
            <w:bottom w:val="none" w:sz="0" w:space="0" w:color="auto"/>
            <w:right w:val="none" w:sz="0" w:space="0" w:color="auto"/>
          </w:divBdr>
          <w:divsChild>
            <w:div w:id="440414653">
              <w:marLeft w:val="0"/>
              <w:marRight w:val="0"/>
              <w:marTop w:val="0"/>
              <w:marBottom w:val="0"/>
              <w:divBdr>
                <w:top w:val="none" w:sz="0" w:space="0" w:color="auto"/>
                <w:left w:val="none" w:sz="0" w:space="0" w:color="auto"/>
                <w:bottom w:val="none" w:sz="0" w:space="0" w:color="auto"/>
                <w:right w:val="none" w:sz="0" w:space="0" w:color="auto"/>
              </w:divBdr>
            </w:div>
          </w:divsChild>
        </w:div>
        <w:div w:id="1204292473">
          <w:marLeft w:val="0"/>
          <w:marRight w:val="0"/>
          <w:marTop w:val="0"/>
          <w:marBottom w:val="0"/>
          <w:divBdr>
            <w:top w:val="none" w:sz="0" w:space="0" w:color="auto"/>
            <w:left w:val="none" w:sz="0" w:space="0" w:color="auto"/>
            <w:bottom w:val="none" w:sz="0" w:space="0" w:color="auto"/>
            <w:right w:val="none" w:sz="0" w:space="0" w:color="auto"/>
          </w:divBdr>
          <w:divsChild>
            <w:div w:id="256837104">
              <w:marLeft w:val="0"/>
              <w:marRight w:val="0"/>
              <w:marTop w:val="0"/>
              <w:marBottom w:val="0"/>
              <w:divBdr>
                <w:top w:val="none" w:sz="0" w:space="0" w:color="auto"/>
                <w:left w:val="none" w:sz="0" w:space="0" w:color="auto"/>
                <w:bottom w:val="none" w:sz="0" w:space="0" w:color="auto"/>
                <w:right w:val="none" w:sz="0" w:space="0" w:color="auto"/>
              </w:divBdr>
            </w:div>
          </w:divsChild>
        </w:div>
        <w:div w:id="1248419676">
          <w:marLeft w:val="0"/>
          <w:marRight w:val="0"/>
          <w:marTop w:val="0"/>
          <w:marBottom w:val="0"/>
          <w:divBdr>
            <w:top w:val="none" w:sz="0" w:space="0" w:color="auto"/>
            <w:left w:val="none" w:sz="0" w:space="0" w:color="auto"/>
            <w:bottom w:val="none" w:sz="0" w:space="0" w:color="auto"/>
            <w:right w:val="none" w:sz="0" w:space="0" w:color="auto"/>
          </w:divBdr>
          <w:divsChild>
            <w:div w:id="733552594">
              <w:marLeft w:val="0"/>
              <w:marRight w:val="0"/>
              <w:marTop w:val="0"/>
              <w:marBottom w:val="0"/>
              <w:divBdr>
                <w:top w:val="none" w:sz="0" w:space="0" w:color="auto"/>
                <w:left w:val="none" w:sz="0" w:space="0" w:color="auto"/>
                <w:bottom w:val="none" w:sz="0" w:space="0" w:color="auto"/>
                <w:right w:val="none" w:sz="0" w:space="0" w:color="auto"/>
              </w:divBdr>
            </w:div>
          </w:divsChild>
        </w:div>
        <w:div w:id="1253470006">
          <w:marLeft w:val="0"/>
          <w:marRight w:val="0"/>
          <w:marTop w:val="0"/>
          <w:marBottom w:val="0"/>
          <w:divBdr>
            <w:top w:val="none" w:sz="0" w:space="0" w:color="auto"/>
            <w:left w:val="none" w:sz="0" w:space="0" w:color="auto"/>
            <w:bottom w:val="none" w:sz="0" w:space="0" w:color="auto"/>
            <w:right w:val="none" w:sz="0" w:space="0" w:color="auto"/>
          </w:divBdr>
          <w:divsChild>
            <w:div w:id="760417806">
              <w:marLeft w:val="0"/>
              <w:marRight w:val="0"/>
              <w:marTop w:val="0"/>
              <w:marBottom w:val="0"/>
              <w:divBdr>
                <w:top w:val="none" w:sz="0" w:space="0" w:color="auto"/>
                <w:left w:val="none" w:sz="0" w:space="0" w:color="auto"/>
                <w:bottom w:val="none" w:sz="0" w:space="0" w:color="auto"/>
                <w:right w:val="none" w:sz="0" w:space="0" w:color="auto"/>
              </w:divBdr>
            </w:div>
          </w:divsChild>
        </w:div>
        <w:div w:id="1254120578">
          <w:marLeft w:val="0"/>
          <w:marRight w:val="0"/>
          <w:marTop w:val="0"/>
          <w:marBottom w:val="0"/>
          <w:divBdr>
            <w:top w:val="none" w:sz="0" w:space="0" w:color="auto"/>
            <w:left w:val="none" w:sz="0" w:space="0" w:color="auto"/>
            <w:bottom w:val="none" w:sz="0" w:space="0" w:color="auto"/>
            <w:right w:val="none" w:sz="0" w:space="0" w:color="auto"/>
          </w:divBdr>
          <w:divsChild>
            <w:div w:id="492336248">
              <w:marLeft w:val="0"/>
              <w:marRight w:val="0"/>
              <w:marTop w:val="0"/>
              <w:marBottom w:val="0"/>
              <w:divBdr>
                <w:top w:val="none" w:sz="0" w:space="0" w:color="auto"/>
                <w:left w:val="none" w:sz="0" w:space="0" w:color="auto"/>
                <w:bottom w:val="none" w:sz="0" w:space="0" w:color="auto"/>
                <w:right w:val="none" w:sz="0" w:space="0" w:color="auto"/>
              </w:divBdr>
            </w:div>
          </w:divsChild>
        </w:div>
        <w:div w:id="1277368051">
          <w:marLeft w:val="0"/>
          <w:marRight w:val="0"/>
          <w:marTop w:val="0"/>
          <w:marBottom w:val="0"/>
          <w:divBdr>
            <w:top w:val="none" w:sz="0" w:space="0" w:color="auto"/>
            <w:left w:val="none" w:sz="0" w:space="0" w:color="auto"/>
            <w:bottom w:val="none" w:sz="0" w:space="0" w:color="auto"/>
            <w:right w:val="none" w:sz="0" w:space="0" w:color="auto"/>
          </w:divBdr>
          <w:divsChild>
            <w:div w:id="587007398">
              <w:marLeft w:val="0"/>
              <w:marRight w:val="0"/>
              <w:marTop w:val="0"/>
              <w:marBottom w:val="0"/>
              <w:divBdr>
                <w:top w:val="none" w:sz="0" w:space="0" w:color="auto"/>
                <w:left w:val="none" w:sz="0" w:space="0" w:color="auto"/>
                <w:bottom w:val="none" w:sz="0" w:space="0" w:color="auto"/>
                <w:right w:val="none" w:sz="0" w:space="0" w:color="auto"/>
              </w:divBdr>
            </w:div>
          </w:divsChild>
        </w:div>
        <w:div w:id="1303273667">
          <w:marLeft w:val="0"/>
          <w:marRight w:val="0"/>
          <w:marTop w:val="0"/>
          <w:marBottom w:val="0"/>
          <w:divBdr>
            <w:top w:val="none" w:sz="0" w:space="0" w:color="auto"/>
            <w:left w:val="none" w:sz="0" w:space="0" w:color="auto"/>
            <w:bottom w:val="none" w:sz="0" w:space="0" w:color="auto"/>
            <w:right w:val="none" w:sz="0" w:space="0" w:color="auto"/>
          </w:divBdr>
          <w:divsChild>
            <w:div w:id="27685968">
              <w:marLeft w:val="0"/>
              <w:marRight w:val="0"/>
              <w:marTop w:val="0"/>
              <w:marBottom w:val="0"/>
              <w:divBdr>
                <w:top w:val="none" w:sz="0" w:space="0" w:color="auto"/>
                <w:left w:val="none" w:sz="0" w:space="0" w:color="auto"/>
                <w:bottom w:val="none" w:sz="0" w:space="0" w:color="auto"/>
                <w:right w:val="none" w:sz="0" w:space="0" w:color="auto"/>
              </w:divBdr>
            </w:div>
          </w:divsChild>
        </w:div>
        <w:div w:id="1335452741">
          <w:marLeft w:val="0"/>
          <w:marRight w:val="0"/>
          <w:marTop w:val="0"/>
          <w:marBottom w:val="0"/>
          <w:divBdr>
            <w:top w:val="none" w:sz="0" w:space="0" w:color="auto"/>
            <w:left w:val="none" w:sz="0" w:space="0" w:color="auto"/>
            <w:bottom w:val="none" w:sz="0" w:space="0" w:color="auto"/>
            <w:right w:val="none" w:sz="0" w:space="0" w:color="auto"/>
          </w:divBdr>
          <w:divsChild>
            <w:div w:id="605113968">
              <w:marLeft w:val="0"/>
              <w:marRight w:val="0"/>
              <w:marTop w:val="0"/>
              <w:marBottom w:val="0"/>
              <w:divBdr>
                <w:top w:val="none" w:sz="0" w:space="0" w:color="auto"/>
                <w:left w:val="none" w:sz="0" w:space="0" w:color="auto"/>
                <w:bottom w:val="none" w:sz="0" w:space="0" w:color="auto"/>
                <w:right w:val="none" w:sz="0" w:space="0" w:color="auto"/>
              </w:divBdr>
            </w:div>
          </w:divsChild>
        </w:div>
        <w:div w:id="1352296188">
          <w:marLeft w:val="0"/>
          <w:marRight w:val="0"/>
          <w:marTop w:val="0"/>
          <w:marBottom w:val="0"/>
          <w:divBdr>
            <w:top w:val="none" w:sz="0" w:space="0" w:color="auto"/>
            <w:left w:val="none" w:sz="0" w:space="0" w:color="auto"/>
            <w:bottom w:val="none" w:sz="0" w:space="0" w:color="auto"/>
            <w:right w:val="none" w:sz="0" w:space="0" w:color="auto"/>
          </w:divBdr>
          <w:divsChild>
            <w:div w:id="214052956">
              <w:marLeft w:val="0"/>
              <w:marRight w:val="0"/>
              <w:marTop w:val="0"/>
              <w:marBottom w:val="0"/>
              <w:divBdr>
                <w:top w:val="none" w:sz="0" w:space="0" w:color="auto"/>
                <w:left w:val="none" w:sz="0" w:space="0" w:color="auto"/>
                <w:bottom w:val="none" w:sz="0" w:space="0" w:color="auto"/>
                <w:right w:val="none" w:sz="0" w:space="0" w:color="auto"/>
              </w:divBdr>
            </w:div>
          </w:divsChild>
        </w:div>
        <w:div w:id="1369597812">
          <w:marLeft w:val="0"/>
          <w:marRight w:val="0"/>
          <w:marTop w:val="0"/>
          <w:marBottom w:val="0"/>
          <w:divBdr>
            <w:top w:val="none" w:sz="0" w:space="0" w:color="auto"/>
            <w:left w:val="none" w:sz="0" w:space="0" w:color="auto"/>
            <w:bottom w:val="none" w:sz="0" w:space="0" w:color="auto"/>
            <w:right w:val="none" w:sz="0" w:space="0" w:color="auto"/>
          </w:divBdr>
          <w:divsChild>
            <w:div w:id="1159925376">
              <w:marLeft w:val="0"/>
              <w:marRight w:val="0"/>
              <w:marTop w:val="0"/>
              <w:marBottom w:val="0"/>
              <w:divBdr>
                <w:top w:val="none" w:sz="0" w:space="0" w:color="auto"/>
                <w:left w:val="none" w:sz="0" w:space="0" w:color="auto"/>
                <w:bottom w:val="none" w:sz="0" w:space="0" w:color="auto"/>
                <w:right w:val="none" w:sz="0" w:space="0" w:color="auto"/>
              </w:divBdr>
            </w:div>
          </w:divsChild>
        </w:div>
        <w:div w:id="1372415445">
          <w:marLeft w:val="0"/>
          <w:marRight w:val="0"/>
          <w:marTop w:val="0"/>
          <w:marBottom w:val="0"/>
          <w:divBdr>
            <w:top w:val="none" w:sz="0" w:space="0" w:color="auto"/>
            <w:left w:val="none" w:sz="0" w:space="0" w:color="auto"/>
            <w:bottom w:val="none" w:sz="0" w:space="0" w:color="auto"/>
            <w:right w:val="none" w:sz="0" w:space="0" w:color="auto"/>
          </w:divBdr>
          <w:divsChild>
            <w:div w:id="1097290710">
              <w:marLeft w:val="0"/>
              <w:marRight w:val="0"/>
              <w:marTop w:val="0"/>
              <w:marBottom w:val="0"/>
              <w:divBdr>
                <w:top w:val="none" w:sz="0" w:space="0" w:color="auto"/>
                <w:left w:val="none" w:sz="0" w:space="0" w:color="auto"/>
                <w:bottom w:val="none" w:sz="0" w:space="0" w:color="auto"/>
                <w:right w:val="none" w:sz="0" w:space="0" w:color="auto"/>
              </w:divBdr>
            </w:div>
          </w:divsChild>
        </w:div>
        <w:div w:id="1419324185">
          <w:marLeft w:val="0"/>
          <w:marRight w:val="0"/>
          <w:marTop w:val="0"/>
          <w:marBottom w:val="0"/>
          <w:divBdr>
            <w:top w:val="none" w:sz="0" w:space="0" w:color="auto"/>
            <w:left w:val="none" w:sz="0" w:space="0" w:color="auto"/>
            <w:bottom w:val="none" w:sz="0" w:space="0" w:color="auto"/>
            <w:right w:val="none" w:sz="0" w:space="0" w:color="auto"/>
          </w:divBdr>
          <w:divsChild>
            <w:div w:id="883638969">
              <w:marLeft w:val="0"/>
              <w:marRight w:val="0"/>
              <w:marTop w:val="0"/>
              <w:marBottom w:val="0"/>
              <w:divBdr>
                <w:top w:val="none" w:sz="0" w:space="0" w:color="auto"/>
                <w:left w:val="none" w:sz="0" w:space="0" w:color="auto"/>
                <w:bottom w:val="none" w:sz="0" w:space="0" w:color="auto"/>
                <w:right w:val="none" w:sz="0" w:space="0" w:color="auto"/>
              </w:divBdr>
            </w:div>
          </w:divsChild>
        </w:div>
        <w:div w:id="1446844341">
          <w:marLeft w:val="0"/>
          <w:marRight w:val="0"/>
          <w:marTop w:val="0"/>
          <w:marBottom w:val="0"/>
          <w:divBdr>
            <w:top w:val="none" w:sz="0" w:space="0" w:color="auto"/>
            <w:left w:val="none" w:sz="0" w:space="0" w:color="auto"/>
            <w:bottom w:val="none" w:sz="0" w:space="0" w:color="auto"/>
            <w:right w:val="none" w:sz="0" w:space="0" w:color="auto"/>
          </w:divBdr>
          <w:divsChild>
            <w:div w:id="1735201408">
              <w:marLeft w:val="0"/>
              <w:marRight w:val="0"/>
              <w:marTop w:val="0"/>
              <w:marBottom w:val="0"/>
              <w:divBdr>
                <w:top w:val="none" w:sz="0" w:space="0" w:color="auto"/>
                <w:left w:val="none" w:sz="0" w:space="0" w:color="auto"/>
                <w:bottom w:val="none" w:sz="0" w:space="0" w:color="auto"/>
                <w:right w:val="none" w:sz="0" w:space="0" w:color="auto"/>
              </w:divBdr>
            </w:div>
          </w:divsChild>
        </w:div>
        <w:div w:id="1447234784">
          <w:marLeft w:val="0"/>
          <w:marRight w:val="0"/>
          <w:marTop w:val="0"/>
          <w:marBottom w:val="0"/>
          <w:divBdr>
            <w:top w:val="none" w:sz="0" w:space="0" w:color="auto"/>
            <w:left w:val="none" w:sz="0" w:space="0" w:color="auto"/>
            <w:bottom w:val="none" w:sz="0" w:space="0" w:color="auto"/>
            <w:right w:val="none" w:sz="0" w:space="0" w:color="auto"/>
          </w:divBdr>
          <w:divsChild>
            <w:div w:id="1250197235">
              <w:marLeft w:val="0"/>
              <w:marRight w:val="0"/>
              <w:marTop w:val="0"/>
              <w:marBottom w:val="0"/>
              <w:divBdr>
                <w:top w:val="none" w:sz="0" w:space="0" w:color="auto"/>
                <w:left w:val="none" w:sz="0" w:space="0" w:color="auto"/>
                <w:bottom w:val="none" w:sz="0" w:space="0" w:color="auto"/>
                <w:right w:val="none" w:sz="0" w:space="0" w:color="auto"/>
              </w:divBdr>
            </w:div>
          </w:divsChild>
        </w:div>
        <w:div w:id="1460762594">
          <w:marLeft w:val="0"/>
          <w:marRight w:val="0"/>
          <w:marTop w:val="0"/>
          <w:marBottom w:val="0"/>
          <w:divBdr>
            <w:top w:val="none" w:sz="0" w:space="0" w:color="auto"/>
            <w:left w:val="none" w:sz="0" w:space="0" w:color="auto"/>
            <w:bottom w:val="none" w:sz="0" w:space="0" w:color="auto"/>
            <w:right w:val="none" w:sz="0" w:space="0" w:color="auto"/>
          </w:divBdr>
          <w:divsChild>
            <w:div w:id="173302369">
              <w:marLeft w:val="0"/>
              <w:marRight w:val="0"/>
              <w:marTop w:val="0"/>
              <w:marBottom w:val="0"/>
              <w:divBdr>
                <w:top w:val="none" w:sz="0" w:space="0" w:color="auto"/>
                <w:left w:val="none" w:sz="0" w:space="0" w:color="auto"/>
                <w:bottom w:val="none" w:sz="0" w:space="0" w:color="auto"/>
                <w:right w:val="none" w:sz="0" w:space="0" w:color="auto"/>
              </w:divBdr>
            </w:div>
          </w:divsChild>
        </w:div>
        <w:div w:id="1467160599">
          <w:marLeft w:val="0"/>
          <w:marRight w:val="0"/>
          <w:marTop w:val="0"/>
          <w:marBottom w:val="0"/>
          <w:divBdr>
            <w:top w:val="none" w:sz="0" w:space="0" w:color="auto"/>
            <w:left w:val="none" w:sz="0" w:space="0" w:color="auto"/>
            <w:bottom w:val="none" w:sz="0" w:space="0" w:color="auto"/>
            <w:right w:val="none" w:sz="0" w:space="0" w:color="auto"/>
          </w:divBdr>
          <w:divsChild>
            <w:div w:id="577255016">
              <w:marLeft w:val="0"/>
              <w:marRight w:val="0"/>
              <w:marTop w:val="0"/>
              <w:marBottom w:val="0"/>
              <w:divBdr>
                <w:top w:val="none" w:sz="0" w:space="0" w:color="auto"/>
                <w:left w:val="none" w:sz="0" w:space="0" w:color="auto"/>
                <w:bottom w:val="none" w:sz="0" w:space="0" w:color="auto"/>
                <w:right w:val="none" w:sz="0" w:space="0" w:color="auto"/>
              </w:divBdr>
            </w:div>
          </w:divsChild>
        </w:div>
        <w:div w:id="1486511755">
          <w:marLeft w:val="0"/>
          <w:marRight w:val="0"/>
          <w:marTop w:val="0"/>
          <w:marBottom w:val="0"/>
          <w:divBdr>
            <w:top w:val="none" w:sz="0" w:space="0" w:color="auto"/>
            <w:left w:val="none" w:sz="0" w:space="0" w:color="auto"/>
            <w:bottom w:val="none" w:sz="0" w:space="0" w:color="auto"/>
            <w:right w:val="none" w:sz="0" w:space="0" w:color="auto"/>
          </w:divBdr>
          <w:divsChild>
            <w:div w:id="1431973360">
              <w:marLeft w:val="0"/>
              <w:marRight w:val="0"/>
              <w:marTop w:val="0"/>
              <w:marBottom w:val="0"/>
              <w:divBdr>
                <w:top w:val="none" w:sz="0" w:space="0" w:color="auto"/>
                <w:left w:val="none" w:sz="0" w:space="0" w:color="auto"/>
                <w:bottom w:val="none" w:sz="0" w:space="0" w:color="auto"/>
                <w:right w:val="none" w:sz="0" w:space="0" w:color="auto"/>
              </w:divBdr>
            </w:div>
          </w:divsChild>
        </w:div>
        <w:div w:id="1511287224">
          <w:marLeft w:val="0"/>
          <w:marRight w:val="0"/>
          <w:marTop w:val="0"/>
          <w:marBottom w:val="0"/>
          <w:divBdr>
            <w:top w:val="none" w:sz="0" w:space="0" w:color="auto"/>
            <w:left w:val="none" w:sz="0" w:space="0" w:color="auto"/>
            <w:bottom w:val="none" w:sz="0" w:space="0" w:color="auto"/>
            <w:right w:val="none" w:sz="0" w:space="0" w:color="auto"/>
          </w:divBdr>
          <w:divsChild>
            <w:div w:id="1036926616">
              <w:marLeft w:val="0"/>
              <w:marRight w:val="0"/>
              <w:marTop w:val="0"/>
              <w:marBottom w:val="0"/>
              <w:divBdr>
                <w:top w:val="none" w:sz="0" w:space="0" w:color="auto"/>
                <w:left w:val="none" w:sz="0" w:space="0" w:color="auto"/>
                <w:bottom w:val="none" w:sz="0" w:space="0" w:color="auto"/>
                <w:right w:val="none" w:sz="0" w:space="0" w:color="auto"/>
              </w:divBdr>
            </w:div>
          </w:divsChild>
        </w:div>
        <w:div w:id="1528367790">
          <w:marLeft w:val="0"/>
          <w:marRight w:val="0"/>
          <w:marTop w:val="0"/>
          <w:marBottom w:val="0"/>
          <w:divBdr>
            <w:top w:val="none" w:sz="0" w:space="0" w:color="auto"/>
            <w:left w:val="none" w:sz="0" w:space="0" w:color="auto"/>
            <w:bottom w:val="none" w:sz="0" w:space="0" w:color="auto"/>
            <w:right w:val="none" w:sz="0" w:space="0" w:color="auto"/>
          </w:divBdr>
          <w:divsChild>
            <w:div w:id="1252469512">
              <w:marLeft w:val="0"/>
              <w:marRight w:val="0"/>
              <w:marTop w:val="0"/>
              <w:marBottom w:val="0"/>
              <w:divBdr>
                <w:top w:val="none" w:sz="0" w:space="0" w:color="auto"/>
                <w:left w:val="none" w:sz="0" w:space="0" w:color="auto"/>
                <w:bottom w:val="none" w:sz="0" w:space="0" w:color="auto"/>
                <w:right w:val="none" w:sz="0" w:space="0" w:color="auto"/>
              </w:divBdr>
            </w:div>
          </w:divsChild>
        </w:div>
        <w:div w:id="1543517663">
          <w:marLeft w:val="0"/>
          <w:marRight w:val="0"/>
          <w:marTop w:val="0"/>
          <w:marBottom w:val="0"/>
          <w:divBdr>
            <w:top w:val="none" w:sz="0" w:space="0" w:color="auto"/>
            <w:left w:val="none" w:sz="0" w:space="0" w:color="auto"/>
            <w:bottom w:val="none" w:sz="0" w:space="0" w:color="auto"/>
            <w:right w:val="none" w:sz="0" w:space="0" w:color="auto"/>
          </w:divBdr>
          <w:divsChild>
            <w:div w:id="1530296814">
              <w:marLeft w:val="0"/>
              <w:marRight w:val="0"/>
              <w:marTop w:val="0"/>
              <w:marBottom w:val="0"/>
              <w:divBdr>
                <w:top w:val="none" w:sz="0" w:space="0" w:color="auto"/>
                <w:left w:val="none" w:sz="0" w:space="0" w:color="auto"/>
                <w:bottom w:val="none" w:sz="0" w:space="0" w:color="auto"/>
                <w:right w:val="none" w:sz="0" w:space="0" w:color="auto"/>
              </w:divBdr>
            </w:div>
          </w:divsChild>
        </w:div>
        <w:div w:id="1563518935">
          <w:marLeft w:val="0"/>
          <w:marRight w:val="0"/>
          <w:marTop w:val="0"/>
          <w:marBottom w:val="0"/>
          <w:divBdr>
            <w:top w:val="none" w:sz="0" w:space="0" w:color="auto"/>
            <w:left w:val="none" w:sz="0" w:space="0" w:color="auto"/>
            <w:bottom w:val="none" w:sz="0" w:space="0" w:color="auto"/>
            <w:right w:val="none" w:sz="0" w:space="0" w:color="auto"/>
          </w:divBdr>
          <w:divsChild>
            <w:div w:id="2139252679">
              <w:marLeft w:val="0"/>
              <w:marRight w:val="0"/>
              <w:marTop w:val="0"/>
              <w:marBottom w:val="0"/>
              <w:divBdr>
                <w:top w:val="none" w:sz="0" w:space="0" w:color="auto"/>
                <w:left w:val="none" w:sz="0" w:space="0" w:color="auto"/>
                <w:bottom w:val="none" w:sz="0" w:space="0" w:color="auto"/>
                <w:right w:val="none" w:sz="0" w:space="0" w:color="auto"/>
              </w:divBdr>
            </w:div>
          </w:divsChild>
        </w:div>
        <w:div w:id="1575509311">
          <w:marLeft w:val="0"/>
          <w:marRight w:val="0"/>
          <w:marTop w:val="0"/>
          <w:marBottom w:val="0"/>
          <w:divBdr>
            <w:top w:val="none" w:sz="0" w:space="0" w:color="auto"/>
            <w:left w:val="none" w:sz="0" w:space="0" w:color="auto"/>
            <w:bottom w:val="none" w:sz="0" w:space="0" w:color="auto"/>
            <w:right w:val="none" w:sz="0" w:space="0" w:color="auto"/>
          </w:divBdr>
          <w:divsChild>
            <w:div w:id="930964689">
              <w:marLeft w:val="0"/>
              <w:marRight w:val="0"/>
              <w:marTop w:val="0"/>
              <w:marBottom w:val="0"/>
              <w:divBdr>
                <w:top w:val="none" w:sz="0" w:space="0" w:color="auto"/>
                <w:left w:val="none" w:sz="0" w:space="0" w:color="auto"/>
                <w:bottom w:val="none" w:sz="0" w:space="0" w:color="auto"/>
                <w:right w:val="none" w:sz="0" w:space="0" w:color="auto"/>
              </w:divBdr>
            </w:div>
          </w:divsChild>
        </w:div>
        <w:div w:id="1604268344">
          <w:marLeft w:val="0"/>
          <w:marRight w:val="0"/>
          <w:marTop w:val="0"/>
          <w:marBottom w:val="0"/>
          <w:divBdr>
            <w:top w:val="none" w:sz="0" w:space="0" w:color="auto"/>
            <w:left w:val="none" w:sz="0" w:space="0" w:color="auto"/>
            <w:bottom w:val="none" w:sz="0" w:space="0" w:color="auto"/>
            <w:right w:val="none" w:sz="0" w:space="0" w:color="auto"/>
          </w:divBdr>
          <w:divsChild>
            <w:div w:id="997851242">
              <w:marLeft w:val="0"/>
              <w:marRight w:val="0"/>
              <w:marTop w:val="0"/>
              <w:marBottom w:val="0"/>
              <w:divBdr>
                <w:top w:val="none" w:sz="0" w:space="0" w:color="auto"/>
                <w:left w:val="none" w:sz="0" w:space="0" w:color="auto"/>
                <w:bottom w:val="none" w:sz="0" w:space="0" w:color="auto"/>
                <w:right w:val="none" w:sz="0" w:space="0" w:color="auto"/>
              </w:divBdr>
            </w:div>
          </w:divsChild>
        </w:div>
        <w:div w:id="1610164104">
          <w:marLeft w:val="0"/>
          <w:marRight w:val="0"/>
          <w:marTop w:val="0"/>
          <w:marBottom w:val="0"/>
          <w:divBdr>
            <w:top w:val="none" w:sz="0" w:space="0" w:color="auto"/>
            <w:left w:val="none" w:sz="0" w:space="0" w:color="auto"/>
            <w:bottom w:val="none" w:sz="0" w:space="0" w:color="auto"/>
            <w:right w:val="none" w:sz="0" w:space="0" w:color="auto"/>
          </w:divBdr>
          <w:divsChild>
            <w:div w:id="747654842">
              <w:marLeft w:val="0"/>
              <w:marRight w:val="0"/>
              <w:marTop w:val="0"/>
              <w:marBottom w:val="0"/>
              <w:divBdr>
                <w:top w:val="none" w:sz="0" w:space="0" w:color="auto"/>
                <w:left w:val="none" w:sz="0" w:space="0" w:color="auto"/>
                <w:bottom w:val="none" w:sz="0" w:space="0" w:color="auto"/>
                <w:right w:val="none" w:sz="0" w:space="0" w:color="auto"/>
              </w:divBdr>
            </w:div>
          </w:divsChild>
        </w:div>
        <w:div w:id="1644888110">
          <w:marLeft w:val="0"/>
          <w:marRight w:val="0"/>
          <w:marTop w:val="0"/>
          <w:marBottom w:val="0"/>
          <w:divBdr>
            <w:top w:val="none" w:sz="0" w:space="0" w:color="auto"/>
            <w:left w:val="none" w:sz="0" w:space="0" w:color="auto"/>
            <w:bottom w:val="none" w:sz="0" w:space="0" w:color="auto"/>
            <w:right w:val="none" w:sz="0" w:space="0" w:color="auto"/>
          </w:divBdr>
          <w:divsChild>
            <w:div w:id="1924996080">
              <w:marLeft w:val="0"/>
              <w:marRight w:val="0"/>
              <w:marTop w:val="0"/>
              <w:marBottom w:val="0"/>
              <w:divBdr>
                <w:top w:val="none" w:sz="0" w:space="0" w:color="auto"/>
                <w:left w:val="none" w:sz="0" w:space="0" w:color="auto"/>
                <w:bottom w:val="none" w:sz="0" w:space="0" w:color="auto"/>
                <w:right w:val="none" w:sz="0" w:space="0" w:color="auto"/>
              </w:divBdr>
            </w:div>
          </w:divsChild>
        </w:div>
        <w:div w:id="1645086463">
          <w:marLeft w:val="0"/>
          <w:marRight w:val="0"/>
          <w:marTop w:val="0"/>
          <w:marBottom w:val="0"/>
          <w:divBdr>
            <w:top w:val="none" w:sz="0" w:space="0" w:color="auto"/>
            <w:left w:val="none" w:sz="0" w:space="0" w:color="auto"/>
            <w:bottom w:val="none" w:sz="0" w:space="0" w:color="auto"/>
            <w:right w:val="none" w:sz="0" w:space="0" w:color="auto"/>
          </w:divBdr>
          <w:divsChild>
            <w:div w:id="245966249">
              <w:marLeft w:val="0"/>
              <w:marRight w:val="0"/>
              <w:marTop w:val="0"/>
              <w:marBottom w:val="0"/>
              <w:divBdr>
                <w:top w:val="none" w:sz="0" w:space="0" w:color="auto"/>
                <w:left w:val="none" w:sz="0" w:space="0" w:color="auto"/>
                <w:bottom w:val="none" w:sz="0" w:space="0" w:color="auto"/>
                <w:right w:val="none" w:sz="0" w:space="0" w:color="auto"/>
              </w:divBdr>
            </w:div>
          </w:divsChild>
        </w:div>
        <w:div w:id="1646011098">
          <w:marLeft w:val="0"/>
          <w:marRight w:val="0"/>
          <w:marTop w:val="0"/>
          <w:marBottom w:val="0"/>
          <w:divBdr>
            <w:top w:val="none" w:sz="0" w:space="0" w:color="auto"/>
            <w:left w:val="none" w:sz="0" w:space="0" w:color="auto"/>
            <w:bottom w:val="none" w:sz="0" w:space="0" w:color="auto"/>
            <w:right w:val="none" w:sz="0" w:space="0" w:color="auto"/>
          </w:divBdr>
          <w:divsChild>
            <w:div w:id="883637034">
              <w:marLeft w:val="0"/>
              <w:marRight w:val="0"/>
              <w:marTop w:val="0"/>
              <w:marBottom w:val="0"/>
              <w:divBdr>
                <w:top w:val="none" w:sz="0" w:space="0" w:color="auto"/>
                <w:left w:val="none" w:sz="0" w:space="0" w:color="auto"/>
                <w:bottom w:val="none" w:sz="0" w:space="0" w:color="auto"/>
                <w:right w:val="none" w:sz="0" w:space="0" w:color="auto"/>
              </w:divBdr>
            </w:div>
          </w:divsChild>
        </w:div>
        <w:div w:id="1662463764">
          <w:marLeft w:val="0"/>
          <w:marRight w:val="0"/>
          <w:marTop w:val="0"/>
          <w:marBottom w:val="0"/>
          <w:divBdr>
            <w:top w:val="none" w:sz="0" w:space="0" w:color="auto"/>
            <w:left w:val="none" w:sz="0" w:space="0" w:color="auto"/>
            <w:bottom w:val="none" w:sz="0" w:space="0" w:color="auto"/>
            <w:right w:val="none" w:sz="0" w:space="0" w:color="auto"/>
          </w:divBdr>
          <w:divsChild>
            <w:div w:id="932586394">
              <w:marLeft w:val="0"/>
              <w:marRight w:val="0"/>
              <w:marTop w:val="0"/>
              <w:marBottom w:val="0"/>
              <w:divBdr>
                <w:top w:val="none" w:sz="0" w:space="0" w:color="auto"/>
                <w:left w:val="none" w:sz="0" w:space="0" w:color="auto"/>
                <w:bottom w:val="none" w:sz="0" w:space="0" w:color="auto"/>
                <w:right w:val="none" w:sz="0" w:space="0" w:color="auto"/>
              </w:divBdr>
            </w:div>
          </w:divsChild>
        </w:div>
        <w:div w:id="1662583872">
          <w:marLeft w:val="0"/>
          <w:marRight w:val="0"/>
          <w:marTop w:val="0"/>
          <w:marBottom w:val="0"/>
          <w:divBdr>
            <w:top w:val="none" w:sz="0" w:space="0" w:color="auto"/>
            <w:left w:val="none" w:sz="0" w:space="0" w:color="auto"/>
            <w:bottom w:val="none" w:sz="0" w:space="0" w:color="auto"/>
            <w:right w:val="none" w:sz="0" w:space="0" w:color="auto"/>
          </w:divBdr>
          <w:divsChild>
            <w:div w:id="1325739447">
              <w:marLeft w:val="0"/>
              <w:marRight w:val="0"/>
              <w:marTop w:val="0"/>
              <w:marBottom w:val="0"/>
              <w:divBdr>
                <w:top w:val="none" w:sz="0" w:space="0" w:color="auto"/>
                <w:left w:val="none" w:sz="0" w:space="0" w:color="auto"/>
                <w:bottom w:val="none" w:sz="0" w:space="0" w:color="auto"/>
                <w:right w:val="none" w:sz="0" w:space="0" w:color="auto"/>
              </w:divBdr>
            </w:div>
          </w:divsChild>
        </w:div>
        <w:div w:id="1699233110">
          <w:marLeft w:val="0"/>
          <w:marRight w:val="0"/>
          <w:marTop w:val="0"/>
          <w:marBottom w:val="0"/>
          <w:divBdr>
            <w:top w:val="none" w:sz="0" w:space="0" w:color="auto"/>
            <w:left w:val="none" w:sz="0" w:space="0" w:color="auto"/>
            <w:bottom w:val="none" w:sz="0" w:space="0" w:color="auto"/>
            <w:right w:val="none" w:sz="0" w:space="0" w:color="auto"/>
          </w:divBdr>
          <w:divsChild>
            <w:div w:id="1115253987">
              <w:marLeft w:val="0"/>
              <w:marRight w:val="0"/>
              <w:marTop w:val="0"/>
              <w:marBottom w:val="0"/>
              <w:divBdr>
                <w:top w:val="none" w:sz="0" w:space="0" w:color="auto"/>
                <w:left w:val="none" w:sz="0" w:space="0" w:color="auto"/>
                <w:bottom w:val="none" w:sz="0" w:space="0" w:color="auto"/>
                <w:right w:val="none" w:sz="0" w:space="0" w:color="auto"/>
              </w:divBdr>
            </w:div>
          </w:divsChild>
        </w:div>
        <w:div w:id="1704205975">
          <w:marLeft w:val="0"/>
          <w:marRight w:val="0"/>
          <w:marTop w:val="0"/>
          <w:marBottom w:val="0"/>
          <w:divBdr>
            <w:top w:val="none" w:sz="0" w:space="0" w:color="auto"/>
            <w:left w:val="none" w:sz="0" w:space="0" w:color="auto"/>
            <w:bottom w:val="none" w:sz="0" w:space="0" w:color="auto"/>
            <w:right w:val="none" w:sz="0" w:space="0" w:color="auto"/>
          </w:divBdr>
          <w:divsChild>
            <w:div w:id="1717387444">
              <w:marLeft w:val="0"/>
              <w:marRight w:val="0"/>
              <w:marTop w:val="0"/>
              <w:marBottom w:val="0"/>
              <w:divBdr>
                <w:top w:val="none" w:sz="0" w:space="0" w:color="auto"/>
                <w:left w:val="none" w:sz="0" w:space="0" w:color="auto"/>
                <w:bottom w:val="none" w:sz="0" w:space="0" w:color="auto"/>
                <w:right w:val="none" w:sz="0" w:space="0" w:color="auto"/>
              </w:divBdr>
            </w:div>
          </w:divsChild>
        </w:div>
        <w:div w:id="1723669886">
          <w:marLeft w:val="0"/>
          <w:marRight w:val="0"/>
          <w:marTop w:val="0"/>
          <w:marBottom w:val="0"/>
          <w:divBdr>
            <w:top w:val="none" w:sz="0" w:space="0" w:color="auto"/>
            <w:left w:val="none" w:sz="0" w:space="0" w:color="auto"/>
            <w:bottom w:val="none" w:sz="0" w:space="0" w:color="auto"/>
            <w:right w:val="none" w:sz="0" w:space="0" w:color="auto"/>
          </w:divBdr>
          <w:divsChild>
            <w:div w:id="1101489956">
              <w:marLeft w:val="0"/>
              <w:marRight w:val="0"/>
              <w:marTop w:val="0"/>
              <w:marBottom w:val="0"/>
              <w:divBdr>
                <w:top w:val="none" w:sz="0" w:space="0" w:color="auto"/>
                <w:left w:val="none" w:sz="0" w:space="0" w:color="auto"/>
                <w:bottom w:val="none" w:sz="0" w:space="0" w:color="auto"/>
                <w:right w:val="none" w:sz="0" w:space="0" w:color="auto"/>
              </w:divBdr>
            </w:div>
          </w:divsChild>
        </w:div>
        <w:div w:id="1742097721">
          <w:marLeft w:val="0"/>
          <w:marRight w:val="0"/>
          <w:marTop w:val="0"/>
          <w:marBottom w:val="0"/>
          <w:divBdr>
            <w:top w:val="none" w:sz="0" w:space="0" w:color="auto"/>
            <w:left w:val="none" w:sz="0" w:space="0" w:color="auto"/>
            <w:bottom w:val="none" w:sz="0" w:space="0" w:color="auto"/>
            <w:right w:val="none" w:sz="0" w:space="0" w:color="auto"/>
          </w:divBdr>
          <w:divsChild>
            <w:div w:id="418871337">
              <w:marLeft w:val="0"/>
              <w:marRight w:val="0"/>
              <w:marTop w:val="0"/>
              <w:marBottom w:val="0"/>
              <w:divBdr>
                <w:top w:val="none" w:sz="0" w:space="0" w:color="auto"/>
                <w:left w:val="none" w:sz="0" w:space="0" w:color="auto"/>
                <w:bottom w:val="none" w:sz="0" w:space="0" w:color="auto"/>
                <w:right w:val="none" w:sz="0" w:space="0" w:color="auto"/>
              </w:divBdr>
            </w:div>
          </w:divsChild>
        </w:div>
        <w:div w:id="1762486337">
          <w:marLeft w:val="0"/>
          <w:marRight w:val="0"/>
          <w:marTop w:val="0"/>
          <w:marBottom w:val="0"/>
          <w:divBdr>
            <w:top w:val="none" w:sz="0" w:space="0" w:color="auto"/>
            <w:left w:val="none" w:sz="0" w:space="0" w:color="auto"/>
            <w:bottom w:val="none" w:sz="0" w:space="0" w:color="auto"/>
            <w:right w:val="none" w:sz="0" w:space="0" w:color="auto"/>
          </w:divBdr>
          <w:divsChild>
            <w:div w:id="45759194">
              <w:marLeft w:val="0"/>
              <w:marRight w:val="0"/>
              <w:marTop w:val="0"/>
              <w:marBottom w:val="0"/>
              <w:divBdr>
                <w:top w:val="none" w:sz="0" w:space="0" w:color="auto"/>
                <w:left w:val="none" w:sz="0" w:space="0" w:color="auto"/>
                <w:bottom w:val="none" w:sz="0" w:space="0" w:color="auto"/>
                <w:right w:val="none" w:sz="0" w:space="0" w:color="auto"/>
              </w:divBdr>
            </w:div>
          </w:divsChild>
        </w:div>
        <w:div w:id="1783762128">
          <w:marLeft w:val="0"/>
          <w:marRight w:val="0"/>
          <w:marTop w:val="0"/>
          <w:marBottom w:val="0"/>
          <w:divBdr>
            <w:top w:val="none" w:sz="0" w:space="0" w:color="auto"/>
            <w:left w:val="none" w:sz="0" w:space="0" w:color="auto"/>
            <w:bottom w:val="none" w:sz="0" w:space="0" w:color="auto"/>
            <w:right w:val="none" w:sz="0" w:space="0" w:color="auto"/>
          </w:divBdr>
          <w:divsChild>
            <w:div w:id="1462842835">
              <w:marLeft w:val="0"/>
              <w:marRight w:val="0"/>
              <w:marTop w:val="0"/>
              <w:marBottom w:val="0"/>
              <w:divBdr>
                <w:top w:val="none" w:sz="0" w:space="0" w:color="auto"/>
                <w:left w:val="none" w:sz="0" w:space="0" w:color="auto"/>
                <w:bottom w:val="none" w:sz="0" w:space="0" w:color="auto"/>
                <w:right w:val="none" w:sz="0" w:space="0" w:color="auto"/>
              </w:divBdr>
            </w:div>
          </w:divsChild>
        </w:div>
        <w:div w:id="1786727804">
          <w:marLeft w:val="0"/>
          <w:marRight w:val="0"/>
          <w:marTop w:val="0"/>
          <w:marBottom w:val="0"/>
          <w:divBdr>
            <w:top w:val="none" w:sz="0" w:space="0" w:color="auto"/>
            <w:left w:val="none" w:sz="0" w:space="0" w:color="auto"/>
            <w:bottom w:val="none" w:sz="0" w:space="0" w:color="auto"/>
            <w:right w:val="none" w:sz="0" w:space="0" w:color="auto"/>
          </w:divBdr>
          <w:divsChild>
            <w:div w:id="1662584912">
              <w:marLeft w:val="0"/>
              <w:marRight w:val="0"/>
              <w:marTop w:val="0"/>
              <w:marBottom w:val="0"/>
              <w:divBdr>
                <w:top w:val="none" w:sz="0" w:space="0" w:color="auto"/>
                <w:left w:val="none" w:sz="0" w:space="0" w:color="auto"/>
                <w:bottom w:val="none" w:sz="0" w:space="0" w:color="auto"/>
                <w:right w:val="none" w:sz="0" w:space="0" w:color="auto"/>
              </w:divBdr>
            </w:div>
          </w:divsChild>
        </w:div>
        <w:div w:id="1795440534">
          <w:marLeft w:val="0"/>
          <w:marRight w:val="0"/>
          <w:marTop w:val="0"/>
          <w:marBottom w:val="0"/>
          <w:divBdr>
            <w:top w:val="none" w:sz="0" w:space="0" w:color="auto"/>
            <w:left w:val="none" w:sz="0" w:space="0" w:color="auto"/>
            <w:bottom w:val="none" w:sz="0" w:space="0" w:color="auto"/>
            <w:right w:val="none" w:sz="0" w:space="0" w:color="auto"/>
          </w:divBdr>
          <w:divsChild>
            <w:div w:id="1157069875">
              <w:marLeft w:val="0"/>
              <w:marRight w:val="0"/>
              <w:marTop w:val="0"/>
              <w:marBottom w:val="0"/>
              <w:divBdr>
                <w:top w:val="none" w:sz="0" w:space="0" w:color="auto"/>
                <w:left w:val="none" w:sz="0" w:space="0" w:color="auto"/>
                <w:bottom w:val="none" w:sz="0" w:space="0" w:color="auto"/>
                <w:right w:val="none" w:sz="0" w:space="0" w:color="auto"/>
              </w:divBdr>
            </w:div>
          </w:divsChild>
        </w:div>
        <w:div w:id="1798068049">
          <w:marLeft w:val="0"/>
          <w:marRight w:val="0"/>
          <w:marTop w:val="0"/>
          <w:marBottom w:val="0"/>
          <w:divBdr>
            <w:top w:val="none" w:sz="0" w:space="0" w:color="auto"/>
            <w:left w:val="none" w:sz="0" w:space="0" w:color="auto"/>
            <w:bottom w:val="none" w:sz="0" w:space="0" w:color="auto"/>
            <w:right w:val="none" w:sz="0" w:space="0" w:color="auto"/>
          </w:divBdr>
          <w:divsChild>
            <w:div w:id="376783859">
              <w:marLeft w:val="0"/>
              <w:marRight w:val="0"/>
              <w:marTop w:val="0"/>
              <w:marBottom w:val="0"/>
              <w:divBdr>
                <w:top w:val="none" w:sz="0" w:space="0" w:color="auto"/>
                <w:left w:val="none" w:sz="0" w:space="0" w:color="auto"/>
                <w:bottom w:val="none" w:sz="0" w:space="0" w:color="auto"/>
                <w:right w:val="none" w:sz="0" w:space="0" w:color="auto"/>
              </w:divBdr>
            </w:div>
          </w:divsChild>
        </w:div>
        <w:div w:id="1832524135">
          <w:marLeft w:val="0"/>
          <w:marRight w:val="0"/>
          <w:marTop w:val="0"/>
          <w:marBottom w:val="0"/>
          <w:divBdr>
            <w:top w:val="none" w:sz="0" w:space="0" w:color="auto"/>
            <w:left w:val="none" w:sz="0" w:space="0" w:color="auto"/>
            <w:bottom w:val="none" w:sz="0" w:space="0" w:color="auto"/>
            <w:right w:val="none" w:sz="0" w:space="0" w:color="auto"/>
          </w:divBdr>
          <w:divsChild>
            <w:div w:id="1764909713">
              <w:marLeft w:val="0"/>
              <w:marRight w:val="0"/>
              <w:marTop w:val="0"/>
              <w:marBottom w:val="0"/>
              <w:divBdr>
                <w:top w:val="none" w:sz="0" w:space="0" w:color="auto"/>
                <w:left w:val="none" w:sz="0" w:space="0" w:color="auto"/>
                <w:bottom w:val="none" w:sz="0" w:space="0" w:color="auto"/>
                <w:right w:val="none" w:sz="0" w:space="0" w:color="auto"/>
              </w:divBdr>
            </w:div>
          </w:divsChild>
        </w:div>
        <w:div w:id="1837694978">
          <w:marLeft w:val="0"/>
          <w:marRight w:val="0"/>
          <w:marTop w:val="0"/>
          <w:marBottom w:val="0"/>
          <w:divBdr>
            <w:top w:val="none" w:sz="0" w:space="0" w:color="auto"/>
            <w:left w:val="none" w:sz="0" w:space="0" w:color="auto"/>
            <w:bottom w:val="none" w:sz="0" w:space="0" w:color="auto"/>
            <w:right w:val="none" w:sz="0" w:space="0" w:color="auto"/>
          </w:divBdr>
          <w:divsChild>
            <w:div w:id="305091449">
              <w:marLeft w:val="0"/>
              <w:marRight w:val="0"/>
              <w:marTop w:val="0"/>
              <w:marBottom w:val="0"/>
              <w:divBdr>
                <w:top w:val="none" w:sz="0" w:space="0" w:color="auto"/>
                <w:left w:val="none" w:sz="0" w:space="0" w:color="auto"/>
                <w:bottom w:val="none" w:sz="0" w:space="0" w:color="auto"/>
                <w:right w:val="none" w:sz="0" w:space="0" w:color="auto"/>
              </w:divBdr>
            </w:div>
          </w:divsChild>
        </w:div>
        <w:div w:id="1844314440">
          <w:marLeft w:val="0"/>
          <w:marRight w:val="0"/>
          <w:marTop w:val="0"/>
          <w:marBottom w:val="0"/>
          <w:divBdr>
            <w:top w:val="none" w:sz="0" w:space="0" w:color="auto"/>
            <w:left w:val="none" w:sz="0" w:space="0" w:color="auto"/>
            <w:bottom w:val="none" w:sz="0" w:space="0" w:color="auto"/>
            <w:right w:val="none" w:sz="0" w:space="0" w:color="auto"/>
          </w:divBdr>
          <w:divsChild>
            <w:div w:id="1676884018">
              <w:marLeft w:val="0"/>
              <w:marRight w:val="0"/>
              <w:marTop w:val="0"/>
              <w:marBottom w:val="0"/>
              <w:divBdr>
                <w:top w:val="none" w:sz="0" w:space="0" w:color="auto"/>
                <w:left w:val="none" w:sz="0" w:space="0" w:color="auto"/>
                <w:bottom w:val="none" w:sz="0" w:space="0" w:color="auto"/>
                <w:right w:val="none" w:sz="0" w:space="0" w:color="auto"/>
              </w:divBdr>
            </w:div>
          </w:divsChild>
        </w:div>
        <w:div w:id="1845045643">
          <w:marLeft w:val="0"/>
          <w:marRight w:val="0"/>
          <w:marTop w:val="0"/>
          <w:marBottom w:val="0"/>
          <w:divBdr>
            <w:top w:val="none" w:sz="0" w:space="0" w:color="auto"/>
            <w:left w:val="none" w:sz="0" w:space="0" w:color="auto"/>
            <w:bottom w:val="none" w:sz="0" w:space="0" w:color="auto"/>
            <w:right w:val="none" w:sz="0" w:space="0" w:color="auto"/>
          </w:divBdr>
          <w:divsChild>
            <w:div w:id="370231734">
              <w:marLeft w:val="0"/>
              <w:marRight w:val="0"/>
              <w:marTop w:val="0"/>
              <w:marBottom w:val="0"/>
              <w:divBdr>
                <w:top w:val="none" w:sz="0" w:space="0" w:color="auto"/>
                <w:left w:val="none" w:sz="0" w:space="0" w:color="auto"/>
                <w:bottom w:val="none" w:sz="0" w:space="0" w:color="auto"/>
                <w:right w:val="none" w:sz="0" w:space="0" w:color="auto"/>
              </w:divBdr>
            </w:div>
          </w:divsChild>
        </w:div>
        <w:div w:id="1861578358">
          <w:marLeft w:val="0"/>
          <w:marRight w:val="0"/>
          <w:marTop w:val="0"/>
          <w:marBottom w:val="0"/>
          <w:divBdr>
            <w:top w:val="none" w:sz="0" w:space="0" w:color="auto"/>
            <w:left w:val="none" w:sz="0" w:space="0" w:color="auto"/>
            <w:bottom w:val="none" w:sz="0" w:space="0" w:color="auto"/>
            <w:right w:val="none" w:sz="0" w:space="0" w:color="auto"/>
          </w:divBdr>
          <w:divsChild>
            <w:div w:id="544756705">
              <w:marLeft w:val="0"/>
              <w:marRight w:val="0"/>
              <w:marTop w:val="0"/>
              <w:marBottom w:val="0"/>
              <w:divBdr>
                <w:top w:val="none" w:sz="0" w:space="0" w:color="auto"/>
                <w:left w:val="none" w:sz="0" w:space="0" w:color="auto"/>
                <w:bottom w:val="none" w:sz="0" w:space="0" w:color="auto"/>
                <w:right w:val="none" w:sz="0" w:space="0" w:color="auto"/>
              </w:divBdr>
            </w:div>
          </w:divsChild>
        </w:div>
        <w:div w:id="1867323964">
          <w:marLeft w:val="0"/>
          <w:marRight w:val="0"/>
          <w:marTop w:val="0"/>
          <w:marBottom w:val="0"/>
          <w:divBdr>
            <w:top w:val="none" w:sz="0" w:space="0" w:color="auto"/>
            <w:left w:val="none" w:sz="0" w:space="0" w:color="auto"/>
            <w:bottom w:val="none" w:sz="0" w:space="0" w:color="auto"/>
            <w:right w:val="none" w:sz="0" w:space="0" w:color="auto"/>
          </w:divBdr>
          <w:divsChild>
            <w:div w:id="662973946">
              <w:marLeft w:val="0"/>
              <w:marRight w:val="0"/>
              <w:marTop w:val="0"/>
              <w:marBottom w:val="0"/>
              <w:divBdr>
                <w:top w:val="none" w:sz="0" w:space="0" w:color="auto"/>
                <w:left w:val="none" w:sz="0" w:space="0" w:color="auto"/>
                <w:bottom w:val="none" w:sz="0" w:space="0" w:color="auto"/>
                <w:right w:val="none" w:sz="0" w:space="0" w:color="auto"/>
              </w:divBdr>
            </w:div>
          </w:divsChild>
        </w:div>
        <w:div w:id="1873954531">
          <w:marLeft w:val="0"/>
          <w:marRight w:val="0"/>
          <w:marTop w:val="0"/>
          <w:marBottom w:val="0"/>
          <w:divBdr>
            <w:top w:val="none" w:sz="0" w:space="0" w:color="auto"/>
            <w:left w:val="none" w:sz="0" w:space="0" w:color="auto"/>
            <w:bottom w:val="none" w:sz="0" w:space="0" w:color="auto"/>
            <w:right w:val="none" w:sz="0" w:space="0" w:color="auto"/>
          </w:divBdr>
          <w:divsChild>
            <w:div w:id="1082096895">
              <w:marLeft w:val="0"/>
              <w:marRight w:val="0"/>
              <w:marTop w:val="0"/>
              <w:marBottom w:val="0"/>
              <w:divBdr>
                <w:top w:val="none" w:sz="0" w:space="0" w:color="auto"/>
                <w:left w:val="none" w:sz="0" w:space="0" w:color="auto"/>
                <w:bottom w:val="none" w:sz="0" w:space="0" w:color="auto"/>
                <w:right w:val="none" w:sz="0" w:space="0" w:color="auto"/>
              </w:divBdr>
            </w:div>
          </w:divsChild>
        </w:div>
        <w:div w:id="1893344589">
          <w:marLeft w:val="0"/>
          <w:marRight w:val="0"/>
          <w:marTop w:val="0"/>
          <w:marBottom w:val="0"/>
          <w:divBdr>
            <w:top w:val="none" w:sz="0" w:space="0" w:color="auto"/>
            <w:left w:val="none" w:sz="0" w:space="0" w:color="auto"/>
            <w:bottom w:val="none" w:sz="0" w:space="0" w:color="auto"/>
            <w:right w:val="none" w:sz="0" w:space="0" w:color="auto"/>
          </w:divBdr>
          <w:divsChild>
            <w:div w:id="1020081996">
              <w:marLeft w:val="0"/>
              <w:marRight w:val="0"/>
              <w:marTop w:val="0"/>
              <w:marBottom w:val="0"/>
              <w:divBdr>
                <w:top w:val="none" w:sz="0" w:space="0" w:color="auto"/>
                <w:left w:val="none" w:sz="0" w:space="0" w:color="auto"/>
                <w:bottom w:val="none" w:sz="0" w:space="0" w:color="auto"/>
                <w:right w:val="none" w:sz="0" w:space="0" w:color="auto"/>
              </w:divBdr>
            </w:div>
          </w:divsChild>
        </w:div>
        <w:div w:id="1912885007">
          <w:marLeft w:val="0"/>
          <w:marRight w:val="0"/>
          <w:marTop w:val="0"/>
          <w:marBottom w:val="0"/>
          <w:divBdr>
            <w:top w:val="none" w:sz="0" w:space="0" w:color="auto"/>
            <w:left w:val="none" w:sz="0" w:space="0" w:color="auto"/>
            <w:bottom w:val="none" w:sz="0" w:space="0" w:color="auto"/>
            <w:right w:val="none" w:sz="0" w:space="0" w:color="auto"/>
          </w:divBdr>
          <w:divsChild>
            <w:div w:id="1414356508">
              <w:marLeft w:val="0"/>
              <w:marRight w:val="0"/>
              <w:marTop w:val="0"/>
              <w:marBottom w:val="0"/>
              <w:divBdr>
                <w:top w:val="none" w:sz="0" w:space="0" w:color="auto"/>
                <w:left w:val="none" w:sz="0" w:space="0" w:color="auto"/>
                <w:bottom w:val="none" w:sz="0" w:space="0" w:color="auto"/>
                <w:right w:val="none" w:sz="0" w:space="0" w:color="auto"/>
              </w:divBdr>
            </w:div>
          </w:divsChild>
        </w:div>
        <w:div w:id="1967271882">
          <w:marLeft w:val="0"/>
          <w:marRight w:val="0"/>
          <w:marTop w:val="0"/>
          <w:marBottom w:val="0"/>
          <w:divBdr>
            <w:top w:val="none" w:sz="0" w:space="0" w:color="auto"/>
            <w:left w:val="none" w:sz="0" w:space="0" w:color="auto"/>
            <w:bottom w:val="none" w:sz="0" w:space="0" w:color="auto"/>
            <w:right w:val="none" w:sz="0" w:space="0" w:color="auto"/>
          </w:divBdr>
          <w:divsChild>
            <w:div w:id="889534804">
              <w:marLeft w:val="0"/>
              <w:marRight w:val="0"/>
              <w:marTop w:val="0"/>
              <w:marBottom w:val="0"/>
              <w:divBdr>
                <w:top w:val="none" w:sz="0" w:space="0" w:color="auto"/>
                <w:left w:val="none" w:sz="0" w:space="0" w:color="auto"/>
                <w:bottom w:val="none" w:sz="0" w:space="0" w:color="auto"/>
                <w:right w:val="none" w:sz="0" w:space="0" w:color="auto"/>
              </w:divBdr>
            </w:div>
          </w:divsChild>
        </w:div>
        <w:div w:id="1986545312">
          <w:marLeft w:val="0"/>
          <w:marRight w:val="0"/>
          <w:marTop w:val="0"/>
          <w:marBottom w:val="0"/>
          <w:divBdr>
            <w:top w:val="none" w:sz="0" w:space="0" w:color="auto"/>
            <w:left w:val="none" w:sz="0" w:space="0" w:color="auto"/>
            <w:bottom w:val="none" w:sz="0" w:space="0" w:color="auto"/>
            <w:right w:val="none" w:sz="0" w:space="0" w:color="auto"/>
          </w:divBdr>
          <w:divsChild>
            <w:div w:id="1539397214">
              <w:marLeft w:val="0"/>
              <w:marRight w:val="0"/>
              <w:marTop w:val="0"/>
              <w:marBottom w:val="0"/>
              <w:divBdr>
                <w:top w:val="none" w:sz="0" w:space="0" w:color="auto"/>
                <w:left w:val="none" w:sz="0" w:space="0" w:color="auto"/>
                <w:bottom w:val="none" w:sz="0" w:space="0" w:color="auto"/>
                <w:right w:val="none" w:sz="0" w:space="0" w:color="auto"/>
              </w:divBdr>
            </w:div>
          </w:divsChild>
        </w:div>
        <w:div w:id="1992715317">
          <w:marLeft w:val="0"/>
          <w:marRight w:val="0"/>
          <w:marTop w:val="0"/>
          <w:marBottom w:val="0"/>
          <w:divBdr>
            <w:top w:val="none" w:sz="0" w:space="0" w:color="auto"/>
            <w:left w:val="none" w:sz="0" w:space="0" w:color="auto"/>
            <w:bottom w:val="none" w:sz="0" w:space="0" w:color="auto"/>
            <w:right w:val="none" w:sz="0" w:space="0" w:color="auto"/>
          </w:divBdr>
          <w:divsChild>
            <w:div w:id="291402600">
              <w:marLeft w:val="0"/>
              <w:marRight w:val="0"/>
              <w:marTop w:val="0"/>
              <w:marBottom w:val="0"/>
              <w:divBdr>
                <w:top w:val="none" w:sz="0" w:space="0" w:color="auto"/>
                <w:left w:val="none" w:sz="0" w:space="0" w:color="auto"/>
                <w:bottom w:val="none" w:sz="0" w:space="0" w:color="auto"/>
                <w:right w:val="none" w:sz="0" w:space="0" w:color="auto"/>
              </w:divBdr>
            </w:div>
          </w:divsChild>
        </w:div>
        <w:div w:id="1999843997">
          <w:marLeft w:val="0"/>
          <w:marRight w:val="0"/>
          <w:marTop w:val="0"/>
          <w:marBottom w:val="0"/>
          <w:divBdr>
            <w:top w:val="none" w:sz="0" w:space="0" w:color="auto"/>
            <w:left w:val="none" w:sz="0" w:space="0" w:color="auto"/>
            <w:bottom w:val="none" w:sz="0" w:space="0" w:color="auto"/>
            <w:right w:val="none" w:sz="0" w:space="0" w:color="auto"/>
          </w:divBdr>
          <w:divsChild>
            <w:div w:id="635522890">
              <w:marLeft w:val="0"/>
              <w:marRight w:val="0"/>
              <w:marTop w:val="0"/>
              <w:marBottom w:val="0"/>
              <w:divBdr>
                <w:top w:val="none" w:sz="0" w:space="0" w:color="auto"/>
                <w:left w:val="none" w:sz="0" w:space="0" w:color="auto"/>
                <w:bottom w:val="none" w:sz="0" w:space="0" w:color="auto"/>
                <w:right w:val="none" w:sz="0" w:space="0" w:color="auto"/>
              </w:divBdr>
            </w:div>
          </w:divsChild>
        </w:div>
        <w:div w:id="2026784579">
          <w:marLeft w:val="0"/>
          <w:marRight w:val="0"/>
          <w:marTop w:val="0"/>
          <w:marBottom w:val="0"/>
          <w:divBdr>
            <w:top w:val="none" w:sz="0" w:space="0" w:color="auto"/>
            <w:left w:val="none" w:sz="0" w:space="0" w:color="auto"/>
            <w:bottom w:val="none" w:sz="0" w:space="0" w:color="auto"/>
            <w:right w:val="none" w:sz="0" w:space="0" w:color="auto"/>
          </w:divBdr>
          <w:divsChild>
            <w:div w:id="347105854">
              <w:marLeft w:val="0"/>
              <w:marRight w:val="0"/>
              <w:marTop w:val="0"/>
              <w:marBottom w:val="0"/>
              <w:divBdr>
                <w:top w:val="none" w:sz="0" w:space="0" w:color="auto"/>
                <w:left w:val="none" w:sz="0" w:space="0" w:color="auto"/>
                <w:bottom w:val="none" w:sz="0" w:space="0" w:color="auto"/>
                <w:right w:val="none" w:sz="0" w:space="0" w:color="auto"/>
              </w:divBdr>
            </w:div>
          </w:divsChild>
        </w:div>
        <w:div w:id="2069105109">
          <w:marLeft w:val="0"/>
          <w:marRight w:val="0"/>
          <w:marTop w:val="0"/>
          <w:marBottom w:val="0"/>
          <w:divBdr>
            <w:top w:val="none" w:sz="0" w:space="0" w:color="auto"/>
            <w:left w:val="none" w:sz="0" w:space="0" w:color="auto"/>
            <w:bottom w:val="none" w:sz="0" w:space="0" w:color="auto"/>
            <w:right w:val="none" w:sz="0" w:space="0" w:color="auto"/>
          </w:divBdr>
          <w:divsChild>
            <w:div w:id="984164832">
              <w:marLeft w:val="0"/>
              <w:marRight w:val="0"/>
              <w:marTop w:val="0"/>
              <w:marBottom w:val="0"/>
              <w:divBdr>
                <w:top w:val="none" w:sz="0" w:space="0" w:color="auto"/>
                <w:left w:val="none" w:sz="0" w:space="0" w:color="auto"/>
                <w:bottom w:val="none" w:sz="0" w:space="0" w:color="auto"/>
                <w:right w:val="none" w:sz="0" w:space="0" w:color="auto"/>
              </w:divBdr>
            </w:div>
          </w:divsChild>
        </w:div>
        <w:div w:id="2071149183">
          <w:marLeft w:val="0"/>
          <w:marRight w:val="0"/>
          <w:marTop w:val="0"/>
          <w:marBottom w:val="0"/>
          <w:divBdr>
            <w:top w:val="none" w:sz="0" w:space="0" w:color="auto"/>
            <w:left w:val="none" w:sz="0" w:space="0" w:color="auto"/>
            <w:bottom w:val="none" w:sz="0" w:space="0" w:color="auto"/>
            <w:right w:val="none" w:sz="0" w:space="0" w:color="auto"/>
          </w:divBdr>
          <w:divsChild>
            <w:div w:id="2016687237">
              <w:marLeft w:val="0"/>
              <w:marRight w:val="0"/>
              <w:marTop w:val="0"/>
              <w:marBottom w:val="0"/>
              <w:divBdr>
                <w:top w:val="none" w:sz="0" w:space="0" w:color="auto"/>
                <w:left w:val="none" w:sz="0" w:space="0" w:color="auto"/>
                <w:bottom w:val="none" w:sz="0" w:space="0" w:color="auto"/>
                <w:right w:val="none" w:sz="0" w:space="0" w:color="auto"/>
              </w:divBdr>
            </w:div>
          </w:divsChild>
        </w:div>
        <w:div w:id="2076465317">
          <w:marLeft w:val="0"/>
          <w:marRight w:val="0"/>
          <w:marTop w:val="0"/>
          <w:marBottom w:val="0"/>
          <w:divBdr>
            <w:top w:val="none" w:sz="0" w:space="0" w:color="auto"/>
            <w:left w:val="none" w:sz="0" w:space="0" w:color="auto"/>
            <w:bottom w:val="none" w:sz="0" w:space="0" w:color="auto"/>
            <w:right w:val="none" w:sz="0" w:space="0" w:color="auto"/>
          </w:divBdr>
          <w:divsChild>
            <w:div w:id="652635514">
              <w:marLeft w:val="0"/>
              <w:marRight w:val="0"/>
              <w:marTop w:val="0"/>
              <w:marBottom w:val="0"/>
              <w:divBdr>
                <w:top w:val="none" w:sz="0" w:space="0" w:color="auto"/>
                <w:left w:val="none" w:sz="0" w:space="0" w:color="auto"/>
                <w:bottom w:val="none" w:sz="0" w:space="0" w:color="auto"/>
                <w:right w:val="none" w:sz="0" w:space="0" w:color="auto"/>
              </w:divBdr>
            </w:div>
          </w:divsChild>
        </w:div>
        <w:div w:id="2088723819">
          <w:marLeft w:val="0"/>
          <w:marRight w:val="0"/>
          <w:marTop w:val="0"/>
          <w:marBottom w:val="0"/>
          <w:divBdr>
            <w:top w:val="none" w:sz="0" w:space="0" w:color="auto"/>
            <w:left w:val="none" w:sz="0" w:space="0" w:color="auto"/>
            <w:bottom w:val="none" w:sz="0" w:space="0" w:color="auto"/>
            <w:right w:val="none" w:sz="0" w:space="0" w:color="auto"/>
          </w:divBdr>
          <w:divsChild>
            <w:div w:id="441337417">
              <w:marLeft w:val="0"/>
              <w:marRight w:val="0"/>
              <w:marTop w:val="0"/>
              <w:marBottom w:val="0"/>
              <w:divBdr>
                <w:top w:val="none" w:sz="0" w:space="0" w:color="auto"/>
                <w:left w:val="none" w:sz="0" w:space="0" w:color="auto"/>
                <w:bottom w:val="none" w:sz="0" w:space="0" w:color="auto"/>
                <w:right w:val="none" w:sz="0" w:space="0" w:color="auto"/>
              </w:divBdr>
            </w:div>
          </w:divsChild>
        </w:div>
        <w:div w:id="2106879236">
          <w:marLeft w:val="0"/>
          <w:marRight w:val="0"/>
          <w:marTop w:val="0"/>
          <w:marBottom w:val="0"/>
          <w:divBdr>
            <w:top w:val="none" w:sz="0" w:space="0" w:color="auto"/>
            <w:left w:val="none" w:sz="0" w:space="0" w:color="auto"/>
            <w:bottom w:val="none" w:sz="0" w:space="0" w:color="auto"/>
            <w:right w:val="none" w:sz="0" w:space="0" w:color="auto"/>
          </w:divBdr>
          <w:divsChild>
            <w:div w:id="371883961">
              <w:marLeft w:val="0"/>
              <w:marRight w:val="0"/>
              <w:marTop w:val="0"/>
              <w:marBottom w:val="0"/>
              <w:divBdr>
                <w:top w:val="none" w:sz="0" w:space="0" w:color="auto"/>
                <w:left w:val="none" w:sz="0" w:space="0" w:color="auto"/>
                <w:bottom w:val="none" w:sz="0" w:space="0" w:color="auto"/>
                <w:right w:val="none" w:sz="0" w:space="0" w:color="auto"/>
              </w:divBdr>
            </w:div>
          </w:divsChild>
        </w:div>
        <w:div w:id="2118744202">
          <w:marLeft w:val="0"/>
          <w:marRight w:val="0"/>
          <w:marTop w:val="0"/>
          <w:marBottom w:val="0"/>
          <w:divBdr>
            <w:top w:val="none" w:sz="0" w:space="0" w:color="auto"/>
            <w:left w:val="none" w:sz="0" w:space="0" w:color="auto"/>
            <w:bottom w:val="none" w:sz="0" w:space="0" w:color="auto"/>
            <w:right w:val="none" w:sz="0" w:space="0" w:color="auto"/>
          </w:divBdr>
          <w:divsChild>
            <w:div w:id="161164568">
              <w:marLeft w:val="0"/>
              <w:marRight w:val="0"/>
              <w:marTop w:val="0"/>
              <w:marBottom w:val="0"/>
              <w:divBdr>
                <w:top w:val="none" w:sz="0" w:space="0" w:color="auto"/>
                <w:left w:val="none" w:sz="0" w:space="0" w:color="auto"/>
                <w:bottom w:val="none" w:sz="0" w:space="0" w:color="auto"/>
                <w:right w:val="none" w:sz="0" w:space="0" w:color="auto"/>
              </w:divBdr>
            </w:div>
          </w:divsChild>
        </w:div>
        <w:div w:id="2139908985">
          <w:marLeft w:val="0"/>
          <w:marRight w:val="0"/>
          <w:marTop w:val="0"/>
          <w:marBottom w:val="0"/>
          <w:divBdr>
            <w:top w:val="none" w:sz="0" w:space="0" w:color="auto"/>
            <w:left w:val="none" w:sz="0" w:space="0" w:color="auto"/>
            <w:bottom w:val="none" w:sz="0" w:space="0" w:color="auto"/>
            <w:right w:val="none" w:sz="0" w:space="0" w:color="auto"/>
          </w:divBdr>
          <w:divsChild>
            <w:div w:id="808473596">
              <w:marLeft w:val="0"/>
              <w:marRight w:val="0"/>
              <w:marTop w:val="0"/>
              <w:marBottom w:val="0"/>
              <w:divBdr>
                <w:top w:val="none" w:sz="0" w:space="0" w:color="auto"/>
                <w:left w:val="none" w:sz="0" w:space="0" w:color="auto"/>
                <w:bottom w:val="none" w:sz="0" w:space="0" w:color="auto"/>
                <w:right w:val="none" w:sz="0" w:space="0" w:color="auto"/>
              </w:divBdr>
            </w:div>
          </w:divsChild>
        </w:div>
        <w:div w:id="2146266190">
          <w:marLeft w:val="0"/>
          <w:marRight w:val="0"/>
          <w:marTop w:val="0"/>
          <w:marBottom w:val="0"/>
          <w:divBdr>
            <w:top w:val="none" w:sz="0" w:space="0" w:color="auto"/>
            <w:left w:val="none" w:sz="0" w:space="0" w:color="auto"/>
            <w:bottom w:val="none" w:sz="0" w:space="0" w:color="auto"/>
            <w:right w:val="none" w:sz="0" w:space="0" w:color="auto"/>
          </w:divBdr>
          <w:divsChild>
            <w:div w:id="14025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yperlink" Target="http://creativecommons.org/licenses/by/3.0/au/legalcode" TargetMode="External"/><Relationship Id="rId26" Type="http://schemas.openxmlformats.org/officeDocument/2006/relationships/hyperlink" Target="https://treasury.gov.au/sites/default/files/2021-05/171663_mable_technologies_0.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reativecommons.org/licenses/by/3.0/au/" TargetMode="External"/><Relationship Id="rId25" Type="http://schemas.openxmlformats.org/officeDocument/2006/relationships/hyperlink" Target="https://www.uber.com/en-AU/newsroom/flexibility-works/" TargetMode="External"/><Relationship Id="rId2" Type="http://schemas.openxmlformats.org/officeDocument/2006/relationships/customXml" Target="../customXml/item2.xml"/><Relationship Id="rId16" Type="http://schemas.openxmlformats.org/officeDocument/2006/relationships/image" Target="cid:image001.png@01CC5B5E.C6C84990" TargetMode="External"/><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ber.com/en-AU/newsroom/flexibility-works/"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chart" Target="charts/chart1.xml"/><Relationship Id="rId36"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hyperlink" Target="https://treasury.gov.au/sites/default/files/2021-05/171663_mable_technologies_0.pdf" TargetMode="External"/><Relationship Id="rId30" Type="http://schemas.openxmlformats.org/officeDocument/2006/relationships/theme" Target="theme/theme1.xml"/><Relationship Id="rId35"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26" Type="http://schemas.openxmlformats.org/officeDocument/2006/relationships/hyperlink" Target="https://www.pc.gov.au/inquiries/completed/productivity/report" TargetMode="External"/><Relationship Id="rId117" Type="http://schemas.openxmlformats.org/officeDocument/2006/relationships/hyperlink" Target="https://engage.vic.gov.au/inquiry-on-demand-workforce" TargetMode="External"/><Relationship Id="rId21" Type="http://schemas.openxmlformats.org/officeDocument/2006/relationships/hyperlink" Target="https://engage.vic.gov.au/inquiry-on-demand-workforce" TargetMode="External"/><Relationship Id="rId42" Type="http://schemas.openxmlformats.org/officeDocument/2006/relationships/hyperlink" Target="https://www.pc.gov.au/inquiries/completed/productivity/report" TargetMode="External"/><Relationship Id="rId47" Type="http://schemas.openxmlformats.org/officeDocument/2006/relationships/hyperlink" Target="https://engage.vic.gov.au/inquiry-on-demand-workforce" TargetMode="External"/><Relationship Id="rId63" Type="http://schemas.openxmlformats.org/officeDocument/2006/relationships/hyperlink" Target="https://www.abs.gov.au/statistics/economy/business-indicators/counts-australian-businesses-including-entries-and-exits/latest-release" TargetMode="External"/><Relationship Id="rId68" Type="http://schemas.openxmlformats.org/officeDocument/2006/relationships/hyperlink" Target="https://www.aph.gov.au/Parliamentary_Business/Committees/Senate/Job_Security/JobSecurity/Fourth_Interim_Report" TargetMode="External"/><Relationship Id="rId84" Type="http://schemas.openxmlformats.org/officeDocument/2006/relationships/hyperlink" Target="https://eprints.qut.edu.au/203119/" TargetMode="External"/><Relationship Id="rId89" Type="http://schemas.openxmlformats.org/officeDocument/2006/relationships/hyperlink" Target="https://engage.vic.gov.au/inquiry-on-demand-workforce" TargetMode="External"/><Relationship Id="rId112" Type="http://schemas.openxmlformats.org/officeDocument/2006/relationships/hyperlink" Target="https://budget.gov.au/content/documents.htm" TargetMode="External"/><Relationship Id="rId16" Type="http://schemas.openxmlformats.org/officeDocument/2006/relationships/hyperlink" Target="https://www.aph.gov.au/Parliamentary_Business/Committees/Senate/Rural_and_Regional_Affairs_and_Transport/RoadTransportIndustry/Report" TargetMode="External"/><Relationship Id="rId107" Type="http://schemas.openxmlformats.org/officeDocument/2006/relationships/hyperlink" Target="https://engage.vic.gov.au/inquiry-on-demand-workforce" TargetMode="External"/><Relationship Id="rId11" Type="http://schemas.openxmlformats.org/officeDocument/2006/relationships/hyperlink" Target="https://eprints.qut.edu.au/203119/" TargetMode="External"/><Relationship Id="rId32" Type="http://schemas.openxmlformats.org/officeDocument/2006/relationships/hyperlink" Target="https://www.pc.gov.au/inquiries/completed/productivity/report" TargetMode="External"/><Relationship Id="rId37" Type="http://schemas.openxmlformats.org/officeDocument/2006/relationships/hyperlink" Target="https://www.aph.gov.au/Parliamentary_Business/Committees/Senate/Job_Security/JobSecurity/Interim_Report" TargetMode="External"/><Relationship Id="rId53" Type="http://schemas.openxmlformats.org/officeDocument/2006/relationships/hyperlink" Target="https://www.industrysuper.com/media/extending-the-super-guarantee-to-gig-workers/" TargetMode="External"/><Relationship Id="rId58" Type="http://schemas.openxmlformats.org/officeDocument/2006/relationships/hyperlink" Target="https://eprints.qut.edu.au/203119/" TargetMode="External"/><Relationship Id="rId74" Type="http://schemas.openxmlformats.org/officeDocument/2006/relationships/hyperlink" Target="https://sharedservicescentre.sharepoint.com/sites/DEWR-EmployeeProtections-TEAM/Shared%20Documents/Employee-like%20-%20NPP,%20costings,%20and%20RIS/Impact%20Analysis/For%20Cabinet/P%20McDonald%20et%20al.,%20&#8216;Digital%20Platform%20Work%20in%20Australia:%20Prevalence,%20Nature%20and%20Impact%20(Digital%20platform%20work%20in%20Australia)&#8217;,%20commissioned%20by%20the%20Victorian%20Department%20of%20Premier%20and%20Cabinet,%202019" TargetMode="External"/><Relationship Id="rId79" Type="http://schemas.openxmlformats.org/officeDocument/2006/relationships/hyperlink" Target="https://www.actuaries.asn.au/public-policy-and-media/thought-leadership/green-papers/the-rise-of-the-gig-economy-and-its-impact-on-the-australian-workforce" TargetMode="External"/><Relationship Id="rId102" Type="http://schemas.openxmlformats.org/officeDocument/2006/relationships/hyperlink" Target="https://eprints.qut.edu.au/203119/" TargetMode="External"/><Relationship Id="rId123" Type="http://schemas.openxmlformats.org/officeDocument/2006/relationships/hyperlink" Target="https://www.fwc.gov.au/apply-or-lodge/fees-and-costs" TargetMode="External"/><Relationship Id="rId5" Type="http://schemas.openxmlformats.org/officeDocument/2006/relationships/hyperlink" Target="https://engage.vic.gov.au/inquiry-on-demand-workforce" TargetMode="External"/><Relationship Id="rId90" Type="http://schemas.openxmlformats.org/officeDocument/2006/relationships/hyperlink" Target="https://www.pc.gov.au/inquiries/completed/productivity/report" TargetMode="External"/><Relationship Id="rId95" Type="http://schemas.openxmlformats.org/officeDocument/2006/relationships/hyperlink" Target="https://www.abs.gov.au/statistics/labour/earnings-and-working-conditions/characteristics-employment-australia/latest-release" TargetMode="External"/><Relationship Id="rId19" Type="http://schemas.openxmlformats.org/officeDocument/2006/relationships/hyperlink" Target="https://engage.vic.gov.au/inquiry-on-demand-workforce" TargetMode="External"/><Relationship Id="rId14" Type="http://schemas.openxmlformats.org/officeDocument/2006/relationships/hyperlink" Target="https://www.aph.gov.au/Parliamentary_Business/Committees/Senate/Job_Security/JobSecurity/Interim_Report" TargetMode="External"/><Relationship Id="rId22" Type="http://schemas.openxmlformats.org/officeDocument/2006/relationships/hyperlink" Target="https://engage.vic.gov.au/inquiry-on-demand-workforce" TargetMode="External"/><Relationship Id="rId27" Type="http://schemas.openxmlformats.org/officeDocument/2006/relationships/hyperlink" Target="https://www.pc.gov.au/inquiries/completed/productivity/report" TargetMode="External"/><Relationship Id="rId30" Type="http://schemas.openxmlformats.org/officeDocument/2006/relationships/hyperlink" Target="https://www.aph.gov.au/Parliamentary_Business/Committees/Senate/Rural_and_Regional_Affairs_and_Transport/RoadTransportIndustry/Report" TargetMode="External"/><Relationship Id="rId35" Type="http://schemas.openxmlformats.org/officeDocument/2006/relationships/hyperlink" Target="https://www.pc.gov.au/inquiries/completed/productivity/report" TargetMode="External"/><Relationship Id="rId43" Type="http://schemas.openxmlformats.org/officeDocument/2006/relationships/hyperlink" Target="https://www.pc.gov.au/inquiries/completed/productivity/report" TargetMode="External"/><Relationship Id="rId48" Type="http://schemas.openxmlformats.org/officeDocument/2006/relationships/hyperlink" Target="https://www.parliament.nsw.gov.au/pbo/Pages/2023-ALP-election-policy-costing.aspx" TargetMode="External"/><Relationship Id="rId56" Type="http://schemas.openxmlformats.org/officeDocument/2006/relationships/hyperlink" Target="https://www.uber.com/en-AU/newsroom/flexibility-works/" TargetMode="External"/><Relationship Id="rId64" Type="http://schemas.openxmlformats.org/officeDocument/2006/relationships/hyperlink" Target="https://www.dewr.gov.au/2023-workplace-reform-consultations/resources/employee-forms-work-consultation-paper" TargetMode="External"/><Relationship Id="rId69" Type="http://schemas.openxmlformats.org/officeDocument/2006/relationships/hyperlink" Target="https://www.parliament.nsw.gov.au/committees/listofcommittees/Pages/committee-details.aspx?pk=265" TargetMode="External"/><Relationship Id="rId77" Type="http://schemas.openxmlformats.org/officeDocument/2006/relationships/hyperlink" Target="https://www.actuaries.asn.au/public-policy-and-media/thought-leadership/green-papers/the-rise-of-the-gig-economy-and-its-impact-on-the-australian-workforce" TargetMode="External"/><Relationship Id="rId100" Type="http://schemas.openxmlformats.org/officeDocument/2006/relationships/hyperlink" Target="https://eprints.qut.edu.au/203119/" TargetMode="External"/><Relationship Id="rId105" Type="http://schemas.openxmlformats.org/officeDocument/2006/relationships/hyperlink" Target="https://library.fairwork.gov.au/award/?krn=MA000063" TargetMode="External"/><Relationship Id="rId113" Type="http://schemas.openxmlformats.org/officeDocument/2006/relationships/hyperlink" Target="https://budget.gov.au/content/bp1/index.htm" TargetMode="External"/><Relationship Id="rId118" Type="http://schemas.openxmlformats.org/officeDocument/2006/relationships/hyperlink" Target="https://hireup.com.au/become-a-support-worker/pay-rates/" TargetMode="External"/><Relationship Id="rId126" Type="http://schemas.openxmlformats.org/officeDocument/2006/relationships/hyperlink" Target="https://www.fcfcoa.gov.au/gfl/gfl-fees" TargetMode="External"/><Relationship Id="rId8" Type="http://schemas.openxmlformats.org/officeDocument/2006/relationships/hyperlink" Target="https://www.aph.gov.au/Parliamentary_Business/Committees/Senate/Job_Security/JobSecurity/Interim_Report" TargetMode="External"/><Relationship Id="rId51" Type="http://schemas.openxmlformats.org/officeDocument/2006/relationships/hyperlink" Target="https://eprints.qut.edu.au/203119/" TargetMode="External"/><Relationship Id="rId72" Type="http://schemas.openxmlformats.org/officeDocument/2006/relationships/hyperlink" Target="https://www.abs.gov.au/statistics/labour/earnings-and-working-conditions/characteristics-employment-australia/aug-2022" TargetMode="External"/><Relationship Id="rId80" Type="http://schemas.openxmlformats.org/officeDocument/2006/relationships/hyperlink" Target="https://uberaustralia.publicfirst.co/australia/" TargetMode="External"/><Relationship Id="rId85" Type="http://schemas.openxmlformats.org/officeDocument/2006/relationships/hyperlink" Target="https://eprints.qut.edu.au/203119/" TargetMode="External"/><Relationship Id="rId93" Type="http://schemas.openxmlformats.org/officeDocument/2006/relationships/hyperlink" Target="https://www.pc.gov.au/inquiries/completed/aged-care-employment/report" TargetMode="External"/><Relationship Id="rId98" Type="http://schemas.openxmlformats.org/officeDocument/2006/relationships/hyperlink" Target="https://www.mahlab.com.au/" TargetMode="External"/><Relationship Id="rId121" Type="http://schemas.openxmlformats.org/officeDocument/2006/relationships/hyperlink" Target="https://www.health.gov.au/resources/publications/a-matter-of-care-australias-aged-care-workforce-strategy" TargetMode="External"/><Relationship Id="rId3" Type="http://schemas.openxmlformats.org/officeDocument/2006/relationships/hyperlink" Target="https://engage.vic.gov.au/inquiry-on-demand-workforce" TargetMode="External"/><Relationship Id="rId12" Type="http://schemas.openxmlformats.org/officeDocument/2006/relationships/hyperlink" Target="https://engage.vic.gov.au/inquiry-on-demand-workforce" TargetMode="External"/><Relationship Id="rId17" Type="http://schemas.openxmlformats.org/officeDocument/2006/relationships/hyperlink" Target="https://www.parliament.nsw.gov.au/committees/listofcommittees/Pages/committee-details.aspx?pk=265" TargetMode="External"/><Relationship Id="rId25" Type="http://schemas.openxmlformats.org/officeDocument/2006/relationships/hyperlink" Target="https://www.pc.gov.au/inquiries/completed/productivity/report" TargetMode="External"/><Relationship Id="rId33" Type="http://schemas.openxmlformats.org/officeDocument/2006/relationships/hyperlink" Target="https://engage.vic.gov.au/inquiry-on-demand-workforce" TargetMode="External"/><Relationship Id="rId38" Type="http://schemas.openxmlformats.org/officeDocument/2006/relationships/hyperlink" Target="https://www.aph.gov.au/Parliamentary_Business/Committees/Senate/Rural_and_Regional_Affairs_and_Transport/RoadTransportIndustry/Report" TargetMode="External"/><Relationship Id="rId46" Type="http://schemas.openxmlformats.org/officeDocument/2006/relationships/hyperlink" Target="https://engage.vic.gov.au/inquiry-on-demand-workforce" TargetMode="External"/><Relationship Id="rId59" Type="http://schemas.openxmlformats.org/officeDocument/2006/relationships/hyperlink" Target="https://www.parliament.nsw.gov.au/committees/listofcommittees/Pages/committee-details.aspx?pk=265" TargetMode="External"/><Relationship Id="rId67" Type="http://schemas.openxmlformats.org/officeDocument/2006/relationships/hyperlink" Target="http://www.directory.gov.au" TargetMode="External"/><Relationship Id="rId103" Type="http://schemas.openxmlformats.org/officeDocument/2006/relationships/hyperlink" Target="https://calculate.fairwork.gov.au/" TargetMode="External"/><Relationship Id="rId108" Type="http://schemas.openxmlformats.org/officeDocument/2006/relationships/hyperlink" Target="https://www.abs.gov.au/statistics/economy/national-accounts/australian-national-accounts-national-income-expenditure-and-product/latest-release" TargetMode="External"/><Relationship Id="rId116" Type="http://schemas.openxmlformats.org/officeDocument/2006/relationships/hyperlink" Target="https://engage.vic.gov.au/inquiry-on-demand-workforce" TargetMode="External"/><Relationship Id="rId124" Type="http://schemas.openxmlformats.org/officeDocument/2006/relationships/hyperlink" Target="https://www.fwc.gov.au/apply-or-lodge/fees-and-costs" TargetMode="External"/><Relationship Id="rId20" Type="http://schemas.openxmlformats.org/officeDocument/2006/relationships/hyperlink" Target="https://engage.vic.gov.au/inquiry-on-demand-workforce" TargetMode="External"/><Relationship Id="rId41" Type="http://schemas.openxmlformats.org/officeDocument/2006/relationships/hyperlink" Target="https://www.aph.gov.au/Parliamentary_Business/Bills_Legislation/Bills_Search_Results/Result?bId=r2584." TargetMode="External"/><Relationship Id="rId54" Type="http://schemas.openxmlformats.org/officeDocument/2006/relationships/hyperlink" Target="https://www.actuaries.asn.au/public-policy-and-media/thought-leadership/green-papers/the-rise-of-the-gig-economy-and-its-impact-on-the-australian-workforce" TargetMode="External"/><Relationship Id="rId62" Type="http://schemas.openxmlformats.org/officeDocument/2006/relationships/hyperlink" Target="https://www.abs.gov.au/statistics/labour/earnings-and-working-conditions/characteristics-employment-australia/latest-release" TargetMode="External"/><Relationship Id="rId70" Type="http://schemas.openxmlformats.org/officeDocument/2006/relationships/hyperlink" Target="https://www.parliament.nsw.gov.au/committees/listofcommittees/Pages/committee-details.aspx?pk=265" TargetMode="External"/><Relationship Id="rId75" Type="http://schemas.openxmlformats.org/officeDocument/2006/relationships/hyperlink" Target="https://sharedservicescentre.sharepoint.com/sites/DEWR-EmployeeProtections-TEAM/Shared%20Documents/Employee-like%20-%20NPP,%20costings,%20and%20RIS/Impact%20Analysis/For%20Cabinet/P%20McDonald%20et%20al.,%20&#8216;Digital%20Platform%20Work%20in%20Australia:%20Prevalence,%20Nature%20and%20Impact%20(Digital%20platform%20work%20in%20Australia)&#8217;,%20commissioned%20by%20the%20Victorian%20Department%20of%20Premier%20and%20Cabinet,%202019P%20McDonald%20et%20al.,%20&#8216;Digital%20Platform%20Work%20in%20Australia:%20Prevalence,%20Nature%20and%20Impact%20(Digital%20platform%20work%20in%20Australia)&#8217;,%20commissioned%20by%20the%20Victorian%20Department%20of%20Premier%20and%20Cabinet,%202019" TargetMode="External"/><Relationship Id="rId83" Type="http://schemas.openxmlformats.org/officeDocument/2006/relationships/hyperlink" Target="https://eprints.qut.edu.au/203119/" TargetMode="External"/><Relationship Id="rId88" Type="http://schemas.openxmlformats.org/officeDocument/2006/relationships/hyperlink" Target="https://www.pc.gov.au/inquiries/completed/productivity/report" TargetMode="External"/><Relationship Id="rId91" Type="http://schemas.openxmlformats.org/officeDocument/2006/relationships/hyperlink" Target="https://engage.vic.gov.au/inquiry-on-demand-workforce" TargetMode="External"/><Relationship Id="rId96" Type="http://schemas.openxmlformats.org/officeDocument/2006/relationships/hyperlink" Target="https://www.abs.gov.au/statistics/labour/earnings-and-working-conditions/characteristics-employment-australia/latest-release" TargetMode="External"/><Relationship Id="rId111" Type="http://schemas.openxmlformats.org/officeDocument/2006/relationships/hyperlink" Target="https://www.abs.gov.au/statistics/economy/national-accounts/australian-national-accounts-national-income-expenditure-and-product/latest-release" TargetMode="External"/><Relationship Id="rId1" Type="http://schemas.openxmlformats.org/officeDocument/2006/relationships/hyperlink" Target="https://engage.vic.gov.au/inquiry-on-demand-workforce" TargetMode="External"/><Relationship Id="rId6" Type="http://schemas.openxmlformats.org/officeDocument/2006/relationships/hyperlink" Target="https://treasury.gov.au/employment-whitepaper/jobs-summit" TargetMode="External"/><Relationship Id="rId15" Type="http://schemas.openxmlformats.org/officeDocument/2006/relationships/hyperlink" Target="https://www.aph.gov.au/Parliamentary_Business/Committees/Senate/Job_Security/JobSecurity/Fourth_Interim_Report" TargetMode="External"/><Relationship Id="rId23" Type="http://schemas.openxmlformats.org/officeDocument/2006/relationships/hyperlink" Target="https://www.parliament.nsw.gov.au/committees/listofcommittees/Pages/committee-details.aspx?pk=265" TargetMode="External"/><Relationship Id="rId28" Type="http://schemas.openxmlformats.org/officeDocument/2006/relationships/hyperlink" Target="https://www.aph.gov.au/Parliamentary_Business/Committees/Senate/Rural_and_Regional_Affairs_and_Transport/RoadTransportIndustry/Report" TargetMode="External"/><Relationship Id="rId36" Type="http://schemas.openxmlformats.org/officeDocument/2006/relationships/hyperlink" Target="https://www.pc.gov.au/inquiries/completed/productivity/report" TargetMode="External"/><Relationship Id="rId49" Type="http://schemas.openxmlformats.org/officeDocument/2006/relationships/hyperlink" Target="https://www.abs.gov.au/statistics/detailed-methodology-information/concepts-sources-methods/labour-statistics-concepts-sources-and-methods/2021/concepts-and-sources/employment-arrangements" TargetMode="External"/><Relationship Id="rId57" Type="http://schemas.openxmlformats.org/officeDocument/2006/relationships/hyperlink" Target="https://melbourneinstitute.unimelb.edu.au/hilda/publications/hilda-statistical-reports" TargetMode="External"/><Relationship Id="rId106" Type="http://schemas.openxmlformats.org/officeDocument/2006/relationships/hyperlink" Target="https://library.fairwork.gov.au/award/?krn=ma000100" TargetMode="External"/><Relationship Id="rId114" Type="http://schemas.openxmlformats.org/officeDocument/2006/relationships/hyperlink" Target="https://www.rba.gov.au/publications/bulletin/2021/sep/the-financial-cost-of-job-loss-in-australia.html" TargetMode="External"/><Relationship Id="rId119" Type="http://schemas.openxmlformats.org/officeDocument/2006/relationships/hyperlink" Target="https://engage.vic.gov.au/inquiry-on-demand-workforce" TargetMode="External"/><Relationship Id="rId127" Type="http://schemas.openxmlformats.org/officeDocument/2006/relationships/hyperlink" Target="https://www.abs.gov.au/statistics/detailed-methodology-information/concepts-sources-methods/labour-statistics-concepts-sources-and-methods/2021/concepts-and-sources/employment-arrangements" TargetMode="External"/><Relationship Id="rId10" Type="http://schemas.openxmlformats.org/officeDocument/2006/relationships/hyperlink" Target="https://www.parliament.nsw.gov.au/committees/listofcommittees/Pages/committee-details.aspx?pk=265" TargetMode="External"/><Relationship Id="rId31" Type="http://schemas.openxmlformats.org/officeDocument/2006/relationships/hyperlink" Target="https://engage.vic.gov.au/inquiry-on-demand-workforce" TargetMode="External"/><Relationship Id="rId44" Type="http://schemas.openxmlformats.org/officeDocument/2006/relationships/hyperlink" Target="https://www.nhvr.gov.au/law-policies/heavy-vehicle-national-law-and-regulations" TargetMode="External"/><Relationship Id="rId52" Type="http://schemas.openxmlformats.org/officeDocument/2006/relationships/hyperlink" Target="https://eprints.qut.edu.au/203119/" TargetMode="External"/><Relationship Id="rId60" Type="http://schemas.openxmlformats.org/officeDocument/2006/relationships/hyperlink" Target="https://www.uber.com/au/en/u/gig-reform/" TargetMode="External"/><Relationship Id="rId65" Type="http://schemas.openxmlformats.org/officeDocument/2006/relationships/hyperlink" Target="https://www.dewr.gov.au/2023-workplace-reform-consultations/resources/employee-forms-work-consultation-paper" TargetMode="External"/><Relationship Id="rId73" Type="http://schemas.openxmlformats.org/officeDocument/2006/relationships/hyperlink" Target="https://eprints.qut.edu.au/203119/" TargetMode="External"/><Relationship Id="rId78" Type="http://schemas.openxmlformats.org/officeDocument/2006/relationships/hyperlink" Target="https://www.actuaries.asn.au/public-policy-and-media/thought-leadership/green-papers/the-rise-of-the-gig-economy-and-its-impact-on-the-australian-workforce" TargetMode="External"/><Relationship Id="rId81" Type="http://schemas.openxmlformats.org/officeDocument/2006/relationships/hyperlink" Target="https://www.pc.gov.au/inquiries/completed/productivity/report" TargetMode="External"/><Relationship Id="rId86" Type="http://schemas.openxmlformats.org/officeDocument/2006/relationships/hyperlink" Target="https://www.aph.gov.au/Parliamentary_Business/Committees/Senate/Job_Security/JobSecurity/Interim_Report" TargetMode="External"/><Relationship Id="rId94" Type="http://schemas.openxmlformats.org/officeDocument/2006/relationships/hyperlink" Target="https://www.abs.gov.au/statistics/labour/earnings-and-working-conditions/characteristics-employment-australia/aug-2022" TargetMode="External"/><Relationship Id="rId99" Type="http://schemas.openxmlformats.org/officeDocument/2006/relationships/hyperlink" Target="https://www.actuaries.asn.au/public-policy-and-media/thought-leadership/green-papers/the-rise-of-the-gig-economy-and-its-impact-on-the-australian-workforce" TargetMode="External"/><Relationship Id="rId101" Type="http://schemas.openxmlformats.org/officeDocument/2006/relationships/hyperlink" Target="https://www.abs.gov.au/statistics/labour/employment-and-unemployment/labour-force-australia/latest-release" TargetMode="External"/><Relationship Id="rId122" Type="http://schemas.openxmlformats.org/officeDocument/2006/relationships/hyperlink" Target="https://futurework.org.au/report/unacceptable-risks/" TargetMode="External"/><Relationship Id="rId4" Type="http://schemas.openxmlformats.org/officeDocument/2006/relationships/hyperlink" Target="https://engage.vic.gov.au/inquiry-on-demand-workforce" TargetMode="External"/><Relationship Id="rId9" Type="http://schemas.openxmlformats.org/officeDocument/2006/relationships/hyperlink" Target="https://www.aph.gov.au/Parliamentary_Business/Committees/Senate/Rural_and_Regional_Affairs_and_Transport/RoadTransportIndustry/Report" TargetMode="External"/><Relationship Id="rId13" Type="http://schemas.openxmlformats.org/officeDocument/2006/relationships/hyperlink" Target="https://www.pc.gov.au/inquiries/completed/productivity/report" TargetMode="External"/><Relationship Id="rId18" Type="http://schemas.openxmlformats.org/officeDocument/2006/relationships/hyperlink" Target="https://www.parliament.nsw.gov.au/committees/listofcommittees/Pages/committee-details.aspx?pk=265" TargetMode="External"/><Relationship Id="rId39" Type="http://schemas.openxmlformats.org/officeDocument/2006/relationships/hyperlink" Target="https://www.parliament.nsw.gov.au/committees/listofcommittees/Pages/committee-details.aspx?pk=265" TargetMode="External"/><Relationship Id="rId109" Type="http://schemas.openxmlformats.org/officeDocument/2006/relationships/hyperlink" Target="https://www.uber.com/au/en/u/gig-reform" TargetMode="External"/><Relationship Id="rId34" Type="http://schemas.openxmlformats.org/officeDocument/2006/relationships/hyperlink" Target="https://engage.vic.gov.au/inquiry-on-demand-workforce" TargetMode="External"/><Relationship Id="rId50" Type="http://schemas.openxmlformats.org/officeDocument/2006/relationships/hyperlink" Target="https://www.abs.gov.au/statistics/labour/earnings-and-working-conditions/characteristics-employment-australia/latest-release" TargetMode="External"/><Relationship Id="rId55" Type="http://schemas.openxmlformats.org/officeDocument/2006/relationships/hyperlink" Target="https://www.superannuation.asn.au/policy/reports" TargetMode="External"/><Relationship Id="rId76" Type="http://schemas.openxmlformats.org/officeDocument/2006/relationships/hyperlink" Target="https://www.abs.gov.au/statistics/labour/earnings-and-working-conditions/characteristics-employment-australia/aug-2022" TargetMode="External"/><Relationship Id="rId97" Type="http://schemas.openxmlformats.org/officeDocument/2006/relationships/hyperlink" Target="https://oia.pmc.gov.au/resources/guidance-assessing-impacts/regulatory-burden-measurement-framework" TargetMode="External"/><Relationship Id="rId104" Type="http://schemas.openxmlformats.org/officeDocument/2006/relationships/hyperlink" Target="https://library.fairwork.gov.au/award/?krn=ma000119" TargetMode="External"/><Relationship Id="rId120" Type="http://schemas.openxmlformats.org/officeDocument/2006/relationships/hyperlink" Target="https://www.pc.gov.au/inquiries/completed/aged-care-employment/report" TargetMode="External"/><Relationship Id="rId125" Type="http://schemas.openxmlformats.org/officeDocument/2006/relationships/hyperlink" Target="https://www.fcfcoa.gov.au/gfl/gfl-fees" TargetMode="External"/><Relationship Id="rId7" Type="http://schemas.openxmlformats.org/officeDocument/2006/relationships/hyperlink" Target="https://www.pc.gov.au/inquiries/completed/productivity/report" TargetMode="External"/><Relationship Id="rId71" Type="http://schemas.openxmlformats.org/officeDocument/2006/relationships/hyperlink" Target="https://apo.org.au/node/62462" TargetMode="External"/><Relationship Id="rId92" Type="http://schemas.openxmlformats.org/officeDocument/2006/relationships/hyperlink" Target="https://engage.vic.gov.au/inquiry-on-demand-workforce" TargetMode="External"/><Relationship Id="rId2" Type="http://schemas.openxmlformats.org/officeDocument/2006/relationships/hyperlink" Target="https://eprints.qut.edu.au/203119/" TargetMode="External"/><Relationship Id="rId29" Type="http://schemas.openxmlformats.org/officeDocument/2006/relationships/hyperlink" Target="https://www.aph.gov.au/Parliamentary_Business/Committees/Senate/Rural_and_Regional_Affairs_and_Transport/RoadTransportIndustry/Report" TargetMode="External"/><Relationship Id="rId24" Type="http://schemas.openxmlformats.org/officeDocument/2006/relationships/hyperlink" Target="https://www.pc.gov.au/inquiries/completed/productivity/report" TargetMode="External"/><Relationship Id="rId40" Type="http://schemas.openxmlformats.org/officeDocument/2006/relationships/hyperlink" Target="https://www.dewr.gov.au/2023-workplace-reform-consultations/resources/employee-forms-work-consultation-paper" TargetMode="External"/><Relationship Id="rId45" Type="http://schemas.openxmlformats.org/officeDocument/2006/relationships/hyperlink" Target="https://business.vic.gov.au/__data/assets/pdf_file/0007/2088115/1-Tonne-Van-Courier-Messenger-2022-23.pdf" TargetMode="External"/><Relationship Id="rId66" Type="http://schemas.openxmlformats.org/officeDocument/2006/relationships/hyperlink" Target="https://www.directory.gov.au/portfolios/employment-and-workplace-relations/department-employment-and-workplace-relations/employment-and-workforce/national-workplace-relations-consultative-council" TargetMode="External"/><Relationship Id="rId87" Type="http://schemas.openxmlformats.org/officeDocument/2006/relationships/hyperlink" Target="https://www.abs.gov.au/statistics/labour/employment-and-unemployment/participation-job-search-and-mobility-australia/latest-release" TargetMode="External"/><Relationship Id="rId110" Type="http://schemas.openxmlformats.org/officeDocument/2006/relationships/hyperlink" Target="https://www.abs.gov.au/statistics/economy/national-accounts/australian-national-accounts-national-income-expenditure-and-product/latest-release" TargetMode="External"/><Relationship Id="rId115" Type="http://schemas.openxmlformats.org/officeDocument/2006/relationships/hyperlink" Target="https://www.abs.gov.au/statistics/labour/employment-and-unemployment/participation-job-search-and-mobility-australia/latest-release" TargetMode="External"/><Relationship Id="rId61" Type="http://schemas.openxmlformats.org/officeDocument/2006/relationships/hyperlink" Target="https://eprints.qut.edu.au/203119/" TargetMode="External"/><Relationship Id="rId82" Type="http://schemas.openxmlformats.org/officeDocument/2006/relationships/hyperlink" Target="https://www.pc.gov.au/inquiries/completed/productivity/repor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cs3547\AppData\Local\Temp\Temp1_grey+area.zip\grey%20are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8060545402895783E-2"/>
          <c:y val="0.22883069778570495"/>
          <c:w val="0.79128449444210402"/>
          <c:h val="0.58121764475573134"/>
        </c:manualLayout>
      </c:layout>
      <c:ofPieChart>
        <c:ofPieType val="pie"/>
        <c:varyColors val="1"/>
        <c:ser>
          <c:idx val="0"/>
          <c:order val="0"/>
          <c:dPt>
            <c:idx val="0"/>
            <c:bubble3D val="0"/>
            <c:spPr>
              <a:solidFill>
                <a:srgbClr val="4F81BD"/>
              </a:solidFill>
              <a:ln w="19050">
                <a:solidFill>
                  <a:schemeClr val="lt1"/>
                </a:solidFill>
              </a:ln>
              <a:effectLst/>
            </c:spPr>
            <c:extLst>
              <c:ext xmlns:c16="http://schemas.microsoft.com/office/drawing/2014/chart" uri="{C3380CC4-5D6E-409C-BE32-E72D297353CC}">
                <c16:uniqueId val="{00000001-D4BF-47C4-AEFE-3173F019DB62}"/>
              </c:ext>
            </c:extLst>
          </c:dPt>
          <c:dPt>
            <c:idx val="1"/>
            <c:bubble3D val="0"/>
            <c:spPr>
              <a:solidFill>
                <a:srgbClr val="F79646"/>
              </a:solidFill>
              <a:ln w="19050">
                <a:solidFill>
                  <a:schemeClr val="lt1"/>
                </a:solidFill>
              </a:ln>
              <a:effectLst/>
            </c:spPr>
            <c:extLst>
              <c:ext xmlns:c16="http://schemas.microsoft.com/office/drawing/2014/chart" uri="{C3380CC4-5D6E-409C-BE32-E72D297353CC}">
                <c16:uniqueId val="{00000003-D4BF-47C4-AEFE-3173F019DB62}"/>
              </c:ext>
            </c:extLst>
          </c:dPt>
          <c:dPt>
            <c:idx val="2"/>
            <c:bubble3D val="0"/>
            <c:spPr>
              <a:solidFill>
                <a:srgbClr val="C00000"/>
              </a:solidFill>
              <a:ln w="19050">
                <a:solidFill>
                  <a:schemeClr val="lt1"/>
                </a:solidFill>
              </a:ln>
              <a:effectLst/>
            </c:spPr>
            <c:extLst>
              <c:ext xmlns:c16="http://schemas.microsoft.com/office/drawing/2014/chart" uri="{C3380CC4-5D6E-409C-BE32-E72D297353CC}">
                <c16:uniqueId val="{00000005-D4BF-47C4-AEFE-3173F019DB62}"/>
              </c:ext>
            </c:extLst>
          </c:dPt>
          <c:dPt>
            <c:idx val="3"/>
            <c:bubble3D val="0"/>
            <c:spPr>
              <a:solidFill>
                <a:srgbClr val="8064A2"/>
              </a:solidFill>
              <a:ln w="19050">
                <a:solidFill>
                  <a:schemeClr val="lt1"/>
                </a:solidFill>
              </a:ln>
              <a:effectLst/>
            </c:spPr>
            <c:extLst>
              <c:ext xmlns:c16="http://schemas.microsoft.com/office/drawing/2014/chart" uri="{C3380CC4-5D6E-409C-BE32-E72D297353CC}">
                <c16:uniqueId val="{00000007-D4BF-47C4-AEFE-3173F019DB6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4BF-47C4-AEFE-3173F019DB62}"/>
              </c:ext>
            </c:extLst>
          </c:dPt>
          <c:dPt>
            <c:idx val="5"/>
            <c:bubble3D val="0"/>
            <c:spPr>
              <a:solidFill>
                <a:srgbClr val="92D050"/>
              </a:solidFill>
              <a:ln w="19050">
                <a:solidFill>
                  <a:schemeClr val="lt1"/>
                </a:solidFill>
              </a:ln>
              <a:effectLst/>
            </c:spPr>
            <c:extLst>
              <c:ext xmlns:c16="http://schemas.microsoft.com/office/drawing/2014/chart" uri="{C3380CC4-5D6E-409C-BE32-E72D297353CC}">
                <c16:uniqueId val="{0000000B-D4BF-47C4-AEFE-3173F019DB62}"/>
              </c:ext>
            </c:extLst>
          </c:dPt>
          <c:cat>
            <c:strRef>
              <c:f>'Data Sheet 0'!$H$13:$H$17</c:f>
              <c:strCache>
                <c:ptCount val="5"/>
                <c:pt idx="0">
                  <c:v>National system employees</c:v>
                </c:pt>
                <c:pt idx="1">
                  <c:v>Non-national system employees</c:v>
                </c:pt>
                <c:pt idx="2">
                  <c:v>Other business operators</c:v>
                </c:pt>
                <c:pt idx="3">
                  <c:v>Remaining independent contractors</c:v>
                </c:pt>
                <c:pt idx="4">
                  <c:v>Employee-like independent contractors</c:v>
                </c:pt>
              </c:strCache>
            </c:strRef>
          </c:cat>
          <c:val>
            <c:numRef>
              <c:f>'Data Sheet 0'!$I$13:$I$17</c:f>
              <c:numCache>
                <c:formatCode>_(* #,##0.00_);_(* \(#,##0.00\);_(* "-"??_);_(@_)</c:formatCode>
                <c:ptCount val="5"/>
                <c:pt idx="0">
                  <c:v>9724.9797871490009</c:v>
                </c:pt>
                <c:pt idx="1">
                  <c:v>1596.3005238509995</c:v>
                </c:pt>
                <c:pt idx="2" formatCode="_-* #,##0.0_-;\-* #,##0.0_-;_-* &quot;-&quot;??_-;_-@_-">
                  <c:v>1115.9687116</c:v>
                </c:pt>
                <c:pt idx="3">
                  <c:v>864.04956730000004</c:v>
                </c:pt>
                <c:pt idx="4" formatCode="General">
                  <c:v>254.5</c:v>
                </c:pt>
              </c:numCache>
            </c:numRef>
          </c:val>
          <c:extLst>
            <c:ext xmlns:c16="http://schemas.microsoft.com/office/drawing/2014/chart" uri="{C3380CC4-5D6E-409C-BE32-E72D297353CC}">
              <c16:uniqueId val="{0000000C-D4BF-47C4-AEFE-3173F019DB62}"/>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documenttasks/documenttasks1.xml><?xml version="1.0" encoding="utf-8"?>
<t:Tasks xmlns:t="http://schemas.microsoft.com/office/tasks/2019/documenttasks" xmlns:oel="http://schemas.microsoft.com/office/2019/extlst">
  <t:Task id="{A6A3B572-1C73-4DB5-9CE3-77F7251A08E1}">
    <t:Anchor>
      <t:Comment id="680412295"/>
    </t:Anchor>
    <t:History>
      <t:Event id="{7BDA7AA5-8328-4BA8-AAA3-C8AB8FA4BFA8}" time="2023-08-21T10:16:07.354Z">
        <t:Attribution userId="S::Christina.Sirotich@dewr.gov.au::4e73cbc1-97b9-4289-9c23-d444e12ca0cc" userProvider="AD" userName="SIROTICH,Christina"/>
        <t:Anchor>
          <t:Comment id="680412295"/>
        </t:Anchor>
        <t:Create/>
      </t:Event>
      <t:Event id="{9D1858CC-DB24-494F-ACAC-19F261C78905}" time="2023-08-21T10:16:07.354Z">
        <t:Attribution userId="S::Christina.Sirotich@dewr.gov.au::4e73cbc1-97b9-4289-9c23-d444e12ca0cc" userProvider="AD" userName="SIROTICH,Christina"/>
        <t:Anchor>
          <t:Comment id="680412295"/>
        </t:Anchor>
        <t:Assign userId="S::Catherine.Cheng@dewr.gov.au::389d1fc9-fd07-4b71-918b-46c37260abbd" userProvider="AD" userName="CHENG,Catherine"/>
      </t:Event>
      <t:Event id="{8EF15A3E-E224-4550-8445-2A4878B070B3}" time="2023-08-21T10:16:07.354Z">
        <t:Attribution userId="S::Christina.Sirotich@dewr.gov.au::4e73cbc1-97b9-4289-9c23-d444e12ca0cc" userProvider="AD" userName="SIROTICH,Christina"/>
        <t:Anchor>
          <t:Comment id="680412295"/>
        </t:Anchor>
        <t:SetTitle title="@CHENG,Catherine I think this should be deleted? Couldn't see a reference to the vic rates and also we have now just done an example of wages for last mile"/>
      </t:Event>
      <t:Event id="{0AC8246F-1AFF-487D-81DF-46C794484B25}" time="2023-08-21T22:54:22.977Z">
        <t:Attribution userId="S::Christina.Sirotich@dewr.gov.au::4e73cbc1-97b9-4289-9c23-d444e12ca0cc" userProvider="AD" userName="SIROTICH,Christina"/>
        <t:Progress percentComplete="100"/>
      </t:Event>
    </t:History>
  </t:Task>
  <t:Task id="{2C8192BA-E022-4150-B2E4-F24A7ABEEE3C}">
    <t:Anchor>
      <t:Comment id="676145659"/>
    </t:Anchor>
    <t:History>
      <t:Event id="{81E43507-EBA4-4086-9D00-647C1B412AD3}" time="2023-07-03T01:05:31.089Z">
        <t:Attribution userId="S::Catherine.Cheng@dewr.gov.au::389d1fc9-fd07-4b71-918b-46c37260abbd" userProvider="AD" userName="CHENG,Catherine"/>
        <t:Anchor>
          <t:Comment id="676145659"/>
        </t:Anchor>
        <t:Create/>
      </t:Event>
      <t:Event id="{846FF6B3-4C24-4F39-BC06-BEB83145E6DD}" time="2023-07-03T01:05:31.089Z">
        <t:Attribution userId="S::Catherine.Cheng@dewr.gov.au::389d1fc9-fd07-4b71-918b-46c37260abbd" userProvider="AD" userName="CHENG,Catherine"/>
        <t:Anchor>
          <t:Comment id="676145659"/>
        </t:Anchor>
        <t:Assign userId="S::Henry.Jones@dewr.gov.au::37a96010-926c-40d2-9238-a1bcd54a3701" userProvider="AD" userName="JONES,Henry"/>
      </t:Event>
      <t:Event id="{164740B9-16CC-48D9-8DC1-53E36CE91519}" time="2023-07-03T01:05:31.089Z">
        <t:Attribution userId="S::Catherine.Cheng@dewr.gov.au::389d1fc9-fd07-4b71-918b-46c37260abbd" userProvider="AD" userName="CHENG,Catherine"/>
        <t:Anchor>
          <t:Comment id="676145659"/>
        </t:Anchor>
        <t:SetTitle title="@JONES,Henry can you please check footnote 138 - I've tried to step this out after discussing with Linda. Happy to discuss"/>
      </t:Event>
      <t:Event id="{1C313334-2918-4400-B781-4E6FBD9B0417}" time="2023-07-03T03:35:54.246Z">
        <t:Attribution userId="S::Henry.Jones@dewr.gov.au::37a96010-926c-40d2-9238-a1bcd54a3701" userProvider="AD" userName="JONES,Henry"/>
        <t:Progress percentComplete="100"/>
      </t:Event>
    </t:History>
  </t:Task>
  <t:Task id="{A3DDF5C5-6CA2-445E-9E17-5B2004AD58B4}">
    <t:Anchor>
      <t:Comment id="680413157"/>
    </t:Anchor>
    <t:History>
      <t:Event id="{7143B1B2-96C4-4832-BAE9-0A05420F2D5F}" time="2023-08-21T10:30:29.068Z">
        <t:Attribution userId="S::Christina.Sirotich@dewr.gov.au::4e73cbc1-97b9-4289-9c23-d444e12ca0cc" userProvider="AD" userName="SIROTICH,Christina"/>
        <t:Anchor>
          <t:Comment id="680413157"/>
        </t:Anchor>
        <t:Create/>
      </t:Event>
      <t:Event id="{4F5B1B32-3536-4C59-B93D-5E50E6485E6F}" time="2023-08-21T10:30:29.068Z">
        <t:Attribution userId="S::Christina.Sirotich@dewr.gov.au::4e73cbc1-97b9-4289-9c23-d444e12ca0cc" userProvider="AD" userName="SIROTICH,Christina"/>
        <t:Anchor>
          <t:Comment id="680413157"/>
        </t:Anchor>
        <t:Assign userId="S::Catherine.Cheng@dewr.gov.au::389d1fc9-fd07-4b71-918b-46c37260abbd" userProvider="AD" userName="CHENG,Catherine"/>
      </t:Event>
      <t:Event id="{5184792F-F152-40E2-B92D-E299E503E6DB}" time="2023-08-21T10:30:29.068Z">
        <t:Attribution userId="S::Christina.Sirotich@dewr.gov.au::4e73cbc1-97b9-4289-9c23-d444e12ca0cc" userProvider="AD" userName="SIROTICH,Christina"/>
        <t:Anchor>
          <t:Comment id="680413157"/>
        </t:Anchor>
        <t:SetTitle title="@CHENG,Catherine Henry said to put the wages element as a possible scenario just for last mile (like we did for food delivery and gig). Are you able to add in some words about why this is a likely scenario/we didn't cost all of the sectors as wages may…"/>
      </t:Event>
      <t:Event id="{DF7B33F4-70C8-43B5-AA8F-907C8B5C4F68}" time="2023-08-21T21:58:52.978Z">
        <t:Attribution userId="S::Christina.Sirotich@dewr.gov.au::4e73cbc1-97b9-4289-9c23-d444e12ca0cc" userProvider="AD" userName="SIROTICH,Christina"/>
        <t:Progress percentComplete="100"/>
      </t:Event>
    </t:History>
  </t:Task>
</t:Tasks>
</file>

<file path=word/drawings/drawing1.xml><?xml version="1.0" encoding="utf-8"?>
<c:userShapes xmlns:c="http://schemas.openxmlformats.org/drawingml/2006/chart">
  <cdr:relSizeAnchor xmlns:cdr="http://schemas.openxmlformats.org/drawingml/2006/chartDrawing">
    <cdr:from>
      <cdr:x>0.08586</cdr:x>
      <cdr:y>0.45886</cdr:y>
    </cdr:from>
    <cdr:to>
      <cdr:x>0.36038</cdr:x>
      <cdr:y>0.77762</cdr:y>
    </cdr:to>
    <cdr:sp macro="" textlink="">
      <cdr:nvSpPr>
        <cdr:cNvPr id="2" name="Text Box 1"/>
        <cdr:cNvSpPr txBox="1"/>
      </cdr:nvSpPr>
      <cdr:spPr>
        <a:xfrm xmlns:a="http://schemas.openxmlformats.org/drawingml/2006/main">
          <a:off x="488138" y="1801299"/>
          <a:ext cx="1560667" cy="12512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0.05684</cdr:x>
      <cdr:y>0.54756</cdr:y>
    </cdr:from>
    <cdr:to>
      <cdr:x>0.33256</cdr:x>
      <cdr:y>0.7157</cdr:y>
    </cdr:to>
    <cdr:sp macro="" textlink="">
      <cdr:nvSpPr>
        <cdr:cNvPr id="4" name="Text Box 3"/>
        <cdr:cNvSpPr txBox="1"/>
      </cdr:nvSpPr>
      <cdr:spPr>
        <a:xfrm xmlns:a="http://schemas.openxmlformats.org/drawingml/2006/main">
          <a:off x="323134" y="2013895"/>
          <a:ext cx="1567542" cy="618381"/>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r>
            <a:rPr lang="en-AU" sz="1000" b="1">
              <a:solidFill>
                <a:schemeClr val="bg1"/>
              </a:solidFill>
            </a:rPr>
            <a:t>9.7 million employees </a:t>
          </a:r>
          <a:r>
            <a:rPr lang="en-AU" sz="1000">
              <a:solidFill>
                <a:schemeClr val="bg1"/>
              </a:solidFill>
            </a:rPr>
            <a:t>covered by the </a:t>
          </a:r>
          <a:r>
            <a:rPr lang="en-AU" sz="1000" i="1">
              <a:solidFill>
                <a:schemeClr val="bg1"/>
              </a:solidFill>
            </a:rPr>
            <a:t>Fair Work Act 2009</a:t>
          </a:r>
          <a:endParaRPr lang="en-AU" sz="1000">
            <a:solidFill>
              <a:schemeClr val="bg1"/>
            </a:solidFill>
          </a:endParaRPr>
        </a:p>
      </cdr:txBody>
    </cdr:sp>
  </cdr:relSizeAnchor>
  <cdr:relSizeAnchor xmlns:cdr="http://schemas.openxmlformats.org/drawingml/2006/chartDrawing">
    <cdr:from>
      <cdr:x>0.02781</cdr:x>
      <cdr:y>0</cdr:y>
    </cdr:from>
    <cdr:to>
      <cdr:x>0.48131</cdr:x>
      <cdr:y>0.15762</cdr:y>
    </cdr:to>
    <cdr:sp macro="" textlink="">
      <cdr:nvSpPr>
        <cdr:cNvPr id="5" name="Text Box 4"/>
        <cdr:cNvSpPr txBox="1"/>
      </cdr:nvSpPr>
      <cdr:spPr>
        <a:xfrm xmlns:a="http://schemas.openxmlformats.org/drawingml/2006/main">
          <a:off x="158128" y="-3437594"/>
          <a:ext cx="2578196" cy="6187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b="1"/>
            <a:t>1.6 million non-national system employees</a:t>
          </a:r>
        </a:p>
        <a:p xmlns:a="http://schemas.openxmlformats.org/drawingml/2006/main">
          <a:r>
            <a:rPr lang="en-AU" sz="1000"/>
            <a:t>Employees covered by state or territory employment legislation</a:t>
          </a:r>
        </a:p>
        <a:p xmlns:a="http://schemas.openxmlformats.org/drawingml/2006/main">
          <a:endParaRPr lang="en-AU" sz="1000"/>
        </a:p>
      </cdr:txBody>
    </cdr:sp>
  </cdr:relSizeAnchor>
  <cdr:relSizeAnchor xmlns:cdr="http://schemas.openxmlformats.org/drawingml/2006/chartDrawing">
    <cdr:from>
      <cdr:x>0.23461</cdr:x>
      <cdr:y>0.17145</cdr:y>
    </cdr:from>
    <cdr:to>
      <cdr:x>0.23824</cdr:x>
      <cdr:y>0.32908</cdr:y>
    </cdr:to>
    <cdr:cxnSp macro="">
      <cdr:nvCxnSpPr>
        <cdr:cNvPr id="7" name="Straight Arrow Connector 6"/>
        <cdr:cNvCxnSpPr/>
      </cdr:nvCxnSpPr>
      <cdr:spPr>
        <a:xfrm xmlns:a="http://schemas.openxmlformats.org/drawingml/2006/main" flipH="1">
          <a:off x="1333787" y="630589"/>
          <a:ext cx="20625" cy="579731"/>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0.37489</cdr:x>
      <cdr:y>0.10859</cdr:y>
    </cdr:from>
    <cdr:to>
      <cdr:x>0.63369</cdr:x>
      <cdr:y>0.23819</cdr:y>
    </cdr:to>
    <cdr:sp macro="" textlink="">
      <cdr:nvSpPr>
        <cdr:cNvPr id="9" name="Text Box 8"/>
        <cdr:cNvSpPr txBox="1"/>
      </cdr:nvSpPr>
      <cdr:spPr>
        <a:xfrm xmlns:a="http://schemas.openxmlformats.org/drawingml/2006/main">
          <a:off x="2131308" y="426262"/>
          <a:ext cx="1471290" cy="5087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00" b="1"/>
            <a:t>1.1 million other</a:t>
          </a:r>
          <a:r>
            <a:rPr lang="en-AU" sz="1000" b="1" baseline="0"/>
            <a:t> business operators</a:t>
          </a:r>
          <a:endParaRPr lang="en-AU" sz="1000" b="1"/>
        </a:p>
      </cdr:txBody>
    </cdr:sp>
  </cdr:relSizeAnchor>
  <cdr:relSizeAnchor xmlns:cdr="http://schemas.openxmlformats.org/drawingml/2006/chartDrawing">
    <cdr:from>
      <cdr:x>0.31442</cdr:x>
      <cdr:y>0.20749</cdr:y>
    </cdr:from>
    <cdr:to>
      <cdr:x>0.4281</cdr:x>
      <cdr:y>0.40883</cdr:y>
    </cdr:to>
    <cdr:cxnSp macro="">
      <cdr:nvCxnSpPr>
        <cdr:cNvPr id="10" name="Straight Arrow Connector 9"/>
        <cdr:cNvCxnSpPr/>
      </cdr:nvCxnSpPr>
      <cdr:spPr>
        <a:xfrm xmlns:a="http://schemas.openxmlformats.org/drawingml/2006/main" flipH="1">
          <a:off x="1787548" y="763146"/>
          <a:ext cx="646268" cy="740509"/>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0.28708</cdr:x>
      <cdr:y>0.74827</cdr:y>
    </cdr:from>
    <cdr:to>
      <cdr:x>0.54587</cdr:x>
      <cdr:y>0.94375</cdr:y>
    </cdr:to>
    <cdr:sp macro="" textlink="">
      <cdr:nvSpPr>
        <cdr:cNvPr id="12" name="Text Box 1"/>
        <cdr:cNvSpPr txBox="1"/>
      </cdr:nvSpPr>
      <cdr:spPr>
        <a:xfrm xmlns:a="http://schemas.openxmlformats.org/drawingml/2006/main">
          <a:off x="1632093" y="2752093"/>
          <a:ext cx="1471290" cy="71893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b="1">
              <a:solidFill>
                <a:sysClr val="windowText" lastClr="000000"/>
              </a:solidFill>
            </a:rPr>
            <a:t>1.1 million independent</a:t>
          </a:r>
          <a:r>
            <a:rPr lang="en-AU" sz="1000" b="1" baseline="0">
              <a:solidFill>
                <a:sysClr val="windowText" lastClr="000000"/>
              </a:solidFill>
            </a:rPr>
            <a:t> contractors </a:t>
          </a:r>
          <a:r>
            <a:rPr lang="en-AU" sz="1000" baseline="0"/>
            <a:t>covered by the </a:t>
          </a:r>
          <a:r>
            <a:rPr lang="en-AU" sz="1000" i="1" baseline="0"/>
            <a:t>Independent Contractors Act 2006</a:t>
          </a:r>
          <a:endParaRPr lang="en-AU" sz="1000"/>
        </a:p>
      </cdr:txBody>
    </cdr:sp>
  </cdr:relSizeAnchor>
  <cdr:relSizeAnchor xmlns:cdr="http://schemas.openxmlformats.org/drawingml/2006/chartDrawing">
    <cdr:from>
      <cdr:x>0.35285</cdr:x>
      <cdr:y>0.5383</cdr:y>
    </cdr:from>
    <cdr:to>
      <cdr:x>0.39182</cdr:x>
      <cdr:y>0.75707</cdr:y>
    </cdr:to>
    <cdr:cxnSp macro="">
      <cdr:nvCxnSpPr>
        <cdr:cNvPr id="13" name="Straight Arrow Connector 12"/>
        <cdr:cNvCxnSpPr/>
      </cdr:nvCxnSpPr>
      <cdr:spPr>
        <a:xfrm xmlns:a="http://schemas.openxmlformats.org/drawingml/2006/main" flipH="1" flipV="1">
          <a:off x="2006027" y="1979825"/>
          <a:ext cx="221534" cy="804626"/>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0.55145</cdr:x>
      <cdr:y>0.54822</cdr:y>
    </cdr:from>
    <cdr:to>
      <cdr:x>0.80393</cdr:x>
      <cdr:y>0.65895</cdr:y>
    </cdr:to>
    <cdr:sp macro="" textlink="">
      <cdr:nvSpPr>
        <cdr:cNvPr id="15" name="Text Box 1"/>
        <cdr:cNvSpPr txBox="1"/>
      </cdr:nvSpPr>
      <cdr:spPr>
        <a:xfrm xmlns:a="http://schemas.openxmlformats.org/drawingml/2006/main">
          <a:off x="3135085" y="2016306"/>
          <a:ext cx="1435386" cy="40724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AU" sz="1000" b="1">
              <a:solidFill>
                <a:schemeClr val="bg1"/>
              </a:solidFill>
            </a:rPr>
            <a:t>864,000 independent</a:t>
          </a:r>
          <a:r>
            <a:rPr lang="en-AU" sz="1000" b="1" baseline="0">
              <a:solidFill>
                <a:schemeClr val="bg1"/>
              </a:solidFill>
            </a:rPr>
            <a:t> contractors</a:t>
          </a:r>
          <a:endParaRPr lang="en-AU" sz="1000" b="1">
            <a:solidFill>
              <a:schemeClr val="bg1"/>
            </a:solidFill>
          </a:endParaRPr>
        </a:p>
      </cdr:txBody>
    </cdr:sp>
  </cdr:relSizeAnchor>
  <cdr:relSizeAnchor xmlns:cdr="http://schemas.openxmlformats.org/drawingml/2006/chartDrawing">
    <cdr:from>
      <cdr:x>0.79936</cdr:x>
      <cdr:y>0.11822</cdr:y>
    </cdr:from>
    <cdr:to>
      <cdr:x>1</cdr:x>
      <cdr:y>0.77645</cdr:y>
    </cdr:to>
    <cdr:sp macro="" textlink="">
      <cdr:nvSpPr>
        <cdr:cNvPr id="16" name="Text Box 1"/>
        <cdr:cNvSpPr txBox="1"/>
      </cdr:nvSpPr>
      <cdr:spPr>
        <a:xfrm xmlns:a="http://schemas.openxmlformats.org/drawingml/2006/main">
          <a:off x="4544486" y="434804"/>
          <a:ext cx="1140669" cy="242091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1000" b="1">
              <a:solidFill>
                <a:sysClr val="windowText" lastClr="000000"/>
              </a:solidFill>
            </a:rPr>
            <a:t>254,500 independent</a:t>
          </a:r>
          <a:r>
            <a:rPr lang="en-AU" sz="1000" b="1" baseline="0">
              <a:solidFill>
                <a:sysClr val="windowText" lastClr="000000"/>
              </a:solidFill>
            </a:rPr>
            <a:t> contractors </a:t>
          </a:r>
          <a:r>
            <a:rPr lang="en-AU" sz="1000" b="0" baseline="0">
              <a:solidFill>
                <a:sysClr val="windowText" lastClr="000000"/>
              </a:solidFill>
            </a:rPr>
            <a:t>on the fringe - </a:t>
          </a:r>
          <a:endParaRPr lang="en-AU" sz="1000" b="1" baseline="0">
            <a:solidFill>
              <a:sysClr val="windowText" lastClr="000000"/>
            </a:solidFill>
          </a:endParaRPr>
        </a:p>
        <a:p xmlns:a="http://schemas.openxmlformats.org/drawingml/2006/main">
          <a:r>
            <a:rPr lang="en-AU" sz="1000" baseline="0">
              <a:solidFill>
                <a:sysClr val="windowText" lastClr="000000"/>
              </a:solidFill>
            </a:rPr>
            <a:t>22.8 per cent of independent contractors who do not have authority over their own work and usually work the same hours from one pay period to the next</a:t>
          </a:r>
          <a:endParaRPr lang="en-AU" sz="1000">
            <a:solidFill>
              <a:sysClr val="windowText" lastClr="000000"/>
            </a:solidFill>
          </a:endParaRPr>
        </a:p>
      </cdr:txBody>
    </cdr:sp>
  </cdr:relSizeAnchor>
  <cdr:relSizeAnchor xmlns:cdr="http://schemas.openxmlformats.org/drawingml/2006/chartDrawing">
    <cdr:from>
      <cdr:x>0.73211</cdr:x>
      <cdr:y>0.2994</cdr:y>
    </cdr:from>
    <cdr:to>
      <cdr:x>0.81025</cdr:x>
      <cdr:y>0.4402</cdr:y>
    </cdr:to>
    <cdr:cxnSp macro="">
      <cdr:nvCxnSpPr>
        <cdr:cNvPr id="20" name="Straight Arrow Connector 19"/>
        <cdr:cNvCxnSpPr/>
      </cdr:nvCxnSpPr>
      <cdr:spPr>
        <a:xfrm xmlns:a="http://schemas.openxmlformats.org/drawingml/2006/main" flipH="1">
          <a:off x="4162163" y="1101185"/>
          <a:ext cx="444213" cy="517822"/>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8" ma:contentTypeDescription="Create a new document." ma:contentTypeScope="" ma:versionID="33751fc2e25aff34227f1c8db8239990">
  <xsd:schema xmlns:xsd="http://www.w3.org/2001/XMLSchema" xmlns:xs="http://www.w3.org/2001/XMLSchema" xmlns:p="http://schemas.microsoft.com/office/2006/metadata/properties" xmlns:ns1="http://schemas.microsoft.com/sharepoint/v3" xmlns:ns2="4195ad5f-cdf2-4c4a-8d9b-b7944a108e98" xmlns:ns3="26285671-540d-468b-b7a1-f3e0438dd51a" targetNamespace="http://schemas.microsoft.com/office/2006/metadata/properties" ma:root="true" ma:fieldsID="b07e9e1b733d0321caea61c9fbc9d73b" ns1:_="" ns2:_="" ns3:_="">
    <xsd:import namespace="http://schemas.microsoft.com/sharepoint/v3"/>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element ref="ns1:_ip_UnifiedCompliancePolicyProperties" minOccurs="0"/>
                <xsd:element ref="ns1:_ip_UnifiedCompliancePolicyUIActio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195ad5f-cdf2-4c4a-8d9b-b7944a108e98" xsi:nil="true"/>
    <_ip_UnifiedCompliancePolicyProperties xmlns="http://schemas.microsoft.com/sharepoint/v3" xsi:nil="true"/>
    <lcf76f155ced4ddcb4097134ff3c332f xmlns="26285671-540d-468b-b7a1-f3e0438dd51a">
      <Terms xmlns="http://schemas.microsoft.com/office/infopath/2007/PartnerControls"/>
    </lcf76f155ced4ddcb4097134ff3c332f>
    <_dlc_DocId xmlns="4195ad5f-cdf2-4c4a-8d9b-b7944a108e98">DOCID-322795542-37120</_dlc_DocId>
    <_dlc_DocIdUrl xmlns="4195ad5f-cdf2-4c4a-8d9b-b7944a108e98">
      <Url>https://pmc01.sharepoint.com/sites/CRMOBPR/_layouts/15/DocIdRedir.aspx?ID=DOCID-322795542-37120</Url>
      <Description>DOCID-322795542-37120</Description>
    </_dlc_DocIdUrl>
    <SharedWithUsers xmlns="4195ad5f-cdf2-4c4a-8d9b-b7944a108e98">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6146-403D-460F-A8DE-695BDB9A6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8C0-F84C-43F2-9CA2-D04C9FACFE55}">
  <ds:schemaRefs>
    <ds:schemaRef ds:uri="http://schemas.microsoft.com/sharepoint/events"/>
  </ds:schemaRefs>
</ds:datastoreItem>
</file>

<file path=customXml/itemProps3.xml><?xml version="1.0" encoding="utf-8"?>
<ds:datastoreItem xmlns:ds="http://schemas.openxmlformats.org/officeDocument/2006/customXml" ds:itemID="{EF79FE84-FAD5-42FE-8687-F396086A0041}">
  <ds:schemaRefs>
    <ds:schemaRef ds:uri="http://schemas.microsoft.com/sharepoint/v3/contenttype/forms"/>
  </ds:schemaRefs>
</ds:datastoreItem>
</file>

<file path=customXml/itemProps4.xml><?xml version="1.0" encoding="utf-8"?>
<ds:datastoreItem xmlns:ds="http://schemas.openxmlformats.org/officeDocument/2006/customXml" ds:itemID="{FA3E5A11-A422-4184-9D79-216ED0AC124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26285671-540d-468b-b7a1-f3e0438dd51a"/>
    <ds:schemaRef ds:uri="4195ad5f-cdf2-4c4a-8d9b-b7944a108e98"/>
    <ds:schemaRef ds:uri="http://www.w3.org/XML/1998/namespace"/>
    <ds:schemaRef ds:uri="http://purl.org/dc/dcmitype/"/>
  </ds:schemaRefs>
</ds:datastoreItem>
</file>

<file path=customXml/itemProps5.xml><?xml version="1.0" encoding="utf-8"?>
<ds:datastoreItem xmlns:ds="http://schemas.openxmlformats.org/officeDocument/2006/customXml" ds:itemID="{6B77245A-11CC-4158-83BC-34498DD3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32672</Words>
  <Characters>186232</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218468</CharactersWithSpaces>
  <SharedDoc>false</SharedDoc>
  <HLinks>
    <vt:vector size="1194" baseType="variant">
      <vt:variant>
        <vt:i4>1769524</vt:i4>
      </vt:variant>
      <vt:variant>
        <vt:i4>410</vt:i4>
      </vt:variant>
      <vt:variant>
        <vt:i4>0</vt:i4>
      </vt:variant>
      <vt:variant>
        <vt:i4>5</vt:i4>
      </vt:variant>
      <vt:variant>
        <vt:lpwstr/>
      </vt:variant>
      <vt:variant>
        <vt:lpwstr>_Toc139295585</vt:lpwstr>
      </vt:variant>
      <vt:variant>
        <vt:i4>1769524</vt:i4>
      </vt:variant>
      <vt:variant>
        <vt:i4>404</vt:i4>
      </vt:variant>
      <vt:variant>
        <vt:i4>0</vt:i4>
      </vt:variant>
      <vt:variant>
        <vt:i4>5</vt:i4>
      </vt:variant>
      <vt:variant>
        <vt:lpwstr/>
      </vt:variant>
      <vt:variant>
        <vt:lpwstr>_Toc139295584</vt:lpwstr>
      </vt:variant>
      <vt:variant>
        <vt:i4>1769524</vt:i4>
      </vt:variant>
      <vt:variant>
        <vt:i4>398</vt:i4>
      </vt:variant>
      <vt:variant>
        <vt:i4>0</vt:i4>
      </vt:variant>
      <vt:variant>
        <vt:i4>5</vt:i4>
      </vt:variant>
      <vt:variant>
        <vt:lpwstr/>
      </vt:variant>
      <vt:variant>
        <vt:lpwstr>_Toc139295583</vt:lpwstr>
      </vt:variant>
      <vt:variant>
        <vt:i4>1769524</vt:i4>
      </vt:variant>
      <vt:variant>
        <vt:i4>392</vt:i4>
      </vt:variant>
      <vt:variant>
        <vt:i4>0</vt:i4>
      </vt:variant>
      <vt:variant>
        <vt:i4>5</vt:i4>
      </vt:variant>
      <vt:variant>
        <vt:lpwstr/>
      </vt:variant>
      <vt:variant>
        <vt:lpwstr>_Toc139295582</vt:lpwstr>
      </vt:variant>
      <vt:variant>
        <vt:i4>1769524</vt:i4>
      </vt:variant>
      <vt:variant>
        <vt:i4>386</vt:i4>
      </vt:variant>
      <vt:variant>
        <vt:i4>0</vt:i4>
      </vt:variant>
      <vt:variant>
        <vt:i4>5</vt:i4>
      </vt:variant>
      <vt:variant>
        <vt:lpwstr/>
      </vt:variant>
      <vt:variant>
        <vt:lpwstr>_Toc139295581</vt:lpwstr>
      </vt:variant>
      <vt:variant>
        <vt:i4>1769524</vt:i4>
      </vt:variant>
      <vt:variant>
        <vt:i4>380</vt:i4>
      </vt:variant>
      <vt:variant>
        <vt:i4>0</vt:i4>
      </vt:variant>
      <vt:variant>
        <vt:i4>5</vt:i4>
      </vt:variant>
      <vt:variant>
        <vt:lpwstr/>
      </vt:variant>
      <vt:variant>
        <vt:lpwstr>_Toc139295580</vt:lpwstr>
      </vt:variant>
      <vt:variant>
        <vt:i4>1310772</vt:i4>
      </vt:variant>
      <vt:variant>
        <vt:i4>374</vt:i4>
      </vt:variant>
      <vt:variant>
        <vt:i4>0</vt:i4>
      </vt:variant>
      <vt:variant>
        <vt:i4>5</vt:i4>
      </vt:variant>
      <vt:variant>
        <vt:lpwstr/>
      </vt:variant>
      <vt:variant>
        <vt:lpwstr>_Toc139295579</vt:lpwstr>
      </vt:variant>
      <vt:variant>
        <vt:i4>1310772</vt:i4>
      </vt:variant>
      <vt:variant>
        <vt:i4>368</vt:i4>
      </vt:variant>
      <vt:variant>
        <vt:i4>0</vt:i4>
      </vt:variant>
      <vt:variant>
        <vt:i4>5</vt:i4>
      </vt:variant>
      <vt:variant>
        <vt:lpwstr/>
      </vt:variant>
      <vt:variant>
        <vt:lpwstr>_Toc139295578</vt:lpwstr>
      </vt:variant>
      <vt:variant>
        <vt:i4>1310772</vt:i4>
      </vt:variant>
      <vt:variant>
        <vt:i4>362</vt:i4>
      </vt:variant>
      <vt:variant>
        <vt:i4>0</vt:i4>
      </vt:variant>
      <vt:variant>
        <vt:i4>5</vt:i4>
      </vt:variant>
      <vt:variant>
        <vt:lpwstr/>
      </vt:variant>
      <vt:variant>
        <vt:lpwstr>_Toc139295577</vt:lpwstr>
      </vt:variant>
      <vt:variant>
        <vt:i4>1310772</vt:i4>
      </vt:variant>
      <vt:variant>
        <vt:i4>356</vt:i4>
      </vt:variant>
      <vt:variant>
        <vt:i4>0</vt:i4>
      </vt:variant>
      <vt:variant>
        <vt:i4>5</vt:i4>
      </vt:variant>
      <vt:variant>
        <vt:lpwstr/>
      </vt:variant>
      <vt:variant>
        <vt:lpwstr>_Toc139295576</vt:lpwstr>
      </vt:variant>
      <vt:variant>
        <vt:i4>1310772</vt:i4>
      </vt:variant>
      <vt:variant>
        <vt:i4>350</vt:i4>
      </vt:variant>
      <vt:variant>
        <vt:i4>0</vt:i4>
      </vt:variant>
      <vt:variant>
        <vt:i4>5</vt:i4>
      </vt:variant>
      <vt:variant>
        <vt:lpwstr/>
      </vt:variant>
      <vt:variant>
        <vt:lpwstr>_Toc139295575</vt:lpwstr>
      </vt:variant>
      <vt:variant>
        <vt:i4>1310772</vt:i4>
      </vt:variant>
      <vt:variant>
        <vt:i4>344</vt:i4>
      </vt:variant>
      <vt:variant>
        <vt:i4>0</vt:i4>
      </vt:variant>
      <vt:variant>
        <vt:i4>5</vt:i4>
      </vt:variant>
      <vt:variant>
        <vt:lpwstr/>
      </vt:variant>
      <vt:variant>
        <vt:lpwstr>_Toc139295574</vt:lpwstr>
      </vt:variant>
      <vt:variant>
        <vt:i4>1310772</vt:i4>
      </vt:variant>
      <vt:variant>
        <vt:i4>338</vt:i4>
      </vt:variant>
      <vt:variant>
        <vt:i4>0</vt:i4>
      </vt:variant>
      <vt:variant>
        <vt:i4>5</vt:i4>
      </vt:variant>
      <vt:variant>
        <vt:lpwstr/>
      </vt:variant>
      <vt:variant>
        <vt:lpwstr>_Toc139295573</vt:lpwstr>
      </vt:variant>
      <vt:variant>
        <vt:i4>1310772</vt:i4>
      </vt:variant>
      <vt:variant>
        <vt:i4>332</vt:i4>
      </vt:variant>
      <vt:variant>
        <vt:i4>0</vt:i4>
      </vt:variant>
      <vt:variant>
        <vt:i4>5</vt:i4>
      </vt:variant>
      <vt:variant>
        <vt:lpwstr/>
      </vt:variant>
      <vt:variant>
        <vt:lpwstr>_Toc139295572</vt:lpwstr>
      </vt:variant>
      <vt:variant>
        <vt:i4>1310772</vt:i4>
      </vt:variant>
      <vt:variant>
        <vt:i4>326</vt:i4>
      </vt:variant>
      <vt:variant>
        <vt:i4>0</vt:i4>
      </vt:variant>
      <vt:variant>
        <vt:i4>5</vt:i4>
      </vt:variant>
      <vt:variant>
        <vt:lpwstr/>
      </vt:variant>
      <vt:variant>
        <vt:lpwstr>_Toc139295571</vt:lpwstr>
      </vt:variant>
      <vt:variant>
        <vt:i4>1310772</vt:i4>
      </vt:variant>
      <vt:variant>
        <vt:i4>320</vt:i4>
      </vt:variant>
      <vt:variant>
        <vt:i4>0</vt:i4>
      </vt:variant>
      <vt:variant>
        <vt:i4>5</vt:i4>
      </vt:variant>
      <vt:variant>
        <vt:lpwstr/>
      </vt:variant>
      <vt:variant>
        <vt:lpwstr>_Toc139295570</vt:lpwstr>
      </vt:variant>
      <vt:variant>
        <vt:i4>1376308</vt:i4>
      </vt:variant>
      <vt:variant>
        <vt:i4>314</vt:i4>
      </vt:variant>
      <vt:variant>
        <vt:i4>0</vt:i4>
      </vt:variant>
      <vt:variant>
        <vt:i4>5</vt:i4>
      </vt:variant>
      <vt:variant>
        <vt:lpwstr/>
      </vt:variant>
      <vt:variant>
        <vt:lpwstr>_Toc139295569</vt:lpwstr>
      </vt:variant>
      <vt:variant>
        <vt:i4>1376308</vt:i4>
      </vt:variant>
      <vt:variant>
        <vt:i4>308</vt:i4>
      </vt:variant>
      <vt:variant>
        <vt:i4>0</vt:i4>
      </vt:variant>
      <vt:variant>
        <vt:i4>5</vt:i4>
      </vt:variant>
      <vt:variant>
        <vt:lpwstr/>
      </vt:variant>
      <vt:variant>
        <vt:lpwstr>_Toc139295568</vt:lpwstr>
      </vt:variant>
      <vt:variant>
        <vt:i4>1376308</vt:i4>
      </vt:variant>
      <vt:variant>
        <vt:i4>302</vt:i4>
      </vt:variant>
      <vt:variant>
        <vt:i4>0</vt:i4>
      </vt:variant>
      <vt:variant>
        <vt:i4>5</vt:i4>
      </vt:variant>
      <vt:variant>
        <vt:lpwstr/>
      </vt:variant>
      <vt:variant>
        <vt:lpwstr>_Toc139295567</vt:lpwstr>
      </vt:variant>
      <vt:variant>
        <vt:i4>1376308</vt:i4>
      </vt:variant>
      <vt:variant>
        <vt:i4>296</vt:i4>
      </vt:variant>
      <vt:variant>
        <vt:i4>0</vt:i4>
      </vt:variant>
      <vt:variant>
        <vt:i4>5</vt:i4>
      </vt:variant>
      <vt:variant>
        <vt:lpwstr/>
      </vt:variant>
      <vt:variant>
        <vt:lpwstr>_Toc139295566</vt:lpwstr>
      </vt:variant>
      <vt:variant>
        <vt:i4>1376308</vt:i4>
      </vt:variant>
      <vt:variant>
        <vt:i4>290</vt:i4>
      </vt:variant>
      <vt:variant>
        <vt:i4>0</vt:i4>
      </vt:variant>
      <vt:variant>
        <vt:i4>5</vt:i4>
      </vt:variant>
      <vt:variant>
        <vt:lpwstr/>
      </vt:variant>
      <vt:variant>
        <vt:lpwstr>_Toc139295565</vt:lpwstr>
      </vt:variant>
      <vt:variant>
        <vt:i4>1376308</vt:i4>
      </vt:variant>
      <vt:variant>
        <vt:i4>284</vt:i4>
      </vt:variant>
      <vt:variant>
        <vt:i4>0</vt:i4>
      </vt:variant>
      <vt:variant>
        <vt:i4>5</vt:i4>
      </vt:variant>
      <vt:variant>
        <vt:lpwstr/>
      </vt:variant>
      <vt:variant>
        <vt:lpwstr>_Toc139295564</vt:lpwstr>
      </vt:variant>
      <vt:variant>
        <vt:i4>1376308</vt:i4>
      </vt:variant>
      <vt:variant>
        <vt:i4>278</vt:i4>
      </vt:variant>
      <vt:variant>
        <vt:i4>0</vt:i4>
      </vt:variant>
      <vt:variant>
        <vt:i4>5</vt:i4>
      </vt:variant>
      <vt:variant>
        <vt:lpwstr/>
      </vt:variant>
      <vt:variant>
        <vt:lpwstr>_Toc139295563</vt:lpwstr>
      </vt:variant>
      <vt:variant>
        <vt:i4>1376308</vt:i4>
      </vt:variant>
      <vt:variant>
        <vt:i4>272</vt:i4>
      </vt:variant>
      <vt:variant>
        <vt:i4>0</vt:i4>
      </vt:variant>
      <vt:variant>
        <vt:i4>5</vt:i4>
      </vt:variant>
      <vt:variant>
        <vt:lpwstr/>
      </vt:variant>
      <vt:variant>
        <vt:lpwstr>_Toc139295562</vt:lpwstr>
      </vt:variant>
      <vt:variant>
        <vt:i4>1376308</vt:i4>
      </vt:variant>
      <vt:variant>
        <vt:i4>266</vt:i4>
      </vt:variant>
      <vt:variant>
        <vt:i4>0</vt:i4>
      </vt:variant>
      <vt:variant>
        <vt:i4>5</vt:i4>
      </vt:variant>
      <vt:variant>
        <vt:lpwstr/>
      </vt:variant>
      <vt:variant>
        <vt:lpwstr>_Toc139295561</vt:lpwstr>
      </vt:variant>
      <vt:variant>
        <vt:i4>1376308</vt:i4>
      </vt:variant>
      <vt:variant>
        <vt:i4>260</vt:i4>
      </vt:variant>
      <vt:variant>
        <vt:i4>0</vt:i4>
      </vt:variant>
      <vt:variant>
        <vt:i4>5</vt:i4>
      </vt:variant>
      <vt:variant>
        <vt:lpwstr/>
      </vt:variant>
      <vt:variant>
        <vt:lpwstr>_Toc139295560</vt:lpwstr>
      </vt:variant>
      <vt:variant>
        <vt:i4>1441844</vt:i4>
      </vt:variant>
      <vt:variant>
        <vt:i4>254</vt:i4>
      </vt:variant>
      <vt:variant>
        <vt:i4>0</vt:i4>
      </vt:variant>
      <vt:variant>
        <vt:i4>5</vt:i4>
      </vt:variant>
      <vt:variant>
        <vt:lpwstr/>
      </vt:variant>
      <vt:variant>
        <vt:lpwstr>_Toc139295559</vt:lpwstr>
      </vt:variant>
      <vt:variant>
        <vt:i4>1441844</vt:i4>
      </vt:variant>
      <vt:variant>
        <vt:i4>248</vt:i4>
      </vt:variant>
      <vt:variant>
        <vt:i4>0</vt:i4>
      </vt:variant>
      <vt:variant>
        <vt:i4>5</vt:i4>
      </vt:variant>
      <vt:variant>
        <vt:lpwstr/>
      </vt:variant>
      <vt:variant>
        <vt:lpwstr>_Toc139295558</vt:lpwstr>
      </vt:variant>
      <vt:variant>
        <vt:i4>1441844</vt:i4>
      </vt:variant>
      <vt:variant>
        <vt:i4>242</vt:i4>
      </vt:variant>
      <vt:variant>
        <vt:i4>0</vt:i4>
      </vt:variant>
      <vt:variant>
        <vt:i4>5</vt:i4>
      </vt:variant>
      <vt:variant>
        <vt:lpwstr/>
      </vt:variant>
      <vt:variant>
        <vt:lpwstr>_Toc139295557</vt:lpwstr>
      </vt:variant>
      <vt:variant>
        <vt:i4>1441844</vt:i4>
      </vt:variant>
      <vt:variant>
        <vt:i4>236</vt:i4>
      </vt:variant>
      <vt:variant>
        <vt:i4>0</vt:i4>
      </vt:variant>
      <vt:variant>
        <vt:i4>5</vt:i4>
      </vt:variant>
      <vt:variant>
        <vt:lpwstr/>
      </vt:variant>
      <vt:variant>
        <vt:lpwstr>_Toc139295556</vt:lpwstr>
      </vt:variant>
      <vt:variant>
        <vt:i4>1441844</vt:i4>
      </vt:variant>
      <vt:variant>
        <vt:i4>230</vt:i4>
      </vt:variant>
      <vt:variant>
        <vt:i4>0</vt:i4>
      </vt:variant>
      <vt:variant>
        <vt:i4>5</vt:i4>
      </vt:variant>
      <vt:variant>
        <vt:lpwstr/>
      </vt:variant>
      <vt:variant>
        <vt:lpwstr>_Toc139295555</vt:lpwstr>
      </vt:variant>
      <vt:variant>
        <vt:i4>1441844</vt:i4>
      </vt:variant>
      <vt:variant>
        <vt:i4>224</vt:i4>
      </vt:variant>
      <vt:variant>
        <vt:i4>0</vt:i4>
      </vt:variant>
      <vt:variant>
        <vt:i4>5</vt:i4>
      </vt:variant>
      <vt:variant>
        <vt:lpwstr/>
      </vt:variant>
      <vt:variant>
        <vt:lpwstr>_Toc139295554</vt:lpwstr>
      </vt:variant>
      <vt:variant>
        <vt:i4>1441844</vt:i4>
      </vt:variant>
      <vt:variant>
        <vt:i4>218</vt:i4>
      </vt:variant>
      <vt:variant>
        <vt:i4>0</vt:i4>
      </vt:variant>
      <vt:variant>
        <vt:i4>5</vt:i4>
      </vt:variant>
      <vt:variant>
        <vt:lpwstr/>
      </vt:variant>
      <vt:variant>
        <vt:lpwstr>_Toc139295553</vt:lpwstr>
      </vt:variant>
      <vt:variant>
        <vt:i4>1441844</vt:i4>
      </vt:variant>
      <vt:variant>
        <vt:i4>212</vt:i4>
      </vt:variant>
      <vt:variant>
        <vt:i4>0</vt:i4>
      </vt:variant>
      <vt:variant>
        <vt:i4>5</vt:i4>
      </vt:variant>
      <vt:variant>
        <vt:lpwstr/>
      </vt:variant>
      <vt:variant>
        <vt:lpwstr>_Toc139295552</vt:lpwstr>
      </vt:variant>
      <vt:variant>
        <vt:i4>1441844</vt:i4>
      </vt:variant>
      <vt:variant>
        <vt:i4>206</vt:i4>
      </vt:variant>
      <vt:variant>
        <vt:i4>0</vt:i4>
      </vt:variant>
      <vt:variant>
        <vt:i4>5</vt:i4>
      </vt:variant>
      <vt:variant>
        <vt:lpwstr/>
      </vt:variant>
      <vt:variant>
        <vt:lpwstr>_Toc139295551</vt:lpwstr>
      </vt:variant>
      <vt:variant>
        <vt:i4>1441844</vt:i4>
      </vt:variant>
      <vt:variant>
        <vt:i4>200</vt:i4>
      </vt:variant>
      <vt:variant>
        <vt:i4>0</vt:i4>
      </vt:variant>
      <vt:variant>
        <vt:i4>5</vt:i4>
      </vt:variant>
      <vt:variant>
        <vt:lpwstr/>
      </vt:variant>
      <vt:variant>
        <vt:lpwstr>_Toc139295550</vt:lpwstr>
      </vt:variant>
      <vt:variant>
        <vt:i4>1507380</vt:i4>
      </vt:variant>
      <vt:variant>
        <vt:i4>194</vt:i4>
      </vt:variant>
      <vt:variant>
        <vt:i4>0</vt:i4>
      </vt:variant>
      <vt:variant>
        <vt:i4>5</vt:i4>
      </vt:variant>
      <vt:variant>
        <vt:lpwstr/>
      </vt:variant>
      <vt:variant>
        <vt:lpwstr>_Toc139295549</vt:lpwstr>
      </vt:variant>
      <vt:variant>
        <vt:i4>1507380</vt:i4>
      </vt:variant>
      <vt:variant>
        <vt:i4>188</vt:i4>
      </vt:variant>
      <vt:variant>
        <vt:i4>0</vt:i4>
      </vt:variant>
      <vt:variant>
        <vt:i4>5</vt:i4>
      </vt:variant>
      <vt:variant>
        <vt:lpwstr/>
      </vt:variant>
      <vt:variant>
        <vt:lpwstr>_Toc139295548</vt:lpwstr>
      </vt:variant>
      <vt:variant>
        <vt:i4>1507380</vt:i4>
      </vt:variant>
      <vt:variant>
        <vt:i4>182</vt:i4>
      </vt:variant>
      <vt:variant>
        <vt:i4>0</vt:i4>
      </vt:variant>
      <vt:variant>
        <vt:i4>5</vt:i4>
      </vt:variant>
      <vt:variant>
        <vt:lpwstr/>
      </vt:variant>
      <vt:variant>
        <vt:lpwstr>_Toc139295547</vt:lpwstr>
      </vt:variant>
      <vt:variant>
        <vt:i4>1507380</vt:i4>
      </vt:variant>
      <vt:variant>
        <vt:i4>176</vt:i4>
      </vt:variant>
      <vt:variant>
        <vt:i4>0</vt:i4>
      </vt:variant>
      <vt:variant>
        <vt:i4>5</vt:i4>
      </vt:variant>
      <vt:variant>
        <vt:lpwstr/>
      </vt:variant>
      <vt:variant>
        <vt:lpwstr>_Toc139295546</vt:lpwstr>
      </vt:variant>
      <vt:variant>
        <vt:i4>1507380</vt:i4>
      </vt:variant>
      <vt:variant>
        <vt:i4>170</vt:i4>
      </vt:variant>
      <vt:variant>
        <vt:i4>0</vt:i4>
      </vt:variant>
      <vt:variant>
        <vt:i4>5</vt:i4>
      </vt:variant>
      <vt:variant>
        <vt:lpwstr/>
      </vt:variant>
      <vt:variant>
        <vt:lpwstr>_Toc139295545</vt:lpwstr>
      </vt:variant>
      <vt:variant>
        <vt:i4>1507380</vt:i4>
      </vt:variant>
      <vt:variant>
        <vt:i4>164</vt:i4>
      </vt:variant>
      <vt:variant>
        <vt:i4>0</vt:i4>
      </vt:variant>
      <vt:variant>
        <vt:i4>5</vt:i4>
      </vt:variant>
      <vt:variant>
        <vt:lpwstr/>
      </vt:variant>
      <vt:variant>
        <vt:lpwstr>_Toc139295544</vt:lpwstr>
      </vt:variant>
      <vt:variant>
        <vt:i4>1507380</vt:i4>
      </vt:variant>
      <vt:variant>
        <vt:i4>158</vt:i4>
      </vt:variant>
      <vt:variant>
        <vt:i4>0</vt:i4>
      </vt:variant>
      <vt:variant>
        <vt:i4>5</vt:i4>
      </vt:variant>
      <vt:variant>
        <vt:lpwstr/>
      </vt:variant>
      <vt:variant>
        <vt:lpwstr>_Toc139295543</vt:lpwstr>
      </vt:variant>
      <vt:variant>
        <vt:i4>1507380</vt:i4>
      </vt:variant>
      <vt:variant>
        <vt:i4>152</vt:i4>
      </vt:variant>
      <vt:variant>
        <vt:i4>0</vt:i4>
      </vt:variant>
      <vt:variant>
        <vt:i4>5</vt:i4>
      </vt:variant>
      <vt:variant>
        <vt:lpwstr/>
      </vt:variant>
      <vt:variant>
        <vt:lpwstr>_Toc139295542</vt:lpwstr>
      </vt:variant>
      <vt:variant>
        <vt:i4>1507380</vt:i4>
      </vt:variant>
      <vt:variant>
        <vt:i4>146</vt:i4>
      </vt:variant>
      <vt:variant>
        <vt:i4>0</vt:i4>
      </vt:variant>
      <vt:variant>
        <vt:i4>5</vt:i4>
      </vt:variant>
      <vt:variant>
        <vt:lpwstr/>
      </vt:variant>
      <vt:variant>
        <vt:lpwstr>_Toc139295541</vt:lpwstr>
      </vt:variant>
      <vt:variant>
        <vt:i4>1507380</vt:i4>
      </vt:variant>
      <vt:variant>
        <vt:i4>140</vt:i4>
      </vt:variant>
      <vt:variant>
        <vt:i4>0</vt:i4>
      </vt:variant>
      <vt:variant>
        <vt:i4>5</vt:i4>
      </vt:variant>
      <vt:variant>
        <vt:lpwstr/>
      </vt:variant>
      <vt:variant>
        <vt:lpwstr>_Toc139295540</vt:lpwstr>
      </vt:variant>
      <vt:variant>
        <vt:i4>1048628</vt:i4>
      </vt:variant>
      <vt:variant>
        <vt:i4>134</vt:i4>
      </vt:variant>
      <vt:variant>
        <vt:i4>0</vt:i4>
      </vt:variant>
      <vt:variant>
        <vt:i4>5</vt:i4>
      </vt:variant>
      <vt:variant>
        <vt:lpwstr/>
      </vt:variant>
      <vt:variant>
        <vt:lpwstr>_Toc139295539</vt:lpwstr>
      </vt:variant>
      <vt:variant>
        <vt:i4>1048628</vt:i4>
      </vt:variant>
      <vt:variant>
        <vt:i4>128</vt:i4>
      </vt:variant>
      <vt:variant>
        <vt:i4>0</vt:i4>
      </vt:variant>
      <vt:variant>
        <vt:i4>5</vt:i4>
      </vt:variant>
      <vt:variant>
        <vt:lpwstr/>
      </vt:variant>
      <vt:variant>
        <vt:lpwstr>_Toc139295538</vt:lpwstr>
      </vt:variant>
      <vt:variant>
        <vt:i4>1048628</vt:i4>
      </vt:variant>
      <vt:variant>
        <vt:i4>122</vt:i4>
      </vt:variant>
      <vt:variant>
        <vt:i4>0</vt:i4>
      </vt:variant>
      <vt:variant>
        <vt:i4>5</vt:i4>
      </vt:variant>
      <vt:variant>
        <vt:lpwstr/>
      </vt:variant>
      <vt:variant>
        <vt:lpwstr>_Toc139295537</vt:lpwstr>
      </vt:variant>
      <vt:variant>
        <vt:i4>1048628</vt:i4>
      </vt:variant>
      <vt:variant>
        <vt:i4>116</vt:i4>
      </vt:variant>
      <vt:variant>
        <vt:i4>0</vt:i4>
      </vt:variant>
      <vt:variant>
        <vt:i4>5</vt:i4>
      </vt:variant>
      <vt:variant>
        <vt:lpwstr/>
      </vt:variant>
      <vt:variant>
        <vt:lpwstr>_Toc139295536</vt:lpwstr>
      </vt:variant>
      <vt:variant>
        <vt:i4>1048628</vt:i4>
      </vt:variant>
      <vt:variant>
        <vt:i4>110</vt:i4>
      </vt:variant>
      <vt:variant>
        <vt:i4>0</vt:i4>
      </vt:variant>
      <vt:variant>
        <vt:i4>5</vt:i4>
      </vt:variant>
      <vt:variant>
        <vt:lpwstr/>
      </vt:variant>
      <vt:variant>
        <vt:lpwstr>_Toc139295535</vt:lpwstr>
      </vt:variant>
      <vt:variant>
        <vt:i4>1048628</vt:i4>
      </vt:variant>
      <vt:variant>
        <vt:i4>104</vt:i4>
      </vt:variant>
      <vt:variant>
        <vt:i4>0</vt:i4>
      </vt:variant>
      <vt:variant>
        <vt:i4>5</vt:i4>
      </vt:variant>
      <vt:variant>
        <vt:lpwstr/>
      </vt:variant>
      <vt:variant>
        <vt:lpwstr>_Toc139295534</vt:lpwstr>
      </vt:variant>
      <vt:variant>
        <vt:i4>1048628</vt:i4>
      </vt:variant>
      <vt:variant>
        <vt:i4>98</vt:i4>
      </vt:variant>
      <vt:variant>
        <vt:i4>0</vt:i4>
      </vt:variant>
      <vt:variant>
        <vt:i4>5</vt:i4>
      </vt:variant>
      <vt:variant>
        <vt:lpwstr/>
      </vt:variant>
      <vt:variant>
        <vt:lpwstr>_Toc139295533</vt:lpwstr>
      </vt:variant>
      <vt:variant>
        <vt:i4>1048628</vt:i4>
      </vt:variant>
      <vt:variant>
        <vt:i4>92</vt:i4>
      </vt:variant>
      <vt:variant>
        <vt:i4>0</vt:i4>
      </vt:variant>
      <vt:variant>
        <vt:i4>5</vt:i4>
      </vt:variant>
      <vt:variant>
        <vt:lpwstr/>
      </vt:variant>
      <vt:variant>
        <vt:lpwstr>_Toc139295532</vt:lpwstr>
      </vt:variant>
      <vt:variant>
        <vt:i4>1048628</vt:i4>
      </vt:variant>
      <vt:variant>
        <vt:i4>86</vt:i4>
      </vt:variant>
      <vt:variant>
        <vt:i4>0</vt:i4>
      </vt:variant>
      <vt:variant>
        <vt:i4>5</vt:i4>
      </vt:variant>
      <vt:variant>
        <vt:lpwstr/>
      </vt:variant>
      <vt:variant>
        <vt:lpwstr>_Toc139295531</vt:lpwstr>
      </vt:variant>
      <vt:variant>
        <vt:i4>1048628</vt:i4>
      </vt:variant>
      <vt:variant>
        <vt:i4>80</vt:i4>
      </vt:variant>
      <vt:variant>
        <vt:i4>0</vt:i4>
      </vt:variant>
      <vt:variant>
        <vt:i4>5</vt:i4>
      </vt:variant>
      <vt:variant>
        <vt:lpwstr/>
      </vt:variant>
      <vt:variant>
        <vt:lpwstr>_Toc139295530</vt:lpwstr>
      </vt:variant>
      <vt:variant>
        <vt:i4>1114164</vt:i4>
      </vt:variant>
      <vt:variant>
        <vt:i4>74</vt:i4>
      </vt:variant>
      <vt:variant>
        <vt:i4>0</vt:i4>
      </vt:variant>
      <vt:variant>
        <vt:i4>5</vt:i4>
      </vt:variant>
      <vt:variant>
        <vt:lpwstr/>
      </vt:variant>
      <vt:variant>
        <vt:lpwstr>_Toc139295529</vt:lpwstr>
      </vt:variant>
      <vt:variant>
        <vt:i4>1114164</vt:i4>
      </vt:variant>
      <vt:variant>
        <vt:i4>68</vt:i4>
      </vt:variant>
      <vt:variant>
        <vt:i4>0</vt:i4>
      </vt:variant>
      <vt:variant>
        <vt:i4>5</vt:i4>
      </vt:variant>
      <vt:variant>
        <vt:lpwstr/>
      </vt:variant>
      <vt:variant>
        <vt:lpwstr>_Toc139295528</vt:lpwstr>
      </vt:variant>
      <vt:variant>
        <vt:i4>1114164</vt:i4>
      </vt:variant>
      <vt:variant>
        <vt:i4>62</vt:i4>
      </vt:variant>
      <vt:variant>
        <vt:i4>0</vt:i4>
      </vt:variant>
      <vt:variant>
        <vt:i4>5</vt:i4>
      </vt:variant>
      <vt:variant>
        <vt:lpwstr/>
      </vt:variant>
      <vt:variant>
        <vt:lpwstr>_Toc139295527</vt:lpwstr>
      </vt:variant>
      <vt:variant>
        <vt:i4>1114164</vt:i4>
      </vt:variant>
      <vt:variant>
        <vt:i4>56</vt:i4>
      </vt:variant>
      <vt:variant>
        <vt:i4>0</vt:i4>
      </vt:variant>
      <vt:variant>
        <vt:i4>5</vt:i4>
      </vt:variant>
      <vt:variant>
        <vt:lpwstr/>
      </vt:variant>
      <vt:variant>
        <vt:lpwstr>_Toc139295526</vt:lpwstr>
      </vt:variant>
      <vt:variant>
        <vt:i4>1114164</vt:i4>
      </vt:variant>
      <vt:variant>
        <vt:i4>50</vt:i4>
      </vt:variant>
      <vt:variant>
        <vt:i4>0</vt:i4>
      </vt:variant>
      <vt:variant>
        <vt:i4>5</vt:i4>
      </vt:variant>
      <vt:variant>
        <vt:lpwstr/>
      </vt:variant>
      <vt:variant>
        <vt:lpwstr>_Toc139295525</vt:lpwstr>
      </vt:variant>
      <vt:variant>
        <vt:i4>1114164</vt:i4>
      </vt:variant>
      <vt:variant>
        <vt:i4>44</vt:i4>
      </vt:variant>
      <vt:variant>
        <vt:i4>0</vt:i4>
      </vt:variant>
      <vt:variant>
        <vt:i4>5</vt:i4>
      </vt:variant>
      <vt:variant>
        <vt:lpwstr/>
      </vt:variant>
      <vt:variant>
        <vt:lpwstr>_Toc139295524</vt:lpwstr>
      </vt:variant>
      <vt:variant>
        <vt:i4>1114164</vt:i4>
      </vt:variant>
      <vt:variant>
        <vt:i4>38</vt:i4>
      </vt:variant>
      <vt:variant>
        <vt:i4>0</vt:i4>
      </vt:variant>
      <vt:variant>
        <vt:i4>5</vt:i4>
      </vt:variant>
      <vt:variant>
        <vt:lpwstr/>
      </vt:variant>
      <vt:variant>
        <vt:lpwstr>_Toc139295523</vt:lpwstr>
      </vt:variant>
      <vt:variant>
        <vt:i4>1114164</vt:i4>
      </vt:variant>
      <vt:variant>
        <vt:i4>32</vt:i4>
      </vt:variant>
      <vt:variant>
        <vt:i4>0</vt:i4>
      </vt:variant>
      <vt:variant>
        <vt:i4>5</vt:i4>
      </vt:variant>
      <vt:variant>
        <vt:lpwstr/>
      </vt:variant>
      <vt:variant>
        <vt:lpwstr>_Toc139295522</vt:lpwstr>
      </vt:variant>
      <vt:variant>
        <vt:i4>1114164</vt:i4>
      </vt:variant>
      <vt:variant>
        <vt:i4>26</vt:i4>
      </vt:variant>
      <vt:variant>
        <vt:i4>0</vt:i4>
      </vt:variant>
      <vt:variant>
        <vt:i4>5</vt:i4>
      </vt:variant>
      <vt:variant>
        <vt:lpwstr/>
      </vt:variant>
      <vt:variant>
        <vt:lpwstr>_Toc139295521</vt:lpwstr>
      </vt:variant>
      <vt:variant>
        <vt:i4>1114164</vt:i4>
      </vt:variant>
      <vt:variant>
        <vt:i4>20</vt:i4>
      </vt:variant>
      <vt:variant>
        <vt:i4>0</vt:i4>
      </vt:variant>
      <vt:variant>
        <vt:i4>5</vt:i4>
      </vt:variant>
      <vt:variant>
        <vt:lpwstr/>
      </vt:variant>
      <vt:variant>
        <vt:lpwstr>_Toc139295520</vt:lpwstr>
      </vt:variant>
      <vt:variant>
        <vt:i4>1179700</vt:i4>
      </vt:variant>
      <vt:variant>
        <vt:i4>14</vt:i4>
      </vt:variant>
      <vt:variant>
        <vt:i4>0</vt:i4>
      </vt:variant>
      <vt:variant>
        <vt:i4>5</vt:i4>
      </vt:variant>
      <vt:variant>
        <vt:lpwstr/>
      </vt:variant>
      <vt:variant>
        <vt:lpwstr>_Toc139295519</vt:lpwstr>
      </vt:variant>
      <vt:variant>
        <vt:i4>1179700</vt:i4>
      </vt:variant>
      <vt:variant>
        <vt:i4>8</vt:i4>
      </vt:variant>
      <vt:variant>
        <vt:i4>0</vt:i4>
      </vt:variant>
      <vt:variant>
        <vt:i4>5</vt:i4>
      </vt:variant>
      <vt:variant>
        <vt:lpwstr/>
      </vt:variant>
      <vt:variant>
        <vt:lpwstr>_Toc139295518</vt:lpwstr>
      </vt: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917572</vt:i4>
      </vt:variant>
      <vt:variant>
        <vt:i4>384</vt:i4>
      </vt:variant>
      <vt:variant>
        <vt:i4>0</vt:i4>
      </vt:variant>
      <vt:variant>
        <vt:i4>5</vt:i4>
      </vt:variant>
      <vt:variant>
        <vt:lpwstr>https://www.abs.gov.au/statistics/detailed-methodology-information/concepts-sources-methods/labour-statistics-concepts-sources-and-methods/2021/concepts-and-sources/employment-arrangements</vt:lpwstr>
      </vt:variant>
      <vt:variant>
        <vt:lpwstr/>
      </vt:variant>
      <vt:variant>
        <vt:i4>6422582</vt:i4>
      </vt:variant>
      <vt:variant>
        <vt:i4>381</vt:i4>
      </vt:variant>
      <vt:variant>
        <vt:i4>0</vt:i4>
      </vt:variant>
      <vt:variant>
        <vt:i4>5</vt:i4>
      </vt:variant>
      <vt:variant>
        <vt:lpwstr>https://www.fcfcoa.gov.au/gfl/gfl-fees</vt:lpwstr>
      </vt:variant>
      <vt:variant>
        <vt:lpwstr/>
      </vt:variant>
      <vt:variant>
        <vt:i4>6422582</vt:i4>
      </vt:variant>
      <vt:variant>
        <vt:i4>375</vt:i4>
      </vt:variant>
      <vt:variant>
        <vt:i4>0</vt:i4>
      </vt:variant>
      <vt:variant>
        <vt:i4>5</vt:i4>
      </vt:variant>
      <vt:variant>
        <vt:lpwstr>https://www.fcfcoa.gov.au/gfl/gfl-fees</vt:lpwstr>
      </vt:variant>
      <vt:variant>
        <vt:lpwstr/>
      </vt:variant>
      <vt:variant>
        <vt:i4>5767234</vt:i4>
      </vt:variant>
      <vt:variant>
        <vt:i4>371</vt:i4>
      </vt:variant>
      <vt:variant>
        <vt:i4>0</vt:i4>
      </vt:variant>
      <vt:variant>
        <vt:i4>5</vt:i4>
      </vt:variant>
      <vt:variant>
        <vt:lpwstr>https://www.fwc.gov.au/apply-or-lodge/fees-and-costs</vt:lpwstr>
      </vt:variant>
      <vt:variant>
        <vt:lpwstr/>
      </vt:variant>
      <vt:variant>
        <vt:i4>5767234</vt:i4>
      </vt:variant>
      <vt:variant>
        <vt:i4>369</vt:i4>
      </vt:variant>
      <vt:variant>
        <vt:i4>0</vt:i4>
      </vt:variant>
      <vt:variant>
        <vt:i4>5</vt:i4>
      </vt:variant>
      <vt:variant>
        <vt:lpwstr>https://www.fwc.gov.au/apply-or-lodge/fees-and-costs</vt:lpwstr>
      </vt:variant>
      <vt:variant>
        <vt:lpwstr/>
      </vt:variant>
      <vt:variant>
        <vt:i4>4325396</vt:i4>
      </vt:variant>
      <vt:variant>
        <vt:i4>363</vt:i4>
      </vt:variant>
      <vt:variant>
        <vt:i4>0</vt:i4>
      </vt:variant>
      <vt:variant>
        <vt:i4>5</vt:i4>
      </vt:variant>
      <vt:variant>
        <vt:lpwstr>https://futurework.org.au/report/unacceptable-risks/</vt:lpwstr>
      </vt:variant>
      <vt:variant>
        <vt:lpwstr/>
      </vt:variant>
      <vt:variant>
        <vt:i4>852055</vt:i4>
      </vt:variant>
      <vt:variant>
        <vt:i4>360</vt:i4>
      </vt:variant>
      <vt:variant>
        <vt:i4>0</vt:i4>
      </vt:variant>
      <vt:variant>
        <vt:i4>5</vt:i4>
      </vt:variant>
      <vt:variant>
        <vt:lpwstr>https://www.health.gov.au/resources/publications/a-matter-of-care-australias-aged-care-workforce-strategy</vt:lpwstr>
      </vt:variant>
      <vt:variant>
        <vt:lpwstr/>
      </vt:variant>
      <vt:variant>
        <vt:i4>4259906</vt:i4>
      </vt:variant>
      <vt:variant>
        <vt:i4>357</vt:i4>
      </vt:variant>
      <vt:variant>
        <vt:i4>0</vt:i4>
      </vt:variant>
      <vt:variant>
        <vt:i4>5</vt:i4>
      </vt:variant>
      <vt:variant>
        <vt:lpwstr>https://www.pc.gov.au/inquiries/completed/aged-care-employment/report</vt:lpwstr>
      </vt:variant>
      <vt:variant>
        <vt:lpwstr/>
      </vt:variant>
      <vt:variant>
        <vt:i4>5832771</vt:i4>
      </vt:variant>
      <vt:variant>
        <vt:i4>354</vt:i4>
      </vt:variant>
      <vt:variant>
        <vt:i4>0</vt:i4>
      </vt:variant>
      <vt:variant>
        <vt:i4>5</vt:i4>
      </vt:variant>
      <vt:variant>
        <vt:lpwstr>https://engage.vic.gov.au/inquiry-on-demand-workforce</vt:lpwstr>
      </vt:variant>
      <vt:variant>
        <vt:lpwstr/>
      </vt:variant>
      <vt:variant>
        <vt:i4>1245193</vt:i4>
      </vt:variant>
      <vt:variant>
        <vt:i4>351</vt:i4>
      </vt:variant>
      <vt:variant>
        <vt:i4>0</vt:i4>
      </vt:variant>
      <vt:variant>
        <vt:i4>5</vt:i4>
      </vt:variant>
      <vt:variant>
        <vt:lpwstr>https://hireup.com.au/become-a-support-worker/pay-rates/</vt:lpwstr>
      </vt:variant>
      <vt:variant>
        <vt:lpwstr/>
      </vt:variant>
      <vt:variant>
        <vt:i4>5832771</vt:i4>
      </vt:variant>
      <vt:variant>
        <vt:i4>348</vt:i4>
      </vt:variant>
      <vt:variant>
        <vt:i4>0</vt:i4>
      </vt:variant>
      <vt:variant>
        <vt:i4>5</vt:i4>
      </vt:variant>
      <vt:variant>
        <vt:lpwstr>https://engage.vic.gov.au/inquiry-on-demand-workforce</vt:lpwstr>
      </vt:variant>
      <vt:variant>
        <vt:lpwstr/>
      </vt:variant>
      <vt:variant>
        <vt:i4>5832771</vt:i4>
      </vt:variant>
      <vt:variant>
        <vt:i4>345</vt:i4>
      </vt:variant>
      <vt:variant>
        <vt:i4>0</vt:i4>
      </vt:variant>
      <vt:variant>
        <vt:i4>5</vt:i4>
      </vt:variant>
      <vt:variant>
        <vt:lpwstr>https://engage.vic.gov.au/inquiry-on-demand-workforce</vt:lpwstr>
      </vt:variant>
      <vt:variant>
        <vt:lpwstr/>
      </vt:variant>
      <vt:variant>
        <vt:i4>2228324</vt:i4>
      </vt:variant>
      <vt:variant>
        <vt:i4>342</vt:i4>
      </vt:variant>
      <vt:variant>
        <vt:i4>0</vt:i4>
      </vt:variant>
      <vt:variant>
        <vt:i4>5</vt:i4>
      </vt:variant>
      <vt:variant>
        <vt:lpwstr>https://www.abs.gov.au/statistics/labour/employment-and-unemployment/participation-job-search-and-mobility-australia/latest-release</vt:lpwstr>
      </vt:variant>
      <vt:variant>
        <vt:lpwstr/>
      </vt:variant>
      <vt:variant>
        <vt:i4>7995428</vt:i4>
      </vt:variant>
      <vt:variant>
        <vt:i4>339</vt:i4>
      </vt:variant>
      <vt:variant>
        <vt:i4>0</vt:i4>
      </vt:variant>
      <vt:variant>
        <vt:i4>5</vt:i4>
      </vt:variant>
      <vt:variant>
        <vt:lpwstr>https://www.rba.gov.au/publications/bulletin/2021/sep/the-financial-cost-of-job-loss-in-australia.html</vt:lpwstr>
      </vt:variant>
      <vt:variant>
        <vt:lpwstr/>
      </vt:variant>
      <vt:variant>
        <vt:i4>8126571</vt:i4>
      </vt:variant>
      <vt:variant>
        <vt:i4>336</vt:i4>
      </vt:variant>
      <vt:variant>
        <vt:i4>0</vt:i4>
      </vt:variant>
      <vt:variant>
        <vt:i4>5</vt:i4>
      </vt:variant>
      <vt:variant>
        <vt:lpwstr>https://budget.gov.au/content/bp1/index.htm</vt:lpwstr>
      </vt:variant>
      <vt:variant>
        <vt:lpwstr/>
      </vt:variant>
      <vt:variant>
        <vt:i4>2293818</vt:i4>
      </vt:variant>
      <vt:variant>
        <vt:i4>333</vt:i4>
      </vt:variant>
      <vt:variant>
        <vt:i4>0</vt:i4>
      </vt:variant>
      <vt:variant>
        <vt:i4>5</vt:i4>
      </vt:variant>
      <vt:variant>
        <vt:lpwstr>https://budget.gov.au/content/documents.htm</vt:lpwstr>
      </vt:variant>
      <vt:variant>
        <vt:lpwstr/>
      </vt:variant>
      <vt:variant>
        <vt:i4>2359344</vt:i4>
      </vt:variant>
      <vt:variant>
        <vt:i4>330</vt:i4>
      </vt:variant>
      <vt:variant>
        <vt:i4>0</vt:i4>
      </vt:variant>
      <vt:variant>
        <vt:i4>5</vt:i4>
      </vt:variant>
      <vt:variant>
        <vt:lpwstr>https://www.abs.gov.au/statistics/economy/national-accounts/australian-national-accounts-national-income-expenditure-and-product/latest-release</vt:lpwstr>
      </vt:variant>
      <vt:variant>
        <vt:lpwstr/>
      </vt:variant>
      <vt:variant>
        <vt:i4>2359344</vt:i4>
      </vt:variant>
      <vt:variant>
        <vt:i4>327</vt:i4>
      </vt:variant>
      <vt:variant>
        <vt:i4>0</vt:i4>
      </vt:variant>
      <vt:variant>
        <vt:i4>5</vt:i4>
      </vt:variant>
      <vt:variant>
        <vt:lpwstr>https://www.abs.gov.au/statistics/economy/national-accounts/australian-national-accounts-national-income-expenditure-and-product/latest-release</vt:lpwstr>
      </vt:variant>
      <vt:variant>
        <vt:lpwstr/>
      </vt:variant>
      <vt:variant>
        <vt:i4>6619232</vt:i4>
      </vt:variant>
      <vt:variant>
        <vt:i4>324</vt:i4>
      </vt:variant>
      <vt:variant>
        <vt:i4>0</vt:i4>
      </vt:variant>
      <vt:variant>
        <vt:i4>5</vt:i4>
      </vt:variant>
      <vt:variant>
        <vt:lpwstr>https://www.uber.com/au/en/u/gig-reform</vt:lpwstr>
      </vt:variant>
      <vt:variant>
        <vt:lpwstr/>
      </vt:variant>
      <vt:variant>
        <vt:i4>2359344</vt:i4>
      </vt:variant>
      <vt:variant>
        <vt:i4>321</vt:i4>
      </vt:variant>
      <vt:variant>
        <vt:i4>0</vt:i4>
      </vt:variant>
      <vt:variant>
        <vt:i4>5</vt:i4>
      </vt:variant>
      <vt:variant>
        <vt:lpwstr>https://www.abs.gov.au/statistics/economy/national-accounts/australian-national-accounts-national-income-expenditure-and-product/latest-release</vt:lpwstr>
      </vt:variant>
      <vt:variant>
        <vt:lpwstr/>
      </vt:variant>
      <vt:variant>
        <vt:i4>5832771</vt:i4>
      </vt:variant>
      <vt:variant>
        <vt:i4>318</vt:i4>
      </vt:variant>
      <vt:variant>
        <vt:i4>0</vt:i4>
      </vt:variant>
      <vt:variant>
        <vt:i4>5</vt:i4>
      </vt:variant>
      <vt:variant>
        <vt:lpwstr>https://engage.vic.gov.au/inquiry-on-demand-workforce</vt:lpwstr>
      </vt:variant>
      <vt:variant>
        <vt:lpwstr/>
      </vt:variant>
      <vt:variant>
        <vt:i4>7077938</vt:i4>
      </vt:variant>
      <vt:variant>
        <vt:i4>315</vt:i4>
      </vt:variant>
      <vt:variant>
        <vt:i4>0</vt:i4>
      </vt:variant>
      <vt:variant>
        <vt:i4>5</vt:i4>
      </vt:variant>
      <vt:variant>
        <vt:lpwstr>https://library.fairwork.gov.au/award/?krn=ma000100</vt:lpwstr>
      </vt:variant>
      <vt:variant>
        <vt:lpwstr/>
      </vt:variant>
      <vt:variant>
        <vt:i4>6946867</vt:i4>
      </vt:variant>
      <vt:variant>
        <vt:i4>312</vt:i4>
      </vt:variant>
      <vt:variant>
        <vt:i4>0</vt:i4>
      </vt:variant>
      <vt:variant>
        <vt:i4>5</vt:i4>
      </vt:variant>
      <vt:variant>
        <vt:lpwstr>https://library.fairwork.gov.au/award/?krn=MA000063</vt:lpwstr>
      </vt:variant>
      <vt:variant>
        <vt:lpwstr/>
      </vt:variant>
      <vt:variant>
        <vt:i4>7143474</vt:i4>
      </vt:variant>
      <vt:variant>
        <vt:i4>309</vt:i4>
      </vt:variant>
      <vt:variant>
        <vt:i4>0</vt:i4>
      </vt:variant>
      <vt:variant>
        <vt:i4>5</vt:i4>
      </vt:variant>
      <vt:variant>
        <vt:lpwstr>https://library.fairwork.gov.au/award/?krn=ma000119</vt:lpwstr>
      </vt:variant>
      <vt:variant>
        <vt:lpwstr/>
      </vt:variant>
      <vt:variant>
        <vt:i4>7143470</vt:i4>
      </vt:variant>
      <vt:variant>
        <vt:i4>306</vt:i4>
      </vt:variant>
      <vt:variant>
        <vt:i4>0</vt:i4>
      </vt:variant>
      <vt:variant>
        <vt:i4>5</vt:i4>
      </vt:variant>
      <vt:variant>
        <vt:lpwstr>https://calculate.fairwork.gov.au/</vt:lpwstr>
      </vt:variant>
      <vt:variant>
        <vt:lpwstr/>
      </vt:variant>
      <vt:variant>
        <vt:i4>2687017</vt:i4>
      </vt:variant>
      <vt:variant>
        <vt:i4>303</vt:i4>
      </vt:variant>
      <vt:variant>
        <vt:i4>0</vt:i4>
      </vt:variant>
      <vt:variant>
        <vt:i4>5</vt:i4>
      </vt:variant>
      <vt:variant>
        <vt:lpwstr>https://eprints.qut.edu.au/203119/</vt:lpwstr>
      </vt:variant>
      <vt:variant>
        <vt:lpwstr/>
      </vt:variant>
      <vt:variant>
        <vt:i4>2359338</vt:i4>
      </vt:variant>
      <vt:variant>
        <vt:i4>300</vt:i4>
      </vt:variant>
      <vt:variant>
        <vt:i4>0</vt:i4>
      </vt:variant>
      <vt:variant>
        <vt:i4>5</vt:i4>
      </vt:variant>
      <vt:variant>
        <vt:lpwstr>https://www.abs.gov.au/statistics/labour/employment-and-unemployment/labour-force-australia/latest-release</vt:lpwstr>
      </vt:variant>
      <vt:variant>
        <vt:lpwstr/>
      </vt:variant>
      <vt:variant>
        <vt:i4>2687017</vt:i4>
      </vt:variant>
      <vt:variant>
        <vt:i4>297</vt:i4>
      </vt:variant>
      <vt:variant>
        <vt:i4>0</vt:i4>
      </vt:variant>
      <vt:variant>
        <vt:i4>5</vt:i4>
      </vt:variant>
      <vt:variant>
        <vt:lpwstr>https://eprints.qut.edu.au/203119/</vt:lpwstr>
      </vt:variant>
      <vt:variant>
        <vt:lpwstr/>
      </vt:variant>
      <vt:variant>
        <vt:i4>3801201</vt:i4>
      </vt:variant>
      <vt:variant>
        <vt:i4>294</vt:i4>
      </vt:variant>
      <vt:variant>
        <vt:i4>0</vt:i4>
      </vt:variant>
      <vt:variant>
        <vt:i4>5</vt:i4>
      </vt:variant>
      <vt:variant>
        <vt:lpwstr>https://www.actuaries.asn.au/public-policy-and-media/thought-leadership/green-papers/the-rise-of-the-gig-economy-and-its-impact-on-the-australian-workforce</vt:lpwstr>
      </vt:variant>
      <vt:variant>
        <vt:lpwstr/>
      </vt:variant>
      <vt:variant>
        <vt:i4>6750270</vt:i4>
      </vt:variant>
      <vt:variant>
        <vt:i4>291</vt:i4>
      </vt:variant>
      <vt:variant>
        <vt:i4>0</vt:i4>
      </vt:variant>
      <vt:variant>
        <vt:i4>5</vt:i4>
      </vt:variant>
      <vt:variant>
        <vt:lpwstr>https://www.mahlab.com.au/</vt:lpwstr>
      </vt:variant>
      <vt:variant>
        <vt:lpwstr/>
      </vt:variant>
      <vt:variant>
        <vt:i4>7995489</vt:i4>
      </vt:variant>
      <vt:variant>
        <vt:i4>288</vt:i4>
      </vt:variant>
      <vt:variant>
        <vt:i4>0</vt:i4>
      </vt:variant>
      <vt:variant>
        <vt:i4>5</vt:i4>
      </vt:variant>
      <vt:variant>
        <vt:lpwstr>https://oia.pmc.gov.au/resources/guidance-assessing-impacts/regulatory-burden-measurement-framework</vt:lpwstr>
      </vt:variant>
      <vt:variant>
        <vt:lpwstr/>
      </vt:variant>
      <vt:variant>
        <vt:i4>4128891</vt:i4>
      </vt:variant>
      <vt:variant>
        <vt:i4>285</vt:i4>
      </vt:variant>
      <vt:variant>
        <vt:i4>0</vt:i4>
      </vt:variant>
      <vt:variant>
        <vt:i4>5</vt:i4>
      </vt:variant>
      <vt:variant>
        <vt:lpwstr>https://www.abs.gov.au/statistics/labour/earnings-and-working-conditions/characteristics-employment-australia/latest-release</vt:lpwstr>
      </vt:variant>
      <vt:variant>
        <vt:lpwstr>:~:text=Media%20releases-,Key%20statistics,2.4%20million%20in%20August%202021.</vt:lpwstr>
      </vt:variant>
      <vt:variant>
        <vt:i4>4128891</vt:i4>
      </vt:variant>
      <vt:variant>
        <vt:i4>282</vt:i4>
      </vt:variant>
      <vt:variant>
        <vt:i4>0</vt:i4>
      </vt:variant>
      <vt:variant>
        <vt:i4>5</vt:i4>
      </vt:variant>
      <vt:variant>
        <vt:lpwstr>https://www.abs.gov.au/statistics/labour/earnings-and-working-conditions/characteristics-employment-australia/latest-release</vt:lpwstr>
      </vt:variant>
      <vt:variant>
        <vt:lpwstr>:~:text=Media%20releases-,Key%20statistics,2.4%20million%20in%20August%202021.</vt:lpwstr>
      </vt:variant>
      <vt:variant>
        <vt:i4>7864365</vt:i4>
      </vt:variant>
      <vt:variant>
        <vt:i4>279</vt:i4>
      </vt:variant>
      <vt:variant>
        <vt:i4>0</vt:i4>
      </vt:variant>
      <vt:variant>
        <vt:i4>5</vt:i4>
      </vt:variant>
      <vt:variant>
        <vt:lpwstr>https://www.abs.gov.au/statistics/labour/earnings-and-working-conditions/characteristics-employment-australia/aug-2022</vt:lpwstr>
      </vt:variant>
      <vt:variant>
        <vt:lpwstr/>
      </vt:variant>
      <vt:variant>
        <vt:i4>4259906</vt:i4>
      </vt:variant>
      <vt:variant>
        <vt:i4>276</vt:i4>
      </vt:variant>
      <vt:variant>
        <vt:i4>0</vt:i4>
      </vt:variant>
      <vt:variant>
        <vt:i4>5</vt:i4>
      </vt:variant>
      <vt:variant>
        <vt:lpwstr>https://www.pc.gov.au/inquiries/completed/aged-care-employment/report</vt:lpwstr>
      </vt:variant>
      <vt:variant>
        <vt:lpwstr/>
      </vt:variant>
      <vt:variant>
        <vt:i4>5832771</vt:i4>
      </vt:variant>
      <vt:variant>
        <vt:i4>273</vt:i4>
      </vt:variant>
      <vt:variant>
        <vt:i4>0</vt:i4>
      </vt:variant>
      <vt:variant>
        <vt:i4>5</vt:i4>
      </vt:variant>
      <vt:variant>
        <vt:lpwstr>https://engage.vic.gov.au/inquiry-on-demand-workforce</vt:lpwstr>
      </vt:variant>
      <vt:variant>
        <vt:lpwstr/>
      </vt:variant>
      <vt:variant>
        <vt:i4>5832771</vt:i4>
      </vt:variant>
      <vt:variant>
        <vt:i4>270</vt:i4>
      </vt:variant>
      <vt:variant>
        <vt:i4>0</vt:i4>
      </vt:variant>
      <vt:variant>
        <vt:i4>5</vt:i4>
      </vt:variant>
      <vt:variant>
        <vt:lpwstr>https://engage.vic.gov.au/inquiry-on-demand-workforce</vt:lpwstr>
      </vt:variant>
      <vt:variant>
        <vt:lpwstr/>
      </vt:variant>
      <vt:variant>
        <vt:i4>1769482</vt:i4>
      </vt:variant>
      <vt:variant>
        <vt:i4>267</vt:i4>
      </vt:variant>
      <vt:variant>
        <vt:i4>0</vt:i4>
      </vt:variant>
      <vt:variant>
        <vt:i4>5</vt:i4>
      </vt:variant>
      <vt:variant>
        <vt:lpwstr>https://www.pc.gov.au/inquiries/completed/productivity/report</vt:lpwstr>
      </vt:variant>
      <vt:variant>
        <vt:lpwstr/>
      </vt:variant>
      <vt:variant>
        <vt:i4>5832771</vt:i4>
      </vt:variant>
      <vt:variant>
        <vt:i4>264</vt:i4>
      </vt:variant>
      <vt:variant>
        <vt:i4>0</vt:i4>
      </vt:variant>
      <vt:variant>
        <vt:i4>5</vt:i4>
      </vt:variant>
      <vt:variant>
        <vt:lpwstr>https://engage.vic.gov.au/inquiry-on-demand-workforce</vt:lpwstr>
      </vt:variant>
      <vt:variant>
        <vt:lpwstr/>
      </vt:variant>
      <vt:variant>
        <vt:i4>1769482</vt:i4>
      </vt:variant>
      <vt:variant>
        <vt:i4>261</vt:i4>
      </vt:variant>
      <vt:variant>
        <vt:i4>0</vt:i4>
      </vt:variant>
      <vt:variant>
        <vt:i4>5</vt:i4>
      </vt:variant>
      <vt:variant>
        <vt:lpwstr>https://www.pc.gov.au/inquiries/completed/productivity/report</vt:lpwstr>
      </vt:variant>
      <vt:variant>
        <vt:lpwstr/>
      </vt:variant>
      <vt:variant>
        <vt:i4>2228324</vt:i4>
      </vt:variant>
      <vt:variant>
        <vt:i4>258</vt:i4>
      </vt:variant>
      <vt:variant>
        <vt:i4>0</vt:i4>
      </vt:variant>
      <vt:variant>
        <vt:i4>5</vt:i4>
      </vt:variant>
      <vt:variant>
        <vt:lpwstr>https://www.abs.gov.au/statistics/labour/employment-and-unemployment/participation-job-search-and-mobility-australia/latest-release</vt:lpwstr>
      </vt:variant>
      <vt:variant>
        <vt:lpwstr/>
      </vt:variant>
      <vt:variant>
        <vt:i4>1900580</vt:i4>
      </vt:variant>
      <vt:variant>
        <vt:i4>255</vt:i4>
      </vt:variant>
      <vt:variant>
        <vt:i4>0</vt:i4>
      </vt:variant>
      <vt:variant>
        <vt:i4>5</vt:i4>
      </vt:variant>
      <vt:variant>
        <vt:lpwstr>https://www.aph.gov.au/Parliamentary_Business/Committees/Senate/Job_Security/JobSecurity/Interim_Report</vt:lpwstr>
      </vt:variant>
      <vt:variant>
        <vt:lpwstr/>
      </vt:variant>
      <vt:variant>
        <vt:i4>2687017</vt:i4>
      </vt:variant>
      <vt:variant>
        <vt:i4>252</vt:i4>
      </vt:variant>
      <vt:variant>
        <vt:i4>0</vt:i4>
      </vt:variant>
      <vt:variant>
        <vt:i4>5</vt:i4>
      </vt:variant>
      <vt:variant>
        <vt:lpwstr>https://eprints.qut.edu.au/203119/</vt:lpwstr>
      </vt:variant>
      <vt:variant>
        <vt:lpwstr/>
      </vt:variant>
      <vt:variant>
        <vt:i4>2687017</vt:i4>
      </vt:variant>
      <vt:variant>
        <vt:i4>249</vt:i4>
      </vt:variant>
      <vt:variant>
        <vt:i4>0</vt:i4>
      </vt:variant>
      <vt:variant>
        <vt:i4>5</vt:i4>
      </vt:variant>
      <vt:variant>
        <vt:lpwstr>https://eprints.qut.edu.au/203119/</vt:lpwstr>
      </vt:variant>
      <vt:variant>
        <vt:lpwstr/>
      </vt:variant>
      <vt:variant>
        <vt:i4>2687017</vt:i4>
      </vt:variant>
      <vt:variant>
        <vt:i4>246</vt:i4>
      </vt:variant>
      <vt:variant>
        <vt:i4>0</vt:i4>
      </vt:variant>
      <vt:variant>
        <vt:i4>5</vt:i4>
      </vt:variant>
      <vt:variant>
        <vt:lpwstr>https://eprints.qut.edu.au/203119/</vt:lpwstr>
      </vt:variant>
      <vt:variant>
        <vt:lpwstr/>
      </vt:variant>
      <vt:variant>
        <vt:i4>1769482</vt:i4>
      </vt:variant>
      <vt:variant>
        <vt:i4>243</vt:i4>
      </vt:variant>
      <vt:variant>
        <vt:i4>0</vt:i4>
      </vt:variant>
      <vt:variant>
        <vt:i4>5</vt:i4>
      </vt:variant>
      <vt:variant>
        <vt:lpwstr>https://www.pc.gov.au/inquiries/completed/productivity/report</vt:lpwstr>
      </vt:variant>
      <vt:variant>
        <vt:lpwstr/>
      </vt:variant>
      <vt:variant>
        <vt:i4>1769482</vt:i4>
      </vt:variant>
      <vt:variant>
        <vt:i4>240</vt:i4>
      </vt:variant>
      <vt:variant>
        <vt:i4>0</vt:i4>
      </vt:variant>
      <vt:variant>
        <vt:i4>5</vt:i4>
      </vt:variant>
      <vt:variant>
        <vt:lpwstr>https://www.pc.gov.au/inquiries/completed/productivity/report</vt:lpwstr>
      </vt:variant>
      <vt:variant>
        <vt:lpwstr/>
      </vt:variant>
      <vt:variant>
        <vt:i4>6946915</vt:i4>
      </vt:variant>
      <vt:variant>
        <vt:i4>237</vt:i4>
      </vt:variant>
      <vt:variant>
        <vt:i4>0</vt:i4>
      </vt:variant>
      <vt:variant>
        <vt:i4>5</vt:i4>
      </vt:variant>
      <vt:variant>
        <vt:lpwstr>https://uberaustralia.publicfirst.co/australia/</vt:lpwstr>
      </vt:variant>
      <vt:variant>
        <vt:lpwstr/>
      </vt:variant>
      <vt:variant>
        <vt:i4>3801201</vt:i4>
      </vt:variant>
      <vt:variant>
        <vt:i4>234</vt:i4>
      </vt:variant>
      <vt:variant>
        <vt:i4>0</vt:i4>
      </vt:variant>
      <vt:variant>
        <vt:i4>5</vt:i4>
      </vt:variant>
      <vt:variant>
        <vt:lpwstr>https://www.actuaries.asn.au/public-policy-and-media/thought-leadership/green-papers/the-rise-of-the-gig-economy-and-its-impact-on-the-australian-workforce</vt:lpwstr>
      </vt:variant>
      <vt:variant>
        <vt:lpwstr/>
      </vt:variant>
      <vt:variant>
        <vt:i4>3801201</vt:i4>
      </vt:variant>
      <vt:variant>
        <vt:i4>231</vt:i4>
      </vt:variant>
      <vt:variant>
        <vt:i4>0</vt:i4>
      </vt:variant>
      <vt:variant>
        <vt:i4>5</vt:i4>
      </vt:variant>
      <vt:variant>
        <vt:lpwstr>https://www.actuaries.asn.au/public-policy-and-media/thought-leadership/green-papers/the-rise-of-the-gig-economy-and-its-impact-on-the-australian-workforce</vt:lpwstr>
      </vt:variant>
      <vt:variant>
        <vt:lpwstr/>
      </vt:variant>
      <vt:variant>
        <vt:i4>3801201</vt:i4>
      </vt:variant>
      <vt:variant>
        <vt:i4>228</vt:i4>
      </vt:variant>
      <vt:variant>
        <vt:i4>0</vt:i4>
      </vt:variant>
      <vt:variant>
        <vt:i4>5</vt:i4>
      </vt:variant>
      <vt:variant>
        <vt:lpwstr>https://www.actuaries.asn.au/public-policy-and-media/thought-leadership/green-papers/the-rise-of-the-gig-economy-and-its-impact-on-the-australian-workforce</vt:lpwstr>
      </vt:variant>
      <vt:variant>
        <vt:lpwstr/>
      </vt:variant>
      <vt:variant>
        <vt:i4>7864365</vt:i4>
      </vt:variant>
      <vt:variant>
        <vt:i4>225</vt:i4>
      </vt:variant>
      <vt:variant>
        <vt:i4>0</vt:i4>
      </vt:variant>
      <vt:variant>
        <vt:i4>5</vt:i4>
      </vt:variant>
      <vt:variant>
        <vt:lpwstr>https://www.abs.gov.au/statistics/labour/earnings-and-working-conditions/characteristics-employment-australia/aug-2022</vt:lpwstr>
      </vt:variant>
      <vt:variant>
        <vt:lpwstr/>
      </vt:variant>
      <vt:variant>
        <vt:i4>541327415</vt:i4>
      </vt:variant>
      <vt:variant>
        <vt:i4>222</vt:i4>
      </vt:variant>
      <vt:variant>
        <vt:i4>0</vt:i4>
      </vt:variant>
      <vt:variant>
        <vt:i4>5</vt:i4>
      </vt:variant>
      <vt:variant>
        <vt:lpwstr>https://sharedservicescentre.sharepoint.com/sites/DEWR-EmployeeProtections-TEAM/Shared Documents/Employee-like - NPP, costings, and RIS/Impact Analysis/For Cabinet/P McDonald et al., ‘Digital Platform Work in Australia: Prevalence, Nature and Impact (Digital platform work in Australia)’, commissioned by the Victorian Department of Premier and Cabinet, 2019P McDonald et al., ‘Digital Platform Work in Australia: Prevalence, Nature and Impact (Digital platform work in Australia)’, commissioned by the Victorian Department of Premier and Cabinet, 2019</vt:lpwstr>
      </vt:variant>
      <vt:variant>
        <vt:lpwstr/>
      </vt:variant>
      <vt:variant>
        <vt:i4>541327415</vt:i4>
      </vt:variant>
      <vt:variant>
        <vt:i4>219</vt:i4>
      </vt:variant>
      <vt:variant>
        <vt:i4>0</vt:i4>
      </vt:variant>
      <vt:variant>
        <vt:i4>5</vt:i4>
      </vt:variant>
      <vt:variant>
        <vt:lpwstr>https://sharedservicescentre.sharepoint.com/sites/DEWR-EmployeeProtections-TEAM/Shared Documents/Employee-like - NPP, costings, and RIS/Impact Analysis/For Cabinet/P McDonald et al., ‘Digital Platform Work in Australia: Prevalence, Nature and Impact (Digital platform work in Australia)’, commissioned by the Victorian Department of Premier and Cabinet, 2019</vt:lpwstr>
      </vt:variant>
      <vt:variant>
        <vt:lpwstr/>
      </vt:variant>
      <vt:variant>
        <vt:i4>2687017</vt:i4>
      </vt:variant>
      <vt:variant>
        <vt:i4>216</vt:i4>
      </vt:variant>
      <vt:variant>
        <vt:i4>0</vt:i4>
      </vt:variant>
      <vt:variant>
        <vt:i4>5</vt:i4>
      </vt:variant>
      <vt:variant>
        <vt:lpwstr>https://eprints.qut.edu.au/203119/</vt:lpwstr>
      </vt:variant>
      <vt:variant>
        <vt:lpwstr/>
      </vt:variant>
      <vt:variant>
        <vt:i4>7864365</vt:i4>
      </vt:variant>
      <vt:variant>
        <vt:i4>213</vt:i4>
      </vt:variant>
      <vt:variant>
        <vt:i4>0</vt:i4>
      </vt:variant>
      <vt:variant>
        <vt:i4>5</vt:i4>
      </vt:variant>
      <vt:variant>
        <vt:lpwstr>https://www.abs.gov.au/statistics/labour/earnings-and-working-conditions/characteristics-employment-australia/aug-2022</vt:lpwstr>
      </vt:variant>
      <vt:variant>
        <vt:lpwstr/>
      </vt:variant>
      <vt:variant>
        <vt:i4>4653056</vt:i4>
      </vt:variant>
      <vt:variant>
        <vt:i4>210</vt:i4>
      </vt:variant>
      <vt:variant>
        <vt:i4>0</vt:i4>
      </vt:variant>
      <vt:variant>
        <vt:i4>5</vt:i4>
      </vt:variant>
      <vt:variant>
        <vt:lpwstr>https://apo.org.au/node/62462</vt:lpwstr>
      </vt:variant>
      <vt:variant>
        <vt:lpwstr/>
      </vt:variant>
      <vt:variant>
        <vt:i4>1638466</vt:i4>
      </vt:variant>
      <vt:variant>
        <vt:i4>207</vt:i4>
      </vt:variant>
      <vt:variant>
        <vt:i4>0</vt:i4>
      </vt:variant>
      <vt:variant>
        <vt:i4>5</vt:i4>
      </vt:variant>
      <vt:variant>
        <vt:lpwstr>https://www.parliament.nsw.gov.au/committees/listofcommittees/Pages/committee-details.aspx?pk=265</vt:lpwstr>
      </vt:variant>
      <vt:variant>
        <vt:lpwstr/>
      </vt:variant>
      <vt:variant>
        <vt:i4>1638466</vt:i4>
      </vt:variant>
      <vt:variant>
        <vt:i4>204</vt:i4>
      </vt:variant>
      <vt:variant>
        <vt:i4>0</vt:i4>
      </vt:variant>
      <vt:variant>
        <vt:i4>5</vt:i4>
      </vt:variant>
      <vt:variant>
        <vt:lpwstr>https://www.parliament.nsw.gov.au/committees/listofcommittees/Pages/committee-details.aspx?pk=265</vt:lpwstr>
      </vt:variant>
      <vt:variant>
        <vt:lpwstr/>
      </vt:variant>
      <vt:variant>
        <vt:i4>1310740</vt:i4>
      </vt:variant>
      <vt:variant>
        <vt:i4>201</vt:i4>
      </vt:variant>
      <vt:variant>
        <vt:i4>0</vt:i4>
      </vt:variant>
      <vt:variant>
        <vt:i4>5</vt:i4>
      </vt:variant>
      <vt:variant>
        <vt:lpwstr>https://www.aph.gov.au/Parliamentary_Business/Committees/Senate/Job_Security/JobSecurity/Fourth_Interim_Report</vt:lpwstr>
      </vt:variant>
      <vt:variant>
        <vt:lpwstr/>
      </vt:variant>
      <vt:variant>
        <vt:i4>1507392</vt:i4>
      </vt:variant>
      <vt:variant>
        <vt:i4>198</vt:i4>
      </vt:variant>
      <vt:variant>
        <vt:i4>0</vt:i4>
      </vt:variant>
      <vt:variant>
        <vt:i4>5</vt:i4>
      </vt:variant>
      <vt:variant>
        <vt:lpwstr>http://www.directory.gov.au/</vt:lpwstr>
      </vt:variant>
      <vt:variant>
        <vt:lpwstr/>
      </vt:variant>
      <vt:variant>
        <vt:i4>3014706</vt:i4>
      </vt:variant>
      <vt:variant>
        <vt:i4>195</vt:i4>
      </vt:variant>
      <vt:variant>
        <vt:i4>0</vt:i4>
      </vt:variant>
      <vt:variant>
        <vt:i4>5</vt:i4>
      </vt:variant>
      <vt:variant>
        <vt:lpwstr>https://www.directory.gov.au/portfolios/employment-and-workplace-relations/department-employment-and-workplace-relations/employment-and-workforce/national-workplace-relations-consultative-council</vt:lpwstr>
      </vt:variant>
      <vt:variant>
        <vt:lpwstr/>
      </vt:variant>
      <vt:variant>
        <vt:i4>262146</vt:i4>
      </vt:variant>
      <vt:variant>
        <vt:i4>192</vt:i4>
      </vt:variant>
      <vt:variant>
        <vt:i4>0</vt:i4>
      </vt:variant>
      <vt:variant>
        <vt:i4>5</vt:i4>
      </vt:variant>
      <vt:variant>
        <vt:lpwstr>https://www.dewr.gov.au/2023-workplace-reform-consultations/resources/employee-forms-work-consultation-paper</vt:lpwstr>
      </vt:variant>
      <vt:variant>
        <vt:lpwstr/>
      </vt:variant>
      <vt:variant>
        <vt:i4>262146</vt:i4>
      </vt:variant>
      <vt:variant>
        <vt:i4>189</vt:i4>
      </vt:variant>
      <vt:variant>
        <vt:i4>0</vt:i4>
      </vt:variant>
      <vt:variant>
        <vt:i4>5</vt:i4>
      </vt:variant>
      <vt:variant>
        <vt:lpwstr>https://www.dewr.gov.au/2023-workplace-reform-consultations/resources/employee-forms-work-consultation-paper</vt:lpwstr>
      </vt:variant>
      <vt:variant>
        <vt:lpwstr/>
      </vt:variant>
      <vt:variant>
        <vt:i4>983121</vt:i4>
      </vt:variant>
      <vt:variant>
        <vt:i4>186</vt:i4>
      </vt:variant>
      <vt:variant>
        <vt:i4>0</vt:i4>
      </vt:variant>
      <vt:variant>
        <vt:i4>5</vt:i4>
      </vt:variant>
      <vt:variant>
        <vt:lpwstr>https://www.abs.gov.au/statistics/economy/business-indicators/counts-australian-businesses-including-entries-and-exits/latest-release</vt:lpwstr>
      </vt:variant>
      <vt:variant>
        <vt:lpwstr/>
      </vt:variant>
      <vt:variant>
        <vt:i4>4128891</vt:i4>
      </vt:variant>
      <vt:variant>
        <vt:i4>183</vt:i4>
      </vt:variant>
      <vt:variant>
        <vt:i4>0</vt:i4>
      </vt:variant>
      <vt:variant>
        <vt:i4>5</vt:i4>
      </vt:variant>
      <vt:variant>
        <vt:lpwstr>https://www.abs.gov.au/statistics/labour/earnings-and-working-conditions/characteristics-employment-australia/latest-release</vt:lpwstr>
      </vt:variant>
      <vt:variant>
        <vt:lpwstr>:~:text=Media%20releases-,Key%20statistics,2.4%20million%20in%20August%202021.</vt:lpwstr>
      </vt:variant>
      <vt:variant>
        <vt:i4>2687017</vt:i4>
      </vt:variant>
      <vt:variant>
        <vt:i4>180</vt:i4>
      </vt:variant>
      <vt:variant>
        <vt:i4>0</vt:i4>
      </vt:variant>
      <vt:variant>
        <vt:i4>5</vt:i4>
      </vt:variant>
      <vt:variant>
        <vt:lpwstr>https://eprints.qut.edu.au/203119/</vt:lpwstr>
      </vt:variant>
      <vt:variant>
        <vt:lpwstr/>
      </vt:variant>
      <vt:variant>
        <vt:i4>4849677</vt:i4>
      </vt:variant>
      <vt:variant>
        <vt:i4>177</vt:i4>
      </vt:variant>
      <vt:variant>
        <vt:i4>0</vt:i4>
      </vt:variant>
      <vt:variant>
        <vt:i4>5</vt:i4>
      </vt:variant>
      <vt:variant>
        <vt:lpwstr>https://www.uber.com/au/en/u/gig-reform/</vt:lpwstr>
      </vt:variant>
      <vt:variant>
        <vt:lpwstr/>
      </vt:variant>
      <vt:variant>
        <vt:i4>4522052</vt:i4>
      </vt:variant>
      <vt:variant>
        <vt:i4>174</vt:i4>
      </vt:variant>
      <vt:variant>
        <vt:i4>0</vt:i4>
      </vt:variant>
      <vt:variant>
        <vt:i4>5</vt:i4>
      </vt:variant>
      <vt:variant>
        <vt:lpwstr>https://www.parliament.nsw.gov.au/committees/listofcommittees/Pages/committee-details.aspx?pk=265</vt:lpwstr>
      </vt:variant>
      <vt:variant>
        <vt:lpwstr>tab-reportsandgovernmentresponses</vt:lpwstr>
      </vt:variant>
      <vt:variant>
        <vt:i4>2687017</vt:i4>
      </vt:variant>
      <vt:variant>
        <vt:i4>171</vt:i4>
      </vt:variant>
      <vt:variant>
        <vt:i4>0</vt:i4>
      </vt:variant>
      <vt:variant>
        <vt:i4>5</vt:i4>
      </vt:variant>
      <vt:variant>
        <vt:lpwstr>https://eprints.qut.edu.au/203119/</vt:lpwstr>
      </vt:variant>
      <vt:variant>
        <vt:lpwstr/>
      </vt:variant>
      <vt:variant>
        <vt:i4>8192044</vt:i4>
      </vt:variant>
      <vt:variant>
        <vt:i4>168</vt:i4>
      </vt:variant>
      <vt:variant>
        <vt:i4>0</vt:i4>
      </vt:variant>
      <vt:variant>
        <vt:i4>5</vt:i4>
      </vt:variant>
      <vt:variant>
        <vt:lpwstr>https://melbourneinstitute.unimelb.edu.au/hilda/publications/hilda-statistical-reports</vt:lpwstr>
      </vt:variant>
      <vt:variant>
        <vt:lpwstr/>
      </vt:variant>
      <vt:variant>
        <vt:i4>2621551</vt:i4>
      </vt:variant>
      <vt:variant>
        <vt:i4>165</vt:i4>
      </vt:variant>
      <vt:variant>
        <vt:i4>0</vt:i4>
      </vt:variant>
      <vt:variant>
        <vt:i4>5</vt:i4>
      </vt:variant>
      <vt:variant>
        <vt:lpwstr>https://www.uber.com/en-AU/newsroom/flexibility-works/</vt:lpwstr>
      </vt:variant>
      <vt:variant>
        <vt:lpwstr/>
      </vt:variant>
      <vt:variant>
        <vt:i4>786457</vt:i4>
      </vt:variant>
      <vt:variant>
        <vt:i4>162</vt:i4>
      </vt:variant>
      <vt:variant>
        <vt:i4>0</vt:i4>
      </vt:variant>
      <vt:variant>
        <vt:i4>5</vt:i4>
      </vt:variant>
      <vt:variant>
        <vt:lpwstr>https://www.superannuation.asn.au/policy/reports</vt:lpwstr>
      </vt:variant>
      <vt:variant>
        <vt:lpwstr/>
      </vt:variant>
      <vt:variant>
        <vt:i4>3801201</vt:i4>
      </vt:variant>
      <vt:variant>
        <vt:i4>159</vt:i4>
      </vt:variant>
      <vt:variant>
        <vt:i4>0</vt:i4>
      </vt:variant>
      <vt:variant>
        <vt:i4>5</vt:i4>
      </vt:variant>
      <vt:variant>
        <vt:lpwstr>https://www.actuaries.asn.au/public-policy-and-media/thought-leadership/green-papers/the-rise-of-the-gig-economy-and-its-impact-on-the-australian-workforce</vt:lpwstr>
      </vt:variant>
      <vt:variant>
        <vt:lpwstr/>
      </vt:variant>
      <vt:variant>
        <vt:i4>1835095</vt:i4>
      </vt:variant>
      <vt:variant>
        <vt:i4>156</vt:i4>
      </vt:variant>
      <vt:variant>
        <vt:i4>0</vt:i4>
      </vt:variant>
      <vt:variant>
        <vt:i4>5</vt:i4>
      </vt:variant>
      <vt:variant>
        <vt:lpwstr>https://www.industrysuper.com/media/extending-the-super-guarantee-to-gig-workers/</vt:lpwstr>
      </vt:variant>
      <vt:variant>
        <vt:lpwstr/>
      </vt:variant>
      <vt:variant>
        <vt:i4>2687017</vt:i4>
      </vt:variant>
      <vt:variant>
        <vt:i4>153</vt:i4>
      </vt:variant>
      <vt:variant>
        <vt:i4>0</vt:i4>
      </vt:variant>
      <vt:variant>
        <vt:i4>5</vt:i4>
      </vt:variant>
      <vt:variant>
        <vt:lpwstr>https://eprints.qut.edu.au/203119/</vt:lpwstr>
      </vt:variant>
      <vt:variant>
        <vt:lpwstr/>
      </vt:variant>
      <vt:variant>
        <vt:i4>2687017</vt:i4>
      </vt:variant>
      <vt:variant>
        <vt:i4>150</vt:i4>
      </vt:variant>
      <vt:variant>
        <vt:i4>0</vt:i4>
      </vt:variant>
      <vt:variant>
        <vt:i4>5</vt:i4>
      </vt:variant>
      <vt:variant>
        <vt:lpwstr>https://eprints.qut.edu.au/203119/</vt:lpwstr>
      </vt:variant>
      <vt:variant>
        <vt:lpwstr/>
      </vt:variant>
      <vt:variant>
        <vt:i4>4718622</vt:i4>
      </vt:variant>
      <vt:variant>
        <vt:i4>147</vt:i4>
      </vt:variant>
      <vt:variant>
        <vt:i4>0</vt:i4>
      </vt:variant>
      <vt:variant>
        <vt:i4>5</vt:i4>
      </vt:variant>
      <vt:variant>
        <vt:lpwstr>https://www.abs.gov.au/statistics/labour/earnings-and-working-conditions/characteristics-employment-australia/latest-release</vt:lpwstr>
      </vt:variant>
      <vt:variant>
        <vt:lpwstr/>
      </vt:variant>
      <vt:variant>
        <vt:i4>917572</vt:i4>
      </vt:variant>
      <vt:variant>
        <vt:i4>144</vt:i4>
      </vt:variant>
      <vt:variant>
        <vt:i4>0</vt:i4>
      </vt:variant>
      <vt:variant>
        <vt:i4>5</vt:i4>
      </vt:variant>
      <vt:variant>
        <vt:lpwstr>https://www.abs.gov.au/statistics/detailed-methodology-information/concepts-sources-methods/labour-statistics-concepts-sources-and-methods/2021/concepts-and-sources/employment-arrangements</vt:lpwstr>
      </vt:variant>
      <vt:variant>
        <vt:lpwstr/>
      </vt:variant>
      <vt:variant>
        <vt:i4>4259850</vt:i4>
      </vt:variant>
      <vt:variant>
        <vt:i4>141</vt:i4>
      </vt:variant>
      <vt:variant>
        <vt:i4>0</vt:i4>
      </vt:variant>
      <vt:variant>
        <vt:i4>5</vt:i4>
      </vt:variant>
      <vt:variant>
        <vt:lpwstr>https://www.parliament.nsw.gov.au/pbo/Pages/2023-ALP-election-policy-costing.aspx</vt:lpwstr>
      </vt:variant>
      <vt:variant>
        <vt:lpwstr/>
      </vt:variant>
      <vt:variant>
        <vt:i4>5832771</vt:i4>
      </vt:variant>
      <vt:variant>
        <vt:i4>138</vt:i4>
      </vt:variant>
      <vt:variant>
        <vt:i4>0</vt:i4>
      </vt:variant>
      <vt:variant>
        <vt:i4>5</vt:i4>
      </vt:variant>
      <vt:variant>
        <vt:lpwstr>https://engage.vic.gov.au/inquiry-on-demand-workforce</vt:lpwstr>
      </vt:variant>
      <vt:variant>
        <vt:lpwstr/>
      </vt:variant>
      <vt:variant>
        <vt:i4>5832771</vt:i4>
      </vt:variant>
      <vt:variant>
        <vt:i4>135</vt:i4>
      </vt:variant>
      <vt:variant>
        <vt:i4>0</vt:i4>
      </vt:variant>
      <vt:variant>
        <vt:i4>5</vt:i4>
      </vt:variant>
      <vt:variant>
        <vt:lpwstr>https://engage.vic.gov.au/inquiry-on-demand-workforce</vt:lpwstr>
      </vt:variant>
      <vt:variant>
        <vt:lpwstr/>
      </vt:variant>
      <vt:variant>
        <vt:i4>1769589</vt:i4>
      </vt:variant>
      <vt:variant>
        <vt:i4>132</vt:i4>
      </vt:variant>
      <vt:variant>
        <vt:i4>0</vt:i4>
      </vt:variant>
      <vt:variant>
        <vt:i4>5</vt:i4>
      </vt:variant>
      <vt:variant>
        <vt:lpwstr>https://business.vic.gov.au/__data/assets/pdf_file/0007/2088115/1-Tonne-Van-Courier-Messenger-2022-23.pdf</vt:lpwstr>
      </vt:variant>
      <vt:variant>
        <vt:lpwstr/>
      </vt:variant>
      <vt:variant>
        <vt:i4>7667817</vt:i4>
      </vt:variant>
      <vt:variant>
        <vt:i4>129</vt:i4>
      </vt:variant>
      <vt:variant>
        <vt:i4>0</vt:i4>
      </vt:variant>
      <vt:variant>
        <vt:i4>5</vt:i4>
      </vt:variant>
      <vt:variant>
        <vt:lpwstr>https://www.nhvr.gov.au/law-policies/heavy-vehicle-national-law-and-regulations</vt:lpwstr>
      </vt:variant>
      <vt:variant>
        <vt:lpwstr/>
      </vt:variant>
      <vt:variant>
        <vt:i4>1769482</vt:i4>
      </vt:variant>
      <vt:variant>
        <vt:i4>126</vt:i4>
      </vt:variant>
      <vt:variant>
        <vt:i4>0</vt:i4>
      </vt:variant>
      <vt:variant>
        <vt:i4>5</vt:i4>
      </vt:variant>
      <vt:variant>
        <vt:lpwstr>https://www.pc.gov.au/inquiries/completed/productivity/report</vt:lpwstr>
      </vt:variant>
      <vt:variant>
        <vt:lpwstr/>
      </vt:variant>
      <vt:variant>
        <vt:i4>1769482</vt:i4>
      </vt:variant>
      <vt:variant>
        <vt:i4>123</vt:i4>
      </vt:variant>
      <vt:variant>
        <vt:i4>0</vt:i4>
      </vt:variant>
      <vt:variant>
        <vt:i4>5</vt:i4>
      </vt:variant>
      <vt:variant>
        <vt:lpwstr>https://www.pc.gov.au/inquiries/completed/productivity/report</vt:lpwstr>
      </vt:variant>
      <vt:variant>
        <vt:lpwstr/>
      </vt:variant>
      <vt:variant>
        <vt:i4>6684710</vt:i4>
      </vt:variant>
      <vt:variant>
        <vt:i4>120</vt:i4>
      </vt:variant>
      <vt:variant>
        <vt:i4>0</vt:i4>
      </vt:variant>
      <vt:variant>
        <vt:i4>5</vt:i4>
      </vt:variant>
      <vt:variant>
        <vt:lpwstr>https://www.aph.gov.au/Parliamentary_Business/Bills_Legislation/Bills_Search_Results/Result?bId=r2584.</vt:lpwstr>
      </vt:variant>
      <vt:variant>
        <vt:lpwstr/>
      </vt:variant>
      <vt:variant>
        <vt:i4>262146</vt:i4>
      </vt:variant>
      <vt:variant>
        <vt:i4>117</vt:i4>
      </vt:variant>
      <vt:variant>
        <vt:i4>0</vt:i4>
      </vt:variant>
      <vt:variant>
        <vt:i4>5</vt:i4>
      </vt:variant>
      <vt:variant>
        <vt:lpwstr>https://www.dewr.gov.au/2023-workplace-reform-consultations/resources/employee-forms-work-consultation-paper</vt:lpwstr>
      </vt:variant>
      <vt:variant>
        <vt:lpwstr/>
      </vt:variant>
      <vt:variant>
        <vt:i4>1638466</vt:i4>
      </vt:variant>
      <vt:variant>
        <vt:i4>114</vt:i4>
      </vt:variant>
      <vt:variant>
        <vt:i4>0</vt:i4>
      </vt:variant>
      <vt:variant>
        <vt:i4>5</vt:i4>
      </vt:variant>
      <vt:variant>
        <vt:lpwstr>https://www.parliament.nsw.gov.au/committees/listofcommittees/Pages/committee-details.aspx?pk=265</vt:lpwstr>
      </vt:variant>
      <vt:variant>
        <vt:lpwstr/>
      </vt:variant>
      <vt:variant>
        <vt:i4>5111887</vt:i4>
      </vt:variant>
      <vt:variant>
        <vt:i4>111</vt:i4>
      </vt:variant>
      <vt:variant>
        <vt:i4>0</vt:i4>
      </vt:variant>
      <vt:variant>
        <vt:i4>5</vt:i4>
      </vt:variant>
      <vt:variant>
        <vt:lpwstr>https://www.aph.gov.au/Parliamentary_Business/Committees/Senate/Rural_and_Regional_Affairs_and_Transport/RoadTransportIndustry/Report</vt:lpwstr>
      </vt:variant>
      <vt:variant>
        <vt:lpwstr/>
      </vt:variant>
      <vt:variant>
        <vt:i4>1900580</vt:i4>
      </vt:variant>
      <vt:variant>
        <vt:i4>108</vt:i4>
      </vt:variant>
      <vt:variant>
        <vt:i4>0</vt:i4>
      </vt:variant>
      <vt:variant>
        <vt:i4>5</vt:i4>
      </vt:variant>
      <vt:variant>
        <vt:lpwstr>https://www.aph.gov.au/Parliamentary_Business/Committees/Senate/Job_Security/JobSecurity/Interim_Report</vt:lpwstr>
      </vt:variant>
      <vt:variant>
        <vt:lpwstr/>
      </vt:variant>
      <vt:variant>
        <vt:i4>1769482</vt:i4>
      </vt:variant>
      <vt:variant>
        <vt:i4>105</vt:i4>
      </vt:variant>
      <vt:variant>
        <vt:i4>0</vt:i4>
      </vt:variant>
      <vt:variant>
        <vt:i4>5</vt:i4>
      </vt:variant>
      <vt:variant>
        <vt:lpwstr>https://www.pc.gov.au/inquiries/completed/productivity/report</vt:lpwstr>
      </vt:variant>
      <vt:variant>
        <vt:lpwstr/>
      </vt:variant>
      <vt:variant>
        <vt:i4>1769482</vt:i4>
      </vt:variant>
      <vt:variant>
        <vt:i4>102</vt:i4>
      </vt:variant>
      <vt:variant>
        <vt:i4>0</vt:i4>
      </vt:variant>
      <vt:variant>
        <vt:i4>5</vt:i4>
      </vt:variant>
      <vt:variant>
        <vt:lpwstr>https://www.pc.gov.au/inquiries/completed/productivity/report</vt:lpwstr>
      </vt:variant>
      <vt:variant>
        <vt:lpwstr/>
      </vt:variant>
      <vt:variant>
        <vt:i4>5832771</vt:i4>
      </vt:variant>
      <vt:variant>
        <vt:i4>99</vt:i4>
      </vt:variant>
      <vt:variant>
        <vt:i4>0</vt:i4>
      </vt:variant>
      <vt:variant>
        <vt:i4>5</vt:i4>
      </vt:variant>
      <vt:variant>
        <vt:lpwstr>https://engage.vic.gov.au/inquiry-on-demand-workforce</vt:lpwstr>
      </vt:variant>
      <vt:variant>
        <vt:lpwstr/>
      </vt:variant>
      <vt:variant>
        <vt:i4>5832771</vt:i4>
      </vt:variant>
      <vt:variant>
        <vt:i4>96</vt:i4>
      </vt:variant>
      <vt:variant>
        <vt:i4>0</vt:i4>
      </vt:variant>
      <vt:variant>
        <vt:i4>5</vt:i4>
      </vt:variant>
      <vt:variant>
        <vt:lpwstr>https://engage.vic.gov.au/inquiry-on-demand-workforce</vt:lpwstr>
      </vt:variant>
      <vt:variant>
        <vt:lpwstr/>
      </vt:variant>
      <vt:variant>
        <vt:i4>1769482</vt:i4>
      </vt:variant>
      <vt:variant>
        <vt:i4>93</vt:i4>
      </vt:variant>
      <vt:variant>
        <vt:i4>0</vt:i4>
      </vt:variant>
      <vt:variant>
        <vt:i4>5</vt:i4>
      </vt:variant>
      <vt:variant>
        <vt:lpwstr>https://www.pc.gov.au/inquiries/completed/productivity/report</vt:lpwstr>
      </vt:variant>
      <vt:variant>
        <vt:lpwstr/>
      </vt:variant>
      <vt:variant>
        <vt:i4>5832771</vt:i4>
      </vt:variant>
      <vt:variant>
        <vt:i4>90</vt:i4>
      </vt:variant>
      <vt:variant>
        <vt:i4>0</vt:i4>
      </vt:variant>
      <vt:variant>
        <vt:i4>5</vt:i4>
      </vt:variant>
      <vt:variant>
        <vt:lpwstr>https://engage.vic.gov.au/inquiry-on-demand-workforce</vt:lpwstr>
      </vt:variant>
      <vt:variant>
        <vt:lpwstr/>
      </vt:variant>
      <vt:variant>
        <vt:i4>5111887</vt:i4>
      </vt:variant>
      <vt:variant>
        <vt:i4>87</vt:i4>
      </vt:variant>
      <vt:variant>
        <vt:i4>0</vt:i4>
      </vt:variant>
      <vt:variant>
        <vt:i4>5</vt:i4>
      </vt:variant>
      <vt:variant>
        <vt:lpwstr>https://www.aph.gov.au/Parliamentary_Business/Committees/Senate/Rural_and_Regional_Affairs_and_Transport/RoadTransportIndustry/Report</vt:lpwstr>
      </vt:variant>
      <vt:variant>
        <vt:lpwstr/>
      </vt:variant>
      <vt:variant>
        <vt:i4>5111887</vt:i4>
      </vt:variant>
      <vt:variant>
        <vt:i4>84</vt:i4>
      </vt:variant>
      <vt:variant>
        <vt:i4>0</vt:i4>
      </vt:variant>
      <vt:variant>
        <vt:i4>5</vt:i4>
      </vt:variant>
      <vt:variant>
        <vt:lpwstr>https://www.aph.gov.au/Parliamentary_Business/Committees/Senate/Rural_and_Regional_Affairs_and_Transport/RoadTransportIndustry/Report</vt:lpwstr>
      </vt:variant>
      <vt:variant>
        <vt:lpwstr/>
      </vt:variant>
      <vt:variant>
        <vt:i4>5111887</vt:i4>
      </vt:variant>
      <vt:variant>
        <vt:i4>81</vt:i4>
      </vt:variant>
      <vt:variant>
        <vt:i4>0</vt:i4>
      </vt:variant>
      <vt:variant>
        <vt:i4>5</vt:i4>
      </vt:variant>
      <vt:variant>
        <vt:lpwstr>https://www.aph.gov.au/Parliamentary_Business/Committees/Senate/Rural_and_Regional_Affairs_and_Transport/RoadTransportIndustry/Report</vt:lpwstr>
      </vt:variant>
      <vt:variant>
        <vt:lpwstr/>
      </vt:variant>
      <vt:variant>
        <vt:i4>1769482</vt:i4>
      </vt:variant>
      <vt:variant>
        <vt:i4>78</vt:i4>
      </vt:variant>
      <vt:variant>
        <vt:i4>0</vt:i4>
      </vt:variant>
      <vt:variant>
        <vt:i4>5</vt:i4>
      </vt:variant>
      <vt:variant>
        <vt:lpwstr>https://www.pc.gov.au/inquiries/completed/productivity/report</vt:lpwstr>
      </vt:variant>
      <vt:variant>
        <vt:lpwstr/>
      </vt:variant>
      <vt:variant>
        <vt:i4>1769482</vt:i4>
      </vt:variant>
      <vt:variant>
        <vt:i4>75</vt:i4>
      </vt:variant>
      <vt:variant>
        <vt:i4>0</vt:i4>
      </vt:variant>
      <vt:variant>
        <vt:i4>5</vt:i4>
      </vt:variant>
      <vt:variant>
        <vt:lpwstr>https://www.pc.gov.au/inquiries/completed/productivity/report</vt:lpwstr>
      </vt:variant>
      <vt:variant>
        <vt:lpwstr/>
      </vt:variant>
      <vt:variant>
        <vt:i4>1769482</vt:i4>
      </vt:variant>
      <vt:variant>
        <vt:i4>72</vt:i4>
      </vt:variant>
      <vt:variant>
        <vt:i4>0</vt:i4>
      </vt:variant>
      <vt:variant>
        <vt:i4>5</vt:i4>
      </vt:variant>
      <vt:variant>
        <vt:lpwstr>https://www.pc.gov.au/inquiries/completed/productivity/report</vt:lpwstr>
      </vt:variant>
      <vt:variant>
        <vt:lpwstr/>
      </vt:variant>
      <vt:variant>
        <vt:i4>1769482</vt:i4>
      </vt:variant>
      <vt:variant>
        <vt:i4>69</vt:i4>
      </vt:variant>
      <vt:variant>
        <vt:i4>0</vt:i4>
      </vt:variant>
      <vt:variant>
        <vt:i4>5</vt:i4>
      </vt:variant>
      <vt:variant>
        <vt:lpwstr>https://www.pc.gov.au/inquiries/completed/productivity/report</vt:lpwstr>
      </vt:variant>
      <vt:variant>
        <vt:lpwstr/>
      </vt:variant>
      <vt:variant>
        <vt:i4>1638466</vt:i4>
      </vt:variant>
      <vt:variant>
        <vt:i4>66</vt:i4>
      </vt:variant>
      <vt:variant>
        <vt:i4>0</vt:i4>
      </vt:variant>
      <vt:variant>
        <vt:i4>5</vt:i4>
      </vt:variant>
      <vt:variant>
        <vt:lpwstr>https://www.parliament.nsw.gov.au/committees/listofcommittees/Pages/committee-details.aspx?pk=265</vt:lpwstr>
      </vt:variant>
      <vt:variant>
        <vt:lpwstr/>
      </vt:variant>
      <vt:variant>
        <vt:i4>5832771</vt:i4>
      </vt:variant>
      <vt:variant>
        <vt:i4>63</vt:i4>
      </vt:variant>
      <vt:variant>
        <vt:i4>0</vt:i4>
      </vt:variant>
      <vt:variant>
        <vt:i4>5</vt:i4>
      </vt:variant>
      <vt:variant>
        <vt:lpwstr>https://engage.vic.gov.au/inquiry-on-demand-workforce</vt:lpwstr>
      </vt:variant>
      <vt:variant>
        <vt:lpwstr/>
      </vt:variant>
      <vt:variant>
        <vt:i4>5832771</vt:i4>
      </vt:variant>
      <vt:variant>
        <vt:i4>60</vt:i4>
      </vt:variant>
      <vt:variant>
        <vt:i4>0</vt:i4>
      </vt:variant>
      <vt:variant>
        <vt:i4>5</vt:i4>
      </vt:variant>
      <vt:variant>
        <vt:lpwstr>https://engage.vic.gov.au/inquiry-on-demand-workforce</vt:lpwstr>
      </vt:variant>
      <vt:variant>
        <vt:lpwstr/>
      </vt:variant>
      <vt:variant>
        <vt:i4>5832771</vt:i4>
      </vt:variant>
      <vt:variant>
        <vt:i4>57</vt:i4>
      </vt:variant>
      <vt:variant>
        <vt:i4>0</vt:i4>
      </vt:variant>
      <vt:variant>
        <vt:i4>5</vt:i4>
      </vt:variant>
      <vt:variant>
        <vt:lpwstr>https://engage.vic.gov.au/inquiry-on-demand-workforce</vt:lpwstr>
      </vt:variant>
      <vt:variant>
        <vt:lpwstr/>
      </vt:variant>
      <vt:variant>
        <vt:i4>5832771</vt:i4>
      </vt:variant>
      <vt:variant>
        <vt:i4>54</vt:i4>
      </vt:variant>
      <vt:variant>
        <vt:i4>0</vt:i4>
      </vt:variant>
      <vt:variant>
        <vt:i4>5</vt:i4>
      </vt:variant>
      <vt:variant>
        <vt:lpwstr>https://engage.vic.gov.au/inquiry-on-demand-workforce</vt:lpwstr>
      </vt:variant>
      <vt:variant>
        <vt:lpwstr/>
      </vt:variant>
      <vt:variant>
        <vt:i4>1638466</vt:i4>
      </vt:variant>
      <vt:variant>
        <vt:i4>51</vt:i4>
      </vt:variant>
      <vt:variant>
        <vt:i4>0</vt:i4>
      </vt:variant>
      <vt:variant>
        <vt:i4>5</vt:i4>
      </vt:variant>
      <vt:variant>
        <vt:lpwstr>https://www.parliament.nsw.gov.au/committees/listofcommittees/Pages/committee-details.aspx?pk=265</vt:lpwstr>
      </vt:variant>
      <vt:variant>
        <vt:lpwstr/>
      </vt:variant>
      <vt:variant>
        <vt:i4>1638466</vt:i4>
      </vt:variant>
      <vt:variant>
        <vt:i4>48</vt:i4>
      </vt:variant>
      <vt:variant>
        <vt:i4>0</vt:i4>
      </vt:variant>
      <vt:variant>
        <vt:i4>5</vt:i4>
      </vt:variant>
      <vt:variant>
        <vt:lpwstr>https://www.parliament.nsw.gov.au/committees/listofcommittees/Pages/committee-details.aspx?pk=265</vt:lpwstr>
      </vt:variant>
      <vt:variant>
        <vt:lpwstr/>
      </vt:variant>
      <vt:variant>
        <vt:i4>5111887</vt:i4>
      </vt:variant>
      <vt:variant>
        <vt:i4>45</vt:i4>
      </vt:variant>
      <vt:variant>
        <vt:i4>0</vt:i4>
      </vt:variant>
      <vt:variant>
        <vt:i4>5</vt:i4>
      </vt:variant>
      <vt:variant>
        <vt:lpwstr>https://www.aph.gov.au/Parliamentary_Business/Committees/Senate/Rural_and_Regional_Affairs_and_Transport/RoadTransportIndustry/Report</vt:lpwstr>
      </vt:variant>
      <vt:variant>
        <vt:lpwstr/>
      </vt:variant>
      <vt:variant>
        <vt:i4>1310740</vt:i4>
      </vt:variant>
      <vt:variant>
        <vt:i4>42</vt:i4>
      </vt:variant>
      <vt:variant>
        <vt:i4>0</vt:i4>
      </vt:variant>
      <vt:variant>
        <vt:i4>5</vt:i4>
      </vt:variant>
      <vt:variant>
        <vt:lpwstr>https://www.aph.gov.au/Parliamentary_Business/Committees/Senate/Job_Security/JobSecurity/Fourth_Interim_Report</vt:lpwstr>
      </vt:variant>
      <vt:variant>
        <vt:lpwstr/>
      </vt:variant>
      <vt:variant>
        <vt:i4>1900580</vt:i4>
      </vt:variant>
      <vt:variant>
        <vt:i4>39</vt:i4>
      </vt:variant>
      <vt:variant>
        <vt:i4>0</vt:i4>
      </vt:variant>
      <vt:variant>
        <vt:i4>5</vt:i4>
      </vt:variant>
      <vt:variant>
        <vt:lpwstr>https://www.aph.gov.au/Parliamentary_Business/Committees/Senate/Job_Security/JobSecurity/Interim_Report</vt:lpwstr>
      </vt:variant>
      <vt:variant>
        <vt:lpwstr/>
      </vt:variant>
      <vt:variant>
        <vt:i4>1769482</vt:i4>
      </vt:variant>
      <vt:variant>
        <vt:i4>36</vt:i4>
      </vt:variant>
      <vt:variant>
        <vt:i4>0</vt:i4>
      </vt:variant>
      <vt:variant>
        <vt:i4>5</vt:i4>
      </vt:variant>
      <vt:variant>
        <vt:lpwstr>https://www.pc.gov.au/inquiries/completed/productivity/report</vt:lpwstr>
      </vt:variant>
      <vt:variant>
        <vt:lpwstr/>
      </vt:variant>
      <vt:variant>
        <vt:i4>5832771</vt:i4>
      </vt:variant>
      <vt:variant>
        <vt:i4>33</vt:i4>
      </vt:variant>
      <vt:variant>
        <vt:i4>0</vt:i4>
      </vt:variant>
      <vt:variant>
        <vt:i4>5</vt:i4>
      </vt:variant>
      <vt:variant>
        <vt:lpwstr>https://engage.vic.gov.au/inquiry-on-demand-workforce</vt:lpwstr>
      </vt:variant>
      <vt:variant>
        <vt:lpwstr/>
      </vt:variant>
      <vt:variant>
        <vt:i4>2687017</vt:i4>
      </vt:variant>
      <vt:variant>
        <vt:i4>30</vt:i4>
      </vt:variant>
      <vt:variant>
        <vt:i4>0</vt:i4>
      </vt:variant>
      <vt:variant>
        <vt:i4>5</vt:i4>
      </vt:variant>
      <vt:variant>
        <vt:lpwstr>https://eprints.qut.edu.au/203119/</vt:lpwstr>
      </vt:variant>
      <vt:variant>
        <vt:lpwstr/>
      </vt:variant>
      <vt:variant>
        <vt:i4>1638466</vt:i4>
      </vt:variant>
      <vt:variant>
        <vt:i4>27</vt:i4>
      </vt:variant>
      <vt:variant>
        <vt:i4>0</vt:i4>
      </vt:variant>
      <vt:variant>
        <vt:i4>5</vt:i4>
      </vt:variant>
      <vt:variant>
        <vt:lpwstr>https://www.parliament.nsw.gov.au/committees/listofcommittees/Pages/committee-details.aspx?pk=265</vt:lpwstr>
      </vt:variant>
      <vt:variant>
        <vt:lpwstr/>
      </vt:variant>
      <vt:variant>
        <vt:i4>5111887</vt:i4>
      </vt:variant>
      <vt:variant>
        <vt:i4>24</vt:i4>
      </vt:variant>
      <vt:variant>
        <vt:i4>0</vt:i4>
      </vt:variant>
      <vt:variant>
        <vt:i4>5</vt:i4>
      </vt:variant>
      <vt:variant>
        <vt:lpwstr>https://www.aph.gov.au/Parliamentary_Business/Committees/Senate/Rural_and_Regional_Affairs_and_Transport/RoadTransportIndustry/Report</vt:lpwstr>
      </vt:variant>
      <vt:variant>
        <vt:lpwstr/>
      </vt:variant>
      <vt:variant>
        <vt:i4>1900580</vt:i4>
      </vt:variant>
      <vt:variant>
        <vt:i4>21</vt:i4>
      </vt:variant>
      <vt:variant>
        <vt:i4>0</vt:i4>
      </vt:variant>
      <vt:variant>
        <vt:i4>5</vt:i4>
      </vt:variant>
      <vt:variant>
        <vt:lpwstr>https://www.aph.gov.au/Parliamentary_Business/Committees/Senate/Job_Security/JobSecurity/Interim_Report</vt:lpwstr>
      </vt:variant>
      <vt:variant>
        <vt:lpwstr/>
      </vt:variant>
      <vt:variant>
        <vt:i4>1769482</vt:i4>
      </vt:variant>
      <vt:variant>
        <vt:i4>18</vt:i4>
      </vt:variant>
      <vt:variant>
        <vt:i4>0</vt:i4>
      </vt:variant>
      <vt:variant>
        <vt:i4>5</vt:i4>
      </vt:variant>
      <vt:variant>
        <vt:lpwstr>https://www.pc.gov.au/inquiries/completed/productivity/report</vt:lpwstr>
      </vt:variant>
      <vt:variant>
        <vt:lpwstr/>
      </vt:variant>
      <vt:variant>
        <vt:i4>196685</vt:i4>
      </vt:variant>
      <vt:variant>
        <vt:i4>15</vt:i4>
      </vt:variant>
      <vt:variant>
        <vt:i4>0</vt:i4>
      </vt:variant>
      <vt:variant>
        <vt:i4>5</vt:i4>
      </vt:variant>
      <vt:variant>
        <vt:lpwstr>https://treasury.gov.au/employment-whitepaper/jobs-summit</vt:lpwstr>
      </vt:variant>
      <vt:variant>
        <vt:lpwstr/>
      </vt:variant>
      <vt:variant>
        <vt:i4>5832771</vt:i4>
      </vt:variant>
      <vt:variant>
        <vt:i4>12</vt:i4>
      </vt:variant>
      <vt:variant>
        <vt:i4>0</vt:i4>
      </vt:variant>
      <vt:variant>
        <vt:i4>5</vt:i4>
      </vt:variant>
      <vt:variant>
        <vt:lpwstr>https://engage.vic.gov.au/inquiry-on-demand-workforce</vt:lpwstr>
      </vt:variant>
      <vt:variant>
        <vt:lpwstr/>
      </vt:variant>
      <vt:variant>
        <vt:i4>5832771</vt:i4>
      </vt:variant>
      <vt:variant>
        <vt:i4>8</vt:i4>
      </vt:variant>
      <vt:variant>
        <vt:i4>0</vt:i4>
      </vt:variant>
      <vt:variant>
        <vt:i4>5</vt:i4>
      </vt:variant>
      <vt:variant>
        <vt:lpwstr>https://engage.vic.gov.au/inquiry-on-demand-workforce</vt:lpwstr>
      </vt:variant>
      <vt:variant>
        <vt:lpwstr/>
      </vt:variant>
      <vt:variant>
        <vt:i4>5832771</vt:i4>
      </vt:variant>
      <vt:variant>
        <vt:i4>6</vt:i4>
      </vt:variant>
      <vt:variant>
        <vt:i4>0</vt:i4>
      </vt:variant>
      <vt:variant>
        <vt:i4>5</vt:i4>
      </vt:variant>
      <vt:variant>
        <vt:lpwstr>https://engage.vic.gov.au/inquiry-on-demand-workforce</vt:lpwstr>
      </vt:variant>
      <vt:variant>
        <vt:lpwstr/>
      </vt:variant>
      <vt:variant>
        <vt:i4>2687017</vt:i4>
      </vt:variant>
      <vt:variant>
        <vt:i4>3</vt:i4>
      </vt:variant>
      <vt:variant>
        <vt:i4>0</vt:i4>
      </vt:variant>
      <vt:variant>
        <vt:i4>5</vt:i4>
      </vt:variant>
      <vt:variant>
        <vt:lpwstr>https://eprints.qut.edu.au/203119/</vt:lpwstr>
      </vt:variant>
      <vt:variant>
        <vt:lpwstr/>
      </vt:variant>
      <vt:variant>
        <vt:i4>5832771</vt:i4>
      </vt:variant>
      <vt:variant>
        <vt:i4>0</vt:i4>
      </vt:variant>
      <vt:variant>
        <vt:i4>0</vt:i4>
      </vt:variant>
      <vt:variant>
        <vt:i4>5</vt:i4>
      </vt:variant>
      <vt:variant>
        <vt:lpwstr>https://engage.vic.gov.au/inquiry-on-demand-workforce</vt:lpwstr>
      </vt:variant>
      <vt:variant>
        <vt:lpwstr/>
      </vt:variant>
      <vt:variant>
        <vt:i4>5374000</vt:i4>
      </vt:variant>
      <vt:variant>
        <vt:i4>3</vt:i4>
      </vt:variant>
      <vt:variant>
        <vt:i4>0</vt:i4>
      </vt:variant>
      <vt:variant>
        <vt:i4>5</vt:i4>
      </vt:variant>
      <vt:variant>
        <vt:lpwstr>https://treasury.gov.au/sites/default/files/2021-05/171663_mable_technologies_0.pdf</vt:lpwstr>
      </vt:variant>
      <vt:variant>
        <vt:lpwstr/>
      </vt:variant>
      <vt:variant>
        <vt:i4>2621551</vt:i4>
      </vt:variant>
      <vt:variant>
        <vt:i4>0</vt:i4>
      </vt:variant>
      <vt:variant>
        <vt:i4>0</vt:i4>
      </vt:variant>
      <vt:variant>
        <vt:i4>5</vt:i4>
      </vt:variant>
      <vt:variant>
        <vt:lpwstr>https://www.uber.com/en-AU/newsroom/flexibility-works/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2023-09-03T23:05:00Z</dcterms:created>
  <dcterms:modified xsi:type="dcterms:W3CDTF">2023-09-03T23:05:00Z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7" name="MediaServiceImageTags">
    <vt:lpwstr/>
  </property>
  <property fmtid="{D5CDD505-2E9C-101B-9397-08002B2CF9AE}" pid="8" name="_dlc_DocIdItemGuid">
    <vt:lpwstr>1bd2617e-7270-411f-a5e9-d2693eb53af2</vt:lpwstr>
  </property>
</Properties>
</file>