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E407C" w14:textId="244EF746" w:rsidR="00C47C54" w:rsidRDefault="00C47C54" w:rsidP="00ED3CD3"/>
    <w:p w14:paraId="32BC8E12" w14:textId="0267303F" w:rsidR="00C47C54" w:rsidRPr="00694C76" w:rsidRDefault="00B6214D" w:rsidP="00694C76">
      <w:pPr>
        <w:pStyle w:val="CoverLine"/>
      </w:pPr>
      <w:r w:rsidRPr="008A3584">
        <w:rPr>
          <w:noProof/>
          <w:lang w:eastAsia="en-AU"/>
        </w:rPr>
        <mc:AlternateContent>
          <mc:Choice Requires="wps">
            <w:drawing>
              <wp:anchor distT="0" distB="0" distL="114300" distR="114300" simplePos="0" relativeHeight="251658241" behindDoc="0" locked="0" layoutInCell="1" allowOverlap="1" wp14:anchorId="3813C2D0" wp14:editId="69258252">
                <wp:simplePos x="0" y="0"/>
                <wp:positionH relativeFrom="page">
                  <wp:posOffset>648335</wp:posOffset>
                </wp:positionH>
                <wp:positionV relativeFrom="paragraph">
                  <wp:posOffset>1223645</wp:posOffset>
                </wp:positionV>
                <wp:extent cx="2383200" cy="691200"/>
                <wp:effectExtent l="0" t="0" r="16510" b="13970"/>
                <wp:wrapNone/>
                <wp:docPr id="12" name="Rectangle 12" descr="Background shape" title="Background shape"/>
                <wp:cNvGraphicFramePr/>
                <a:graphic xmlns:a="http://schemas.openxmlformats.org/drawingml/2006/main">
                  <a:graphicData uri="http://schemas.microsoft.com/office/word/2010/wordprocessingShape">
                    <wps:wsp>
                      <wps:cNvSpPr/>
                      <wps:spPr>
                        <a:xfrm>
                          <a:off x="0" y="0"/>
                          <a:ext cx="2383200" cy="691200"/>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alias w:val="Title - Max 2 lines"/>
                              <w:tag w:val=""/>
                              <w:id w:val="126363909"/>
                              <w:lock w:val="sdtLocked"/>
                              <w:placeholder>
                                <w:docPart w:val="8ECC27E97E4D4B74A3F2D2E8FDE43096"/>
                              </w:placeholder>
                              <w:dataBinding w:prefixMappings="xmlns:ns0='http://schemas.microsoft.com/office/2006/coverPageProps' " w:xpath="/ns0:CoverPageProperties[1]/ns0:Abstract[1]" w:storeItemID="{55AF091B-3C7A-41E3-B477-F2FDAA23CFDA}"/>
                              <w:text w:multiLine="1"/>
                            </w:sdtPr>
                            <w:sdtEndPr/>
                            <w:sdtContent>
                              <w:p w14:paraId="1992DD60" w14:textId="2D3CB5EC" w:rsidR="00B6214D" w:rsidRPr="00694C76" w:rsidRDefault="00095BBB" w:rsidP="00B6214D">
                                <w:pPr>
                                  <w:pStyle w:val="Title"/>
                                </w:pPr>
                                <w:r>
                                  <w:t>Response paper</w:t>
                                </w:r>
                              </w:p>
                            </w:sdtContent>
                          </w:sdt>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3813C2D0" id="Rectangle 12" o:spid="_x0000_s1026" alt="Title: Background shape - Description: Background shape" style="position:absolute;left:0;text-align:left;margin-left:51.05pt;margin-top:96.35pt;width:187.65pt;height:54.45pt;z-index:251658241;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" filled="f" stroked="f" strokeweight=".25pt">
                <v:textbox style="mso-fit-shape-to-text:t" inset="0,0,0,0">
                  <w:txbxContent>
                    <w:sdt>
                      <w:sdtPr>
                        <w:alias w:val="Title - Max 2 lines"/>
                        <w:tag w:val=""/>
                        <w:id w:val="126363909"/>
                        <w:lock w:val="sdtLocked"/>
                        <w:placeholder>
                          <w:docPart w:val="8ECC27E97E4D4B74A3F2D2E8FDE43096"/>
                        </w:placeholder>
                        <w:dataBinding w:prefixMappings="xmlns:ns0='http://schemas.microsoft.com/office/2006/coverPageProps' " w:xpath="/ns0:CoverPageProperties[1]/ns0:Abstract[1]" w:storeItemID="{55AF091B-3C7A-41E3-B477-F2FDAA23CFDA}"/>
                        <w:text w:multiLine="1"/>
                      </w:sdtPr>
                      <w:sdtEndPr/>
                      <w:sdtContent>
                        <w:p w14:paraId="1992DD60" w14:textId="2D3CB5EC" w:rsidR="00B6214D" w:rsidRPr="00694C76" w:rsidRDefault="00095BBB" w:rsidP="00B6214D">
                          <w:pPr>
                            <w:pStyle w:val="Title"/>
                          </w:pPr>
                          <w:r>
                            <w:t>Response paper</w:t>
                          </w:r>
                        </w:p>
                      </w:sdtContent>
                    </w:sdt>
                  </w:txbxContent>
                </v:textbox>
                <w10:wrap anchorx="page"/>
              </v:rect>
            </w:pict>
          </mc:Fallback>
        </mc:AlternateContent>
      </w:r>
      <w:sdt>
        <w:sdtPr>
          <w:alias w:val="Title"/>
          <w:tag w:val=""/>
          <w:id w:val="41795664"/>
          <w:lock w:val="sdtLocked"/>
          <w:placeholder>
            <w:docPart w:val="BB264F7B5C0046D29582FF923E554263"/>
          </w:placeholder>
          <w:dataBinding w:prefixMappings="xmlns:ns0='http://schemas.microsoft.com/office/2006/coverPageProps' " w:xpath="/ns0:CoverPageProperties[1]/ns0:Abstract[1]" w:storeItemID="{55AF091B-3C7A-41E3-B477-F2FDAA23CFDA}"/>
          <w:text w:multiLine="1"/>
        </w:sdtPr>
        <w:sdtEndPr/>
        <w:sdtContent>
          <w:r w:rsidR="00095BBB">
            <w:t>Response paper</w:t>
          </w:r>
        </w:sdtContent>
      </w:sdt>
      <w:r w:rsidR="00FE110C" w:rsidRPr="008A3584">
        <w:rPr>
          <w:noProof/>
          <w:lang w:eastAsia="en-AU"/>
        </w:rPr>
        <mc:AlternateContent>
          <mc:Choice Requires="wps">
            <w:drawing>
              <wp:anchor distT="0" distB="0" distL="114300" distR="114300" simplePos="0" relativeHeight="251658240" behindDoc="1" locked="0" layoutInCell="1" allowOverlap="1" wp14:anchorId="5F057F0B" wp14:editId="70E7C17A">
                <wp:simplePos x="0" y="0"/>
                <wp:positionH relativeFrom="margin">
                  <wp:posOffset>-914400</wp:posOffset>
                </wp:positionH>
                <wp:positionV relativeFrom="margin">
                  <wp:posOffset>1019175</wp:posOffset>
                </wp:positionV>
                <wp:extent cx="6674400" cy="3045600"/>
                <wp:effectExtent l="0" t="0" r="0" b="3175"/>
                <wp:wrapNone/>
                <wp:docPr id="6" name="Rectangle 6" descr="Background shape" title="Background shape"/>
                <wp:cNvGraphicFramePr/>
                <a:graphic xmlns:a="http://schemas.openxmlformats.org/drawingml/2006/main">
                  <a:graphicData uri="http://schemas.microsoft.com/office/word/2010/wordprocessingShape">
                    <wps:wsp>
                      <wps:cNvSpPr/>
                      <wps:spPr>
                        <a:xfrm>
                          <a:off x="0" y="0"/>
                          <a:ext cx="6674400" cy="3045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0FB87B" w14:textId="76308519" w:rsidR="00FE110C" w:rsidRDefault="00095BBB" w:rsidP="00FE110C">
                            <w:pPr>
                              <w:pStyle w:val="PaperTitle"/>
                            </w:pPr>
                            <w:r>
                              <w:t>Operational Risk Management</w:t>
                            </w:r>
                          </w:p>
                          <w:p w14:paraId="3F251C8D" w14:textId="5B0A12E2" w:rsidR="00FE110C" w:rsidRPr="00FE110C" w:rsidRDefault="004475A8" w:rsidP="00FE110C">
                            <w:pPr>
                              <w:pStyle w:val="CoverDate"/>
                            </w:pPr>
                            <w:r>
                              <w:t>17</w:t>
                            </w:r>
                            <w:r w:rsidR="006A7222">
                              <w:t xml:space="preserve"> </w:t>
                            </w:r>
                            <w:r w:rsidR="00111C61">
                              <w:t>July</w:t>
                            </w:r>
                            <w:r w:rsidR="006830B6">
                              <w:t xml:space="preserve"> </w:t>
                            </w:r>
                            <w:r w:rsidR="00095BBB">
                              <w:t>2023</w:t>
                            </w:r>
                          </w:p>
                        </w:txbxContent>
                      </wps:txbx>
                      <wps:bodyPr rot="0" spcFirstLastPara="0" vertOverflow="overflow" horzOverflow="overflow" vert="horz" wrap="square" lIns="648000" tIns="45720" rIns="288000" bIns="3600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5F057F0B" id="Rectangle 6" o:spid="_x0000_s1027" alt="Title: Background shape - Description: Background shape" style="position:absolute;left:0;text-align:left;margin-left:-1in;margin-top:80.25pt;width:525.55pt;height:239.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" fillcolor="white [3212]" stroked="f" strokeweight="2pt">
                <v:textbox style="mso-fit-shape-to-text:t" inset="18mm,,8mm,10mm">
                  <w:txbxContent>
                    <w:p w14:paraId="5D0FB87B" w14:textId="76308519" w:rsidR="00FE110C" w:rsidRDefault="00095BBB" w:rsidP="00FE110C">
                      <w:pPr>
                        <w:pStyle w:val="PaperTitle"/>
                      </w:pPr>
                      <w:r>
                        <w:t>Operational Risk Management</w:t>
                      </w:r>
                    </w:p>
                    <w:p w14:paraId="3F251C8D" w14:textId="5B0A12E2" w:rsidR="00FE110C" w:rsidRPr="00FE110C" w:rsidRDefault="004475A8" w:rsidP="00FE110C">
                      <w:pPr>
                        <w:pStyle w:val="CoverDate"/>
                      </w:pPr>
                      <w:r>
                        <w:t>17</w:t>
                      </w:r>
                      <w:r w:rsidR="006A7222">
                        <w:t xml:space="preserve"> </w:t>
                      </w:r>
                      <w:r w:rsidR="00111C61">
                        <w:t>July</w:t>
                      </w:r>
                      <w:r w:rsidR="006830B6">
                        <w:t xml:space="preserve"> </w:t>
                      </w:r>
                      <w:r w:rsidR="00095BBB">
                        <w:t>2023</w:t>
                      </w:r>
                    </w:p>
                  </w:txbxContent>
                </v:textbox>
                <w10:wrap anchorx="margin" anchory="margin"/>
              </v:rect>
            </w:pict>
          </mc:Fallback>
        </mc:AlternateContent>
      </w:r>
    </w:p>
    <w:p w14:paraId="06A304C9" w14:textId="77777777" w:rsidR="003B51A4" w:rsidRDefault="003B51A4" w:rsidP="00C47C54">
      <w:r>
        <w:br w:type="page"/>
      </w:r>
    </w:p>
    <w:p w14:paraId="36FB47FF" w14:textId="77777777" w:rsidR="003B51A4" w:rsidRPr="003B51A4" w:rsidRDefault="003B51A4" w:rsidP="00460E6B">
      <w:pPr>
        <w:pStyle w:val="DisclaimerHeading"/>
        <w:framePr w:wrap="around"/>
      </w:pPr>
      <w:r w:rsidRPr="008F1B07">
        <w:t>Disclaimer Text</w:t>
      </w:r>
    </w:p>
    <w:p w14:paraId="6105C538" w14:textId="77777777" w:rsidR="009A4242" w:rsidRDefault="009A4242" w:rsidP="009A4242">
      <w:pPr>
        <w:pStyle w:val="DisclaimerText"/>
        <w:framePr w:wrap="around"/>
      </w:pPr>
      <w:r>
        <w:t>While APRA endeavours to ensure the quality of this publication, it does not accept any responsibility for the accuracy, completeness or currency of the material included in this publication and will not be liable for any loss or damage arising out of any use of, or reliance on, this publication.</w:t>
      </w:r>
    </w:p>
    <w:p w14:paraId="356BEF67" w14:textId="77777777" w:rsidR="009A4242" w:rsidRPr="009A4242" w:rsidRDefault="009A4242" w:rsidP="009A4242">
      <w:pPr>
        <w:pStyle w:val="DisclaimerText"/>
        <w:framePr w:wrap="around"/>
        <w:rPr>
          <w:b/>
        </w:rPr>
      </w:pPr>
      <w:r w:rsidRPr="009A4242">
        <w:rPr>
          <w:b/>
        </w:rPr>
        <w:t>© Australian Prudential Regulation Authority (APRA)</w:t>
      </w:r>
    </w:p>
    <w:p w14:paraId="08CC1824" w14:textId="77777777" w:rsidR="009A4242" w:rsidRDefault="009A4242" w:rsidP="009A4242">
      <w:pPr>
        <w:pStyle w:val="DisclaimerText"/>
        <w:framePr w:wrap="around"/>
      </w:pPr>
      <w:r>
        <w:t xml:space="preserve">This work is licensed under the Creative Commons Attribution 3.0 Australia Licence (CCBY 3.0). This licence allows you to copy, distribute and adapt this work, provided you attribute the work and do not suggest that APRA endorses you or your work. To view a full copy of the terms of this licence, visit </w:t>
      </w:r>
      <w:hyperlink r:id="rId12" w:history="1">
        <w:r w:rsidRPr="00A43B0B">
          <w:rPr>
            <w:rStyle w:val="Hyperlink"/>
          </w:rPr>
          <w:t>https://creativecommons.org/licenses/by/3.0/au/</w:t>
        </w:r>
      </w:hyperlink>
    </w:p>
    <w:p w14:paraId="18C6C8C4" w14:textId="77777777" w:rsidR="003B51A4" w:rsidRDefault="003B51A4" w:rsidP="003B51A4">
      <w:pPr>
        <w:numPr>
          <w:ilvl w:val="0"/>
          <w:numId w:val="0"/>
        </w:numPr>
        <w:rPr>
          <w:rFonts w:ascii="DIN Offc Medium" w:eastAsiaTheme="majorEastAsia" w:hAnsi="DIN Offc Medium" w:cstheme="majorBidi"/>
          <w:color w:val="012169" w:themeColor="text2"/>
          <w:sz w:val="90"/>
          <w:szCs w:val="52"/>
        </w:rPr>
      </w:pPr>
      <w:r>
        <w:br w:type="page"/>
      </w:r>
    </w:p>
    <w:p w14:paraId="1D10B6B6" w14:textId="77777777" w:rsidR="00C636DA" w:rsidRDefault="00C636DA" w:rsidP="00BD7B83">
      <w:pPr>
        <w:pStyle w:val="TOCHeading"/>
      </w:pPr>
      <w:r w:rsidRPr="00BD7B83">
        <w:t>Contents</w:t>
      </w:r>
    </w:p>
    <w:p w14:paraId="2CA6F11A" w14:textId="3A72D6B4" w:rsidR="00C83166" w:rsidRDefault="00424BC9" w:rsidP="008349ED">
      <w:pPr>
        <w:pStyle w:val="TOC1"/>
        <w:rPr>
          <w:rFonts w:asciiTheme="minorHAnsi" w:eastAsiaTheme="minorEastAsia" w:hAnsiTheme="minorHAnsi"/>
          <w:noProof/>
          <w:color w:val="auto"/>
          <w:lang w:eastAsia="en-AU"/>
        </w:rPr>
      </w:pPr>
      <w:r>
        <w:rPr>
          <w:noProof/>
          <w:lang w:val="en-US"/>
        </w:rPr>
        <w:fldChar w:fldCharType="begin"/>
      </w:r>
      <w:r>
        <w:rPr>
          <w:noProof/>
          <w:lang w:val="en-US"/>
        </w:rPr>
        <w:instrText xml:space="preserve"> TOC \o "1-1" \h \z \u </w:instrText>
      </w:r>
      <w:r>
        <w:rPr>
          <w:noProof/>
          <w:lang w:val="en-US"/>
        </w:rPr>
        <w:fldChar w:fldCharType="separate"/>
      </w:r>
      <w:hyperlink w:anchor="_Toc136506376" w:history="1">
        <w:r w:rsidR="00C83166" w:rsidRPr="000F541E">
          <w:rPr>
            <w:rStyle w:val="Hyperlink"/>
            <w:noProof/>
          </w:rPr>
          <w:t>Executive summary</w:t>
        </w:r>
        <w:r w:rsidR="00C83166">
          <w:rPr>
            <w:noProof/>
            <w:webHidden/>
          </w:rPr>
          <w:tab/>
        </w:r>
        <w:r w:rsidR="00C83166">
          <w:rPr>
            <w:noProof/>
            <w:webHidden/>
          </w:rPr>
          <w:fldChar w:fldCharType="begin"/>
        </w:r>
        <w:r w:rsidR="00C83166">
          <w:rPr>
            <w:noProof/>
            <w:webHidden/>
          </w:rPr>
          <w:instrText xml:space="preserve"> PAGEREF _Toc136506376 \h </w:instrText>
        </w:r>
        <w:r w:rsidR="00C83166">
          <w:rPr>
            <w:noProof/>
            <w:webHidden/>
          </w:rPr>
        </w:r>
        <w:r w:rsidR="00C83166">
          <w:rPr>
            <w:noProof/>
            <w:webHidden/>
          </w:rPr>
          <w:fldChar w:fldCharType="separate"/>
        </w:r>
        <w:r w:rsidR="00C97387">
          <w:rPr>
            <w:noProof/>
            <w:webHidden/>
          </w:rPr>
          <w:t>4</w:t>
        </w:r>
        <w:r w:rsidR="00C83166">
          <w:rPr>
            <w:noProof/>
            <w:webHidden/>
          </w:rPr>
          <w:fldChar w:fldCharType="end"/>
        </w:r>
      </w:hyperlink>
    </w:p>
    <w:p w14:paraId="1B7C2FD0" w14:textId="1B152E74" w:rsidR="00C83166" w:rsidRDefault="00C338B9" w:rsidP="008349ED">
      <w:pPr>
        <w:pStyle w:val="TOC1"/>
        <w:rPr>
          <w:rFonts w:asciiTheme="minorHAnsi" w:eastAsiaTheme="minorEastAsia" w:hAnsiTheme="minorHAnsi"/>
          <w:noProof/>
          <w:color w:val="auto"/>
          <w:lang w:eastAsia="en-AU"/>
        </w:rPr>
      </w:pPr>
      <w:hyperlink w:anchor="_Toc136506377" w:history="1">
        <w:r w:rsidR="00C83166" w:rsidRPr="000F541E">
          <w:rPr>
            <w:rStyle w:val="Hyperlink"/>
            <w:noProof/>
          </w:rPr>
          <w:t>Glossary</w:t>
        </w:r>
        <w:r w:rsidR="00C83166">
          <w:rPr>
            <w:noProof/>
            <w:webHidden/>
          </w:rPr>
          <w:tab/>
        </w:r>
        <w:r w:rsidR="00C83166">
          <w:rPr>
            <w:noProof/>
            <w:webHidden/>
          </w:rPr>
          <w:fldChar w:fldCharType="begin"/>
        </w:r>
        <w:r w:rsidR="00C83166">
          <w:rPr>
            <w:noProof/>
            <w:webHidden/>
          </w:rPr>
          <w:instrText xml:space="preserve"> PAGEREF _Toc136506377 \h </w:instrText>
        </w:r>
        <w:r w:rsidR="00C83166">
          <w:rPr>
            <w:noProof/>
            <w:webHidden/>
          </w:rPr>
        </w:r>
        <w:r w:rsidR="00C83166">
          <w:rPr>
            <w:noProof/>
            <w:webHidden/>
          </w:rPr>
          <w:fldChar w:fldCharType="separate"/>
        </w:r>
        <w:r w:rsidR="00C97387">
          <w:rPr>
            <w:noProof/>
            <w:webHidden/>
          </w:rPr>
          <w:t>6</w:t>
        </w:r>
        <w:r w:rsidR="00C83166">
          <w:rPr>
            <w:noProof/>
            <w:webHidden/>
          </w:rPr>
          <w:fldChar w:fldCharType="end"/>
        </w:r>
      </w:hyperlink>
    </w:p>
    <w:p w14:paraId="06430F57" w14:textId="7F56C757" w:rsidR="00C83166" w:rsidRDefault="00C338B9" w:rsidP="008349ED">
      <w:pPr>
        <w:pStyle w:val="TOC1"/>
        <w:rPr>
          <w:rFonts w:asciiTheme="minorHAnsi" w:eastAsiaTheme="minorEastAsia" w:hAnsiTheme="minorHAnsi"/>
          <w:noProof/>
          <w:color w:val="auto"/>
          <w:lang w:eastAsia="en-AU"/>
        </w:rPr>
      </w:pPr>
      <w:hyperlink w:anchor="_Toc136506378" w:history="1">
        <w:r w:rsidR="00C83166" w:rsidRPr="000F541E">
          <w:rPr>
            <w:rStyle w:val="Hyperlink"/>
            <w:noProof/>
          </w:rPr>
          <w:t>Chapter 1 - Response to submissions</w:t>
        </w:r>
        <w:r w:rsidR="00C83166">
          <w:rPr>
            <w:noProof/>
            <w:webHidden/>
          </w:rPr>
          <w:tab/>
        </w:r>
        <w:r w:rsidR="00C83166">
          <w:rPr>
            <w:noProof/>
            <w:webHidden/>
          </w:rPr>
          <w:fldChar w:fldCharType="begin"/>
        </w:r>
        <w:r w:rsidR="00C83166">
          <w:rPr>
            <w:noProof/>
            <w:webHidden/>
          </w:rPr>
          <w:instrText xml:space="preserve"> PAGEREF _Toc136506378 \h </w:instrText>
        </w:r>
        <w:r w:rsidR="00C83166">
          <w:rPr>
            <w:noProof/>
            <w:webHidden/>
          </w:rPr>
        </w:r>
        <w:r w:rsidR="00C83166">
          <w:rPr>
            <w:noProof/>
            <w:webHidden/>
          </w:rPr>
          <w:fldChar w:fldCharType="separate"/>
        </w:r>
        <w:r w:rsidR="00C97387">
          <w:rPr>
            <w:noProof/>
            <w:webHidden/>
          </w:rPr>
          <w:t>7</w:t>
        </w:r>
        <w:r w:rsidR="00C83166">
          <w:rPr>
            <w:noProof/>
            <w:webHidden/>
          </w:rPr>
          <w:fldChar w:fldCharType="end"/>
        </w:r>
      </w:hyperlink>
    </w:p>
    <w:p w14:paraId="55B028BD" w14:textId="59F2B23E" w:rsidR="00C83166" w:rsidRDefault="00C338B9" w:rsidP="008349ED">
      <w:pPr>
        <w:pStyle w:val="TOC1"/>
        <w:rPr>
          <w:rFonts w:asciiTheme="minorHAnsi" w:eastAsiaTheme="minorEastAsia" w:hAnsiTheme="minorHAnsi"/>
          <w:noProof/>
          <w:color w:val="auto"/>
          <w:lang w:eastAsia="en-AU"/>
        </w:rPr>
      </w:pPr>
      <w:hyperlink w:anchor="_Toc136506379" w:history="1">
        <w:r w:rsidR="00C83166" w:rsidRPr="000F541E">
          <w:rPr>
            <w:rStyle w:val="Hyperlink"/>
            <w:noProof/>
          </w:rPr>
          <w:t>Chapter 2 - Consultation on Prudential Practice Guide CPG 230</w:t>
        </w:r>
        <w:r w:rsidR="00C83166">
          <w:rPr>
            <w:noProof/>
            <w:webHidden/>
          </w:rPr>
          <w:tab/>
        </w:r>
        <w:r w:rsidR="00C83166">
          <w:rPr>
            <w:noProof/>
            <w:webHidden/>
          </w:rPr>
          <w:fldChar w:fldCharType="begin"/>
        </w:r>
        <w:r w:rsidR="00C83166">
          <w:rPr>
            <w:noProof/>
            <w:webHidden/>
          </w:rPr>
          <w:instrText xml:space="preserve"> PAGEREF _Toc136506379 \h </w:instrText>
        </w:r>
        <w:r w:rsidR="00C83166">
          <w:rPr>
            <w:noProof/>
            <w:webHidden/>
          </w:rPr>
        </w:r>
        <w:r w:rsidR="00C83166">
          <w:rPr>
            <w:noProof/>
            <w:webHidden/>
          </w:rPr>
          <w:fldChar w:fldCharType="separate"/>
        </w:r>
        <w:r w:rsidR="00C97387">
          <w:rPr>
            <w:noProof/>
            <w:webHidden/>
          </w:rPr>
          <w:t>15</w:t>
        </w:r>
        <w:r w:rsidR="00C83166">
          <w:rPr>
            <w:noProof/>
            <w:webHidden/>
          </w:rPr>
          <w:fldChar w:fldCharType="end"/>
        </w:r>
      </w:hyperlink>
    </w:p>
    <w:p w14:paraId="27997671" w14:textId="065E647F" w:rsidR="0016272E" w:rsidRPr="0016272E" w:rsidRDefault="00424BC9" w:rsidP="0016272E">
      <w:r>
        <w:rPr>
          <w:rFonts w:ascii="DIN OT Medium" w:hAnsi="DIN OT Medium"/>
          <w:noProof/>
          <w:lang w:val="en-US"/>
        </w:rPr>
        <w:fldChar w:fldCharType="end"/>
      </w:r>
    </w:p>
    <w:p w14:paraId="456198E1" w14:textId="2770EA4D" w:rsidR="00AC1C12" w:rsidRDefault="00AC1C12" w:rsidP="00AC1C12">
      <w:pPr>
        <w:pStyle w:val="Heading1"/>
      </w:pPr>
      <w:bookmarkStart w:id="0" w:name="_Toc136506376"/>
      <w:r>
        <w:t>Executive summary</w:t>
      </w:r>
      <w:bookmarkEnd w:id="0"/>
      <w:r>
        <w:t xml:space="preserve"> </w:t>
      </w:r>
    </w:p>
    <w:p w14:paraId="278EF7F7" w14:textId="5B4CAC49" w:rsidR="00A767E1" w:rsidRDefault="00ED65D6" w:rsidP="00AC1C12">
      <w:pPr>
        <w:numPr>
          <w:ilvl w:val="0"/>
          <w:numId w:val="0"/>
        </w:numPr>
      </w:pPr>
      <w:r>
        <w:t xml:space="preserve">In July 2022, APRA released </w:t>
      </w:r>
      <w:r w:rsidR="00EC0246">
        <w:t xml:space="preserve">for consultation </w:t>
      </w:r>
      <w:r>
        <w:rPr>
          <w:i/>
        </w:rPr>
        <w:t xml:space="preserve">Discussion </w:t>
      </w:r>
      <w:r w:rsidR="006B01A2">
        <w:rPr>
          <w:i/>
        </w:rPr>
        <w:t>p</w:t>
      </w:r>
      <w:r>
        <w:rPr>
          <w:i/>
        </w:rPr>
        <w:t>aper – Strengthening operational risk management</w:t>
      </w:r>
      <w:r w:rsidR="00EC0246">
        <w:t xml:space="preserve"> </w:t>
      </w:r>
      <w:r w:rsidR="001139EA">
        <w:t xml:space="preserve">(Discussion paper) </w:t>
      </w:r>
      <w:r w:rsidR="00EC0246">
        <w:t xml:space="preserve">and draft </w:t>
      </w:r>
      <w:r w:rsidR="00EC0246">
        <w:rPr>
          <w:i/>
        </w:rPr>
        <w:t>Prudential Standard CPS 230 Operational Risk Management</w:t>
      </w:r>
      <w:r w:rsidR="00EC0246">
        <w:t xml:space="preserve"> (CPS 230)</w:t>
      </w:r>
      <w:r>
        <w:t>.</w:t>
      </w:r>
    </w:p>
    <w:p w14:paraId="5C200AA6" w14:textId="7B338AAA" w:rsidR="00752AB8" w:rsidRDefault="00A767E1" w:rsidP="00AC1C12">
      <w:pPr>
        <w:numPr>
          <w:ilvl w:val="0"/>
          <w:numId w:val="0"/>
        </w:numPr>
      </w:pPr>
      <w:r>
        <w:t xml:space="preserve">The management of operational risk </w:t>
      </w:r>
      <w:r w:rsidR="006C7608">
        <w:t>is of critical importance</w:t>
      </w:r>
      <w:r>
        <w:t xml:space="preserve">, as demonstrated by </w:t>
      </w:r>
      <w:r w:rsidR="00D466A9">
        <w:t xml:space="preserve">operational risk failures and business disruptions </w:t>
      </w:r>
      <w:r w:rsidR="00752AB8">
        <w:t>in the past. All</w:t>
      </w:r>
      <w:r w:rsidR="006C7608">
        <w:t xml:space="preserve"> APRA-regulated entities </w:t>
      </w:r>
      <w:r w:rsidR="00752AB8">
        <w:t>need to ensure that they are</w:t>
      </w:r>
      <w:r w:rsidR="006C7608">
        <w:t xml:space="preserve"> well placed to manage operational risk and respond to business disruptions when they inevitably occur.</w:t>
      </w:r>
    </w:p>
    <w:p w14:paraId="44E16D7D" w14:textId="34F51548" w:rsidR="006C7608" w:rsidRDefault="00C21B0F" w:rsidP="00AC1C12">
      <w:pPr>
        <w:numPr>
          <w:ilvl w:val="0"/>
          <w:numId w:val="0"/>
        </w:numPr>
      </w:pPr>
      <w:r>
        <w:t xml:space="preserve">The aim of </w:t>
      </w:r>
      <w:r w:rsidR="00EC0246">
        <w:t xml:space="preserve">CPS 230 </w:t>
      </w:r>
      <w:r>
        <w:t>is</w:t>
      </w:r>
      <w:r w:rsidR="00F91322">
        <w:t xml:space="preserve"> to</w:t>
      </w:r>
      <w:r w:rsidR="006C7608">
        <w:t>:</w:t>
      </w:r>
    </w:p>
    <w:p w14:paraId="2F8276D3" w14:textId="67829ED5" w:rsidR="00F91322" w:rsidRDefault="00F91322" w:rsidP="006C7608">
      <w:pPr>
        <w:pStyle w:val="ListBullet"/>
      </w:pPr>
      <w:r w:rsidRPr="00F91322">
        <w:rPr>
          <w:b/>
        </w:rPr>
        <w:t>strengthen operational risk management</w:t>
      </w:r>
      <w:r>
        <w:t xml:space="preserve"> through new requirements to address identified weaknesses in existing practices;</w:t>
      </w:r>
    </w:p>
    <w:p w14:paraId="54FE8BFD" w14:textId="1F20A1AD" w:rsidR="00F91322" w:rsidRDefault="00F91322" w:rsidP="006C7608">
      <w:pPr>
        <w:pStyle w:val="ListBullet"/>
      </w:pPr>
      <w:r w:rsidRPr="00F91322">
        <w:rPr>
          <w:b/>
        </w:rPr>
        <w:t>improve business continuity planning</w:t>
      </w:r>
      <w:r>
        <w:t xml:space="preserve"> to ensure that regulated entities are ready to respond to severe business disruptions; and</w:t>
      </w:r>
    </w:p>
    <w:p w14:paraId="46FD9234" w14:textId="0A06FA16" w:rsidR="006C7608" w:rsidRDefault="00F91322" w:rsidP="006C7608">
      <w:pPr>
        <w:pStyle w:val="ListBullet"/>
      </w:pPr>
      <w:r w:rsidRPr="00F91322">
        <w:rPr>
          <w:b/>
        </w:rPr>
        <w:t>enhance third-party risk management</w:t>
      </w:r>
      <w:r>
        <w:t xml:space="preserve"> by extending requirements to all material service providers that regulated entities rely upon for critical operations or that expose them to material operational risk. </w:t>
      </w:r>
    </w:p>
    <w:p w14:paraId="1B0872A9" w14:textId="17EE4849" w:rsidR="00EC0246" w:rsidRDefault="00701E1B" w:rsidP="00C83166">
      <w:pPr>
        <w:numPr>
          <w:ilvl w:val="0"/>
          <w:numId w:val="0"/>
        </w:numPr>
      </w:pPr>
      <w:r w:rsidRPr="00C83166">
        <w:rPr>
          <w:rFonts w:ascii="DIN OT Medium" w:eastAsiaTheme="majorEastAsia" w:hAnsi="DIN OT Medium" w:cstheme="majorBidi"/>
          <w:color w:val="012169" w:themeColor="text2"/>
          <w:sz w:val="26"/>
        </w:rPr>
        <w:t>Consultation feedback</w:t>
      </w:r>
    </w:p>
    <w:p w14:paraId="34ED2F4B" w14:textId="277A5D23" w:rsidR="005723C6" w:rsidRDefault="00EC0246" w:rsidP="00AC1C12">
      <w:pPr>
        <w:numPr>
          <w:ilvl w:val="0"/>
          <w:numId w:val="0"/>
        </w:numPr>
      </w:pPr>
      <w:r>
        <w:t xml:space="preserve">Overall, </w:t>
      </w:r>
      <w:r w:rsidR="00CF12A9">
        <w:t>62</w:t>
      </w:r>
      <w:r w:rsidR="006523FB">
        <w:t xml:space="preserve"> submissions were received </w:t>
      </w:r>
      <w:r w:rsidR="00CF12A9">
        <w:t xml:space="preserve">in response </w:t>
      </w:r>
      <w:r w:rsidR="006523FB">
        <w:t>to the consultation</w:t>
      </w:r>
      <w:r>
        <w:t xml:space="preserve">. Submissions were generally supportive of </w:t>
      </w:r>
      <w:r w:rsidR="00EF6D33">
        <w:t xml:space="preserve">the approach set out in </w:t>
      </w:r>
      <w:r>
        <w:t>draft CPS 230 and its intended focus</w:t>
      </w:r>
      <w:r w:rsidR="00C6302F">
        <w:t>,</w:t>
      </w:r>
      <w:r w:rsidR="0020272F">
        <w:t xml:space="preserve"> including the incorporation of requirements into a single prudential standard</w:t>
      </w:r>
      <w:r w:rsidR="0051376D">
        <w:t>.</w:t>
      </w:r>
      <w:r>
        <w:t xml:space="preserve"> </w:t>
      </w:r>
      <w:r w:rsidR="0051376D">
        <w:t>H</w:t>
      </w:r>
      <w:r>
        <w:t xml:space="preserve">owever, </w:t>
      </w:r>
      <w:r w:rsidR="00BA2443">
        <w:t xml:space="preserve">some </w:t>
      </w:r>
      <w:r w:rsidR="005723C6">
        <w:t xml:space="preserve">submissions highlighted areas where </w:t>
      </w:r>
      <w:r w:rsidR="00EF6D33">
        <w:t>it was considered that</w:t>
      </w:r>
      <w:r w:rsidR="005723C6">
        <w:t xml:space="preserve"> greater clarity</w:t>
      </w:r>
      <w:r w:rsidR="008F776F">
        <w:t xml:space="preserve"> and</w:t>
      </w:r>
      <w:r w:rsidR="005723C6">
        <w:t xml:space="preserve"> guidance was </w:t>
      </w:r>
      <w:r w:rsidR="00C6302F">
        <w:t>necessary</w:t>
      </w:r>
      <w:r w:rsidR="005723C6">
        <w:t xml:space="preserve"> or where </w:t>
      </w:r>
      <w:r w:rsidR="00C6302F">
        <w:t xml:space="preserve">the draft </w:t>
      </w:r>
      <w:r w:rsidR="0051376D">
        <w:t xml:space="preserve">requirements </w:t>
      </w:r>
      <w:r w:rsidR="005723C6">
        <w:t xml:space="preserve">could have unintended consequences </w:t>
      </w:r>
      <w:r w:rsidR="00C6302F">
        <w:t>and</w:t>
      </w:r>
      <w:r w:rsidR="005723C6">
        <w:t xml:space="preserve"> present practical difficulties in implement</w:t>
      </w:r>
      <w:r w:rsidR="007753B6">
        <w:t>at</w:t>
      </w:r>
      <w:r w:rsidR="005723C6">
        <w:t>i</w:t>
      </w:r>
      <w:r w:rsidR="008F776F">
        <w:t>o</w:t>
      </w:r>
      <w:r w:rsidR="005723C6">
        <w:t xml:space="preserve">n. </w:t>
      </w:r>
    </w:p>
    <w:p w14:paraId="53CB80F5" w14:textId="1C53E1C8" w:rsidR="005723C6" w:rsidRPr="00566276" w:rsidRDefault="005723C6" w:rsidP="00AC1C12">
      <w:pPr>
        <w:numPr>
          <w:ilvl w:val="0"/>
          <w:numId w:val="0"/>
        </w:numPr>
      </w:pPr>
      <w:r>
        <w:t xml:space="preserve">This Response paper </w:t>
      </w:r>
      <w:r w:rsidR="008F776F">
        <w:t xml:space="preserve">summarises </w:t>
      </w:r>
      <w:r>
        <w:t xml:space="preserve">feedback from industry and other stakeholders </w:t>
      </w:r>
      <w:r w:rsidR="006319B5">
        <w:t>to</w:t>
      </w:r>
      <w:r>
        <w:t xml:space="preserve"> the consultation on </w:t>
      </w:r>
      <w:r w:rsidR="00C6302F">
        <w:t xml:space="preserve">draft </w:t>
      </w:r>
      <w:r>
        <w:t>CPS 230. It also sets out APRA’s response</w:t>
      </w:r>
      <w:r w:rsidR="00C6302F">
        <w:t>s</w:t>
      </w:r>
      <w:r>
        <w:t xml:space="preserve"> to feedback and the timeline for implementation. In conjunction with </w:t>
      </w:r>
      <w:r w:rsidR="00566276">
        <w:t xml:space="preserve">this Response paper, APRA is releasing </w:t>
      </w:r>
      <w:r w:rsidR="00EF6D33">
        <w:t xml:space="preserve">the final CPS 230 </w:t>
      </w:r>
      <w:r w:rsidR="008F776F">
        <w:t>and</w:t>
      </w:r>
      <w:r w:rsidR="00EF6D33">
        <w:t xml:space="preserve"> </w:t>
      </w:r>
      <w:r w:rsidR="006319B5">
        <w:t>draft</w:t>
      </w:r>
      <w:r w:rsidR="008F776F">
        <w:t xml:space="preserve"> guidance</w:t>
      </w:r>
      <w:r w:rsidR="006319B5">
        <w:t xml:space="preserve"> </w:t>
      </w:r>
      <w:r w:rsidR="008F776F">
        <w:t>for consultation,</w:t>
      </w:r>
      <w:r w:rsidR="008F776F">
        <w:rPr>
          <w:i/>
        </w:rPr>
        <w:t xml:space="preserve"> </w:t>
      </w:r>
      <w:r w:rsidR="00566276">
        <w:rPr>
          <w:i/>
        </w:rPr>
        <w:t>Prudential Practice Guide CPG 230 Operational Risk Management</w:t>
      </w:r>
      <w:r w:rsidR="00566276">
        <w:t xml:space="preserve"> </w:t>
      </w:r>
      <w:r w:rsidR="006319B5">
        <w:t>(CPG 230)</w:t>
      </w:r>
      <w:r w:rsidR="00EF6D33">
        <w:t xml:space="preserve">. </w:t>
      </w:r>
      <w:r w:rsidR="00566276">
        <w:t xml:space="preserve"> </w:t>
      </w:r>
    </w:p>
    <w:p w14:paraId="6E2428C2" w14:textId="200AF93D" w:rsidR="00DB34F0" w:rsidRPr="00ED65D6" w:rsidRDefault="00B81890" w:rsidP="00B81890">
      <w:pPr>
        <w:pStyle w:val="Heading3"/>
      </w:pPr>
      <w:r>
        <w:t xml:space="preserve">Key </w:t>
      </w:r>
      <w:r w:rsidR="00BF0820">
        <w:t>changes</w:t>
      </w:r>
    </w:p>
    <w:p w14:paraId="7C3C7A88" w14:textId="3D1EEE33" w:rsidR="00AC1C12" w:rsidRDefault="00BF0820" w:rsidP="00AC1C12">
      <w:pPr>
        <w:numPr>
          <w:ilvl w:val="0"/>
          <w:numId w:val="0"/>
        </w:numPr>
      </w:pPr>
      <w:r>
        <w:t>The key changes</w:t>
      </w:r>
      <w:r w:rsidR="008F776F">
        <w:t xml:space="preserve"> to the final standard CPS 230</w:t>
      </w:r>
      <w:r w:rsidR="00094D88">
        <w:t xml:space="preserve"> include</w:t>
      </w:r>
      <w:r w:rsidR="00B81890">
        <w:t>:</w:t>
      </w:r>
    </w:p>
    <w:p w14:paraId="73E4E205" w14:textId="62A70264" w:rsidR="00094D88" w:rsidRPr="008F776F" w:rsidRDefault="008F776F">
      <w:pPr>
        <w:pStyle w:val="ListBullet"/>
        <w:rPr>
          <w:b/>
        </w:rPr>
      </w:pPr>
      <w:r w:rsidRPr="008F776F">
        <w:rPr>
          <w:b/>
        </w:rPr>
        <w:t xml:space="preserve">easing transition: </w:t>
      </w:r>
      <w:r w:rsidR="00094D88">
        <w:t>deferring commencement of CPS 230 to 1 July 202</w:t>
      </w:r>
      <w:r w:rsidR="000C4A96">
        <w:t>5</w:t>
      </w:r>
      <w:r>
        <w:t xml:space="preserve"> and </w:t>
      </w:r>
      <w:r w:rsidR="00094D88">
        <w:t xml:space="preserve">inclusion of transition arrangements for existing service provider arrangements; </w:t>
      </w:r>
    </w:p>
    <w:p w14:paraId="1B896F4B" w14:textId="590975DE" w:rsidR="00806AA5" w:rsidRPr="001A207E" w:rsidRDefault="008F776F" w:rsidP="00B81890">
      <w:pPr>
        <w:pStyle w:val="ListBullet"/>
        <w:rPr>
          <w:b/>
        </w:rPr>
      </w:pPr>
      <w:r>
        <w:rPr>
          <w:b/>
        </w:rPr>
        <w:t xml:space="preserve">flexibility on prescribed </w:t>
      </w:r>
      <w:r w:rsidR="004038CB">
        <w:rPr>
          <w:b/>
        </w:rPr>
        <w:t xml:space="preserve">critical </w:t>
      </w:r>
      <w:r>
        <w:rPr>
          <w:b/>
        </w:rPr>
        <w:t xml:space="preserve">operations and </w:t>
      </w:r>
      <w:r w:rsidR="004038CB">
        <w:rPr>
          <w:b/>
        </w:rPr>
        <w:t>service</w:t>
      </w:r>
      <w:r>
        <w:rPr>
          <w:b/>
        </w:rPr>
        <w:t xml:space="preserve"> providers: </w:t>
      </w:r>
      <w:r w:rsidR="005E4E87">
        <w:t>refining</w:t>
      </w:r>
      <w:r w:rsidR="00094D88">
        <w:t xml:space="preserve"> the </w:t>
      </w:r>
      <w:r w:rsidR="007753B6">
        <w:t>requirement to classify specific</w:t>
      </w:r>
      <w:r w:rsidR="00094D88">
        <w:t xml:space="preserve"> </w:t>
      </w:r>
      <w:r w:rsidR="007753B6">
        <w:t xml:space="preserve">business </w:t>
      </w:r>
      <w:r w:rsidR="00094D88">
        <w:t xml:space="preserve">operations </w:t>
      </w:r>
      <w:r w:rsidR="007753B6">
        <w:t xml:space="preserve">as </w:t>
      </w:r>
      <w:r w:rsidR="000C4A96">
        <w:t>‘</w:t>
      </w:r>
      <w:r w:rsidR="007753B6">
        <w:t>critical</w:t>
      </w:r>
      <w:r w:rsidR="000C4A96">
        <w:t>’</w:t>
      </w:r>
      <w:r w:rsidR="007753B6">
        <w:t xml:space="preserve"> </w:t>
      </w:r>
      <w:r w:rsidR="00094D88">
        <w:t xml:space="preserve">and </w:t>
      </w:r>
      <w:r w:rsidR="007753B6">
        <w:t xml:space="preserve">certain </w:t>
      </w:r>
      <w:r w:rsidR="00094D88">
        <w:t>service providers</w:t>
      </w:r>
      <w:r w:rsidR="007753B6">
        <w:t xml:space="preserve"> as </w:t>
      </w:r>
      <w:r w:rsidR="000C4A96">
        <w:t>’</w:t>
      </w:r>
      <w:r w:rsidR="007753B6">
        <w:t>material</w:t>
      </w:r>
      <w:r w:rsidR="000C4A96">
        <w:t>’</w:t>
      </w:r>
      <w:r w:rsidR="007753B6">
        <w:t xml:space="preserve">, with an </w:t>
      </w:r>
      <w:r w:rsidR="00A75CEF">
        <w:t>‘</w:t>
      </w:r>
      <w:r w:rsidR="007753B6">
        <w:t>unless otherwise justified</w:t>
      </w:r>
      <w:r w:rsidR="00A75CEF">
        <w:t>’</w:t>
      </w:r>
      <w:r w:rsidR="007753B6">
        <w:t xml:space="preserve"> provision</w:t>
      </w:r>
      <w:r w:rsidR="00806AA5">
        <w:t>; and</w:t>
      </w:r>
    </w:p>
    <w:p w14:paraId="1BD1063A" w14:textId="2ED2541D" w:rsidR="00094D88" w:rsidRPr="00BB64AA" w:rsidRDefault="00806AA5" w:rsidP="00B81890">
      <w:pPr>
        <w:pStyle w:val="ListBullet"/>
        <w:rPr>
          <w:b/>
        </w:rPr>
      </w:pPr>
      <w:r>
        <w:rPr>
          <w:b/>
        </w:rPr>
        <w:t>modifications</w:t>
      </w:r>
      <w:r>
        <w:t xml:space="preserve"> so that only </w:t>
      </w:r>
      <w:r w:rsidRPr="00C83166">
        <w:rPr>
          <w:i/>
        </w:rPr>
        <w:t>material</w:t>
      </w:r>
      <w:r>
        <w:t xml:space="preserve"> arrangements with material service providers are captured </w:t>
      </w:r>
      <w:r w:rsidR="00B426B0">
        <w:t xml:space="preserve">in relation to </w:t>
      </w:r>
      <w:r w:rsidR="001A207E">
        <w:t xml:space="preserve">certain requirements, </w:t>
      </w:r>
      <w:r w:rsidR="00D65808">
        <w:t>rather than all arrangements</w:t>
      </w:r>
      <w:r w:rsidR="00094D88">
        <w:t>.</w:t>
      </w:r>
    </w:p>
    <w:p w14:paraId="5A38F1DA" w14:textId="05F683FC" w:rsidR="007753B6" w:rsidRPr="00BB64AA" w:rsidRDefault="007753B6" w:rsidP="00BB64AA">
      <w:pPr>
        <w:pStyle w:val="ListBullet"/>
        <w:numPr>
          <w:ilvl w:val="0"/>
          <w:numId w:val="0"/>
        </w:numPr>
      </w:pPr>
      <w:r w:rsidRPr="00BB64AA">
        <w:t xml:space="preserve">In addition, APRA has </w:t>
      </w:r>
      <w:r w:rsidR="008102E3">
        <w:t xml:space="preserve">developed comprehensive </w:t>
      </w:r>
      <w:r w:rsidR="002E159B">
        <w:t xml:space="preserve">draft </w:t>
      </w:r>
      <w:r>
        <w:t xml:space="preserve">guidance </w:t>
      </w:r>
      <w:r w:rsidR="008102E3">
        <w:t>(</w:t>
      </w:r>
      <w:r w:rsidR="00A75CEF">
        <w:t xml:space="preserve">as set out in </w:t>
      </w:r>
      <w:r>
        <w:t>CPG 230</w:t>
      </w:r>
      <w:r w:rsidR="008102E3">
        <w:t>)</w:t>
      </w:r>
      <w:r>
        <w:t xml:space="preserve"> to assist regulated entities with the implementation of CPS 230, and address issues raised in </w:t>
      </w:r>
      <w:r w:rsidR="00FB6C68">
        <w:t>submissions</w:t>
      </w:r>
      <w:r>
        <w:t>.</w:t>
      </w:r>
    </w:p>
    <w:p w14:paraId="0AB380F7" w14:textId="4E2770BB" w:rsidR="00C82A2E" w:rsidRDefault="00C82A2E" w:rsidP="00C82A2E">
      <w:pPr>
        <w:pStyle w:val="Heading3"/>
      </w:pPr>
      <w:r>
        <w:t>Next steps</w:t>
      </w:r>
    </w:p>
    <w:p w14:paraId="55B10BAC" w14:textId="1AAB02EF" w:rsidR="002E159B" w:rsidRDefault="00EA65A6" w:rsidP="00EA65A6">
      <w:r>
        <w:t xml:space="preserve">APRA has released </w:t>
      </w:r>
      <w:r w:rsidR="00AD5D30">
        <w:t xml:space="preserve">the </w:t>
      </w:r>
      <w:r>
        <w:t xml:space="preserve">final </w:t>
      </w:r>
      <w:r w:rsidR="00AD5D30">
        <w:t xml:space="preserve">version of </w:t>
      </w:r>
      <w:r>
        <w:t xml:space="preserve">CPS 230 with this Response paper. CPS 230 will commence on </w:t>
      </w:r>
      <w:r w:rsidR="00094D88">
        <w:t>1 July 202</w:t>
      </w:r>
      <w:r w:rsidR="00FA0DCA">
        <w:t>5</w:t>
      </w:r>
      <w:r>
        <w:t xml:space="preserve">. APRA has included a transition period to allow entities time to </w:t>
      </w:r>
      <w:r w:rsidR="00F439FD">
        <w:t xml:space="preserve">update </w:t>
      </w:r>
      <w:r>
        <w:t xml:space="preserve">existing contractual arrangements with service providers </w:t>
      </w:r>
      <w:r w:rsidR="008E2A26">
        <w:t xml:space="preserve">to </w:t>
      </w:r>
      <w:r w:rsidR="00AD5D30">
        <w:t>comply with</w:t>
      </w:r>
      <w:r>
        <w:t xml:space="preserve"> CPS 230.</w:t>
      </w:r>
    </w:p>
    <w:p w14:paraId="002C9FA2" w14:textId="759B86D2" w:rsidR="007929E5" w:rsidRDefault="0057126C" w:rsidP="00EA65A6">
      <w:r>
        <w:t xml:space="preserve">Submissions on CPG 230 are due </w:t>
      </w:r>
      <w:r w:rsidR="00ED7564">
        <w:t xml:space="preserve">by </w:t>
      </w:r>
      <w:r w:rsidR="00D27B98">
        <w:t xml:space="preserve">13 </w:t>
      </w:r>
      <w:r w:rsidR="005E111C">
        <w:t>October</w:t>
      </w:r>
      <w:r w:rsidR="002C1285">
        <w:t xml:space="preserve">. Following this, </w:t>
      </w:r>
      <w:r w:rsidR="007753B6">
        <w:t xml:space="preserve">APRA </w:t>
      </w:r>
      <w:r w:rsidR="007B0D81">
        <w:t xml:space="preserve">expects to </w:t>
      </w:r>
      <w:r w:rsidR="007753B6">
        <w:t xml:space="preserve">finalise the guidance </w:t>
      </w:r>
      <w:r w:rsidR="00DB1244">
        <w:t>later this year</w:t>
      </w:r>
      <w:r w:rsidR="007753B6">
        <w:t>.</w:t>
      </w:r>
    </w:p>
    <w:p w14:paraId="69EF0997" w14:textId="790BF1CF" w:rsidR="00186F7F" w:rsidRDefault="00057715" w:rsidP="00EA65A6">
      <w:r>
        <w:t>W</w:t>
      </w:r>
      <w:r w:rsidR="000C4A96">
        <w:t xml:space="preserve">hile the commencement date </w:t>
      </w:r>
      <w:r w:rsidR="00CF1094">
        <w:t xml:space="preserve">for </w:t>
      </w:r>
      <w:r w:rsidR="00E25DBF">
        <w:t>CPS 230</w:t>
      </w:r>
      <w:r w:rsidR="00CF1094">
        <w:t xml:space="preserve"> </w:t>
      </w:r>
      <w:r w:rsidR="000C4A96">
        <w:t xml:space="preserve">has been </w:t>
      </w:r>
      <w:r w:rsidR="009D27ED">
        <w:t>moved to 2025</w:t>
      </w:r>
      <w:r w:rsidR="000C4A96">
        <w:t xml:space="preserve">, </w:t>
      </w:r>
      <w:r w:rsidR="000C4A96" w:rsidRPr="000C4A96">
        <w:t xml:space="preserve">APRA expects regulated entities to be proactive in </w:t>
      </w:r>
      <w:r w:rsidR="000D329E">
        <w:t>preparing for the new requirements</w:t>
      </w:r>
      <w:r w:rsidR="00CA64A4">
        <w:t xml:space="preserve"> </w:t>
      </w:r>
      <w:r w:rsidR="001D25C8">
        <w:t>in 2023-2024</w:t>
      </w:r>
      <w:r w:rsidR="00F02A88">
        <w:t>: this would include</w:t>
      </w:r>
      <w:r w:rsidR="00617EBF">
        <w:t xml:space="preserve"> demonstrat</w:t>
      </w:r>
      <w:r w:rsidR="00F02A88">
        <w:t>ing</w:t>
      </w:r>
      <w:r w:rsidR="00617EBF">
        <w:t xml:space="preserve"> meaningful steps and </w:t>
      </w:r>
      <w:r w:rsidR="004F2AEC">
        <w:t xml:space="preserve">staged </w:t>
      </w:r>
      <w:r w:rsidR="00617EBF">
        <w:t>progress in</w:t>
      </w:r>
      <w:r w:rsidR="00A37D3A">
        <w:t xml:space="preserve"> moving towards</w:t>
      </w:r>
      <w:r w:rsidR="00617EBF">
        <w:t xml:space="preserve"> complying with CPS 230,</w:t>
      </w:r>
      <w:r w:rsidR="001D25C8">
        <w:t xml:space="preserve"> </w:t>
      </w:r>
      <w:r w:rsidR="00CA64A4">
        <w:t xml:space="preserve">rather than waiting until </w:t>
      </w:r>
      <w:r w:rsidR="00167A89">
        <w:t>2025</w:t>
      </w:r>
      <w:r w:rsidR="00CA64A4">
        <w:t xml:space="preserve"> to start planning</w:t>
      </w:r>
      <w:r w:rsidR="000C4A96">
        <w:t>.</w:t>
      </w:r>
    </w:p>
    <w:p w14:paraId="5A1C8A9A" w14:textId="5A487CBF" w:rsidR="00EA65A6" w:rsidRDefault="00462675" w:rsidP="00EA65A6">
      <w:r>
        <w:t>The details of s</w:t>
      </w:r>
      <w:r w:rsidR="009402DD">
        <w:t xml:space="preserve">taged progress may vary across entities. However, </w:t>
      </w:r>
      <w:r w:rsidR="00F02A88">
        <w:t>APRA expects</w:t>
      </w:r>
      <w:r w:rsidR="009402DD">
        <w:t xml:space="preserve"> there will be some common approaches. F</w:t>
      </w:r>
      <w:r w:rsidR="00C8318C">
        <w:t xml:space="preserve">or example, </w:t>
      </w:r>
      <w:r w:rsidR="009402DD">
        <w:t xml:space="preserve">APRA expects </w:t>
      </w:r>
      <w:r w:rsidR="00C8318C">
        <w:t>that</w:t>
      </w:r>
      <w:r w:rsidR="00936AAC">
        <w:t xml:space="preserve"> senior</w:t>
      </w:r>
      <w:r w:rsidR="00F02A88">
        <w:t xml:space="preserve"> </w:t>
      </w:r>
      <w:r w:rsidR="001F5287">
        <w:t xml:space="preserve">management </w:t>
      </w:r>
      <w:r w:rsidR="006C5543">
        <w:t xml:space="preserve">would have identified their critical </w:t>
      </w:r>
      <w:r w:rsidR="00C8318C">
        <w:t xml:space="preserve">operations and material service providers by </w:t>
      </w:r>
      <w:r w:rsidR="009402DD">
        <w:t>mid-</w:t>
      </w:r>
      <w:r w:rsidR="00C8318C">
        <w:t>2024</w:t>
      </w:r>
      <w:r w:rsidR="00C575CA">
        <w:t xml:space="preserve"> and be well positioned to set tolerance</w:t>
      </w:r>
      <w:r w:rsidR="006F641D">
        <w:t xml:space="preserve"> level</w:t>
      </w:r>
      <w:r w:rsidR="00C575CA">
        <w:t>s by the end of 2024.</w:t>
      </w:r>
      <w:r w:rsidR="00766A3F">
        <w:t xml:space="preserve"> Supervisors will engage with entities during the implementation period to assess progress.</w:t>
      </w:r>
    </w:p>
    <w:p w14:paraId="319F9C1E" w14:textId="4FD1086B" w:rsidR="00977ED2" w:rsidRDefault="00977ED2" w:rsidP="00854508">
      <w:pPr>
        <w:pStyle w:val="Numberedfigureheading"/>
      </w:pPr>
    </w:p>
    <w:p w14:paraId="4AEA62CE" w14:textId="027BE70E" w:rsidR="00EA65A6" w:rsidRPr="00EA65A6" w:rsidRDefault="00F73545" w:rsidP="00AD12E7">
      <w:pPr>
        <w:numPr>
          <w:ilvl w:val="0"/>
          <w:numId w:val="0"/>
        </w:numPr>
      </w:pPr>
      <w:r>
        <w:rPr>
          <w:noProof/>
        </w:rPr>
        <w:drawing>
          <wp:inline distT="0" distB="0" distL="0" distR="0" wp14:anchorId="039D01E1" wp14:editId="75EE68D1">
            <wp:extent cx="6300000" cy="253745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00000" cy="2537456"/>
                    </a:xfrm>
                    <a:prstGeom prst="rect">
                      <a:avLst/>
                    </a:prstGeom>
                    <a:noFill/>
                  </pic:spPr>
                </pic:pic>
              </a:graphicData>
            </a:graphic>
          </wp:inline>
        </w:drawing>
      </w:r>
    </w:p>
    <w:p w14:paraId="3735AE84" w14:textId="77777777" w:rsidR="00AC1C12" w:rsidRDefault="00AC1C12" w:rsidP="00AC1C12">
      <w:pPr>
        <w:pStyle w:val="Heading1"/>
      </w:pPr>
      <w:bookmarkStart w:id="1" w:name="_Toc136506377"/>
      <w:r>
        <w:t>Glossary</w:t>
      </w:r>
      <w:bookmarkEnd w:id="1"/>
    </w:p>
    <w:tbl>
      <w:tblPr>
        <w:tblStyle w:val="TableOption2"/>
        <w:tblW w:w="9072" w:type="dxa"/>
        <w:tblLook w:val="0480" w:firstRow="0" w:lastRow="0" w:firstColumn="1" w:lastColumn="0" w:noHBand="0" w:noVBand="1"/>
      </w:tblPr>
      <w:tblGrid>
        <w:gridCol w:w="2694"/>
        <w:gridCol w:w="6378"/>
      </w:tblGrid>
      <w:tr w:rsidR="00BB75B8" w14:paraId="58DE0DA4" w14:textId="77777777" w:rsidTr="00C462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747E2D50" w14:textId="6F3398C7" w:rsidR="00BB75B8" w:rsidRDefault="00BB75B8" w:rsidP="008A7BAB">
            <w:pPr>
              <w:pStyle w:val="TableHeading"/>
              <w:spacing w:before="120"/>
            </w:pPr>
            <w:r>
              <w:t>ADI</w:t>
            </w:r>
          </w:p>
        </w:tc>
        <w:tc>
          <w:tcPr>
            <w:tcW w:w="6378" w:type="dxa"/>
            <w:tcBorders>
              <w:bottom w:val="single" w:sz="4" w:space="0" w:color="FFFFFF" w:themeColor="background1"/>
            </w:tcBorders>
          </w:tcPr>
          <w:p w14:paraId="279D4EA0" w14:textId="288A06E1" w:rsidR="00BB75B8" w:rsidRDefault="00BB75B8" w:rsidP="003C34D9">
            <w:pPr>
              <w:cnfStyle w:val="000000100000" w:firstRow="0" w:lastRow="0" w:firstColumn="0" w:lastColumn="0" w:oddVBand="0" w:evenVBand="0" w:oddHBand="1" w:evenHBand="0" w:firstRowFirstColumn="0" w:firstRowLastColumn="0" w:lastRowFirstColumn="0" w:lastRowLastColumn="0"/>
            </w:pPr>
            <w:r>
              <w:t>Authorised deposit-taking institution</w:t>
            </w:r>
            <w:r w:rsidR="005B4CE6" w:rsidRPr="005B4CE6">
              <w:t xml:space="preserve">, as defined in the </w:t>
            </w:r>
            <w:r w:rsidR="005B4CE6" w:rsidRPr="005B4CE6">
              <w:rPr>
                <w:i/>
              </w:rPr>
              <w:t>Banking Act 1959</w:t>
            </w:r>
          </w:p>
        </w:tc>
      </w:tr>
      <w:tr w:rsidR="00BB75B8" w14:paraId="7DF99420" w14:textId="77777777" w:rsidTr="00C462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40838A13" w14:textId="19C3E0BA" w:rsidR="00BB75B8" w:rsidRDefault="00BB75B8" w:rsidP="008A7BAB">
            <w:pPr>
              <w:pStyle w:val="TableHeading"/>
              <w:spacing w:before="120"/>
            </w:pPr>
            <w:r>
              <w:t>APRA</w:t>
            </w:r>
          </w:p>
        </w:tc>
        <w:tc>
          <w:tcPr>
            <w:tcW w:w="6378" w:type="dxa"/>
            <w:tcBorders>
              <w:top w:val="single" w:sz="4" w:space="0" w:color="FFFFFF" w:themeColor="background1"/>
            </w:tcBorders>
          </w:tcPr>
          <w:p w14:paraId="1154D199" w14:textId="6B03D5BB" w:rsidR="00BB75B8" w:rsidRPr="00BB75B8" w:rsidRDefault="00BB75B8" w:rsidP="008A7BAB">
            <w:pPr>
              <w:numPr>
                <w:ilvl w:val="0"/>
                <w:numId w:val="0"/>
              </w:numPr>
              <w:spacing w:before="120" w:after="120"/>
              <w:cnfStyle w:val="000000010000" w:firstRow="0" w:lastRow="0" w:firstColumn="0" w:lastColumn="0" w:oddVBand="0" w:evenVBand="0" w:oddHBand="0" w:evenHBand="1" w:firstRowFirstColumn="0" w:firstRowLastColumn="0" w:lastRowFirstColumn="0" w:lastRowLastColumn="0"/>
            </w:pPr>
            <w:r>
              <w:t>Australian Prudential Regulation Authority</w:t>
            </w:r>
          </w:p>
        </w:tc>
      </w:tr>
      <w:tr w:rsidR="006A488D" w14:paraId="04C67ACB" w14:textId="77777777" w:rsidTr="00C462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162A4095" w14:textId="59F187AE" w:rsidR="006A488D" w:rsidRDefault="006A488D" w:rsidP="008A7BAB">
            <w:pPr>
              <w:pStyle w:val="TableHeading"/>
              <w:spacing w:before="120"/>
            </w:pPr>
            <w:r>
              <w:t>BCP</w:t>
            </w:r>
          </w:p>
        </w:tc>
        <w:tc>
          <w:tcPr>
            <w:tcW w:w="6378" w:type="dxa"/>
            <w:tcBorders>
              <w:top w:val="single" w:sz="4" w:space="0" w:color="FFFFFF" w:themeColor="background1"/>
            </w:tcBorders>
          </w:tcPr>
          <w:p w14:paraId="6DFC57F0" w14:textId="4841FF63" w:rsidR="006A488D" w:rsidRPr="006A488D" w:rsidRDefault="006A488D" w:rsidP="008A7BAB">
            <w:pPr>
              <w:numPr>
                <w:ilvl w:val="0"/>
                <w:numId w:val="0"/>
              </w:numPr>
              <w:spacing w:before="120" w:after="120"/>
              <w:cnfStyle w:val="000000100000" w:firstRow="0" w:lastRow="0" w:firstColumn="0" w:lastColumn="0" w:oddVBand="0" w:evenVBand="0" w:oddHBand="1" w:evenHBand="0" w:firstRowFirstColumn="0" w:firstRowLastColumn="0" w:lastRowFirstColumn="0" w:lastRowLastColumn="0"/>
            </w:pPr>
            <w:r>
              <w:t>Business continuity plan</w:t>
            </w:r>
          </w:p>
        </w:tc>
      </w:tr>
      <w:tr w:rsidR="002E5EFF" w14:paraId="18275A74" w14:textId="77777777" w:rsidTr="00C462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913DA56" w14:textId="2479D9B3" w:rsidR="002E5EFF" w:rsidRDefault="002E5EFF" w:rsidP="008A7BAB">
            <w:pPr>
              <w:pStyle w:val="TableHeading"/>
              <w:spacing w:before="120"/>
            </w:pPr>
            <w:r>
              <w:t>CPG 230</w:t>
            </w:r>
          </w:p>
        </w:tc>
        <w:tc>
          <w:tcPr>
            <w:tcW w:w="6378" w:type="dxa"/>
            <w:tcBorders>
              <w:top w:val="single" w:sz="4" w:space="0" w:color="FFFFFF" w:themeColor="background1"/>
            </w:tcBorders>
          </w:tcPr>
          <w:p w14:paraId="39AC0ACE" w14:textId="5B91A899" w:rsidR="002E5EFF" w:rsidRDefault="002E5EFF" w:rsidP="008A7BAB">
            <w:pPr>
              <w:numPr>
                <w:ilvl w:val="0"/>
                <w:numId w:val="0"/>
              </w:numPr>
              <w:spacing w:before="120" w:after="120"/>
              <w:cnfStyle w:val="000000010000" w:firstRow="0" w:lastRow="0" w:firstColumn="0" w:lastColumn="0" w:oddVBand="0" w:evenVBand="0" w:oddHBand="0" w:evenHBand="1" w:firstRowFirstColumn="0" w:firstRowLastColumn="0" w:lastRowFirstColumn="0" w:lastRowLastColumn="0"/>
              <w:rPr>
                <w:i/>
              </w:rPr>
            </w:pPr>
            <w:r>
              <w:rPr>
                <w:i/>
              </w:rPr>
              <w:t>Prudential Practice Guide CPG 230 Operational Risk Management</w:t>
            </w:r>
          </w:p>
        </w:tc>
      </w:tr>
      <w:tr w:rsidR="000B74CA" w14:paraId="4620B9C0" w14:textId="77777777" w:rsidTr="00C462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2174C237" w14:textId="1F167DC6" w:rsidR="000B74CA" w:rsidRDefault="002E5EFF" w:rsidP="008A7BAB">
            <w:pPr>
              <w:pStyle w:val="TableHeading"/>
              <w:spacing w:before="120"/>
            </w:pPr>
            <w:r>
              <w:t>CPS 230</w:t>
            </w:r>
          </w:p>
        </w:tc>
        <w:tc>
          <w:tcPr>
            <w:tcW w:w="6378" w:type="dxa"/>
            <w:tcBorders>
              <w:top w:val="single" w:sz="4" w:space="0" w:color="FFFFFF" w:themeColor="background1"/>
            </w:tcBorders>
          </w:tcPr>
          <w:p w14:paraId="174B7DAB" w14:textId="6BD2C918" w:rsidR="000B74CA" w:rsidRPr="002E5EFF" w:rsidRDefault="002E5EFF" w:rsidP="008A7BAB">
            <w:pPr>
              <w:numPr>
                <w:ilvl w:val="0"/>
                <w:numId w:val="0"/>
              </w:numPr>
              <w:spacing w:before="120" w:after="120"/>
              <w:cnfStyle w:val="000000100000" w:firstRow="0" w:lastRow="0" w:firstColumn="0" w:lastColumn="0" w:oddVBand="0" w:evenVBand="0" w:oddHBand="1" w:evenHBand="0" w:firstRowFirstColumn="0" w:firstRowLastColumn="0" w:lastRowFirstColumn="0" w:lastRowLastColumn="0"/>
              <w:rPr>
                <w:i/>
              </w:rPr>
            </w:pPr>
            <w:r>
              <w:rPr>
                <w:i/>
              </w:rPr>
              <w:t>Prudential Standard CPS 230 Operational Risk Management</w:t>
            </w:r>
          </w:p>
        </w:tc>
      </w:tr>
      <w:tr w:rsidR="00553F22" w14:paraId="40D60BE7" w14:textId="77777777" w:rsidTr="00C462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03303B3A" w14:textId="0E7C9871" w:rsidR="00553F22" w:rsidRDefault="00553F22" w:rsidP="008A7BAB">
            <w:pPr>
              <w:pStyle w:val="TableHeading"/>
              <w:spacing w:before="120"/>
            </w:pPr>
            <w:r>
              <w:t>CPS 234</w:t>
            </w:r>
          </w:p>
        </w:tc>
        <w:tc>
          <w:tcPr>
            <w:tcW w:w="6378" w:type="dxa"/>
            <w:tcBorders>
              <w:top w:val="single" w:sz="4" w:space="0" w:color="FFFFFF" w:themeColor="background1"/>
            </w:tcBorders>
          </w:tcPr>
          <w:p w14:paraId="6C5CD7F7" w14:textId="53877D1B" w:rsidR="00553F22" w:rsidRDefault="00553F22" w:rsidP="008A7BAB">
            <w:pPr>
              <w:numPr>
                <w:ilvl w:val="0"/>
                <w:numId w:val="0"/>
              </w:numPr>
              <w:spacing w:before="120" w:after="120"/>
              <w:cnfStyle w:val="000000010000" w:firstRow="0" w:lastRow="0" w:firstColumn="0" w:lastColumn="0" w:oddVBand="0" w:evenVBand="0" w:oddHBand="0" w:evenHBand="1" w:firstRowFirstColumn="0" w:firstRowLastColumn="0" w:lastRowFirstColumn="0" w:lastRowLastColumn="0"/>
              <w:rPr>
                <w:i/>
              </w:rPr>
            </w:pPr>
            <w:r>
              <w:rPr>
                <w:i/>
              </w:rPr>
              <w:t>Prudential Standard CPS 234 Information Security</w:t>
            </w:r>
          </w:p>
        </w:tc>
      </w:tr>
      <w:tr w:rsidR="000B74CA" w14:paraId="68EF8AF5" w14:textId="77777777" w:rsidTr="00D07C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7082D02A" w14:textId="41A1581B" w:rsidR="000B74CA" w:rsidRDefault="00A74B58" w:rsidP="008A7BAB">
            <w:pPr>
              <w:pStyle w:val="TableHeading"/>
              <w:spacing w:before="120"/>
            </w:pPr>
            <w:r>
              <w:t>Discussion paper</w:t>
            </w:r>
          </w:p>
        </w:tc>
        <w:tc>
          <w:tcPr>
            <w:tcW w:w="0" w:type="dxa"/>
            <w:tcBorders>
              <w:top w:val="single" w:sz="4" w:space="0" w:color="FFFFFF" w:themeColor="background1"/>
              <w:bottom w:val="single" w:sz="4" w:space="0" w:color="FFFFFF" w:themeColor="background1"/>
            </w:tcBorders>
          </w:tcPr>
          <w:p w14:paraId="6578DE28" w14:textId="35BF9D7B" w:rsidR="000B74CA" w:rsidRPr="00A74B58" w:rsidRDefault="00A74B58" w:rsidP="008A7BAB">
            <w:pPr>
              <w:numPr>
                <w:ilvl w:val="0"/>
                <w:numId w:val="0"/>
              </w:numPr>
              <w:spacing w:before="120" w:after="120"/>
              <w:cnfStyle w:val="000000100000" w:firstRow="0" w:lastRow="0" w:firstColumn="0" w:lastColumn="0" w:oddVBand="0" w:evenVBand="0" w:oddHBand="1" w:evenHBand="0" w:firstRowFirstColumn="0" w:firstRowLastColumn="0" w:lastRowFirstColumn="0" w:lastRowLastColumn="0"/>
            </w:pPr>
            <w:r w:rsidRPr="00A74B58">
              <w:rPr>
                <w:i/>
              </w:rPr>
              <w:t xml:space="preserve">Discussion </w:t>
            </w:r>
            <w:r w:rsidR="0066505E">
              <w:rPr>
                <w:i/>
              </w:rPr>
              <w:t>p</w:t>
            </w:r>
            <w:r w:rsidRPr="00A74B58">
              <w:rPr>
                <w:i/>
              </w:rPr>
              <w:t>aper – Strengthening operational risk management</w:t>
            </w:r>
            <w:r>
              <w:t>, APRA, July 2022</w:t>
            </w:r>
          </w:p>
        </w:tc>
      </w:tr>
      <w:tr w:rsidR="00176846" w14:paraId="1338EA72" w14:textId="77777777" w:rsidTr="00C462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707A1A10" w14:textId="79D46176" w:rsidR="00176846" w:rsidRDefault="00176846" w:rsidP="008A7BAB">
            <w:pPr>
              <w:pStyle w:val="TableHeading"/>
              <w:spacing w:before="120"/>
            </w:pPr>
            <w:r>
              <w:t>Non-SFI</w:t>
            </w:r>
          </w:p>
        </w:tc>
        <w:tc>
          <w:tcPr>
            <w:tcW w:w="6378" w:type="dxa"/>
            <w:tcBorders>
              <w:top w:val="single" w:sz="4" w:space="0" w:color="FFFFFF" w:themeColor="background1"/>
            </w:tcBorders>
          </w:tcPr>
          <w:p w14:paraId="1746D3D2" w14:textId="72EAB3D0" w:rsidR="00176846" w:rsidRDefault="00176846" w:rsidP="008A7BAB">
            <w:pPr>
              <w:numPr>
                <w:ilvl w:val="0"/>
                <w:numId w:val="0"/>
              </w:numPr>
              <w:spacing w:before="120" w:after="120"/>
              <w:cnfStyle w:val="000000010000" w:firstRow="0" w:lastRow="0" w:firstColumn="0" w:lastColumn="0" w:oddVBand="0" w:evenVBand="0" w:oddHBand="0" w:evenHBand="1" w:firstRowFirstColumn="0" w:firstRowLastColumn="0" w:lastRowFirstColumn="0" w:lastRowLastColumn="0"/>
            </w:pPr>
            <w:r>
              <w:t>An entity that is not a significant financial institution</w:t>
            </w:r>
          </w:p>
        </w:tc>
      </w:tr>
      <w:tr w:rsidR="00176846" w14:paraId="34D59F40" w14:textId="77777777" w:rsidTr="00C462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755DC5F4" w14:textId="6FBADDA0" w:rsidR="00176846" w:rsidRDefault="00176846" w:rsidP="008A7BAB">
            <w:pPr>
              <w:pStyle w:val="TableHeading"/>
              <w:spacing w:before="120"/>
            </w:pPr>
            <w:r>
              <w:t>SFI</w:t>
            </w:r>
          </w:p>
        </w:tc>
        <w:tc>
          <w:tcPr>
            <w:tcW w:w="6378" w:type="dxa"/>
            <w:tcBorders>
              <w:top w:val="single" w:sz="4" w:space="0" w:color="FFFFFF" w:themeColor="background1"/>
            </w:tcBorders>
          </w:tcPr>
          <w:p w14:paraId="298029F0" w14:textId="5BD9D664" w:rsidR="00176846" w:rsidRPr="00D07CDF" w:rsidRDefault="00176846" w:rsidP="008A7BAB">
            <w:pPr>
              <w:numPr>
                <w:ilvl w:val="0"/>
                <w:numId w:val="0"/>
              </w:numPr>
              <w:spacing w:before="120" w:after="120"/>
              <w:cnfStyle w:val="000000100000" w:firstRow="0" w:lastRow="0" w:firstColumn="0" w:lastColumn="0" w:oddVBand="0" w:evenVBand="0" w:oddHBand="1" w:evenHBand="0" w:firstRowFirstColumn="0" w:firstRowLastColumn="0" w:lastRowFirstColumn="0" w:lastRowLastColumn="0"/>
            </w:pPr>
            <w:r>
              <w:t>Significant financial institution</w:t>
            </w:r>
          </w:p>
        </w:tc>
      </w:tr>
    </w:tbl>
    <w:p w14:paraId="065E5749" w14:textId="77777777" w:rsidR="00AC1C12" w:rsidRDefault="00AC1C12" w:rsidP="00AC1C12">
      <w:pPr>
        <w:numPr>
          <w:ilvl w:val="0"/>
          <w:numId w:val="0"/>
        </w:numPr>
      </w:pPr>
    </w:p>
    <w:p w14:paraId="6C473434" w14:textId="77777777" w:rsidR="00AC1C12" w:rsidRDefault="00AC1C12" w:rsidP="00AC1C12">
      <w:pPr>
        <w:numPr>
          <w:ilvl w:val="0"/>
          <w:numId w:val="0"/>
        </w:numPr>
      </w:pPr>
      <w:r>
        <w:t> </w:t>
      </w:r>
    </w:p>
    <w:p w14:paraId="02AAA0F0" w14:textId="2F5258B5" w:rsidR="00AC1C12" w:rsidRDefault="00E41F1A" w:rsidP="00AC1C12">
      <w:pPr>
        <w:pStyle w:val="Heading1Numbers"/>
      </w:pPr>
      <w:bookmarkStart w:id="2" w:name="_Toc136506378"/>
      <w:r>
        <w:t>Response to submissions</w:t>
      </w:r>
      <w:bookmarkEnd w:id="2"/>
    </w:p>
    <w:p w14:paraId="54CA588E" w14:textId="64099513" w:rsidR="003A473C" w:rsidRDefault="002F74B1" w:rsidP="003A473C">
      <w:r>
        <w:t>This chapter sets out APRA’s responses to</w:t>
      </w:r>
      <w:r w:rsidR="004856DA">
        <w:t xml:space="preserve"> </w:t>
      </w:r>
      <w:r w:rsidR="008B6728">
        <w:t>key</w:t>
      </w:r>
      <w:r>
        <w:t xml:space="preserve"> issues </w:t>
      </w:r>
      <w:r w:rsidR="004856DA">
        <w:t xml:space="preserve">raised in </w:t>
      </w:r>
      <w:r w:rsidR="00E73E8A">
        <w:t>consultation on the draft standard</w:t>
      </w:r>
      <w:r w:rsidR="000E3757">
        <w:t xml:space="preserve">, </w:t>
      </w:r>
      <w:r w:rsidR="00E73E8A">
        <w:t xml:space="preserve">and an outline of </w:t>
      </w:r>
      <w:r w:rsidR="000E3757">
        <w:t xml:space="preserve">changes </w:t>
      </w:r>
      <w:r w:rsidR="001C56C4">
        <w:t xml:space="preserve">made </w:t>
      </w:r>
      <w:r w:rsidR="00E73E8A">
        <w:t xml:space="preserve">as a result </w:t>
      </w:r>
      <w:r w:rsidR="001C56C4">
        <w:t xml:space="preserve">in finalising </w:t>
      </w:r>
      <w:r w:rsidR="000E3757" w:rsidRPr="000E3757">
        <w:rPr>
          <w:i/>
        </w:rPr>
        <w:t>Prudential Standard CPS 230 Operational Risk Management</w:t>
      </w:r>
      <w:r w:rsidR="000E3757">
        <w:t xml:space="preserve"> (CPS 230)</w:t>
      </w:r>
      <w:r>
        <w:t>.</w:t>
      </w:r>
    </w:p>
    <w:p w14:paraId="66D320BF" w14:textId="3CC1C0E2" w:rsidR="002F74B1" w:rsidRDefault="00203273" w:rsidP="00203273">
      <w:pPr>
        <w:pStyle w:val="Heading2Numbers"/>
      </w:pPr>
      <w:r>
        <w:t xml:space="preserve"> </w:t>
      </w:r>
      <w:r w:rsidR="00771E79">
        <w:t>Commencement date</w:t>
      </w:r>
    </w:p>
    <w:p w14:paraId="701170AC" w14:textId="6544AD79" w:rsidR="00771E79" w:rsidRDefault="00771E79" w:rsidP="00771E79">
      <w:pPr>
        <w:numPr>
          <w:ilvl w:val="0"/>
          <w:numId w:val="0"/>
        </w:numPr>
      </w:pPr>
      <w:r>
        <w:t xml:space="preserve">APRA </w:t>
      </w:r>
      <w:r w:rsidR="00074512">
        <w:t>originally</w:t>
      </w:r>
      <w:r>
        <w:t xml:space="preserve"> proposed that CPS 230 would commence </w:t>
      </w:r>
      <w:r w:rsidR="00DC37D4">
        <w:t>on</w:t>
      </w:r>
      <w:r>
        <w:t xml:space="preserve"> 1</w:t>
      </w:r>
      <w:r w:rsidR="00EE1741">
        <w:t> </w:t>
      </w:r>
      <w:r>
        <w:t>January 2024.</w:t>
      </w:r>
      <w:r w:rsidR="00EE1741">
        <w:t xml:space="preserve"> This </w:t>
      </w:r>
      <w:r w:rsidR="00DC37D4">
        <w:t xml:space="preserve">commencement date </w:t>
      </w:r>
      <w:r w:rsidR="008B6728">
        <w:t>reflected</w:t>
      </w:r>
      <w:r w:rsidR="00DC37D4">
        <w:t xml:space="preserve"> </w:t>
      </w:r>
      <w:r w:rsidR="00FB27CE">
        <w:t>a balance of considerations:</w:t>
      </w:r>
      <w:r w:rsidR="008B6728">
        <w:t xml:space="preserve"> </w:t>
      </w:r>
      <w:r w:rsidR="00FB27CE">
        <w:t>w</w:t>
      </w:r>
      <w:r w:rsidR="00DC37D4">
        <w:t xml:space="preserve">hile </w:t>
      </w:r>
      <w:r w:rsidR="004556B7">
        <w:t xml:space="preserve">the proposed </w:t>
      </w:r>
      <w:r w:rsidR="006245E7">
        <w:t xml:space="preserve">CPS 230 is </w:t>
      </w:r>
      <w:r w:rsidR="00FB27CE">
        <w:t xml:space="preserve">a </w:t>
      </w:r>
      <w:r w:rsidR="006245E7">
        <w:t>new</w:t>
      </w:r>
      <w:r w:rsidR="00FB27CE">
        <w:t xml:space="preserve"> standard</w:t>
      </w:r>
      <w:r w:rsidR="00DC37D4">
        <w:t>, existing</w:t>
      </w:r>
      <w:r w:rsidR="004556B7">
        <w:t xml:space="preserve"> risk management, business continuity and</w:t>
      </w:r>
      <w:r w:rsidR="00DC37D4">
        <w:t xml:space="preserve"> outsourcing </w:t>
      </w:r>
      <w:r w:rsidR="006245E7">
        <w:t xml:space="preserve">processes </w:t>
      </w:r>
      <w:r w:rsidR="00FB27CE">
        <w:t>sh</w:t>
      </w:r>
      <w:r w:rsidR="00DC37D4">
        <w:t xml:space="preserve">ould </w:t>
      </w:r>
      <w:r w:rsidR="00E73E8A">
        <w:t xml:space="preserve">already </w:t>
      </w:r>
      <w:r w:rsidR="00DC37D4">
        <w:t xml:space="preserve">provide a </w:t>
      </w:r>
      <w:r w:rsidR="00FB27CE">
        <w:t xml:space="preserve">solid </w:t>
      </w:r>
      <w:r w:rsidR="00DC37D4">
        <w:t xml:space="preserve">foundation for entities to </w:t>
      </w:r>
      <w:r w:rsidR="00816A4B">
        <w:t xml:space="preserve">comply with </w:t>
      </w:r>
      <w:r w:rsidR="00CF12A9">
        <w:t>CPS 230</w:t>
      </w:r>
      <w:r w:rsidR="00DC37D4">
        <w:t>.</w:t>
      </w:r>
      <w:r w:rsidR="00CF12A9">
        <w:t xml:space="preserve"> </w:t>
      </w:r>
      <w:r w:rsidR="00EE1741">
        <w:t xml:space="preserve"> </w:t>
      </w:r>
    </w:p>
    <w:p w14:paraId="7EEEA412" w14:textId="5E0BAA22" w:rsidR="00EE1741" w:rsidRDefault="00EE1741" w:rsidP="00EE1741">
      <w:pPr>
        <w:pStyle w:val="Heading2"/>
      </w:pPr>
      <w:r>
        <w:t>Comments received</w:t>
      </w:r>
    </w:p>
    <w:p w14:paraId="100B2790" w14:textId="21EC5335" w:rsidR="00A41FA2" w:rsidRDefault="00584A67" w:rsidP="00BF0820">
      <w:pPr>
        <w:numPr>
          <w:ilvl w:val="0"/>
          <w:numId w:val="0"/>
        </w:numPr>
      </w:pPr>
      <w:r>
        <w:t xml:space="preserve">In general, there was a view </w:t>
      </w:r>
      <w:r w:rsidR="004401AA">
        <w:t xml:space="preserve">from entities </w:t>
      </w:r>
      <w:r>
        <w:t xml:space="preserve">that the </w:t>
      </w:r>
      <w:r w:rsidR="003E0F49">
        <w:t xml:space="preserve">proposed </w:t>
      </w:r>
      <w:r>
        <w:t xml:space="preserve">commencement date would be difficult </w:t>
      </w:r>
      <w:r w:rsidR="00961C92">
        <w:t>to meet</w:t>
      </w:r>
      <w:r>
        <w:t xml:space="preserve">. </w:t>
      </w:r>
      <w:r w:rsidR="009C198D">
        <w:t xml:space="preserve">Submissions highlighted a number of </w:t>
      </w:r>
      <w:r w:rsidR="001C56C4">
        <w:t xml:space="preserve">practical </w:t>
      </w:r>
      <w:r w:rsidR="009C198D">
        <w:t xml:space="preserve">difficulties </w:t>
      </w:r>
      <w:r w:rsidR="001C56C4">
        <w:t>with</w:t>
      </w:r>
      <w:r w:rsidR="009C198D">
        <w:t xml:space="preserve"> the proposed </w:t>
      </w:r>
      <w:r w:rsidR="003E0F49">
        <w:t>commencement date</w:t>
      </w:r>
      <w:r w:rsidR="009C198D">
        <w:t xml:space="preserve">, </w:t>
      </w:r>
      <w:r>
        <w:t>includ</w:t>
      </w:r>
      <w:r w:rsidR="009C198D">
        <w:t>ing</w:t>
      </w:r>
      <w:r>
        <w:t>:</w:t>
      </w:r>
    </w:p>
    <w:p w14:paraId="421772BF" w14:textId="5C473A42" w:rsidR="00C74056" w:rsidRDefault="00584A67" w:rsidP="00A41FA2">
      <w:pPr>
        <w:pStyle w:val="ListBullet"/>
      </w:pPr>
      <w:r>
        <w:t>significant planning</w:t>
      </w:r>
      <w:r w:rsidR="00C74056">
        <w:t xml:space="preserve"> and resourc</w:t>
      </w:r>
      <w:r w:rsidR="003E0F49">
        <w:t>es</w:t>
      </w:r>
      <w:r w:rsidR="00E73E8A">
        <w:t xml:space="preserve"> </w:t>
      </w:r>
      <w:r w:rsidR="00C74056">
        <w:t>would be required</w:t>
      </w:r>
      <w:r>
        <w:t xml:space="preserve"> to implement</w:t>
      </w:r>
      <w:r w:rsidR="00C74056">
        <w:t xml:space="preserve"> CPS 230;</w:t>
      </w:r>
    </w:p>
    <w:p w14:paraId="3C89E72A" w14:textId="7A8AA7A6" w:rsidR="002E6E79" w:rsidRDefault="00135025" w:rsidP="00584A67">
      <w:pPr>
        <w:pStyle w:val="ListBullet"/>
      </w:pPr>
      <w:r>
        <w:t xml:space="preserve">the </w:t>
      </w:r>
      <w:r w:rsidR="002E6E79">
        <w:t>scope</w:t>
      </w:r>
      <w:r w:rsidR="00FB27CE">
        <w:t xml:space="preserve"> of</w:t>
      </w:r>
      <w:r w:rsidR="002E6E79">
        <w:t xml:space="preserve"> increase</w:t>
      </w:r>
      <w:r w:rsidR="00FB27CE">
        <w:t>s</w:t>
      </w:r>
      <w:r w:rsidR="002E6E79">
        <w:t xml:space="preserve"> relative to existing requirements;</w:t>
      </w:r>
    </w:p>
    <w:p w14:paraId="2C1F0536" w14:textId="4FFD818A" w:rsidR="008045D9" w:rsidRDefault="008045D9" w:rsidP="00584A67">
      <w:pPr>
        <w:pStyle w:val="ListBullet"/>
      </w:pPr>
      <w:r>
        <w:t xml:space="preserve">the </w:t>
      </w:r>
      <w:r w:rsidR="00E73E8A">
        <w:t xml:space="preserve">need for </w:t>
      </w:r>
      <w:r w:rsidR="00D34E9D">
        <w:t xml:space="preserve">guidance </w:t>
      </w:r>
      <w:r w:rsidR="003E0F49">
        <w:t>to assist</w:t>
      </w:r>
      <w:r>
        <w:t xml:space="preserve"> entities to implement and comply with CPS 230;</w:t>
      </w:r>
      <w:r w:rsidR="0083727F">
        <w:t xml:space="preserve"> and</w:t>
      </w:r>
    </w:p>
    <w:p w14:paraId="2705FCBE" w14:textId="4B803CBF" w:rsidR="00584A67" w:rsidRDefault="00DC37D4" w:rsidP="00584A67">
      <w:pPr>
        <w:pStyle w:val="ListBullet"/>
      </w:pPr>
      <w:r>
        <w:t>various</w:t>
      </w:r>
      <w:r w:rsidR="00E73E8A">
        <w:t xml:space="preserve"> other concurrent</w:t>
      </w:r>
      <w:r>
        <w:t xml:space="preserve"> regulatory changes</w:t>
      </w:r>
      <w:r w:rsidR="00FB27CE">
        <w:t>,</w:t>
      </w:r>
      <w:r w:rsidR="00135025">
        <w:t xml:space="preserve"> </w:t>
      </w:r>
      <w:r w:rsidR="00E73E8A">
        <w:t xml:space="preserve">which </w:t>
      </w:r>
      <w:r w:rsidR="002B0D07">
        <w:t xml:space="preserve">are </w:t>
      </w:r>
      <w:r w:rsidR="003E0F49">
        <w:t xml:space="preserve">already </w:t>
      </w:r>
      <w:r w:rsidR="00135025">
        <w:t>stretch</w:t>
      </w:r>
      <w:r w:rsidR="00E73E8A">
        <w:t>ing</w:t>
      </w:r>
      <w:r w:rsidR="00135025">
        <w:t xml:space="preserve"> resources.</w:t>
      </w:r>
    </w:p>
    <w:p w14:paraId="223986C7" w14:textId="04BEB82B" w:rsidR="00771E79" w:rsidRDefault="00C74056" w:rsidP="00C74056">
      <w:pPr>
        <w:pStyle w:val="Heading3"/>
      </w:pPr>
      <w:r>
        <w:t>APRA</w:t>
      </w:r>
      <w:r w:rsidR="00D6234F">
        <w:t>’s</w:t>
      </w:r>
      <w:r>
        <w:t xml:space="preserve"> response</w:t>
      </w:r>
    </w:p>
    <w:p w14:paraId="1FCE008D" w14:textId="17E96A96" w:rsidR="00771E79" w:rsidRDefault="00693CA3" w:rsidP="00771E79">
      <w:pPr>
        <w:numPr>
          <w:ilvl w:val="0"/>
          <w:numId w:val="0"/>
        </w:numPr>
      </w:pPr>
      <w:r>
        <w:t xml:space="preserve">APRA acknowledges the issues </w:t>
      </w:r>
      <w:r w:rsidR="009C198D">
        <w:t xml:space="preserve">raised </w:t>
      </w:r>
      <w:r w:rsidR="00E73E8A">
        <w:t xml:space="preserve">on </w:t>
      </w:r>
      <w:r>
        <w:t xml:space="preserve">the proposed commencement date of 1 January 2024. APRA will therefore postpone commencement of CPS 230 until </w:t>
      </w:r>
      <w:r w:rsidRPr="00415EC9">
        <w:t xml:space="preserve">1 </w:t>
      </w:r>
      <w:r w:rsidR="00057715">
        <w:t>July</w:t>
      </w:r>
      <w:r w:rsidR="00FA0DCA">
        <w:t xml:space="preserve"> 2025 </w:t>
      </w:r>
      <w:r w:rsidR="009C198D">
        <w:t>to</w:t>
      </w:r>
      <w:r>
        <w:t xml:space="preserve"> provide </w:t>
      </w:r>
      <w:r w:rsidR="00E73E8A">
        <w:t xml:space="preserve">regulated entities </w:t>
      </w:r>
      <w:r>
        <w:t xml:space="preserve">additional time to </w:t>
      </w:r>
      <w:r w:rsidR="009C198D">
        <w:t xml:space="preserve">take </w:t>
      </w:r>
      <w:r w:rsidR="00591747">
        <w:t xml:space="preserve">the necessary steps </w:t>
      </w:r>
      <w:r w:rsidR="00230BA1">
        <w:t>to comply</w:t>
      </w:r>
      <w:r w:rsidR="00591747">
        <w:t xml:space="preserve"> with CPS 230.</w:t>
      </w:r>
    </w:p>
    <w:p w14:paraId="47E538C1" w14:textId="1A5894FE" w:rsidR="00771E79" w:rsidRDefault="00771E79" w:rsidP="00771E79">
      <w:pPr>
        <w:pStyle w:val="Heading2Numbers"/>
      </w:pPr>
      <w:r>
        <w:t>Transition</w:t>
      </w:r>
    </w:p>
    <w:p w14:paraId="53588174" w14:textId="45B4A606" w:rsidR="00771E79" w:rsidRDefault="007967F0" w:rsidP="00771E79">
      <w:pPr>
        <w:numPr>
          <w:ilvl w:val="0"/>
          <w:numId w:val="0"/>
        </w:numPr>
      </w:pPr>
      <w:r>
        <w:t xml:space="preserve">APRA </w:t>
      </w:r>
      <w:r w:rsidR="0021319B">
        <w:t xml:space="preserve">requested </w:t>
      </w:r>
      <w:r>
        <w:t xml:space="preserve">feedback on a number of matters to assist in finalising CPS 230. One of these matters </w:t>
      </w:r>
      <w:r w:rsidR="00810167">
        <w:t xml:space="preserve">was </w:t>
      </w:r>
      <w:r w:rsidR="009C198D">
        <w:t>the</w:t>
      </w:r>
      <w:r>
        <w:t xml:space="preserve"> form of transition arrangements</w:t>
      </w:r>
      <w:r w:rsidR="009C198D">
        <w:t>,</w:t>
      </w:r>
      <w:r>
        <w:t xml:space="preserve"> and </w:t>
      </w:r>
      <w:r w:rsidR="00A60B33">
        <w:t>the</w:t>
      </w:r>
      <w:r>
        <w:t xml:space="preserve"> timeframe</w:t>
      </w:r>
      <w:r w:rsidR="009C198D">
        <w:t xml:space="preserve"> that</w:t>
      </w:r>
      <w:r>
        <w:t xml:space="preserve"> would be need</w:t>
      </w:r>
      <w:r w:rsidR="009C198D">
        <w:t>ed</w:t>
      </w:r>
      <w:r>
        <w:t xml:space="preserve"> to renegotiate contracts with existing service providers (if </w:t>
      </w:r>
      <w:r w:rsidR="0021319B">
        <w:t>required</w:t>
      </w:r>
      <w:r>
        <w:t xml:space="preserve">). </w:t>
      </w:r>
    </w:p>
    <w:p w14:paraId="17EF1D91" w14:textId="592CC956" w:rsidR="007967F0" w:rsidRDefault="007967F0" w:rsidP="007967F0">
      <w:pPr>
        <w:pStyle w:val="Heading3"/>
      </w:pPr>
      <w:r>
        <w:t xml:space="preserve">Comments received </w:t>
      </w:r>
    </w:p>
    <w:p w14:paraId="5FA2A049" w14:textId="442453C1" w:rsidR="0021319B" w:rsidRDefault="00E90AB6" w:rsidP="00771E79">
      <w:pPr>
        <w:numPr>
          <w:ilvl w:val="0"/>
          <w:numId w:val="0"/>
        </w:numPr>
      </w:pPr>
      <w:r>
        <w:t>Submissions commenting</w:t>
      </w:r>
      <w:r w:rsidR="00810167">
        <w:t xml:space="preserve"> on</w:t>
      </w:r>
      <w:r>
        <w:t xml:space="preserve"> transition were </w:t>
      </w:r>
      <w:r w:rsidR="001F58D9">
        <w:t xml:space="preserve">clear </w:t>
      </w:r>
      <w:r>
        <w:t xml:space="preserve">in their view that an appropriate transition period was necessary to provide </w:t>
      </w:r>
      <w:r w:rsidR="0021319B">
        <w:t>time</w:t>
      </w:r>
      <w:r>
        <w:t xml:space="preserve"> for entities to ensure existing contractual arrangements would </w:t>
      </w:r>
      <w:r w:rsidR="00230BA1">
        <w:t>comply</w:t>
      </w:r>
      <w:r>
        <w:t xml:space="preserve"> with CPS 230. </w:t>
      </w:r>
    </w:p>
    <w:p w14:paraId="7BB523CE" w14:textId="5E2ADA67" w:rsidR="00771E79" w:rsidRDefault="0021319B" w:rsidP="00771E79">
      <w:pPr>
        <w:numPr>
          <w:ilvl w:val="0"/>
          <w:numId w:val="0"/>
        </w:numPr>
      </w:pPr>
      <w:r>
        <w:t>It was noted that reviewing existing</w:t>
      </w:r>
      <w:r w:rsidR="00931420">
        <w:t xml:space="preserve"> contracts</w:t>
      </w:r>
      <w:r>
        <w:t xml:space="preserve"> and engaging with service providers</w:t>
      </w:r>
      <w:r w:rsidR="00931420">
        <w:t xml:space="preserve"> will </w:t>
      </w:r>
      <w:r>
        <w:t>take time. Suggested transition timeframes varied, and typically reflected the size</w:t>
      </w:r>
      <w:r w:rsidR="0038365B">
        <w:t xml:space="preserve"> of a regulated entity</w:t>
      </w:r>
      <w:r>
        <w:t xml:space="preserve"> and </w:t>
      </w:r>
      <w:r w:rsidR="0038365B">
        <w:t xml:space="preserve">the </w:t>
      </w:r>
      <w:r>
        <w:t>extent of reliance</w:t>
      </w:r>
      <w:r w:rsidR="0038365B">
        <w:t xml:space="preserve"> </w:t>
      </w:r>
      <w:r>
        <w:t xml:space="preserve">on </w:t>
      </w:r>
      <w:r w:rsidR="0038365B">
        <w:t>third</w:t>
      </w:r>
      <w:r>
        <w:t xml:space="preserve"> parties </w:t>
      </w:r>
      <w:r w:rsidR="0038365B">
        <w:t>for the provision of services. The s</w:t>
      </w:r>
      <w:r w:rsidR="00844D8E">
        <w:t xml:space="preserve">uggested </w:t>
      </w:r>
      <w:r w:rsidR="0038365B">
        <w:t xml:space="preserve">transition </w:t>
      </w:r>
      <w:r w:rsidR="00844D8E">
        <w:t xml:space="preserve">timeframes ranged from one year to three years after commencement of CPS 230, while others suggested contracts </w:t>
      </w:r>
      <w:r w:rsidR="00230BA1">
        <w:t xml:space="preserve">should </w:t>
      </w:r>
      <w:r w:rsidR="00844D8E">
        <w:t xml:space="preserve">not have to </w:t>
      </w:r>
      <w:r w:rsidR="00230BA1">
        <w:t>comply</w:t>
      </w:r>
      <w:r w:rsidR="00844D8E">
        <w:t xml:space="preserve"> until they were </w:t>
      </w:r>
      <w:r w:rsidR="0038365B">
        <w:t xml:space="preserve">next </w:t>
      </w:r>
      <w:r w:rsidR="00844D8E">
        <w:t>due for renewal</w:t>
      </w:r>
      <w:r w:rsidR="0038365B">
        <w:t>, whenever that might be</w:t>
      </w:r>
      <w:r w:rsidR="00844D8E">
        <w:t xml:space="preserve">. </w:t>
      </w:r>
    </w:p>
    <w:p w14:paraId="5D8EAA01" w14:textId="6A7DC88D" w:rsidR="00844D8E" w:rsidRPr="00844D8E" w:rsidRDefault="00844D8E" w:rsidP="00844D8E">
      <w:pPr>
        <w:pStyle w:val="Heading3"/>
      </w:pPr>
      <w:r w:rsidRPr="00844D8E">
        <w:t>APRA</w:t>
      </w:r>
      <w:r w:rsidR="00D6234F">
        <w:t>’s</w:t>
      </w:r>
      <w:r w:rsidRPr="00844D8E">
        <w:t xml:space="preserve"> response</w:t>
      </w:r>
    </w:p>
    <w:p w14:paraId="25E7D1F8" w14:textId="7243351C" w:rsidR="001F58D9" w:rsidRDefault="00D654F9" w:rsidP="00771E79">
      <w:pPr>
        <w:numPr>
          <w:ilvl w:val="0"/>
          <w:numId w:val="0"/>
        </w:numPr>
      </w:pPr>
      <w:r>
        <w:t>APRA acknowledges that entities with existing contractual arrangements will need</w:t>
      </w:r>
      <w:r w:rsidR="00FB27CE">
        <w:t xml:space="preserve"> a</w:t>
      </w:r>
      <w:r>
        <w:t xml:space="preserve"> </w:t>
      </w:r>
      <w:r w:rsidR="00B83E20">
        <w:t>reasonable</w:t>
      </w:r>
      <w:r>
        <w:t xml:space="preserve"> time to review</w:t>
      </w:r>
      <w:r w:rsidR="00230BA1">
        <w:t xml:space="preserve"> arrangements</w:t>
      </w:r>
      <w:r>
        <w:t xml:space="preserve"> and </w:t>
      </w:r>
      <w:r w:rsidR="00FA714D">
        <w:t xml:space="preserve">take necessary steps to achieve compliance </w:t>
      </w:r>
      <w:r>
        <w:t xml:space="preserve">with CPS 230. </w:t>
      </w:r>
    </w:p>
    <w:p w14:paraId="7019773F" w14:textId="1E7EF88F" w:rsidR="00771E79" w:rsidRDefault="00D654F9" w:rsidP="00771E79">
      <w:pPr>
        <w:numPr>
          <w:ilvl w:val="0"/>
          <w:numId w:val="0"/>
        </w:numPr>
      </w:pPr>
      <w:r>
        <w:t xml:space="preserve">APRA </w:t>
      </w:r>
      <w:r w:rsidR="00D74F41">
        <w:t>has included a</w:t>
      </w:r>
      <w:r w:rsidR="006F5CCF">
        <w:t xml:space="preserve"> transition period </w:t>
      </w:r>
      <w:r w:rsidR="00D34E9D">
        <w:t xml:space="preserve">in CPS 230 </w:t>
      </w:r>
      <w:r w:rsidR="006F5CCF">
        <w:t>to allow regulated entities time to make changes to existing contractual arrangements with service providers</w:t>
      </w:r>
      <w:r w:rsidR="001F58D9">
        <w:t>:</w:t>
      </w:r>
      <w:r w:rsidR="006F5CCF">
        <w:t xml:space="preserve"> APRA-regulated entities will have until the earlier of 1 </w:t>
      </w:r>
      <w:r w:rsidR="00057715">
        <w:t>July</w:t>
      </w:r>
      <w:r w:rsidR="00FA0DCA">
        <w:t xml:space="preserve"> </w:t>
      </w:r>
      <w:r w:rsidR="006F5CCF">
        <w:t>202</w:t>
      </w:r>
      <w:r w:rsidR="00FA0DCA">
        <w:t>6</w:t>
      </w:r>
      <w:r w:rsidR="006F5CCF">
        <w:t xml:space="preserve"> or the next renewal date of </w:t>
      </w:r>
      <w:r w:rsidR="00FA714D">
        <w:t xml:space="preserve">an </w:t>
      </w:r>
      <w:r w:rsidR="00D74F41">
        <w:t>existing</w:t>
      </w:r>
      <w:r w:rsidR="006F5CCF">
        <w:t xml:space="preserve"> agreement to ensure </w:t>
      </w:r>
      <w:r w:rsidR="00FA714D">
        <w:t>the agreement complies</w:t>
      </w:r>
      <w:r w:rsidR="00D74F41">
        <w:t xml:space="preserve"> </w:t>
      </w:r>
      <w:r w:rsidR="006F5CCF">
        <w:t xml:space="preserve">with CPS 230. </w:t>
      </w:r>
      <w:r w:rsidR="00F16A5E">
        <w:t>That said, contracts with material service providers should be updated as soon as possible given their importance to critical operations and operational risk.</w:t>
      </w:r>
    </w:p>
    <w:p w14:paraId="39C6CFE5" w14:textId="0EB46A3B" w:rsidR="00EB0FCB" w:rsidRDefault="005C6900" w:rsidP="005C6900">
      <w:pPr>
        <w:pStyle w:val="Heading2Numbers"/>
      </w:pPr>
      <w:r>
        <w:t xml:space="preserve">Proportionality </w:t>
      </w:r>
    </w:p>
    <w:p w14:paraId="1C7411C7" w14:textId="5E37044E" w:rsidR="00EB0FCB" w:rsidRDefault="000A6DF8" w:rsidP="00EB0FCB">
      <w:r>
        <w:t>APRA sought the views of stakeholders on the question of if</w:t>
      </w:r>
      <w:r w:rsidR="004A45A3">
        <w:t>,</w:t>
      </w:r>
      <w:r>
        <w:t xml:space="preserve"> and how</w:t>
      </w:r>
      <w:r w:rsidR="004A45A3">
        <w:t>,</w:t>
      </w:r>
      <w:r>
        <w:t xml:space="preserve"> proportionality should be applied </w:t>
      </w:r>
      <w:r w:rsidR="004A45A3">
        <w:t>to</w:t>
      </w:r>
      <w:r>
        <w:t xml:space="preserve"> CPS 230. The Discussion paper </w:t>
      </w:r>
      <w:r w:rsidR="00C354AA">
        <w:t xml:space="preserve">accompanying the consultation </w:t>
      </w:r>
      <w:r>
        <w:t xml:space="preserve">provided examples of possible approaches. One approach </w:t>
      </w:r>
      <w:r w:rsidR="00C354AA">
        <w:t xml:space="preserve">would be </w:t>
      </w:r>
      <w:r>
        <w:t xml:space="preserve">to apply </w:t>
      </w:r>
      <w:r w:rsidR="00416596">
        <w:t>higher requirements to</w:t>
      </w:r>
      <w:r>
        <w:t xml:space="preserve"> significant financial institution</w:t>
      </w:r>
      <w:r w:rsidR="00416596">
        <w:t>s</w:t>
      </w:r>
      <w:r>
        <w:t xml:space="preserve"> (SFI</w:t>
      </w:r>
      <w:r w:rsidR="00416596">
        <w:t>s</w:t>
      </w:r>
      <w:r>
        <w:t xml:space="preserve">) </w:t>
      </w:r>
      <w:r w:rsidR="00416596">
        <w:t xml:space="preserve">relative to </w:t>
      </w:r>
      <w:r>
        <w:t>non-SFI</w:t>
      </w:r>
      <w:r w:rsidR="00416596">
        <w:t>s</w:t>
      </w:r>
      <w:r>
        <w:t xml:space="preserve">. The </w:t>
      </w:r>
      <w:r w:rsidR="0030581A">
        <w:t>second approach</w:t>
      </w:r>
      <w:r w:rsidR="00F819A7">
        <w:t xml:space="preserve"> </w:t>
      </w:r>
      <w:r w:rsidR="00C354AA">
        <w:t>would be to apply</w:t>
      </w:r>
      <w:r w:rsidR="00F819A7">
        <w:t xml:space="preserve"> all requirements to all regulated entities, </w:t>
      </w:r>
      <w:r w:rsidR="005B7B0E">
        <w:t xml:space="preserve">with </w:t>
      </w:r>
      <w:r w:rsidR="00F819A7">
        <w:t xml:space="preserve">entities </w:t>
      </w:r>
      <w:r w:rsidR="00FA714D">
        <w:t>to use</w:t>
      </w:r>
      <w:r w:rsidR="00F819A7">
        <w:t xml:space="preserve"> their discretion to </w:t>
      </w:r>
      <w:r w:rsidR="005B7B0E">
        <w:t xml:space="preserve">comply </w:t>
      </w:r>
      <w:r w:rsidR="00FA714D">
        <w:t xml:space="preserve">with CPS 230 </w:t>
      </w:r>
      <w:r w:rsidR="00F819A7">
        <w:t>in a proportionate manner</w:t>
      </w:r>
      <w:r w:rsidR="004A45A3">
        <w:t>,</w:t>
      </w:r>
      <w:r w:rsidR="00F819A7">
        <w:t xml:space="preserve"> commensurate with the scale and complexity of their </w:t>
      </w:r>
      <w:r w:rsidR="001F58D9">
        <w:t>operations</w:t>
      </w:r>
      <w:r w:rsidR="00F819A7">
        <w:t>.</w:t>
      </w:r>
    </w:p>
    <w:p w14:paraId="24F52440" w14:textId="6728A96D" w:rsidR="00BB2CC2" w:rsidRDefault="00BB2CC2" w:rsidP="00BB2CC2">
      <w:pPr>
        <w:pStyle w:val="Heading3"/>
      </w:pPr>
      <w:r>
        <w:t>Comments received</w:t>
      </w:r>
    </w:p>
    <w:p w14:paraId="1DF8987C" w14:textId="7FACFCAC" w:rsidR="00BB2CC2" w:rsidRPr="00BB2CC2" w:rsidRDefault="00424BC9" w:rsidP="00BB2CC2">
      <w:r>
        <w:t xml:space="preserve">Around one third of submissions </w:t>
      </w:r>
      <w:r w:rsidR="00123B01">
        <w:t>comment</w:t>
      </w:r>
      <w:r>
        <w:t>ed</w:t>
      </w:r>
      <w:r w:rsidR="0030581A">
        <w:t xml:space="preserve"> on </w:t>
      </w:r>
      <w:r>
        <w:t>proportionality</w:t>
      </w:r>
      <w:r w:rsidR="0030581A">
        <w:t xml:space="preserve">. </w:t>
      </w:r>
      <w:r w:rsidR="00F71909">
        <w:t xml:space="preserve">While there was support for each approach, the </w:t>
      </w:r>
      <w:r w:rsidR="004A45A3">
        <w:t xml:space="preserve">overall </w:t>
      </w:r>
      <w:r w:rsidR="00F71909">
        <w:t xml:space="preserve">view </w:t>
      </w:r>
      <w:r w:rsidR="004A45A3">
        <w:t xml:space="preserve">tended to </w:t>
      </w:r>
      <w:r w:rsidR="00C354AA">
        <w:t xml:space="preserve">be </w:t>
      </w:r>
      <w:r w:rsidR="00F71909">
        <w:t>that operational risk management is critical to the successful running of all APRA-regulated entities</w:t>
      </w:r>
      <w:r w:rsidR="00316599">
        <w:t>.</w:t>
      </w:r>
      <w:r w:rsidR="0004505F">
        <w:t xml:space="preserve"> </w:t>
      </w:r>
      <w:r w:rsidR="00316599">
        <w:t>A</w:t>
      </w:r>
      <w:r w:rsidR="0004505F">
        <w:t xml:space="preserve">s such, </w:t>
      </w:r>
      <w:r w:rsidR="00E47209">
        <w:t>distinguishing between SFIs</w:t>
      </w:r>
      <w:r w:rsidR="00C354AA">
        <w:t xml:space="preserve"> and</w:t>
      </w:r>
      <w:r w:rsidR="00316599">
        <w:t xml:space="preserve"> </w:t>
      </w:r>
      <w:r w:rsidR="00E47209">
        <w:t>non-SFIs was</w:t>
      </w:r>
      <w:r w:rsidR="00C354AA">
        <w:t xml:space="preserve"> </w:t>
      </w:r>
      <w:r w:rsidR="00E47209">
        <w:t>n</w:t>
      </w:r>
      <w:r w:rsidR="00C354AA">
        <w:t>o</w:t>
      </w:r>
      <w:r w:rsidR="00E47209">
        <w:t xml:space="preserve">t </w:t>
      </w:r>
      <w:r w:rsidR="00C354AA">
        <w:t>appropriate</w:t>
      </w:r>
      <w:r w:rsidR="001F58D9">
        <w:t>,</w:t>
      </w:r>
      <w:r w:rsidR="00C354AA">
        <w:t xml:space="preserve"> and </w:t>
      </w:r>
      <w:r w:rsidR="00F71909">
        <w:t>requirements in the standard should apply to all APRA-regulated entities.</w:t>
      </w:r>
      <w:r>
        <w:t xml:space="preserve"> However, </w:t>
      </w:r>
      <w:r w:rsidR="008308E2">
        <w:t>some</w:t>
      </w:r>
      <w:r w:rsidR="0004505F">
        <w:t xml:space="preserve"> </w:t>
      </w:r>
      <w:r>
        <w:t xml:space="preserve">submissions </w:t>
      </w:r>
      <w:r w:rsidR="0004505F">
        <w:t xml:space="preserve">considered </w:t>
      </w:r>
      <w:r>
        <w:t xml:space="preserve">that, as set out in the </w:t>
      </w:r>
      <w:r w:rsidR="00FE1592">
        <w:t>o</w:t>
      </w:r>
      <w:r>
        <w:t xml:space="preserve">bjectives box in CPS 230, </w:t>
      </w:r>
      <w:r w:rsidR="0004505F">
        <w:t xml:space="preserve">proportionality </w:t>
      </w:r>
      <w:r w:rsidR="004A45A3">
        <w:t>would best</w:t>
      </w:r>
      <w:r>
        <w:t xml:space="preserve"> be </w:t>
      </w:r>
      <w:r w:rsidR="00E47209">
        <w:t>achieved</w:t>
      </w:r>
      <w:r>
        <w:t xml:space="preserve"> </w:t>
      </w:r>
      <w:r w:rsidR="004A45A3">
        <w:t>through</w:t>
      </w:r>
      <w:r>
        <w:t xml:space="preserve"> </w:t>
      </w:r>
      <w:r w:rsidR="00C354AA">
        <w:t>a</w:t>
      </w:r>
      <w:r w:rsidR="001F58D9">
        <w:t>n explicit</w:t>
      </w:r>
      <w:r w:rsidR="00C354AA">
        <w:t xml:space="preserve"> distinction based on</w:t>
      </w:r>
      <w:r>
        <w:t xml:space="preserve"> the size, complexity and business mix of an APRA-regulated entity</w:t>
      </w:r>
      <w:r w:rsidR="001F58D9">
        <w:t xml:space="preserve"> (such as SFI/</w:t>
      </w:r>
      <w:r w:rsidR="000C4A96">
        <w:t>n</w:t>
      </w:r>
      <w:r w:rsidR="001F58D9">
        <w:t>on-SFI)</w:t>
      </w:r>
      <w:r>
        <w:t>.</w:t>
      </w:r>
    </w:p>
    <w:p w14:paraId="4CDF6491" w14:textId="513C907C" w:rsidR="00BB2CC2" w:rsidRDefault="00BB2CC2" w:rsidP="00F71909">
      <w:pPr>
        <w:pStyle w:val="Heading3"/>
      </w:pPr>
      <w:r>
        <w:t>APRA’s response</w:t>
      </w:r>
    </w:p>
    <w:p w14:paraId="53300215" w14:textId="62EFECD6" w:rsidR="00FE2B3B" w:rsidRDefault="00081E85" w:rsidP="00C52017">
      <w:r>
        <w:t>I</w:t>
      </w:r>
      <w:r w:rsidR="00C52017">
        <w:t xml:space="preserve">n </w:t>
      </w:r>
      <w:r w:rsidR="001F58D9">
        <w:t xml:space="preserve">consulting on </w:t>
      </w:r>
      <w:r w:rsidR="00C52017">
        <w:t xml:space="preserve">CPS 230, </w:t>
      </w:r>
      <w:r>
        <w:t>APRA</w:t>
      </w:r>
      <w:r w:rsidR="00C52017">
        <w:t xml:space="preserve"> </w:t>
      </w:r>
      <w:r w:rsidR="009C485C">
        <w:t>sought input</w:t>
      </w:r>
      <w:r w:rsidR="00C52017">
        <w:t xml:space="preserve"> from industry </w:t>
      </w:r>
      <w:r w:rsidR="009C485C">
        <w:t xml:space="preserve">on </w:t>
      </w:r>
      <w:r w:rsidR="00C52017">
        <w:t>how best to apply CPS</w:t>
      </w:r>
      <w:r w:rsidR="00BB53C8">
        <w:t> </w:t>
      </w:r>
      <w:r w:rsidR="00C52017">
        <w:t>230 in a way that would achieve the objectives of the standard</w:t>
      </w:r>
      <w:r w:rsidR="001F58D9">
        <w:t>,</w:t>
      </w:r>
      <w:r w:rsidR="00C52017">
        <w:t xml:space="preserve"> while</w:t>
      </w:r>
      <w:r w:rsidR="001F58D9">
        <w:t xml:space="preserve"> </w:t>
      </w:r>
      <w:r w:rsidR="00C52017">
        <w:t xml:space="preserve">recognising differences in size, business mix and complexity. </w:t>
      </w:r>
    </w:p>
    <w:p w14:paraId="59FE255C" w14:textId="34A3ED73" w:rsidR="00D079EF" w:rsidRDefault="00C52017" w:rsidP="00C52017">
      <w:r>
        <w:t>After consideration of industry views on this matter,</w:t>
      </w:r>
      <w:r w:rsidR="00FE2B3B">
        <w:t xml:space="preserve"> </w:t>
      </w:r>
      <w:r w:rsidR="001F58D9">
        <w:t>APRA’s view is that</w:t>
      </w:r>
      <w:r w:rsidR="00FE2B3B">
        <w:t xml:space="preserve"> </w:t>
      </w:r>
      <w:r>
        <w:t xml:space="preserve">CPS 230 </w:t>
      </w:r>
      <w:r w:rsidR="001F58D9">
        <w:t xml:space="preserve">should </w:t>
      </w:r>
      <w:r>
        <w:t>apply to all regulated entities</w:t>
      </w:r>
      <w:r w:rsidR="00FE2B3B">
        <w:t xml:space="preserve">. </w:t>
      </w:r>
      <w:r w:rsidR="00FE1592">
        <w:t xml:space="preserve">CPS 230 </w:t>
      </w:r>
      <w:r w:rsidR="001F58D9">
        <w:t>will apply</w:t>
      </w:r>
      <w:r w:rsidR="00FE1592">
        <w:t xml:space="preserve"> commensurate with the scale</w:t>
      </w:r>
      <w:r w:rsidR="00663A83">
        <w:t>,</w:t>
      </w:r>
      <w:r w:rsidR="00FE1592">
        <w:t xml:space="preserve"> complexity </w:t>
      </w:r>
      <w:r w:rsidR="00663A83">
        <w:t xml:space="preserve">and business mix </w:t>
      </w:r>
      <w:r w:rsidR="00FE1592">
        <w:t>of an entity’s operations. Where relevant</w:t>
      </w:r>
      <w:r w:rsidR="00D079EF">
        <w:t xml:space="preserve">, </w:t>
      </w:r>
      <w:r w:rsidR="005C3367">
        <w:t>CPG</w:t>
      </w:r>
      <w:r w:rsidR="008342AF">
        <w:t> </w:t>
      </w:r>
      <w:r w:rsidR="005C3367">
        <w:t>230</w:t>
      </w:r>
      <w:r w:rsidR="00D079EF">
        <w:t xml:space="preserve"> </w:t>
      </w:r>
      <w:r w:rsidR="00FE1592">
        <w:t xml:space="preserve">also </w:t>
      </w:r>
      <w:r w:rsidR="00663A83">
        <w:t xml:space="preserve">provides </w:t>
      </w:r>
      <w:r w:rsidR="00D079EF">
        <w:t xml:space="preserve">examples of APRA’s expectations </w:t>
      </w:r>
      <w:r w:rsidR="00FE1592">
        <w:t>of how different types of entities would be expected to demonstrate compliance with CPS 230</w:t>
      </w:r>
      <w:r w:rsidR="00D079EF">
        <w:t>.</w:t>
      </w:r>
    </w:p>
    <w:p w14:paraId="4C87E049" w14:textId="53C0F86C" w:rsidR="00BE3F90" w:rsidRDefault="00BE3F90" w:rsidP="005C6900">
      <w:pPr>
        <w:pStyle w:val="Heading2Numbers"/>
      </w:pPr>
      <w:r>
        <w:t>Notification requirements</w:t>
      </w:r>
    </w:p>
    <w:p w14:paraId="2D071F0D" w14:textId="520D246B" w:rsidR="00BE3F90" w:rsidRDefault="00BE3F90" w:rsidP="00BE3F90">
      <w:r>
        <w:t xml:space="preserve">Draft CPS 230 </w:t>
      </w:r>
      <w:r w:rsidR="00BF2871">
        <w:t xml:space="preserve">proposed </w:t>
      </w:r>
      <w:r w:rsidR="00F95536">
        <w:t>that</w:t>
      </w:r>
      <w:r w:rsidR="0096554F">
        <w:t xml:space="preserve"> </w:t>
      </w:r>
      <w:r w:rsidR="00D84279">
        <w:t xml:space="preserve">a </w:t>
      </w:r>
      <w:r w:rsidR="0096554F">
        <w:t>regulated entit</w:t>
      </w:r>
      <w:r w:rsidR="00D84279">
        <w:t>y</w:t>
      </w:r>
      <w:r w:rsidR="00663A83">
        <w:t xml:space="preserve"> must notify APRA</w:t>
      </w:r>
      <w:r w:rsidR="00ED018B">
        <w:t>:</w:t>
      </w:r>
    </w:p>
    <w:p w14:paraId="3879E5E7" w14:textId="6D5A27E0" w:rsidR="00197F52" w:rsidRDefault="00663A83" w:rsidP="00197F52">
      <w:pPr>
        <w:pStyle w:val="ListBullet"/>
      </w:pPr>
      <w:r>
        <w:rPr>
          <w:b/>
        </w:rPr>
        <w:t>of incidents:</w:t>
      </w:r>
      <w:r w:rsidR="00197F52">
        <w:t xml:space="preserve"> as soon as possible, and not later than 72 hours, after becoming aware of an operational risk incident that it determines to be likely to have a material financial impact or a material impact on the ability of the entity to maintain its critical operations;</w:t>
      </w:r>
    </w:p>
    <w:p w14:paraId="7C178E63" w14:textId="6655A076" w:rsidR="00197F52" w:rsidRDefault="00663A83" w:rsidP="00197F52">
      <w:pPr>
        <w:pStyle w:val="ListBullet"/>
      </w:pPr>
      <w:r w:rsidRPr="00795638">
        <w:rPr>
          <w:b/>
        </w:rPr>
        <w:t>of BCP activation:</w:t>
      </w:r>
      <w:r w:rsidR="00B312E1">
        <w:t xml:space="preserve"> as soon as possible, and no</w:t>
      </w:r>
      <w:r w:rsidR="00D84279">
        <w:t>t</w:t>
      </w:r>
      <w:r w:rsidR="00B312E1">
        <w:t xml:space="preserve"> later than 24 hours, if it has activated its BCP. The notification </w:t>
      </w:r>
      <w:r>
        <w:t xml:space="preserve">would </w:t>
      </w:r>
      <w:r w:rsidR="00B312E1">
        <w:t>cover the nature of the disruption, the action being taken, the likely impact on the entity’s business operations and the timeframe for returning to normal operations;</w:t>
      </w:r>
    </w:p>
    <w:p w14:paraId="7CBC695D" w14:textId="49F2E3FF" w:rsidR="00663A83" w:rsidRDefault="00663A83" w:rsidP="00795638">
      <w:pPr>
        <w:pStyle w:val="ListBullet"/>
      </w:pPr>
      <w:r>
        <w:rPr>
          <w:b/>
        </w:rPr>
        <w:t>of changes to service provider agreements:</w:t>
      </w:r>
      <w:r>
        <w:t xml:space="preserve"> </w:t>
      </w:r>
      <w:r w:rsidR="00B312E1">
        <w:t>as soon as possible and not more than 20 business days after entering into or materially changing an agreement for the provision of a service on which the entity relies to undertake a critical operation; and</w:t>
      </w:r>
    </w:p>
    <w:p w14:paraId="730D21D8" w14:textId="2C9DAEC9" w:rsidR="00B312E1" w:rsidRDefault="00B312E1" w:rsidP="00795638">
      <w:pPr>
        <w:pStyle w:val="ListBullet"/>
      </w:pPr>
      <w:r w:rsidRPr="00795638">
        <w:rPr>
          <w:b/>
        </w:rPr>
        <w:t>prior to entering into any offshoring agreement with a material service provider</w:t>
      </w:r>
      <w:r>
        <w:t>, or when there is a significant change proposed to the agreement, including in circumstances where data or personnel relevant to the service being provided will be located offshore.</w:t>
      </w:r>
    </w:p>
    <w:p w14:paraId="38472C76" w14:textId="24C51C88" w:rsidR="00B47BF5" w:rsidRDefault="00B47BF5" w:rsidP="0010782D">
      <w:r>
        <w:t xml:space="preserve">APRA also sought specific comment as to whether the proposed notification requirements and associated time periods were </w:t>
      </w:r>
      <w:r w:rsidR="00DC71A1">
        <w:t xml:space="preserve">considered </w:t>
      </w:r>
      <w:r>
        <w:t>reasonable.</w:t>
      </w:r>
    </w:p>
    <w:p w14:paraId="52A0E992" w14:textId="0DBE31CD" w:rsidR="00ED018B" w:rsidRDefault="00B312E1" w:rsidP="00B312E1">
      <w:pPr>
        <w:pStyle w:val="Heading3"/>
      </w:pPr>
      <w:r>
        <w:t>Comments received</w:t>
      </w:r>
    </w:p>
    <w:p w14:paraId="54893B7F" w14:textId="33527309" w:rsidR="00B312E1" w:rsidRDefault="0010782D" w:rsidP="00B312E1">
      <w:r>
        <w:t xml:space="preserve">The proposed notification requirements generated a significant number of comments. </w:t>
      </w:r>
      <w:r w:rsidR="004E2867">
        <w:t>Comments</w:t>
      </w:r>
      <w:r>
        <w:t xml:space="preserve"> included:</w:t>
      </w:r>
    </w:p>
    <w:p w14:paraId="3A6EE3EB" w14:textId="470E999B" w:rsidR="00FF46C4" w:rsidRDefault="004147BC" w:rsidP="00FF46C4">
      <w:pPr>
        <w:pStyle w:val="ListBullet"/>
      </w:pPr>
      <w:r>
        <w:t xml:space="preserve">requests for clarity </w:t>
      </w:r>
      <w:r w:rsidR="004E2867">
        <w:t>on</w:t>
      </w:r>
      <w:r>
        <w:t xml:space="preserve"> how notifications are to be provided </w:t>
      </w:r>
      <w:r w:rsidR="00663A83">
        <w:t xml:space="preserve">to APRA, </w:t>
      </w:r>
      <w:r>
        <w:t xml:space="preserve">and the information to be </w:t>
      </w:r>
      <w:r w:rsidR="004E2867">
        <w:t>provided</w:t>
      </w:r>
      <w:r>
        <w:t>;</w:t>
      </w:r>
    </w:p>
    <w:p w14:paraId="1A79B697" w14:textId="7961B92D" w:rsidR="004147BC" w:rsidRDefault="00D47329" w:rsidP="00FF46C4">
      <w:pPr>
        <w:pStyle w:val="ListBullet"/>
      </w:pPr>
      <w:r>
        <w:t xml:space="preserve">requests for </w:t>
      </w:r>
      <w:r w:rsidR="004147BC">
        <w:t>reconsideration of the notification timeframes, which some respondents considered would be difficult to meet;</w:t>
      </w:r>
    </w:p>
    <w:p w14:paraId="621E8C57" w14:textId="00FE247F" w:rsidR="004147BC" w:rsidRDefault="004147BC" w:rsidP="00FF46C4">
      <w:pPr>
        <w:pStyle w:val="ListBullet"/>
      </w:pPr>
      <w:r>
        <w:t>requests that where an incident</w:t>
      </w:r>
      <w:r w:rsidR="002B2DBA">
        <w:t xml:space="preserve"> or </w:t>
      </w:r>
      <w:r>
        <w:t xml:space="preserve">event </w:t>
      </w:r>
      <w:r w:rsidR="002B2DBA">
        <w:t>is</w:t>
      </w:r>
      <w:r>
        <w:t xml:space="preserve"> captured by notification requirements under </w:t>
      </w:r>
      <w:r w:rsidR="004E2867">
        <w:t>more than one prudential</w:t>
      </w:r>
      <w:r>
        <w:t xml:space="preserve"> standard, an entity only be required to make a single notification to APRA, rather than separately reporting for each relevant notification requirement;</w:t>
      </w:r>
      <w:r w:rsidR="00BF2871">
        <w:t xml:space="preserve"> and</w:t>
      </w:r>
    </w:p>
    <w:p w14:paraId="768BCBE0" w14:textId="30CACCEB" w:rsidR="004147BC" w:rsidRDefault="00941708" w:rsidP="00FF46C4">
      <w:pPr>
        <w:pStyle w:val="ListBullet"/>
      </w:pPr>
      <w:r>
        <w:t xml:space="preserve">that </w:t>
      </w:r>
      <w:r w:rsidR="004E2867">
        <w:t xml:space="preserve">the </w:t>
      </w:r>
      <w:r w:rsidR="00855730">
        <w:t>business continuity planning (</w:t>
      </w:r>
      <w:r w:rsidR="004147BC">
        <w:t>BCP</w:t>
      </w:r>
      <w:r w:rsidR="00855730">
        <w:t>)</w:t>
      </w:r>
      <w:r w:rsidR="004147BC">
        <w:t xml:space="preserve"> notification is broad and </w:t>
      </w:r>
      <w:r w:rsidR="002B2DBA">
        <w:t xml:space="preserve">would </w:t>
      </w:r>
      <w:r w:rsidR="004147BC">
        <w:t xml:space="preserve">capture insignificant </w:t>
      </w:r>
      <w:r w:rsidR="00855730">
        <w:t>BCP activations</w:t>
      </w:r>
      <w:r w:rsidR="00BF2871">
        <w:t xml:space="preserve">, so requires a </w:t>
      </w:r>
      <w:r w:rsidR="00855730">
        <w:t xml:space="preserve">materiality threshold or </w:t>
      </w:r>
      <w:r w:rsidR="00BF2871">
        <w:t xml:space="preserve">to </w:t>
      </w:r>
      <w:r w:rsidR="00855730">
        <w:t>be qualified in some way</w:t>
      </w:r>
      <w:r w:rsidR="004E2867">
        <w:t>.</w:t>
      </w:r>
    </w:p>
    <w:p w14:paraId="28623901" w14:textId="7B09A8F7" w:rsidR="0010782D" w:rsidRDefault="00076603" w:rsidP="00076603">
      <w:pPr>
        <w:pStyle w:val="Heading3"/>
      </w:pPr>
      <w:r>
        <w:t>APRA’s response</w:t>
      </w:r>
    </w:p>
    <w:p w14:paraId="3CA411A1" w14:textId="67D46EB0" w:rsidR="00076603" w:rsidRDefault="0086035D" w:rsidP="00076603">
      <w:r>
        <w:t>APRA has provided clarity on notification processes, but has not extended the timeframes</w:t>
      </w:r>
      <w:r w:rsidR="00475532">
        <w:t xml:space="preserve">. </w:t>
      </w:r>
      <w:r w:rsidR="003234D3">
        <w:t xml:space="preserve">Notifications </w:t>
      </w:r>
      <w:r w:rsidR="00D9398A">
        <w:t>are</w:t>
      </w:r>
      <w:r w:rsidR="003B03C6">
        <w:t xml:space="preserve"> </w:t>
      </w:r>
      <w:r w:rsidR="003234D3">
        <w:t>a</w:t>
      </w:r>
      <w:r w:rsidR="003B03C6">
        <w:t xml:space="preserve"> vital mechanism to e</w:t>
      </w:r>
      <w:r w:rsidR="005F2A43">
        <w:t>nsure</w:t>
      </w:r>
      <w:r w:rsidR="00AA4393">
        <w:t xml:space="preserve"> necessary information is communicated to APRA expedi</w:t>
      </w:r>
      <w:r w:rsidR="003234D3">
        <w:t>tiously</w:t>
      </w:r>
      <w:r w:rsidR="00AA4393">
        <w:t xml:space="preserve">. </w:t>
      </w:r>
      <w:r w:rsidR="00076603">
        <w:t xml:space="preserve">The notification requirements are not intended to </w:t>
      </w:r>
      <w:r w:rsidR="004E2867">
        <w:t>di</w:t>
      </w:r>
      <w:r w:rsidR="00076603">
        <w:t>vert a</w:t>
      </w:r>
      <w:r w:rsidR="002B2DBA">
        <w:t>n</w:t>
      </w:r>
      <w:r w:rsidR="00076603">
        <w:t xml:space="preserve"> entity from managing </w:t>
      </w:r>
      <w:r w:rsidR="00941708">
        <w:t xml:space="preserve">an </w:t>
      </w:r>
      <w:r w:rsidR="00076603">
        <w:t>incident</w:t>
      </w:r>
      <w:r w:rsidR="00941708">
        <w:t xml:space="preserve"> or</w:t>
      </w:r>
      <w:r w:rsidR="00AA4393">
        <w:t xml:space="preserve"> to</w:t>
      </w:r>
      <w:r w:rsidR="00941708">
        <w:t xml:space="preserve"> impose undue burden</w:t>
      </w:r>
      <w:r w:rsidR="00076603">
        <w:t xml:space="preserve">. </w:t>
      </w:r>
      <w:r w:rsidR="00871FEA">
        <w:t>As well as</w:t>
      </w:r>
      <w:r w:rsidR="00EA51A7">
        <w:t xml:space="preserve"> ensur</w:t>
      </w:r>
      <w:r w:rsidR="00871FEA">
        <w:t>ing</w:t>
      </w:r>
      <w:r w:rsidR="00EA51A7">
        <w:t xml:space="preserve"> that </w:t>
      </w:r>
      <w:r w:rsidR="00076603">
        <w:t>APRA is kept appropriately informed</w:t>
      </w:r>
      <w:r w:rsidR="0022361D">
        <w:t>,</w:t>
      </w:r>
      <w:r w:rsidR="00EA51A7">
        <w:t xml:space="preserve"> </w:t>
      </w:r>
      <w:r w:rsidR="00871FEA">
        <w:t>notificat</w:t>
      </w:r>
      <w:r w:rsidR="0022361D">
        <w:t xml:space="preserve">ions allow APRA to </w:t>
      </w:r>
      <w:r w:rsidR="00076603">
        <w:t>respond or assist as necessary</w:t>
      </w:r>
      <w:r w:rsidR="002B2DBA">
        <w:t>, including considering any potential system-wide implications</w:t>
      </w:r>
      <w:r w:rsidR="00076603">
        <w:t xml:space="preserve">. </w:t>
      </w:r>
      <w:r w:rsidR="005C739E">
        <w:t>While APRA has not extended notification timeframes, updates have been made to simplify the process. This includes</w:t>
      </w:r>
      <w:r w:rsidR="00076603">
        <w:t>:</w:t>
      </w:r>
    </w:p>
    <w:p w14:paraId="741115DB" w14:textId="6A4EB4B2" w:rsidR="004A64FD" w:rsidRPr="00E93C6A" w:rsidRDefault="004A64FD" w:rsidP="004A64FD">
      <w:pPr>
        <w:pStyle w:val="ListBullet"/>
      </w:pPr>
      <w:r>
        <w:t xml:space="preserve">a regulated entity only </w:t>
      </w:r>
      <w:r w:rsidR="008B2000">
        <w:t xml:space="preserve">needs to </w:t>
      </w:r>
      <w:r>
        <w:t>notify APRA if the activation of the entity’s BCP relates to a disruption to a critical operation outside tolerance. CPS 230 has been updated to reflect this, with f</w:t>
      </w:r>
      <w:r w:rsidRPr="00E93C6A">
        <w:t>urther guidance included in draft CPG 230</w:t>
      </w:r>
      <w:r w:rsidR="000E4409">
        <w:t xml:space="preserve"> released with this Response paper</w:t>
      </w:r>
      <w:r w:rsidRPr="00E93C6A">
        <w:t xml:space="preserve">; </w:t>
      </w:r>
    </w:p>
    <w:p w14:paraId="52D99533" w14:textId="6876F810" w:rsidR="00FF27C1" w:rsidRDefault="004A64FD" w:rsidP="004A64FD">
      <w:pPr>
        <w:pStyle w:val="ListBullet"/>
      </w:pPr>
      <w:r w:rsidRPr="00E93C6A">
        <w:t xml:space="preserve">CPS 230 includes a footnote </w:t>
      </w:r>
      <w:r w:rsidR="008B2000">
        <w:t>to confirm that</w:t>
      </w:r>
      <w:r w:rsidRPr="00E93C6A">
        <w:t xml:space="preserve"> a notification of an information security incident under CPS 234 does not need to be separately reported under CPS 230</w:t>
      </w:r>
      <w:r>
        <w:t>;</w:t>
      </w:r>
      <w:r w:rsidR="000E4409">
        <w:t xml:space="preserve"> and</w:t>
      </w:r>
    </w:p>
    <w:p w14:paraId="7D1E76B0" w14:textId="24A99ACD" w:rsidR="00EF54CE" w:rsidRDefault="00EF54CE" w:rsidP="004A64FD">
      <w:pPr>
        <w:pStyle w:val="ListBullet"/>
      </w:pPr>
    </w:p>
    <w:p w14:paraId="31EE10F9" w14:textId="0633E962" w:rsidR="00076603" w:rsidRDefault="00D87BB4" w:rsidP="00C059CA">
      <w:pPr>
        <w:pStyle w:val="ListBullet"/>
      </w:pPr>
      <w:r>
        <w:t>d</w:t>
      </w:r>
      <w:r w:rsidR="004E2867">
        <w:t xml:space="preserve">raft </w:t>
      </w:r>
      <w:r w:rsidR="00B247EE">
        <w:t>CPG 230</w:t>
      </w:r>
      <w:r w:rsidR="001A1C5F">
        <w:t>,</w:t>
      </w:r>
      <w:r w:rsidR="00B247EE">
        <w:t xml:space="preserve"> released for consultation with this Response </w:t>
      </w:r>
      <w:r w:rsidR="00DC71A1">
        <w:t>p</w:t>
      </w:r>
      <w:r w:rsidR="00B247EE">
        <w:t>aper</w:t>
      </w:r>
      <w:r w:rsidR="001A1C5F">
        <w:t>,</w:t>
      </w:r>
      <w:r w:rsidR="00B247EE">
        <w:t xml:space="preserve"> provides guidance on APRA’s expectations when making required notifications under CPS 230</w:t>
      </w:r>
      <w:r w:rsidR="00E86390">
        <w:t>.</w:t>
      </w:r>
    </w:p>
    <w:p w14:paraId="1161405D" w14:textId="0AFAA490" w:rsidR="00EB0FCB" w:rsidRDefault="00E15EC0" w:rsidP="005C6900">
      <w:pPr>
        <w:pStyle w:val="Heading2Numbers"/>
      </w:pPr>
      <w:r>
        <w:t>Board requirements</w:t>
      </w:r>
    </w:p>
    <w:p w14:paraId="5A63543A" w14:textId="531DFFB6" w:rsidR="00305A12" w:rsidRDefault="00CE6850" w:rsidP="000B123A">
      <w:r>
        <w:t xml:space="preserve">Draft CPS 230 </w:t>
      </w:r>
      <w:r w:rsidR="00DE69F8">
        <w:t xml:space="preserve">included </w:t>
      </w:r>
      <w:r w:rsidR="00556869">
        <w:t>proposed requirements related to the role of the</w:t>
      </w:r>
      <w:r w:rsidR="00DE69F8">
        <w:t xml:space="preserve"> Board in the oversight of operational risk management</w:t>
      </w:r>
      <w:r w:rsidR="00B511E9">
        <w:t>, business continuity and service provider management</w:t>
      </w:r>
      <w:r w:rsidR="00DE69F8">
        <w:t xml:space="preserve">. The </w:t>
      </w:r>
      <w:r w:rsidR="00556869">
        <w:t>proposed requirements</w:t>
      </w:r>
      <w:r w:rsidR="00DE69F8">
        <w:t xml:space="preserve"> reflect that </w:t>
      </w:r>
      <w:r w:rsidR="00D009BB">
        <w:t>the</w:t>
      </w:r>
      <w:r w:rsidR="00DE69F8">
        <w:t xml:space="preserve"> Board </w:t>
      </w:r>
      <w:r w:rsidR="00B511E9">
        <w:t>is</w:t>
      </w:r>
      <w:r w:rsidR="00DE69F8">
        <w:t xml:space="preserve"> ultimately accountable for operational risk management</w:t>
      </w:r>
      <w:r w:rsidR="00556869">
        <w:t xml:space="preserve">. </w:t>
      </w:r>
      <w:r w:rsidR="006164FB">
        <w:t>T</w:t>
      </w:r>
      <w:r w:rsidR="00556869">
        <w:t>he Board</w:t>
      </w:r>
      <w:r w:rsidR="00B511E9">
        <w:t xml:space="preserve"> </w:t>
      </w:r>
      <w:r w:rsidR="00115A86">
        <w:t xml:space="preserve">must </w:t>
      </w:r>
      <w:r w:rsidR="00B511E9">
        <w:t>be provided with</w:t>
      </w:r>
      <w:r w:rsidR="00305A12">
        <w:t xml:space="preserve"> appropriate and sufficient information to allow it to effectively discharge its responsibilities and make informed decisions. </w:t>
      </w:r>
    </w:p>
    <w:p w14:paraId="17ABFF50" w14:textId="77777777" w:rsidR="00123B01" w:rsidRDefault="00123B01" w:rsidP="00123B01">
      <w:pPr>
        <w:pStyle w:val="Heading3"/>
      </w:pPr>
      <w:r>
        <w:t>Comments received</w:t>
      </w:r>
    </w:p>
    <w:p w14:paraId="03BD13B4" w14:textId="19C3F96C" w:rsidR="0062215C" w:rsidRDefault="00556869" w:rsidP="00123B01">
      <w:r>
        <w:t>T</w:t>
      </w:r>
      <w:r w:rsidR="00A66F85">
        <w:t xml:space="preserve">he </w:t>
      </w:r>
      <w:r w:rsidR="00947A84">
        <w:t xml:space="preserve">section on </w:t>
      </w:r>
      <w:r w:rsidR="00A66F85">
        <w:t>Role of the Board</w:t>
      </w:r>
      <w:r>
        <w:t xml:space="preserve"> </w:t>
      </w:r>
      <w:r w:rsidR="00947A84">
        <w:t>in</w:t>
      </w:r>
      <w:r>
        <w:t xml:space="preserve"> draft CPS 230</w:t>
      </w:r>
      <w:r w:rsidR="00A66F85">
        <w:t xml:space="preserve"> generated </w:t>
      </w:r>
      <w:r w:rsidR="00B511E9">
        <w:t xml:space="preserve">a broad range of comments. A common theme was the </w:t>
      </w:r>
      <w:r w:rsidR="00941708">
        <w:t xml:space="preserve">risk </w:t>
      </w:r>
      <w:r w:rsidR="00B511E9">
        <w:t xml:space="preserve">that APRA’s proposals </w:t>
      </w:r>
      <w:r w:rsidR="00941708">
        <w:t xml:space="preserve">could </w:t>
      </w:r>
      <w:r w:rsidR="00B511E9">
        <w:t xml:space="preserve">blur the line between the Board and management </w:t>
      </w:r>
      <w:r w:rsidR="00D17BBF">
        <w:t xml:space="preserve">by </w:t>
      </w:r>
      <w:r w:rsidR="00B511E9">
        <w:t xml:space="preserve">requiring the Board to </w:t>
      </w:r>
      <w:r>
        <w:t>undertake tasks</w:t>
      </w:r>
      <w:r w:rsidR="00B511E9">
        <w:t xml:space="preserve"> that would normally be management functions.</w:t>
      </w:r>
      <w:r w:rsidR="0062215C">
        <w:t xml:space="preserve"> Examples included:</w:t>
      </w:r>
    </w:p>
    <w:p w14:paraId="1917C09B" w14:textId="4F37FC28" w:rsidR="0062215C" w:rsidRDefault="0062215C" w:rsidP="0062215C">
      <w:pPr>
        <w:pStyle w:val="ListBullet"/>
      </w:pPr>
      <w:r>
        <w:t>setting tolerance levels</w:t>
      </w:r>
      <w:r w:rsidR="00941708">
        <w:t>, which could be granular in some cases</w:t>
      </w:r>
      <w:r>
        <w:t xml:space="preserve">; </w:t>
      </w:r>
    </w:p>
    <w:p w14:paraId="3F44A877" w14:textId="0E44735D" w:rsidR="0062215C" w:rsidRDefault="0062215C" w:rsidP="0062215C">
      <w:pPr>
        <w:pStyle w:val="ListBullet"/>
      </w:pPr>
      <w:r>
        <w:t>approving the service provider m</w:t>
      </w:r>
      <w:r w:rsidR="00556869">
        <w:t>ana</w:t>
      </w:r>
      <w:r>
        <w:t>g</w:t>
      </w:r>
      <w:r w:rsidR="00556869">
        <w:t>emen</w:t>
      </w:r>
      <w:r>
        <w:t>t policy – the Board should approve initial policy</w:t>
      </w:r>
      <w:r w:rsidR="00D009BB">
        <w:t>,</w:t>
      </w:r>
      <w:r>
        <w:t xml:space="preserve"> but not subsequent updates unless they are material;</w:t>
      </w:r>
      <w:r w:rsidR="004872C2">
        <w:t xml:space="preserve"> and</w:t>
      </w:r>
    </w:p>
    <w:p w14:paraId="47FFB2E0" w14:textId="09B153E1" w:rsidR="0062215C" w:rsidRDefault="00326158" w:rsidP="0062215C">
      <w:pPr>
        <w:pStyle w:val="ListBullet"/>
      </w:pPr>
      <w:r>
        <w:t>r</w:t>
      </w:r>
      <w:r w:rsidR="0062215C">
        <w:t>eviewing risk and performance reporting</w:t>
      </w:r>
      <w:r w:rsidR="00ED018B">
        <w:t>.</w:t>
      </w:r>
    </w:p>
    <w:p w14:paraId="2C744EFF" w14:textId="77777777" w:rsidR="0062215C" w:rsidRDefault="0062215C" w:rsidP="0062215C">
      <w:pPr>
        <w:pStyle w:val="Heading3"/>
      </w:pPr>
      <w:r>
        <w:t>APRA’s response</w:t>
      </w:r>
    </w:p>
    <w:p w14:paraId="0234AFFB" w14:textId="70876A6D" w:rsidR="00E4652C" w:rsidRDefault="003E4407" w:rsidP="0062215C">
      <w:r>
        <w:t>APRA notes that t</w:t>
      </w:r>
      <w:r w:rsidR="0074129B">
        <w:t xml:space="preserve">he intent of CPS 230 is not to impose management functions on the Board. Rather, as noted in the Discussion </w:t>
      </w:r>
      <w:r w:rsidR="006B28B3">
        <w:t>p</w:t>
      </w:r>
      <w:r w:rsidR="0074129B">
        <w:t xml:space="preserve">aper, the standard reflects that the Board is ultimately accountable for the oversight of operational risk </w:t>
      </w:r>
      <w:r w:rsidR="005655CB">
        <w:t>management and</w:t>
      </w:r>
      <w:r w:rsidR="0074129B">
        <w:t xml:space="preserve"> is expected to ensure that senior management effectively implement and maintain </w:t>
      </w:r>
      <w:r>
        <w:t xml:space="preserve">a regulated entity’s operational risk </w:t>
      </w:r>
      <w:r w:rsidR="0074129B">
        <w:t>framework.</w:t>
      </w:r>
      <w:r w:rsidR="00F77467">
        <w:t xml:space="preserve"> </w:t>
      </w:r>
      <w:r w:rsidR="00A3281D">
        <w:t>This reflects</w:t>
      </w:r>
      <w:r w:rsidR="00F77467">
        <w:t xml:space="preserve"> a key lesson from the </w:t>
      </w:r>
      <w:r w:rsidR="00F77467">
        <w:rPr>
          <w:i/>
        </w:rPr>
        <w:t>Royal Commission into Misconduct in the Bankin</w:t>
      </w:r>
      <w:r w:rsidR="00454D45">
        <w:rPr>
          <w:i/>
        </w:rPr>
        <w:t>g</w:t>
      </w:r>
      <w:r w:rsidR="00F77467">
        <w:rPr>
          <w:i/>
        </w:rPr>
        <w:t>,</w:t>
      </w:r>
      <w:r w:rsidR="00454D45">
        <w:rPr>
          <w:i/>
        </w:rPr>
        <w:t xml:space="preserve"> Superannuation and Financial Services Industry</w:t>
      </w:r>
      <w:r w:rsidR="00454D45">
        <w:t xml:space="preserve"> </w:t>
      </w:r>
      <w:r w:rsidR="00A3281D">
        <w:t>on</w:t>
      </w:r>
      <w:r w:rsidR="00454D45">
        <w:t xml:space="preserve"> the importance of strong oversight of non-financial risks, with the Board having relevant information to allow it to discharge its responsibilities and make informed decisions.</w:t>
      </w:r>
      <w:r w:rsidR="00F77467">
        <w:rPr>
          <w:i/>
        </w:rPr>
        <w:t xml:space="preserve"> </w:t>
      </w:r>
      <w:r w:rsidR="0074129B">
        <w:t xml:space="preserve"> </w:t>
      </w:r>
    </w:p>
    <w:p w14:paraId="1573E60A" w14:textId="160ABD21" w:rsidR="00A26F33" w:rsidRDefault="00E4652C">
      <w:r>
        <w:t>The intent is not for the Board to play a role in day-to-day operational risk management.</w:t>
      </w:r>
      <w:r w:rsidR="00952D00">
        <w:t xml:space="preserve"> </w:t>
      </w:r>
      <w:r w:rsidR="009965E0">
        <w:t>D</w:t>
      </w:r>
      <w:r w:rsidR="00A26F33">
        <w:t xml:space="preserve">raft CPG 230 provides guidance to assist with interpretation of the </w:t>
      </w:r>
      <w:r w:rsidR="005D35D1">
        <w:t>requirements imposed on the</w:t>
      </w:r>
      <w:r w:rsidR="00A26F33">
        <w:t xml:space="preserve"> Board.</w:t>
      </w:r>
      <w:r w:rsidR="001B22C6">
        <w:t xml:space="preserve"> This includes clarification that while the Board sets overall tolerance levels for disruptions to critical operations, senior management is able to set more granular tolerance levels </w:t>
      </w:r>
      <w:r w:rsidR="000B0543">
        <w:t>for critical operations</w:t>
      </w:r>
      <w:r w:rsidR="00EE6587">
        <w:t xml:space="preserve"> within the Board-approved tolerance levels</w:t>
      </w:r>
      <w:r w:rsidR="000B0543">
        <w:t>.</w:t>
      </w:r>
      <w:r w:rsidR="001B22C6">
        <w:t xml:space="preserve"> </w:t>
      </w:r>
    </w:p>
    <w:p w14:paraId="36378127" w14:textId="6A449065" w:rsidR="00E4652C" w:rsidRDefault="00B34061" w:rsidP="00B34061">
      <w:pPr>
        <w:pStyle w:val="Heading2Numbers"/>
      </w:pPr>
      <w:r>
        <w:t>Definition of operational risk</w:t>
      </w:r>
    </w:p>
    <w:p w14:paraId="63645D2A" w14:textId="4EB4F4A0" w:rsidR="00B34061" w:rsidRDefault="002F20E6" w:rsidP="00B34061">
      <w:r>
        <w:t xml:space="preserve">Draft CPS 230 included a requirement </w:t>
      </w:r>
      <w:r w:rsidR="00AE729C">
        <w:t xml:space="preserve">that </w:t>
      </w:r>
      <w:r>
        <w:t xml:space="preserve">an APRA-regulated entity must identify, assess and manage operational risks that </w:t>
      </w:r>
      <w:r w:rsidR="0062589A">
        <w:t>’</w:t>
      </w:r>
      <w:r>
        <w:t>may result from inadequate or failed internal processes or systems, the actions or inactions of people or external drivers and events.</w:t>
      </w:r>
      <w:r w:rsidR="0062589A">
        <w:t>’</w:t>
      </w:r>
    </w:p>
    <w:p w14:paraId="180A0B4B" w14:textId="24C125C4" w:rsidR="002F20E6" w:rsidRDefault="002F20E6" w:rsidP="002F20E6">
      <w:pPr>
        <w:pStyle w:val="Heading3"/>
      </w:pPr>
      <w:r>
        <w:t>Comments received</w:t>
      </w:r>
    </w:p>
    <w:p w14:paraId="20D29224" w14:textId="0F197C50" w:rsidR="002F20E6" w:rsidRDefault="002F20E6" w:rsidP="002F20E6">
      <w:r>
        <w:t>A number of submission</w:t>
      </w:r>
      <w:r w:rsidR="00D17BBF">
        <w:t>s</w:t>
      </w:r>
      <w:r>
        <w:t xml:space="preserve"> comment</w:t>
      </w:r>
      <w:r w:rsidR="00D17BBF">
        <w:t>ed</w:t>
      </w:r>
      <w:r>
        <w:t xml:space="preserve"> that the definition of operational risk in draft CPS 230 differed </w:t>
      </w:r>
      <w:r w:rsidR="00513C19">
        <w:t xml:space="preserve">from </w:t>
      </w:r>
      <w:r>
        <w:t xml:space="preserve">existing definitions in </w:t>
      </w:r>
      <w:r w:rsidR="00D17BBF">
        <w:t xml:space="preserve">other </w:t>
      </w:r>
      <w:r>
        <w:t xml:space="preserve">APRA prudential standards. Submissions highlighted issues with </w:t>
      </w:r>
      <w:r w:rsidR="00A63BDE">
        <w:t>using different</w:t>
      </w:r>
      <w:r>
        <w:t xml:space="preserve"> definitions and sought clarity </w:t>
      </w:r>
      <w:r w:rsidR="00205E74">
        <w:t xml:space="preserve">from APRA </w:t>
      </w:r>
      <w:r>
        <w:t>on this.</w:t>
      </w:r>
    </w:p>
    <w:p w14:paraId="10E9E68C" w14:textId="5FC2C8E6" w:rsidR="00783C5B" w:rsidRDefault="00783C5B" w:rsidP="002F20E6">
      <w:r>
        <w:t xml:space="preserve">In addition, </w:t>
      </w:r>
      <w:r w:rsidR="00E57885">
        <w:t xml:space="preserve">there were comments on </w:t>
      </w:r>
      <w:r>
        <w:t xml:space="preserve">the reference in draft CPS 230 </w:t>
      </w:r>
      <w:r w:rsidR="00E57885">
        <w:t>to specific types</w:t>
      </w:r>
      <w:r>
        <w:t xml:space="preserve"> of operational risk </w:t>
      </w:r>
      <w:r w:rsidR="00205E74">
        <w:t>including</w:t>
      </w:r>
      <w:r>
        <w:t xml:space="preserve"> legal risk, regulatory risk, compliance risk, conduct risk, technology risk, data risk, reputational risk and change management</w:t>
      </w:r>
      <w:r w:rsidR="00205E74">
        <w:t>. Submissions queried the inclusion of some of these risks as part of operational risk; notably, reputational risk</w:t>
      </w:r>
      <w:r w:rsidR="00EA2E37">
        <w:t>,</w:t>
      </w:r>
      <w:r w:rsidR="00205E74">
        <w:t xml:space="preserve"> which many considered to be an impact or outcome of an operational risk incident, rather than an operational risk itself.</w:t>
      </w:r>
    </w:p>
    <w:p w14:paraId="2ABA938B" w14:textId="766B6CE0" w:rsidR="002F20E6" w:rsidRPr="002F20E6" w:rsidRDefault="002F20E6" w:rsidP="002F20E6">
      <w:pPr>
        <w:pStyle w:val="Heading3"/>
      </w:pPr>
      <w:r>
        <w:t>APRA’s response</w:t>
      </w:r>
    </w:p>
    <w:p w14:paraId="424FE46B" w14:textId="1A1F5619" w:rsidR="00B34061" w:rsidRDefault="000C7679" w:rsidP="00B34061">
      <w:r>
        <w:t xml:space="preserve">APRA will </w:t>
      </w:r>
      <w:r w:rsidR="00A32154">
        <w:t>review existing definitions of operational risk in the prudential framework</w:t>
      </w:r>
      <w:r>
        <w:t xml:space="preserve"> </w:t>
      </w:r>
      <w:r w:rsidR="00EF1126">
        <w:t>for consistency</w:t>
      </w:r>
      <w:r w:rsidR="00A32154">
        <w:t xml:space="preserve"> with the </w:t>
      </w:r>
      <w:r>
        <w:t>definition of operational risk</w:t>
      </w:r>
      <w:r w:rsidR="0006513D">
        <w:t xml:space="preserve"> </w:t>
      </w:r>
      <w:r w:rsidR="00A32154">
        <w:t>in</w:t>
      </w:r>
      <w:r w:rsidR="00CC1F18">
        <w:t xml:space="preserve"> </w:t>
      </w:r>
      <w:r w:rsidR="0006513D">
        <w:t>CPS 230</w:t>
      </w:r>
      <w:r w:rsidR="00BA1075">
        <w:t xml:space="preserve">. </w:t>
      </w:r>
      <w:r>
        <w:t xml:space="preserve"> </w:t>
      </w:r>
    </w:p>
    <w:p w14:paraId="2C246481" w14:textId="77777777" w:rsidR="00063972" w:rsidRDefault="00783C5B" w:rsidP="00B34061">
      <w:r>
        <w:t>APRA has removed reputational risk from th</w:t>
      </w:r>
      <w:r w:rsidR="00352B1E">
        <w:t>e</w:t>
      </w:r>
      <w:r>
        <w:t xml:space="preserve"> list</w:t>
      </w:r>
      <w:r w:rsidR="000A0223">
        <w:t xml:space="preserve"> of risks included as part of operational risk</w:t>
      </w:r>
      <w:r>
        <w:t xml:space="preserve">, but otherwise retained </w:t>
      </w:r>
      <w:r w:rsidR="00E57885">
        <w:t xml:space="preserve">the definition and </w:t>
      </w:r>
      <w:r>
        <w:t xml:space="preserve">references to </w:t>
      </w:r>
      <w:r w:rsidR="00E57885">
        <w:t xml:space="preserve">specific types of operational </w:t>
      </w:r>
      <w:r>
        <w:t>risk. APRA considers these risks have a clear connection to operational risk and should be considered and dealt with as part of a regulated entity’s operational risk management.</w:t>
      </w:r>
    </w:p>
    <w:p w14:paraId="7EF9439B" w14:textId="6229DDD4" w:rsidR="00783C5B" w:rsidRDefault="00C53B99" w:rsidP="00B34061">
      <w:r>
        <w:t xml:space="preserve">The removal of reputational risk reflects that </w:t>
      </w:r>
      <w:r w:rsidR="00274C39">
        <w:t>typically</w:t>
      </w:r>
      <w:r>
        <w:t xml:space="preserve"> reputation</w:t>
      </w:r>
      <w:r w:rsidR="0006513D">
        <w:t>al</w:t>
      </w:r>
      <w:r>
        <w:t xml:space="preserve"> risk </w:t>
      </w:r>
      <w:r w:rsidR="00274C39">
        <w:t xml:space="preserve">is treated as </w:t>
      </w:r>
      <w:r>
        <w:t>an outcome of an operational risk incident or event rather than an operational risk itself</w:t>
      </w:r>
      <w:r w:rsidR="00E57885">
        <w:t>.</w:t>
      </w:r>
      <w:r w:rsidR="00352B1E">
        <w:t xml:space="preserve"> </w:t>
      </w:r>
      <w:r w:rsidR="00E57885">
        <w:t>H</w:t>
      </w:r>
      <w:r w:rsidR="00352B1E">
        <w:t>owever</w:t>
      </w:r>
      <w:r w:rsidR="0060748E">
        <w:t>,</w:t>
      </w:r>
      <w:r w:rsidR="00352B1E">
        <w:t xml:space="preserve"> a regulated entity would still be expected to give consideration to the reputational impact of an operational risk event on the entity</w:t>
      </w:r>
      <w:r>
        <w:t>.</w:t>
      </w:r>
    </w:p>
    <w:p w14:paraId="55DA1B43" w14:textId="29636F49" w:rsidR="0041322E" w:rsidRDefault="00646A22" w:rsidP="0041322E">
      <w:pPr>
        <w:pStyle w:val="Heading2Numbers"/>
      </w:pPr>
      <w:r>
        <w:t>Critical operations</w:t>
      </w:r>
    </w:p>
    <w:p w14:paraId="19F5AB6C" w14:textId="549F108B" w:rsidR="007B5B84" w:rsidRDefault="000F2C20" w:rsidP="0041322E">
      <w:r>
        <w:t>Draft CPS 230 set out a number of key requirements intended to ensure that an APRA-regulated entity’s business continuity planning would</w:t>
      </w:r>
      <w:r w:rsidR="007B5B84">
        <w:t>:</w:t>
      </w:r>
      <w:r>
        <w:t xml:space="preserve"> </w:t>
      </w:r>
    </w:p>
    <w:p w14:paraId="4C10B726" w14:textId="4F854490" w:rsidR="007B5B84" w:rsidRDefault="003068B6" w:rsidP="007B5B84">
      <w:pPr>
        <w:pStyle w:val="ListBullet"/>
      </w:pPr>
      <w:r>
        <w:t xml:space="preserve">to the extent practicable, </w:t>
      </w:r>
      <w:r w:rsidR="000F2C20">
        <w:t>prevent disruptions to its critical operations</w:t>
      </w:r>
      <w:r w:rsidR="007B5B84">
        <w:t>;</w:t>
      </w:r>
      <w:r w:rsidR="000F2C20">
        <w:t xml:space="preserve"> and </w:t>
      </w:r>
    </w:p>
    <w:p w14:paraId="4DA516A3" w14:textId="1613222E" w:rsidR="0041322E" w:rsidRDefault="00E57885" w:rsidP="007B5B84">
      <w:pPr>
        <w:pStyle w:val="ListBullet"/>
      </w:pPr>
      <w:r>
        <w:t xml:space="preserve">include measures to </w:t>
      </w:r>
      <w:r w:rsidR="000F2C20">
        <w:t xml:space="preserve">adapt systems and processes so that </w:t>
      </w:r>
      <w:r>
        <w:t>the entity can</w:t>
      </w:r>
      <w:r w:rsidR="000F2C20">
        <w:t xml:space="preserve"> continue to operat</w:t>
      </w:r>
      <w:r w:rsidR="007B5B84">
        <w:t>e</w:t>
      </w:r>
      <w:r w:rsidR="000F2C20">
        <w:t xml:space="preserve"> </w:t>
      </w:r>
      <w:r w:rsidR="00C97B08">
        <w:t xml:space="preserve">in the event of a disruption and return to </w:t>
      </w:r>
      <w:r w:rsidR="009F0982">
        <w:t>business-as-usual</w:t>
      </w:r>
      <w:r w:rsidR="00C97B08">
        <w:t xml:space="preserve"> </w:t>
      </w:r>
      <w:r w:rsidR="009F0982">
        <w:t xml:space="preserve">operations </w:t>
      </w:r>
      <w:r w:rsidR="00C97B08">
        <w:t>promptly thereafter.</w:t>
      </w:r>
    </w:p>
    <w:p w14:paraId="70A61D8B" w14:textId="4EA21677" w:rsidR="005157B8" w:rsidRDefault="006758D9" w:rsidP="005157B8">
      <w:pPr>
        <w:pStyle w:val="ListBullet"/>
        <w:numPr>
          <w:ilvl w:val="0"/>
          <w:numId w:val="0"/>
        </w:numPr>
      </w:pPr>
      <w:r>
        <w:t xml:space="preserve">Draft CPS 230 </w:t>
      </w:r>
      <w:r w:rsidR="005157B8">
        <w:t>defined</w:t>
      </w:r>
      <w:r>
        <w:t xml:space="preserve"> critical operations</w:t>
      </w:r>
      <w:r w:rsidR="005157B8">
        <w:t xml:space="preserve"> as processes undertaken by an APRA-regulated entity or its service provider which, if disrupted beyond tolerance levels</w:t>
      </w:r>
      <w:r w:rsidR="00990059">
        <w:t xml:space="preserve">, would have a material adverse impact on depositors, policyholders, beneficiaries or other customers or </w:t>
      </w:r>
      <w:r w:rsidR="00D21F50">
        <w:t xml:space="preserve">the entity’s </w:t>
      </w:r>
      <w:r w:rsidR="00990059">
        <w:t xml:space="preserve">role in the financial system. In addition, draft CPS 230 included a proposed list of </w:t>
      </w:r>
      <w:r w:rsidR="00E863B3">
        <w:t xml:space="preserve">operations </w:t>
      </w:r>
      <w:r w:rsidR="00990059">
        <w:t xml:space="preserve">that would be classified as critical. </w:t>
      </w:r>
    </w:p>
    <w:p w14:paraId="414DC3C7" w14:textId="1B36B0EB" w:rsidR="0041322E" w:rsidRDefault="0041322E" w:rsidP="000F2C20">
      <w:pPr>
        <w:pStyle w:val="Heading3"/>
      </w:pPr>
      <w:r>
        <w:t>Comments received</w:t>
      </w:r>
    </w:p>
    <w:p w14:paraId="608D8099" w14:textId="364287D6" w:rsidR="00C97B08" w:rsidRDefault="0041322E" w:rsidP="0041322E">
      <w:r>
        <w:t xml:space="preserve">The business continuity section of draft CPS 230 </w:t>
      </w:r>
      <w:r w:rsidR="00C97B08">
        <w:t xml:space="preserve">was commented on by </w:t>
      </w:r>
      <w:r w:rsidR="00D21F50">
        <w:t>a number of</w:t>
      </w:r>
      <w:r>
        <w:t xml:space="preserve"> submissions. While </w:t>
      </w:r>
      <w:r w:rsidR="00986A4A">
        <w:t xml:space="preserve">most </w:t>
      </w:r>
      <w:r w:rsidR="00CC1F18">
        <w:t>sought</w:t>
      </w:r>
      <w:r w:rsidR="00C97B08">
        <w:t xml:space="preserve"> clarification of certain </w:t>
      </w:r>
      <w:r w:rsidR="00CC1F18">
        <w:t>provisions</w:t>
      </w:r>
      <w:r w:rsidR="00C97B08">
        <w:t xml:space="preserve"> and </w:t>
      </w:r>
      <w:r w:rsidR="00986A4A">
        <w:t xml:space="preserve">specific </w:t>
      </w:r>
      <w:r w:rsidR="00C97B08">
        <w:t>guidance on APRA’s expectations</w:t>
      </w:r>
      <w:r w:rsidR="00986A4A">
        <w:t xml:space="preserve"> to assist in implementation</w:t>
      </w:r>
      <w:r w:rsidR="00C97B08">
        <w:t xml:space="preserve">, </w:t>
      </w:r>
      <w:r w:rsidR="00C354AA">
        <w:t xml:space="preserve">some </w:t>
      </w:r>
      <w:r w:rsidR="00986A4A">
        <w:t>concerns were expressed on the proposed list of prescribed critical operations</w:t>
      </w:r>
      <w:r w:rsidR="00C97B08">
        <w:t>.</w:t>
      </w:r>
    </w:p>
    <w:p w14:paraId="5A84248F" w14:textId="125DD06C" w:rsidR="00C97B08" w:rsidRDefault="00C354AA" w:rsidP="0041322E">
      <w:r>
        <w:t>T</w:t>
      </w:r>
      <w:r w:rsidR="00986A4A">
        <w:t xml:space="preserve">he </w:t>
      </w:r>
      <w:r>
        <w:t xml:space="preserve">issues </w:t>
      </w:r>
      <w:r w:rsidR="00986A4A">
        <w:t>raised were</w:t>
      </w:r>
      <w:r w:rsidR="006758D9">
        <w:t xml:space="preserve"> that</w:t>
      </w:r>
      <w:r w:rsidR="00D36A0F">
        <w:t>:</w:t>
      </w:r>
    </w:p>
    <w:p w14:paraId="31B88FFD" w14:textId="46E0654E" w:rsidR="00D36A0F" w:rsidRDefault="00646A22" w:rsidP="00D36A0F">
      <w:pPr>
        <w:pStyle w:val="ListBullet"/>
      </w:pPr>
      <w:r>
        <w:t>the inclusion of a prescribed</w:t>
      </w:r>
      <w:r w:rsidR="00D36A0F" w:rsidRPr="00D36A0F">
        <w:t xml:space="preserve"> list </w:t>
      </w:r>
      <w:r w:rsidR="00E863B3">
        <w:t xml:space="preserve">of specific business operations that should be classified as critical </w:t>
      </w:r>
      <w:r w:rsidR="00D36A0F" w:rsidRPr="00D36A0F">
        <w:t xml:space="preserve">undermines the </w:t>
      </w:r>
      <w:r w:rsidR="00D36A0F">
        <w:t>general principles-based definition</w:t>
      </w:r>
      <w:r w:rsidR="00D36A0F" w:rsidRPr="00D36A0F">
        <w:t xml:space="preserve"> of critical operations</w:t>
      </w:r>
      <w:r w:rsidR="00D36A0F">
        <w:t>;</w:t>
      </w:r>
    </w:p>
    <w:p w14:paraId="67C0A4C7" w14:textId="34117496" w:rsidR="00D36A0F" w:rsidRDefault="005A5B60" w:rsidP="00D36A0F">
      <w:pPr>
        <w:pStyle w:val="ListBullet"/>
      </w:pPr>
      <w:r w:rsidRPr="005A5B60">
        <w:t xml:space="preserve">the breadth of the list is such that it </w:t>
      </w:r>
      <w:r w:rsidR="00C354AA">
        <w:t>may</w:t>
      </w:r>
      <w:r w:rsidR="00C354AA" w:rsidRPr="005A5B60">
        <w:t xml:space="preserve"> </w:t>
      </w:r>
      <w:r w:rsidRPr="005A5B60">
        <w:t>capture non-critical operations</w:t>
      </w:r>
      <w:r w:rsidR="00C354AA">
        <w:t xml:space="preserve"> for some entities</w:t>
      </w:r>
      <w:r>
        <w:t>;</w:t>
      </w:r>
    </w:p>
    <w:p w14:paraId="062A1361" w14:textId="3B44B72F" w:rsidR="005A5B60" w:rsidRDefault="005A5B60" w:rsidP="00D36A0F">
      <w:pPr>
        <w:pStyle w:val="ListBullet"/>
      </w:pPr>
      <w:r>
        <w:t xml:space="preserve">not all critical operations specified </w:t>
      </w:r>
      <w:r w:rsidR="00D75BB1">
        <w:t xml:space="preserve">are relevant </w:t>
      </w:r>
      <w:r>
        <w:t>to all APRA-regulated industries and, if retained, the list should be classified by industry</w:t>
      </w:r>
      <w:r w:rsidR="00A70A3B">
        <w:t xml:space="preserve"> to assist with clarity</w:t>
      </w:r>
      <w:r>
        <w:t>;</w:t>
      </w:r>
    </w:p>
    <w:p w14:paraId="6952145E" w14:textId="57C8A736" w:rsidR="005A5B60" w:rsidRDefault="006560C0" w:rsidP="006560C0">
      <w:pPr>
        <w:pStyle w:val="ListBullet"/>
      </w:pPr>
      <w:r>
        <w:t>t</w:t>
      </w:r>
      <w:r w:rsidRPr="006560C0">
        <w:t>he specific inclusions appear to be focused more on internal processes, rather than the outcome of those operations</w:t>
      </w:r>
      <w:r w:rsidR="00767D2B">
        <w:t>;</w:t>
      </w:r>
      <w:r w:rsidR="00CC1F18">
        <w:t xml:space="preserve"> and</w:t>
      </w:r>
    </w:p>
    <w:p w14:paraId="165B30EB" w14:textId="12B80440" w:rsidR="00767D2B" w:rsidRDefault="00767D2B" w:rsidP="006560C0">
      <w:pPr>
        <w:pStyle w:val="ListBullet"/>
      </w:pPr>
      <w:r w:rsidRPr="00767D2B">
        <w:t xml:space="preserve">each of the </w:t>
      </w:r>
      <w:r w:rsidR="00646A22">
        <w:t xml:space="preserve">prescribed </w:t>
      </w:r>
      <w:r w:rsidRPr="00767D2B">
        <w:t xml:space="preserve">critical operations </w:t>
      </w:r>
      <w:r w:rsidR="00646A22">
        <w:t>is</w:t>
      </w:r>
      <w:r w:rsidRPr="00767D2B">
        <w:t xml:space="preserve"> very broad</w:t>
      </w:r>
      <w:r w:rsidR="00646A22">
        <w:t xml:space="preserve"> and does not allow for consideration of the details or context of the operation in question</w:t>
      </w:r>
      <w:r>
        <w:t>.</w:t>
      </w:r>
      <w:r w:rsidR="00646A22">
        <w:t xml:space="preserve"> </w:t>
      </w:r>
    </w:p>
    <w:p w14:paraId="0EF13887" w14:textId="77777777" w:rsidR="00D203BD" w:rsidRDefault="00D203BD" w:rsidP="00D203BD">
      <w:pPr>
        <w:pStyle w:val="Heading3"/>
      </w:pPr>
      <w:r>
        <w:t>APRA’s response</w:t>
      </w:r>
    </w:p>
    <w:p w14:paraId="4C6ADB32" w14:textId="2C9D4019" w:rsidR="00E863B3" w:rsidRDefault="00E54ADA" w:rsidP="00646A22">
      <w:pPr>
        <w:numPr>
          <w:ilvl w:val="0"/>
          <w:numId w:val="0"/>
        </w:numPr>
      </w:pPr>
      <w:r>
        <w:t xml:space="preserve">As noted in the Discussion paper, the intent of prescribing critical operations was to ensure </w:t>
      </w:r>
      <w:r w:rsidR="009A6B3D">
        <w:t xml:space="preserve">consistency of application </w:t>
      </w:r>
      <w:r>
        <w:t xml:space="preserve">across </w:t>
      </w:r>
      <w:r w:rsidR="000622F3">
        <w:t>APRA-</w:t>
      </w:r>
      <w:r w:rsidR="00A70A3B">
        <w:t>regulated entities</w:t>
      </w:r>
      <w:r w:rsidR="00AB2584">
        <w:t xml:space="preserve">. </w:t>
      </w:r>
      <w:r w:rsidR="005238C1">
        <w:t>N</w:t>
      </w:r>
      <w:r w:rsidR="00AB2584">
        <w:t xml:space="preserve">oting the concerns that have been raised, </w:t>
      </w:r>
      <w:r w:rsidR="00A70A3B">
        <w:t xml:space="preserve">APRA has </w:t>
      </w:r>
      <w:r w:rsidR="00391ECC">
        <w:t xml:space="preserve">qualified </w:t>
      </w:r>
      <w:r w:rsidR="00AB2584">
        <w:t>the list of</w:t>
      </w:r>
      <w:r w:rsidR="00645FED">
        <w:t xml:space="preserve"> prescribed critical operations </w:t>
      </w:r>
      <w:r w:rsidR="00391ECC">
        <w:t xml:space="preserve">in </w:t>
      </w:r>
      <w:r w:rsidR="00645FED">
        <w:t>CPS 230</w:t>
      </w:r>
      <w:r w:rsidR="00E863B3">
        <w:t>:</w:t>
      </w:r>
      <w:r w:rsidR="00A70A3B">
        <w:t xml:space="preserve"> </w:t>
      </w:r>
      <w:r w:rsidR="00E863B3">
        <w:t>a</w:t>
      </w:r>
      <w:r w:rsidR="00391ECC">
        <w:t xml:space="preserve"> regulated entity </w:t>
      </w:r>
      <w:r w:rsidR="00E65F72">
        <w:t>may</w:t>
      </w:r>
      <w:r w:rsidR="00391ECC">
        <w:t xml:space="preserve"> classify </w:t>
      </w:r>
      <w:r w:rsidR="00E65F72">
        <w:t xml:space="preserve">a </w:t>
      </w:r>
      <w:r w:rsidR="00391ECC">
        <w:t xml:space="preserve">prescribed operation as </w:t>
      </w:r>
      <w:r w:rsidR="00200FD9">
        <w:t xml:space="preserve">not </w:t>
      </w:r>
      <w:r w:rsidR="00391ECC">
        <w:t xml:space="preserve">critical </w:t>
      </w:r>
      <w:r w:rsidR="00200FD9">
        <w:t xml:space="preserve">if it can provide satisfactory </w:t>
      </w:r>
      <w:r w:rsidR="000D3F82">
        <w:t>justification</w:t>
      </w:r>
      <w:r w:rsidR="002F5054">
        <w:t xml:space="preserve"> for its decision</w:t>
      </w:r>
      <w:r w:rsidR="00E863B3">
        <w:t>.</w:t>
      </w:r>
      <w:r w:rsidR="007B6426">
        <w:t xml:space="preserve"> APRA expects that these cases will be exceptional.</w:t>
      </w:r>
    </w:p>
    <w:p w14:paraId="31089A65" w14:textId="742C3707" w:rsidR="00646A22" w:rsidRDefault="007D1DE2" w:rsidP="00646A22">
      <w:pPr>
        <w:numPr>
          <w:ilvl w:val="0"/>
          <w:numId w:val="0"/>
        </w:numPr>
      </w:pPr>
      <w:r>
        <w:t>D</w:t>
      </w:r>
      <w:r w:rsidR="00E863B3">
        <w:t>raft CPG 230 provide</w:t>
      </w:r>
      <w:r w:rsidR="007B6426">
        <w:t>s</w:t>
      </w:r>
      <w:r w:rsidR="00E863B3">
        <w:t xml:space="preserve"> </w:t>
      </w:r>
      <w:r w:rsidR="00C10C22">
        <w:t xml:space="preserve">further </w:t>
      </w:r>
      <w:r w:rsidR="00E863B3">
        <w:t xml:space="preserve">guidance, with better practice being a rigorous </w:t>
      </w:r>
      <w:r w:rsidR="00391ECC">
        <w:t xml:space="preserve">assessment of the </w:t>
      </w:r>
      <w:r w:rsidR="00E863B3">
        <w:t xml:space="preserve">business </w:t>
      </w:r>
      <w:r w:rsidR="00391ECC">
        <w:t>operation</w:t>
      </w:r>
      <w:r w:rsidR="0060528B">
        <w:t xml:space="preserve"> in question</w:t>
      </w:r>
      <w:r w:rsidR="00E53847">
        <w:t xml:space="preserve">. </w:t>
      </w:r>
      <w:r w:rsidR="00A91039">
        <w:t>The review and decision</w:t>
      </w:r>
      <w:r w:rsidR="00910AAC">
        <w:t xml:space="preserve"> </w:t>
      </w:r>
      <w:r w:rsidR="00A91039">
        <w:t>should be</w:t>
      </w:r>
      <w:r w:rsidR="00910AAC">
        <w:t xml:space="preserve"> documented</w:t>
      </w:r>
      <w:r w:rsidR="008C2B14">
        <w:t xml:space="preserve">, approved by </w:t>
      </w:r>
      <w:r w:rsidR="00F804C7">
        <w:t xml:space="preserve">an </w:t>
      </w:r>
      <w:r w:rsidR="004B21CB">
        <w:t>a</w:t>
      </w:r>
      <w:r w:rsidR="00E53847">
        <w:t>ccountable person</w:t>
      </w:r>
      <w:r w:rsidR="000D3F82">
        <w:rPr>
          <w:rStyle w:val="FootnoteReference"/>
        </w:rPr>
        <w:footnoteReference w:id="2"/>
      </w:r>
      <w:r w:rsidR="00E53847">
        <w:t xml:space="preserve"> or other </w:t>
      </w:r>
      <w:r w:rsidR="00F804C7">
        <w:t xml:space="preserve">appropriate </w:t>
      </w:r>
      <w:r w:rsidR="00CE1E25">
        <w:t>senior management</w:t>
      </w:r>
      <w:r w:rsidR="00A91039">
        <w:t>,</w:t>
      </w:r>
      <w:r w:rsidR="00CE1E25">
        <w:t xml:space="preserve"> </w:t>
      </w:r>
      <w:r w:rsidR="00260C38">
        <w:t>and review</w:t>
      </w:r>
      <w:r w:rsidR="006A0091">
        <w:t>ed</w:t>
      </w:r>
      <w:r w:rsidR="00391ECC">
        <w:t xml:space="preserve"> </w:t>
      </w:r>
      <w:r w:rsidR="006A0091">
        <w:t>at least annually</w:t>
      </w:r>
      <w:r w:rsidR="00645FED">
        <w:t>.</w:t>
      </w:r>
      <w:r w:rsidR="005F5DE7">
        <w:t xml:space="preserve"> APRA may still </w:t>
      </w:r>
      <w:r w:rsidR="00F04B28">
        <w:t>require a regulate</w:t>
      </w:r>
      <w:r w:rsidR="00AC55F2">
        <w:t>d</w:t>
      </w:r>
      <w:r w:rsidR="00F04B28">
        <w:t xml:space="preserve"> entity to classify the</w:t>
      </w:r>
      <w:r w:rsidR="005F5DE7">
        <w:t xml:space="preserve"> operation </w:t>
      </w:r>
      <w:r w:rsidR="00F04B28">
        <w:t>as a critical operation if APRA disagrees with the entity’s assessment.</w:t>
      </w:r>
    </w:p>
    <w:p w14:paraId="1C80C489" w14:textId="742C2216" w:rsidR="003F0A42" w:rsidRDefault="003F0A42" w:rsidP="0037557E">
      <w:pPr>
        <w:pStyle w:val="Heading2Numbers"/>
      </w:pPr>
      <w:r>
        <w:t>Material service providers</w:t>
      </w:r>
    </w:p>
    <w:p w14:paraId="5C248D8B" w14:textId="7EC65D1E" w:rsidR="003F0A42" w:rsidRDefault="00DB5702" w:rsidP="003F0A42">
      <w:r>
        <w:t xml:space="preserve">Draft CPS 230 prescribed certain services </w:t>
      </w:r>
      <w:r w:rsidR="005238C1">
        <w:t>as being material</w:t>
      </w:r>
      <w:r>
        <w:t>.</w:t>
      </w:r>
      <w:r w:rsidR="001D70C5">
        <w:t xml:space="preserve"> </w:t>
      </w:r>
      <w:r>
        <w:t xml:space="preserve"> </w:t>
      </w:r>
    </w:p>
    <w:p w14:paraId="3622B81A" w14:textId="11503EAD" w:rsidR="00DB5702" w:rsidRPr="003F0A42" w:rsidRDefault="00DB5702" w:rsidP="00DB5702">
      <w:pPr>
        <w:pStyle w:val="Heading3"/>
      </w:pPr>
      <w:r>
        <w:t xml:space="preserve">Comments received </w:t>
      </w:r>
    </w:p>
    <w:p w14:paraId="7C0AE69B" w14:textId="65E61948" w:rsidR="00D41B6C" w:rsidRDefault="009B3181" w:rsidP="00DB5702">
      <w:r>
        <w:t>The</w:t>
      </w:r>
      <w:r w:rsidR="00DB5702">
        <w:t xml:space="preserve"> proposed </w:t>
      </w:r>
      <w:r w:rsidR="00A5515E">
        <w:t>inclusion of a prescribed list of material service providers</w:t>
      </w:r>
      <w:r>
        <w:t xml:space="preserve"> </w:t>
      </w:r>
      <w:r w:rsidR="00A5515E">
        <w:t xml:space="preserve">generated a significant proportion of comments in submissions. Submissions were </w:t>
      </w:r>
      <w:r w:rsidR="00E863B3">
        <w:t xml:space="preserve">generally </w:t>
      </w:r>
      <w:r w:rsidR="00A5515E">
        <w:t xml:space="preserve">against the inclusion of the </w:t>
      </w:r>
      <w:r w:rsidR="00E863B3">
        <w:t xml:space="preserve">prescribed </w:t>
      </w:r>
      <w:r w:rsidR="00D41B6C">
        <w:t>list of material service providers. Issues raised included:</w:t>
      </w:r>
    </w:p>
    <w:p w14:paraId="20820244" w14:textId="632C3B22" w:rsidR="00D41B6C" w:rsidRDefault="00D41B6C" w:rsidP="00D41B6C">
      <w:pPr>
        <w:pStyle w:val="ListBullet"/>
      </w:pPr>
      <w:r>
        <w:t xml:space="preserve">the list </w:t>
      </w:r>
      <w:r w:rsidR="00E863B3">
        <w:t xml:space="preserve">is not consistent with </w:t>
      </w:r>
      <w:r>
        <w:t xml:space="preserve">the principles-based approach </w:t>
      </w:r>
      <w:r w:rsidR="00E863B3">
        <w:t xml:space="preserve">of </w:t>
      </w:r>
      <w:r>
        <w:t xml:space="preserve">the standard </w:t>
      </w:r>
      <w:r w:rsidR="00887313">
        <w:t>and the intent</w:t>
      </w:r>
      <w:r w:rsidR="009B3181">
        <w:t>ion</w:t>
      </w:r>
      <w:r w:rsidR="00887313">
        <w:t xml:space="preserve"> that a regulated entity determine which of its service providers are material</w:t>
      </w:r>
      <w:r>
        <w:t>;</w:t>
      </w:r>
    </w:p>
    <w:p w14:paraId="479C89BA" w14:textId="4006AA6C" w:rsidR="00B66809" w:rsidRDefault="00B66809" w:rsidP="00D41B6C">
      <w:pPr>
        <w:pStyle w:val="ListBullet"/>
      </w:pPr>
      <w:r>
        <w:t xml:space="preserve">the prescribed list </w:t>
      </w:r>
      <w:r w:rsidR="00E863B3">
        <w:t xml:space="preserve">may </w:t>
      </w:r>
      <w:r>
        <w:t xml:space="preserve">lead to outcomes where </w:t>
      </w:r>
      <w:r w:rsidR="009A5D02">
        <w:t xml:space="preserve">providers of </w:t>
      </w:r>
      <w:r>
        <w:t>services that are not material are captured as material service providers;</w:t>
      </w:r>
      <w:r w:rsidR="00DD06E8">
        <w:t xml:space="preserve"> and</w:t>
      </w:r>
    </w:p>
    <w:p w14:paraId="1C801DC1" w14:textId="00685FFC" w:rsidR="00EB1313" w:rsidRDefault="00EB1313">
      <w:pPr>
        <w:pStyle w:val="ListBullet"/>
      </w:pPr>
      <w:r>
        <w:t xml:space="preserve">certain </w:t>
      </w:r>
      <w:r w:rsidR="00E863B3">
        <w:t>proposed prescribed</w:t>
      </w:r>
      <w:r>
        <w:t xml:space="preserve"> material service providers</w:t>
      </w:r>
      <w:r w:rsidR="00272FC4">
        <w:t>,</w:t>
      </w:r>
      <w:r>
        <w:t xml:space="preserve"> </w:t>
      </w:r>
      <w:r w:rsidR="00E863B3">
        <w:t>in some cases</w:t>
      </w:r>
      <w:r w:rsidR="00272FC4">
        <w:t>,</w:t>
      </w:r>
      <w:r w:rsidR="00E863B3">
        <w:t xml:space="preserve"> do </w:t>
      </w:r>
      <w:r>
        <w:t>not provid</w:t>
      </w:r>
      <w:r w:rsidR="00E863B3">
        <w:t>e the</w:t>
      </w:r>
      <w:r>
        <w:t xml:space="preserve"> service to </w:t>
      </w:r>
      <w:r w:rsidR="00E863B3">
        <w:t>the</w:t>
      </w:r>
      <w:r>
        <w:t xml:space="preserve"> regulated entity but rather </w:t>
      </w:r>
      <w:r w:rsidR="00E863B3">
        <w:t xml:space="preserve">to their </w:t>
      </w:r>
      <w:r>
        <w:t>c</w:t>
      </w:r>
      <w:r w:rsidR="00E863B3">
        <w:t>ustomers. E</w:t>
      </w:r>
      <w:r>
        <w:t>xamples cited included insurance brokers and mortgage brokers.</w:t>
      </w:r>
    </w:p>
    <w:p w14:paraId="7ECA9D92" w14:textId="77777777" w:rsidR="00EB1313" w:rsidRDefault="00EB1313" w:rsidP="00EB1313">
      <w:pPr>
        <w:pStyle w:val="Heading3"/>
      </w:pPr>
      <w:r>
        <w:t>APRA’s response</w:t>
      </w:r>
    </w:p>
    <w:p w14:paraId="377D591F" w14:textId="1AEF39B8" w:rsidR="00A87B50" w:rsidRDefault="005238C1" w:rsidP="00EB1313">
      <w:r>
        <w:t xml:space="preserve">Noting the concerns </w:t>
      </w:r>
      <w:r w:rsidR="00625977">
        <w:t xml:space="preserve">that have been </w:t>
      </w:r>
      <w:r>
        <w:t xml:space="preserve">raised, APRA has qualified the </w:t>
      </w:r>
      <w:r w:rsidR="004F0F50">
        <w:t xml:space="preserve">list of </w:t>
      </w:r>
      <w:r>
        <w:t>prescribed material service providers</w:t>
      </w:r>
      <w:r w:rsidR="004F0F50">
        <w:t xml:space="preserve"> in CPS 230</w:t>
      </w:r>
      <w:r w:rsidR="006F6DF8">
        <w:t>:</w:t>
      </w:r>
      <w:r w:rsidR="0091434E">
        <w:t xml:space="preserve"> </w:t>
      </w:r>
      <w:r w:rsidR="00B610ED">
        <w:t xml:space="preserve">a regulated entity is still required to classify </w:t>
      </w:r>
      <w:r w:rsidR="00A07E2C">
        <w:t xml:space="preserve">prescribed </w:t>
      </w:r>
      <w:r w:rsidR="00AF36AE">
        <w:t xml:space="preserve">service providers </w:t>
      </w:r>
      <w:r w:rsidR="00A07E2C">
        <w:t xml:space="preserve">as material service </w:t>
      </w:r>
      <w:r w:rsidR="005655CB">
        <w:t>providers but</w:t>
      </w:r>
      <w:r w:rsidR="00325173">
        <w:t xml:space="preserve"> may decide not to do so provided the </w:t>
      </w:r>
      <w:r w:rsidR="00DF6B07">
        <w:t xml:space="preserve">regulated entity can justify </w:t>
      </w:r>
      <w:r w:rsidR="003633A9">
        <w:t>its decision</w:t>
      </w:r>
      <w:r w:rsidR="005655CB">
        <w:t>.</w:t>
      </w:r>
      <w:r w:rsidR="00DF6B07">
        <w:t xml:space="preserve"> APRA expects that these cases will be exceptional.</w:t>
      </w:r>
    </w:p>
    <w:p w14:paraId="54A778C2" w14:textId="73D5C7CC" w:rsidR="006863ED" w:rsidRDefault="006F6DF8" w:rsidP="00EB1313">
      <w:r>
        <w:t>Draft CPG 230 provide</w:t>
      </w:r>
      <w:r w:rsidR="008D6788">
        <w:t>s</w:t>
      </w:r>
      <w:r>
        <w:t xml:space="preserve"> guidance that</w:t>
      </w:r>
      <w:r w:rsidR="0091434E">
        <w:t xml:space="preserve"> a regulated </w:t>
      </w:r>
      <w:r w:rsidR="00950910">
        <w:t xml:space="preserve">entity </w:t>
      </w:r>
      <w:r w:rsidR="00CB7DBA">
        <w:t xml:space="preserve">may decide not to </w:t>
      </w:r>
      <w:r>
        <w:t xml:space="preserve">classify a service provider as material where </w:t>
      </w:r>
      <w:r w:rsidR="00CB7DBA">
        <w:t xml:space="preserve">it has undertaken an assessment of the service provider in question and has </w:t>
      </w:r>
      <w:r>
        <w:t>appropriate oversight of the decision</w:t>
      </w:r>
      <w:r w:rsidR="0091434E">
        <w:t xml:space="preserve">. </w:t>
      </w:r>
      <w:r w:rsidR="00F04B28" w:rsidRPr="00F04B28">
        <w:t xml:space="preserve">APRA may </w:t>
      </w:r>
      <w:r w:rsidR="00F04B28">
        <w:t>require the regulated entity to classify the service provider</w:t>
      </w:r>
      <w:r w:rsidR="00F04B28" w:rsidRPr="00F04B28">
        <w:t xml:space="preserve"> </w:t>
      </w:r>
      <w:r w:rsidR="00F04B28">
        <w:t>as material</w:t>
      </w:r>
      <w:r w:rsidR="00F04B28" w:rsidRPr="00F04B28">
        <w:t xml:space="preserve"> if APRA disagrees with the regulated entity’s assessment</w:t>
      </w:r>
      <w:r w:rsidR="00F04B28">
        <w:t>.</w:t>
      </w:r>
    </w:p>
    <w:p w14:paraId="32334696" w14:textId="67A63711" w:rsidR="0012758E" w:rsidRDefault="0012758E" w:rsidP="00EB1313">
      <w:r>
        <w:t xml:space="preserve">APRA has also sought to provide further clarity in CPS 230 </w:t>
      </w:r>
      <w:r w:rsidR="00DA6FD6">
        <w:t xml:space="preserve">to the effect </w:t>
      </w:r>
      <w:r>
        <w:t>that it is only material arrangements with material service providers that are captured by certain requirements in the prudential standard.</w:t>
      </w:r>
      <w:r w:rsidR="0088262E">
        <w:t xml:space="preserve"> Relevant provisions of CPS 230 have been amended to reflect</w:t>
      </w:r>
      <w:r w:rsidR="00F82600">
        <w:t xml:space="preserve"> this. </w:t>
      </w:r>
      <w:r w:rsidR="00194BDB" w:rsidRPr="001E116E">
        <w:t>Not all arrangements with a material service provider will be material to the entity.</w:t>
      </w:r>
      <w:r w:rsidR="00194BDB">
        <w:t xml:space="preserve"> </w:t>
      </w:r>
      <w:r w:rsidR="00A03A70">
        <w:t>’</w:t>
      </w:r>
      <w:r w:rsidR="00224676">
        <w:t>Material arrangements</w:t>
      </w:r>
      <w:r w:rsidR="00A03A70">
        <w:t>’</w:t>
      </w:r>
      <w:r w:rsidR="00224676">
        <w:t xml:space="preserve"> are those on which </w:t>
      </w:r>
      <w:r w:rsidR="007E0296">
        <w:t>a regulated</w:t>
      </w:r>
      <w:r w:rsidR="00224676">
        <w:t xml:space="preserve"> entity relies to undertake a critical operation or that expose </w:t>
      </w:r>
      <w:r w:rsidR="00426FF6">
        <w:t>the entity</w:t>
      </w:r>
      <w:r w:rsidR="00224676">
        <w:t xml:space="preserve"> to material operational risk.</w:t>
      </w:r>
      <w:r w:rsidR="00215459" w:rsidRPr="00A03A70">
        <w:rPr>
          <w:color w:val="7030A0"/>
        </w:rPr>
        <w:t xml:space="preserve"> </w:t>
      </w:r>
    </w:p>
    <w:p w14:paraId="3D6E7CE2" w14:textId="77777777" w:rsidR="002A00AE" w:rsidRDefault="002A00AE" w:rsidP="00C271FE">
      <w:pPr>
        <w:pStyle w:val="Heading2Numbers"/>
      </w:pPr>
      <w:r>
        <w:t>Register of material service providers</w:t>
      </w:r>
    </w:p>
    <w:p w14:paraId="02112165" w14:textId="7E308D17" w:rsidR="00B66809" w:rsidRDefault="002A00AE" w:rsidP="002A00AE">
      <w:r>
        <w:t xml:space="preserve">Draft CPS 230 proposed that an APRA-regulated entity include </w:t>
      </w:r>
      <w:r w:rsidR="006A16E4">
        <w:t>the</w:t>
      </w:r>
      <w:r>
        <w:t xml:space="preserve"> register of the entity’s material service providers as part of its service provider management policy. </w:t>
      </w:r>
    </w:p>
    <w:p w14:paraId="7AA42034" w14:textId="65B16C86" w:rsidR="00B66809" w:rsidRDefault="00B66809" w:rsidP="00A77FBC">
      <w:pPr>
        <w:pStyle w:val="Heading3"/>
      </w:pPr>
      <w:r>
        <w:t xml:space="preserve">Comments received </w:t>
      </w:r>
    </w:p>
    <w:p w14:paraId="629D2BA4" w14:textId="5E1E581C" w:rsidR="00B66809" w:rsidRPr="00B66809" w:rsidRDefault="003B4F47" w:rsidP="00B66809">
      <w:r>
        <w:t xml:space="preserve">While there was general support for the maintenance of a register of material service providers, submissions </w:t>
      </w:r>
      <w:r w:rsidR="004E25A6">
        <w:t xml:space="preserve">did </w:t>
      </w:r>
      <w:r>
        <w:t xml:space="preserve">not support the register forming part of a regulated entity’s service provider management policy. </w:t>
      </w:r>
      <w:r w:rsidR="00E913F0">
        <w:t xml:space="preserve">Various concerns were expressed, most notably that </w:t>
      </w:r>
      <w:r>
        <w:t>the policy</w:t>
      </w:r>
      <w:r w:rsidR="00E913F0">
        <w:t xml:space="preserve"> would need</w:t>
      </w:r>
      <w:r>
        <w:t xml:space="preserve"> to be updated whenever there were changes to the register</w:t>
      </w:r>
      <w:r w:rsidR="00E913F0">
        <w:t xml:space="preserve"> of material service providers, which could be onerous for many entities for what should be a simple administrative update</w:t>
      </w:r>
      <w:r>
        <w:t>.</w:t>
      </w:r>
    </w:p>
    <w:p w14:paraId="713AB040" w14:textId="3341283D" w:rsidR="00B66809" w:rsidRDefault="00B66809" w:rsidP="00A77FBC">
      <w:pPr>
        <w:pStyle w:val="Heading3"/>
      </w:pPr>
      <w:r>
        <w:t>APRA’s response</w:t>
      </w:r>
    </w:p>
    <w:p w14:paraId="52B9B58E" w14:textId="4CFD1A6C" w:rsidR="002A00AE" w:rsidRDefault="003B4F47" w:rsidP="002A00AE">
      <w:r>
        <w:t xml:space="preserve">APRA notes the </w:t>
      </w:r>
      <w:r w:rsidR="006F6DF8">
        <w:t xml:space="preserve">potential </w:t>
      </w:r>
      <w:r>
        <w:t xml:space="preserve">administrative burden caused by including the register of material service providers as part of </w:t>
      </w:r>
      <w:r w:rsidR="006F6DF8">
        <w:t xml:space="preserve">the </w:t>
      </w:r>
      <w:r>
        <w:t xml:space="preserve">service provider policy. </w:t>
      </w:r>
      <w:r w:rsidR="002A00AE">
        <w:t>The final CPS 230</w:t>
      </w:r>
      <w:r>
        <w:t>,</w:t>
      </w:r>
      <w:r w:rsidR="002A00AE">
        <w:t xml:space="preserve"> while still requiring the maintenance of a register of material service providers, does not require this to form part of </w:t>
      </w:r>
      <w:r w:rsidR="000B0B2E">
        <w:t>a</w:t>
      </w:r>
      <w:r w:rsidR="002A00AE">
        <w:t xml:space="preserve"> regulated entity’s service provider management policy. </w:t>
      </w:r>
    </w:p>
    <w:p w14:paraId="6A18208C" w14:textId="6525FF41" w:rsidR="001B218F" w:rsidRDefault="001B218F" w:rsidP="001B218F">
      <w:pPr>
        <w:pStyle w:val="Heading2Numbers"/>
      </w:pPr>
      <w:r>
        <w:t>Providers that manage information assets</w:t>
      </w:r>
    </w:p>
    <w:p w14:paraId="7DBE56C6" w14:textId="24EB6FD6" w:rsidR="001B218F" w:rsidRDefault="006837B6" w:rsidP="001B218F">
      <w:r>
        <w:t>Draft CPS 230 proposed that all service providers that manage information assets classified as critical or sensitive under CPS 234 would be classified as material service providers.</w:t>
      </w:r>
    </w:p>
    <w:p w14:paraId="47C63678" w14:textId="736E0B33" w:rsidR="00F8381C" w:rsidRDefault="00F8381C" w:rsidP="00F8381C">
      <w:pPr>
        <w:pStyle w:val="Heading3"/>
      </w:pPr>
      <w:r>
        <w:t>Comments received</w:t>
      </w:r>
    </w:p>
    <w:p w14:paraId="168938E9" w14:textId="1531D419" w:rsidR="00F8381C" w:rsidRDefault="00F8381C" w:rsidP="001B218F">
      <w:r>
        <w:t xml:space="preserve">A number of submissions expressed concern about this </w:t>
      </w:r>
      <w:r w:rsidR="00EF4B0D">
        <w:t>requirement</w:t>
      </w:r>
      <w:r>
        <w:t xml:space="preserve">. </w:t>
      </w:r>
      <w:r w:rsidR="00A12F09">
        <w:t xml:space="preserve">Specifically, there were concerns that the number of material service providers would increase significantly </w:t>
      </w:r>
      <w:r w:rsidR="008B3F50">
        <w:t xml:space="preserve">and may inadvertently capture providers </w:t>
      </w:r>
      <w:r w:rsidR="006856E6">
        <w:t xml:space="preserve">that </w:t>
      </w:r>
      <w:r w:rsidR="008B3F50">
        <w:t>are</w:t>
      </w:r>
      <w:r w:rsidR="00EF4B0D">
        <w:t xml:space="preserve"> </w:t>
      </w:r>
      <w:r w:rsidR="008B3F50">
        <w:t>n</w:t>
      </w:r>
      <w:r w:rsidR="00EF4B0D">
        <w:t>o</w:t>
      </w:r>
      <w:r w:rsidR="008B3F50">
        <w:t>t material</w:t>
      </w:r>
      <w:r w:rsidR="00A12F09">
        <w:t>.</w:t>
      </w:r>
    </w:p>
    <w:p w14:paraId="3EB53715" w14:textId="14243308" w:rsidR="00A12F09" w:rsidRDefault="00A12F09" w:rsidP="006F12CD">
      <w:pPr>
        <w:pStyle w:val="Heading3"/>
      </w:pPr>
      <w:r>
        <w:t>APRA’s response</w:t>
      </w:r>
    </w:p>
    <w:p w14:paraId="4BC66D88" w14:textId="33A26E2B" w:rsidR="00A12F09" w:rsidRPr="001B218F" w:rsidRDefault="00A12F09" w:rsidP="001B218F">
      <w:r>
        <w:t>Noting the practical issues and concerns raised by entities</w:t>
      </w:r>
      <w:r w:rsidR="006F12CD">
        <w:t>, APRA has removed th</w:t>
      </w:r>
      <w:r w:rsidR="00EF4B0D">
        <w:t>is</w:t>
      </w:r>
      <w:r w:rsidR="006F12CD">
        <w:t xml:space="preserve"> </w:t>
      </w:r>
      <w:r w:rsidR="00EF4B0D">
        <w:t xml:space="preserve">requirement </w:t>
      </w:r>
      <w:r w:rsidR="006F12CD">
        <w:t>from the final CPS 230. Such providers would</w:t>
      </w:r>
      <w:r w:rsidR="00EF4B0D">
        <w:t>, however,</w:t>
      </w:r>
      <w:r w:rsidR="006F12CD">
        <w:t xml:space="preserve"> still be captured where they meet the</w:t>
      </w:r>
      <w:r w:rsidR="00EF4B0D">
        <w:t xml:space="preserve"> broad</w:t>
      </w:r>
      <w:r w:rsidR="006F12CD">
        <w:t xml:space="preserve"> definition of material service provider set out in </w:t>
      </w:r>
      <w:r w:rsidR="00324D39">
        <w:t xml:space="preserve">the </w:t>
      </w:r>
      <w:r w:rsidR="006F12CD">
        <w:t>final CPS 230.</w:t>
      </w:r>
    </w:p>
    <w:p w14:paraId="59965836" w14:textId="58F3272D" w:rsidR="00623B71" w:rsidRDefault="00623B71" w:rsidP="006F12CD">
      <w:pPr>
        <w:pStyle w:val="Heading2Numbers"/>
      </w:pPr>
      <w:r>
        <w:t>Cloud information paper</w:t>
      </w:r>
    </w:p>
    <w:p w14:paraId="0EB274C2" w14:textId="29327B3A" w:rsidR="00A77FBC" w:rsidRDefault="001C5C20" w:rsidP="00A77FBC">
      <w:r>
        <w:t xml:space="preserve">In September 2018, </w:t>
      </w:r>
      <w:r w:rsidR="00575DB3">
        <w:t xml:space="preserve">APRA </w:t>
      </w:r>
      <w:r w:rsidR="00E913F0">
        <w:t xml:space="preserve">updated </w:t>
      </w:r>
      <w:r w:rsidR="00EF4B0D">
        <w:t xml:space="preserve">its </w:t>
      </w:r>
      <w:r>
        <w:t>information paper</w:t>
      </w:r>
      <w:r w:rsidR="00EF4B0D">
        <w:t xml:space="preserve"> on cloud computing,</w:t>
      </w:r>
      <w:r>
        <w:t xml:space="preserve"> </w:t>
      </w:r>
      <w:r w:rsidR="00E43AB0">
        <w:rPr>
          <w:i/>
        </w:rPr>
        <w:t>Outsourcing involving cloud computing services</w:t>
      </w:r>
      <w:r w:rsidR="00E43AB0">
        <w:t>.</w:t>
      </w:r>
    </w:p>
    <w:p w14:paraId="554A7C23" w14:textId="5B690EAB" w:rsidR="00A77FBC" w:rsidRDefault="00A77FBC" w:rsidP="00A77FBC">
      <w:pPr>
        <w:pStyle w:val="Heading3"/>
      </w:pPr>
      <w:r>
        <w:t>Comments received</w:t>
      </w:r>
    </w:p>
    <w:p w14:paraId="68649893" w14:textId="07C9D5B5" w:rsidR="00A77FBC" w:rsidRDefault="00A77FBC" w:rsidP="00A77FBC">
      <w:r>
        <w:t>A number of submissions sought clarification on the status of the Cloud information paper in light of APRA’s proposals on operational resilience and CPS 230.</w:t>
      </w:r>
    </w:p>
    <w:p w14:paraId="6CD31A2A" w14:textId="3D3CED62" w:rsidR="00A77FBC" w:rsidRDefault="00A77FBC" w:rsidP="00A77FBC">
      <w:pPr>
        <w:pStyle w:val="Heading3"/>
      </w:pPr>
      <w:r>
        <w:t>APRA’s response</w:t>
      </w:r>
    </w:p>
    <w:p w14:paraId="3876CC07" w14:textId="52CDE265" w:rsidR="001848AF" w:rsidRDefault="009506EA" w:rsidP="00EB1313">
      <w:r>
        <w:t xml:space="preserve">APRA’s Cloud information paper remains current. APRA will, at an appropriate future time, undertake a full review of the Cloud information paper. In the interim, regulated entities should continue to have </w:t>
      </w:r>
      <w:r w:rsidR="001A1531">
        <w:t xml:space="preserve">regard </w:t>
      </w:r>
      <w:r>
        <w:t xml:space="preserve">to the practices and key principles outlined in the Cloud information paper when entering into or making changes to cloud </w:t>
      </w:r>
      <w:r w:rsidR="00111879">
        <w:t xml:space="preserve">computing </w:t>
      </w:r>
      <w:r>
        <w:t>arrangements</w:t>
      </w:r>
      <w:r w:rsidR="00E913F0">
        <w:t xml:space="preserve"> and continue to engage with APRA on the use of Cloud</w:t>
      </w:r>
      <w:r>
        <w:t>.</w:t>
      </w:r>
    </w:p>
    <w:p w14:paraId="3DE7879C" w14:textId="7635A0CC" w:rsidR="002A00AE" w:rsidRDefault="00D94BBE" w:rsidP="00D94BBE">
      <w:pPr>
        <w:pStyle w:val="Heading1Numbers"/>
      </w:pPr>
      <w:bookmarkStart w:id="3" w:name="_Toc136506379"/>
      <w:r>
        <w:t xml:space="preserve">Consultation on </w:t>
      </w:r>
      <w:r w:rsidR="00E50167">
        <w:t xml:space="preserve">Prudential Practice Guide </w:t>
      </w:r>
      <w:r>
        <w:t>CPG 230</w:t>
      </w:r>
      <w:bookmarkEnd w:id="3"/>
    </w:p>
    <w:p w14:paraId="666B6C3F" w14:textId="3C28BD00" w:rsidR="00C42482" w:rsidRDefault="000C52F8" w:rsidP="000C52F8">
      <w:pPr>
        <w:numPr>
          <w:ilvl w:val="0"/>
          <w:numId w:val="0"/>
        </w:numPr>
      </w:pPr>
      <w:r>
        <w:t xml:space="preserve">In conjunction with this Response paper, APRA has released draft </w:t>
      </w:r>
      <w:r w:rsidR="00677F3C" w:rsidRPr="00677F3C">
        <w:t>CPG 230</w:t>
      </w:r>
      <w:r w:rsidR="003C32E0">
        <w:t xml:space="preserve"> </w:t>
      </w:r>
      <w:r>
        <w:t>for consultation. Draft CPG 230 provides guidance to assist with the implementation of CPS 230 and includes specific content to address various issues raised in submissions on draft CPS 230.</w:t>
      </w:r>
    </w:p>
    <w:p w14:paraId="734811D9" w14:textId="3F732DC2" w:rsidR="000C52F8" w:rsidRDefault="000C52F8" w:rsidP="000C52F8">
      <w:pPr>
        <w:numPr>
          <w:ilvl w:val="0"/>
          <w:numId w:val="0"/>
        </w:numPr>
      </w:pPr>
      <w:r>
        <w:t xml:space="preserve">Draft CPG 230 has been prepared based on the final version of CPS 230 released with this </w:t>
      </w:r>
      <w:r w:rsidR="009D1A97">
        <w:t xml:space="preserve">Response </w:t>
      </w:r>
      <w:r>
        <w:t xml:space="preserve">paper and is provided in an integrated format </w:t>
      </w:r>
      <w:r w:rsidR="00D303F6">
        <w:t xml:space="preserve">that </w:t>
      </w:r>
      <w:r>
        <w:t xml:space="preserve">maps the guidance to the relevant paragraphs in CPS 230. </w:t>
      </w:r>
    </w:p>
    <w:p w14:paraId="2EE19B1C" w14:textId="6576E746" w:rsidR="000C52F8" w:rsidRPr="008C660C" w:rsidRDefault="00DD119D" w:rsidP="000C52F8">
      <w:pPr>
        <w:pStyle w:val="Heading2Numbers"/>
        <w:numPr>
          <w:ilvl w:val="1"/>
          <w:numId w:val="6"/>
        </w:numPr>
        <w:tabs>
          <w:tab w:val="left" w:pos="2268"/>
        </w:tabs>
        <w:ind w:left="851"/>
      </w:pPr>
      <w:r>
        <w:t xml:space="preserve">Key elements of </w:t>
      </w:r>
      <w:r w:rsidR="000C52F8">
        <w:t>CPG 230</w:t>
      </w:r>
    </w:p>
    <w:p w14:paraId="20083C98" w14:textId="77777777" w:rsidR="000C52F8" w:rsidRDefault="000C52F8" w:rsidP="000C52F8">
      <w:pPr>
        <w:numPr>
          <w:ilvl w:val="0"/>
          <w:numId w:val="0"/>
        </w:numPr>
      </w:pPr>
      <w:r>
        <w:t xml:space="preserve">Draft CPG 230 aims to assist APRA-regulated entities in both implementing and meeting the requirements of CPS 230 on operational risk management, business continuity and service provider management. It also incorporates guidance to address key issues and concerns raised by submissions in response to the CPS 230 consultation. Key areas of guidance are highlighted below. </w:t>
      </w:r>
    </w:p>
    <w:p w14:paraId="77094844" w14:textId="77777777" w:rsidR="000C52F8" w:rsidRDefault="000C52F8" w:rsidP="000C52F8">
      <w:pPr>
        <w:pStyle w:val="Heading3"/>
      </w:pPr>
      <w:r>
        <w:t xml:space="preserve">Role of the Board </w:t>
      </w:r>
    </w:p>
    <w:p w14:paraId="3A26499F" w14:textId="0177D8C5" w:rsidR="000C52F8" w:rsidRPr="00A05E57" w:rsidRDefault="000C52F8" w:rsidP="000C52F8">
      <w:r>
        <w:t xml:space="preserve">Draft CPG 230 provides guidance on APRA’s expectations of the Board and senior management in fulfilling their respective responsibilities under CPS 230. </w:t>
      </w:r>
      <w:r w:rsidR="00B60C2A">
        <w:t xml:space="preserve">Draft CPG 230 also provides further guidance on APRA’s expectations of the Board in </w:t>
      </w:r>
      <w:r w:rsidR="00164341">
        <w:t xml:space="preserve">its </w:t>
      </w:r>
      <w:r w:rsidR="00B60C2A">
        <w:t>overs</w:t>
      </w:r>
      <w:r w:rsidR="00164341">
        <w:t>ight of operational risk</w:t>
      </w:r>
      <w:r w:rsidR="00752025">
        <w:t>, business continuity and material service provider arrangements.</w:t>
      </w:r>
    </w:p>
    <w:p w14:paraId="69E32869" w14:textId="77777777" w:rsidR="000C52F8" w:rsidRDefault="000C52F8" w:rsidP="000C52F8">
      <w:pPr>
        <w:pStyle w:val="Heading3"/>
      </w:pPr>
      <w:r>
        <w:t xml:space="preserve">Operational risk management </w:t>
      </w:r>
    </w:p>
    <w:p w14:paraId="4A922135" w14:textId="15A659E8" w:rsidR="000C52F8" w:rsidRDefault="000C52F8" w:rsidP="000C52F8">
      <w:pPr>
        <w:numPr>
          <w:ilvl w:val="0"/>
          <w:numId w:val="0"/>
        </w:numPr>
      </w:pPr>
      <w:r>
        <w:t xml:space="preserve">Draft CPG 230 provides specific guidance on the extent of monitoring of operational risk </w:t>
      </w:r>
      <w:r w:rsidR="00B6728D">
        <w:t>management generally, as well as more detailed guidance</w:t>
      </w:r>
      <w:r w:rsidR="00002398">
        <w:t xml:space="preserve"> on the assessment of the entity’s operational risk profile</w:t>
      </w:r>
      <w:r w:rsidR="00A70176">
        <w:t>, including</w:t>
      </w:r>
      <w:r w:rsidR="00B6728D">
        <w:t xml:space="preserve"> </w:t>
      </w:r>
      <w:r w:rsidR="00A70176">
        <w:t>for</w:t>
      </w:r>
      <w:r w:rsidR="00B6728D">
        <w:t xml:space="preserve"> new produc</w:t>
      </w:r>
      <w:r w:rsidR="005468EE">
        <w:t>ts</w:t>
      </w:r>
      <w:r w:rsidR="00A70176">
        <w:t>;</w:t>
      </w:r>
      <w:r w:rsidR="00BA7CB5">
        <w:t xml:space="preserve"> identifying and documenting end-to-end processes; </w:t>
      </w:r>
      <w:r w:rsidR="00AA4408">
        <w:t xml:space="preserve">and </w:t>
      </w:r>
      <w:r w:rsidR="00BA7CB5">
        <w:t xml:space="preserve">scenario analysis and </w:t>
      </w:r>
      <w:r w:rsidR="00E55FCF">
        <w:t xml:space="preserve">control design, monitoring and testing. </w:t>
      </w:r>
    </w:p>
    <w:p w14:paraId="6310B8A8" w14:textId="77777777" w:rsidR="000C52F8" w:rsidRDefault="000C52F8" w:rsidP="000C52F8">
      <w:pPr>
        <w:pStyle w:val="Heading3"/>
      </w:pPr>
      <w:r>
        <w:t xml:space="preserve">Business continuity </w:t>
      </w:r>
    </w:p>
    <w:p w14:paraId="1388ED09" w14:textId="6D880B1D" w:rsidR="000C52F8" w:rsidRDefault="000C52F8" w:rsidP="000C52F8">
      <w:pPr>
        <w:numPr>
          <w:ilvl w:val="0"/>
          <w:numId w:val="0"/>
        </w:numPr>
      </w:pPr>
      <w:r>
        <w:t xml:space="preserve">Draft CPG 230 </w:t>
      </w:r>
      <w:r w:rsidR="00880FEA">
        <w:t xml:space="preserve">provides </w:t>
      </w:r>
      <w:r w:rsidR="00C23CF4">
        <w:t>guidance on identif</w:t>
      </w:r>
      <w:r w:rsidR="00C977CC">
        <w:t>ying</w:t>
      </w:r>
      <w:r w:rsidR="005B058B">
        <w:t xml:space="preserve"> critical operations, setting associated tolerance levels and business continuity planning</w:t>
      </w:r>
      <w:r w:rsidR="009450BB">
        <w:t>,</w:t>
      </w:r>
      <w:r w:rsidR="005009C8">
        <w:t xml:space="preserve"> including APRA’s expectations around systematic testing</w:t>
      </w:r>
      <w:r w:rsidR="00534613">
        <w:t>.</w:t>
      </w:r>
    </w:p>
    <w:p w14:paraId="06FA2A3F" w14:textId="77777777" w:rsidR="000C52F8" w:rsidRDefault="000C52F8" w:rsidP="000C52F8">
      <w:pPr>
        <w:pStyle w:val="Heading3"/>
      </w:pPr>
      <w:r>
        <w:t>Service provider management</w:t>
      </w:r>
    </w:p>
    <w:p w14:paraId="46335A4D" w14:textId="171F381F" w:rsidR="000C52F8" w:rsidRDefault="000C52F8" w:rsidP="000C52F8">
      <w:pPr>
        <w:numPr>
          <w:ilvl w:val="0"/>
          <w:numId w:val="0"/>
        </w:numPr>
      </w:pPr>
      <w:r>
        <w:t xml:space="preserve">Draft CPG 230 provides guidance on </w:t>
      </w:r>
      <w:r w:rsidR="000903F8">
        <w:t xml:space="preserve">typical areas that would be addressed by an entity’s service provider management policy, </w:t>
      </w:r>
      <w:r w:rsidR="00607387">
        <w:t>managing risks at all stages of the arrangement and managing risks associated with fourth parties and other downstream providers</w:t>
      </w:r>
      <w:r>
        <w:t xml:space="preserve">. </w:t>
      </w:r>
    </w:p>
    <w:p w14:paraId="3CDCFC7F" w14:textId="77777777" w:rsidR="000C52F8" w:rsidRDefault="000C52F8" w:rsidP="000C52F8">
      <w:pPr>
        <w:pStyle w:val="Heading3"/>
      </w:pPr>
      <w:r>
        <w:t xml:space="preserve">Notifications </w:t>
      </w:r>
    </w:p>
    <w:p w14:paraId="04CF72C6" w14:textId="2EE830E0" w:rsidR="000C52F8" w:rsidRDefault="000C52F8" w:rsidP="000C52F8">
      <w:pPr>
        <w:numPr>
          <w:ilvl w:val="0"/>
          <w:numId w:val="0"/>
        </w:numPr>
      </w:pPr>
      <w:r>
        <w:t>CPS 230 requir</w:t>
      </w:r>
      <w:r w:rsidR="00B93531">
        <w:t>es</w:t>
      </w:r>
      <w:r>
        <w:t xml:space="preserve"> notification of certain matters to APRA. Draft CPG 230 provides guidance on the type of information a regulated entity would typically be expected to provide and how the information can be provided to APRA.</w:t>
      </w:r>
    </w:p>
    <w:p w14:paraId="6A857F03" w14:textId="77777777" w:rsidR="001D3CCA" w:rsidRDefault="001D3CCA" w:rsidP="001D3CCA">
      <w:pPr>
        <w:pStyle w:val="Heading2Numbers"/>
        <w:numPr>
          <w:ilvl w:val="1"/>
          <w:numId w:val="6"/>
        </w:numPr>
        <w:tabs>
          <w:tab w:val="left" w:pos="2268"/>
        </w:tabs>
        <w:ind w:left="851"/>
      </w:pPr>
      <w:r>
        <w:t>Request for submissions</w:t>
      </w:r>
    </w:p>
    <w:p w14:paraId="1E6675C7" w14:textId="190A3E02" w:rsidR="001D3CCA" w:rsidRDefault="001D3CCA" w:rsidP="001D3CCA">
      <w:pPr>
        <w:numPr>
          <w:ilvl w:val="0"/>
          <w:numId w:val="0"/>
        </w:numPr>
      </w:pPr>
      <w:r>
        <w:t xml:space="preserve">APRA invites written submissions on draft CPG 230. Submissions should be sent to </w:t>
      </w:r>
      <w:hyperlink r:id="rId14" w:history="1">
        <w:r w:rsidRPr="009235BC">
          <w:rPr>
            <w:rStyle w:val="Hyperlink"/>
          </w:rPr>
          <w:t>PolicyDevelopment@apra.gov.au</w:t>
        </w:r>
      </w:hyperlink>
      <w:r>
        <w:t xml:space="preserve"> by </w:t>
      </w:r>
      <w:r w:rsidR="0090223E" w:rsidRPr="00F7357F">
        <w:t>1</w:t>
      </w:r>
      <w:r w:rsidR="00A7696A" w:rsidRPr="00F7357F">
        <w:t>3</w:t>
      </w:r>
      <w:r w:rsidRPr="0090223E">
        <w:t xml:space="preserve"> </w:t>
      </w:r>
      <w:r w:rsidR="002C2058">
        <w:t>October</w:t>
      </w:r>
      <w:r>
        <w:t xml:space="preserve"> 2023 addressed to the General Manager, Policy, APRA. </w:t>
      </w:r>
    </w:p>
    <w:p w14:paraId="5BC1050B" w14:textId="002A4B49" w:rsidR="001D3CCA" w:rsidRDefault="001D3CCA" w:rsidP="001D3CCA">
      <w:pPr>
        <w:numPr>
          <w:ilvl w:val="0"/>
          <w:numId w:val="0"/>
        </w:numPr>
      </w:pPr>
      <w:r>
        <w:t xml:space="preserve">Following review of feedback received through submissions, APRA aims to finalise </w:t>
      </w:r>
      <w:r w:rsidR="0024563A">
        <w:t>CPG</w:t>
      </w:r>
      <w:r w:rsidR="004632FF">
        <w:t> </w:t>
      </w:r>
      <w:r w:rsidR="0024563A">
        <w:t>230</w:t>
      </w:r>
      <w:r>
        <w:t xml:space="preserve"> </w:t>
      </w:r>
      <w:r w:rsidR="002C2058">
        <w:t>later</w:t>
      </w:r>
      <w:r>
        <w:t xml:space="preserve"> this year for industry to utilise CPG 230 in preparing for the commencement of CPS 230.</w:t>
      </w:r>
    </w:p>
    <w:p w14:paraId="16EB6837" w14:textId="77777777" w:rsidR="001D3CCA" w:rsidRDefault="001D3CCA" w:rsidP="001D3CCA">
      <w:pPr>
        <w:pStyle w:val="Heading3"/>
      </w:pPr>
      <w:r>
        <w:t>Important disclosure notice — publication of submissions</w:t>
      </w:r>
    </w:p>
    <w:p w14:paraId="6009CB10" w14:textId="77777777" w:rsidR="001D3CCA" w:rsidRDefault="001D3CCA" w:rsidP="001D3CCA">
      <w:pPr>
        <w:numPr>
          <w:ilvl w:val="0"/>
          <w:numId w:val="0"/>
        </w:numPr>
      </w:pPr>
      <w:r>
        <w:t>All information in submissions will be made available to the public on the APRA website unless a respondent expressly requests that all or part of the submission is to remain in confidence. Automatically generated confidentiality statements in emails do not suffice for this purpose. Respondents who would like part of their submission to remain in confidence should provide this information marked as confidential in a separate attachment.</w:t>
      </w:r>
    </w:p>
    <w:p w14:paraId="7BDBFA23" w14:textId="72C010C8" w:rsidR="00F366D7" w:rsidRPr="00F366D7" w:rsidRDefault="001D3CCA" w:rsidP="001D3CCA">
      <w:r>
        <w:t xml:space="preserve">Submissions may be the subject of a request for access made under </w:t>
      </w:r>
      <w:r w:rsidRPr="00DE3FB6">
        <w:rPr>
          <w:i/>
        </w:rPr>
        <w:t>the Freedom of Information Act 1982</w:t>
      </w:r>
      <w:r>
        <w:t xml:space="preserve"> (FOIA). APRA will determine such requests, if any, in accordance with the provisions of the FOIA. Information in the submission about any APRA-regulated entity that is not in the public domain and that is identified as confidential will be protected by section 56 of the </w:t>
      </w:r>
      <w:r w:rsidRPr="00DE3FB6">
        <w:rPr>
          <w:i/>
        </w:rPr>
        <w:t>Australian Prudential Regulation Authority Act 1998</w:t>
      </w:r>
      <w:r>
        <w:t xml:space="preserve"> and will therefore be exempt from production under the FOIA.</w:t>
      </w:r>
    </w:p>
    <w:p w14:paraId="41181A35" w14:textId="77777777" w:rsidR="00F366D7" w:rsidRPr="00F366D7" w:rsidRDefault="00F366D7" w:rsidP="00F366D7"/>
    <w:p w14:paraId="353BBB28" w14:textId="77777777" w:rsidR="009324AA" w:rsidRDefault="009324AA" w:rsidP="00F366D7">
      <w:pPr>
        <w:sectPr w:rsidR="009324AA" w:rsidSect="00AD7CB0">
          <w:footerReference w:type="default" r:id="rId15"/>
          <w:headerReference w:type="first" r:id="rId16"/>
          <w:pgSz w:w="11906" w:h="16838" w:code="9"/>
          <w:pgMar w:top="1440" w:right="1440" w:bottom="1440" w:left="1440" w:header="567" w:footer="567" w:gutter="0"/>
          <w:pgNumType w:start="1"/>
          <w:cols w:space="708"/>
          <w:titlePg/>
          <w:docGrid w:linePitch="360"/>
        </w:sectPr>
      </w:pPr>
    </w:p>
    <w:p w14:paraId="54B24915" w14:textId="77777777" w:rsidR="00F366D7" w:rsidRPr="00F366D7" w:rsidRDefault="00F366D7" w:rsidP="00F366D7"/>
    <w:p w14:paraId="56AA7EB3" w14:textId="77777777" w:rsidR="00F366D7" w:rsidRPr="00F366D7" w:rsidRDefault="00F366D7" w:rsidP="00F366D7"/>
    <w:p w14:paraId="65CB6B39" w14:textId="77777777" w:rsidR="00F366D7" w:rsidRPr="00F366D7" w:rsidRDefault="00F366D7" w:rsidP="00F366D7"/>
    <w:p w14:paraId="47DD4D83" w14:textId="77777777" w:rsidR="00F366D7" w:rsidRPr="00F366D7" w:rsidRDefault="00F366D7" w:rsidP="00F366D7"/>
    <w:p w14:paraId="0FF37256" w14:textId="77777777" w:rsidR="00F366D7" w:rsidRPr="00F366D7" w:rsidRDefault="00F366D7" w:rsidP="00F366D7"/>
    <w:p w14:paraId="0975F542" w14:textId="77777777" w:rsidR="00F366D7" w:rsidRPr="00F366D7" w:rsidRDefault="00F366D7" w:rsidP="00F366D7"/>
    <w:p w14:paraId="0D4E984E" w14:textId="77777777" w:rsidR="00F366D7" w:rsidRPr="00F366D7" w:rsidRDefault="00F366D7" w:rsidP="00F366D7"/>
    <w:p w14:paraId="1B35AC13" w14:textId="77777777" w:rsidR="00F366D7" w:rsidRPr="00F366D7" w:rsidRDefault="00F366D7" w:rsidP="00F366D7"/>
    <w:p w14:paraId="7517102B" w14:textId="77777777" w:rsidR="00F366D7" w:rsidRDefault="00F366D7" w:rsidP="00F366D7"/>
    <w:p w14:paraId="10D43577" w14:textId="77777777" w:rsidR="003A473C" w:rsidRPr="00F366D7" w:rsidRDefault="003A473C" w:rsidP="00F366D7"/>
    <w:sectPr w:rsidR="003A473C" w:rsidRPr="00F366D7" w:rsidSect="00AD7CB0">
      <w:headerReference w:type="first" r:id="rId17"/>
      <w:pgSz w:w="11906" w:h="16838" w:code="9"/>
      <w:pgMar w:top="1440" w:right="1440" w:bottom="1440" w:left="1440"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C9031C" w14:textId="77777777" w:rsidR="00B83741" w:rsidRPr="000D4EDE" w:rsidRDefault="00B83741" w:rsidP="000D4EDE">
      <w:r>
        <w:separator/>
      </w:r>
    </w:p>
    <w:p w14:paraId="388914B3" w14:textId="77777777" w:rsidR="00B83741" w:rsidRDefault="00B83741"/>
    <w:p w14:paraId="7DEBF476" w14:textId="77777777" w:rsidR="00B83741" w:rsidRDefault="00B83741"/>
  </w:endnote>
  <w:endnote w:type="continuationSeparator" w:id="0">
    <w:p w14:paraId="1DBE6C15" w14:textId="77777777" w:rsidR="00B83741" w:rsidRPr="000D4EDE" w:rsidRDefault="00B83741" w:rsidP="000D4EDE">
      <w:r>
        <w:continuationSeparator/>
      </w:r>
    </w:p>
    <w:p w14:paraId="2D452969" w14:textId="77777777" w:rsidR="00B83741" w:rsidRDefault="00B83741"/>
    <w:p w14:paraId="51527B6F" w14:textId="77777777" w:rsidR="00B83741" w:rsidRDefault="00B83741"/>
  </w:endnote>
  <w:endnote w:type="continuationNotice" w:id="1">
    <w:p w14:paraId="580DA413" w14:textId="77777777" w:rsidR="00B83741" w:rsidRDefault="00B837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IN OT">
    <w:charset w:val="00"/>
    <w:family w:val="swiss"/>
    <w:pitch w:val="variable"/>
    <w:sig w:usb0="800000EF" w:usb1="4000A47B" w:usb2="00000000" w:usb3="00000000" w:csb0="00000001" w:csb1="00000000"/>
  </w:font>
  <w:font w:name="Cordia New">
    <w:panose1 w:val="020B0304020202020204"/>
    <w:charset w:val="DE"/>
    <w:family w:val="roman"/>
    <w:pitch w:val="variable"/>
    <w:sig w:usb0="01000001" w:usb1="00000000" w:usb2="00000000" w:usb3="00000000" w:csb0="00010000" w:csb1="00000000"/>
  </w:font>
  <w:font w:name="DIN OT Light">
    <w:altName w:val="Calibri"/>
    <w:charset w:val="00"/>
    <w:family w:val="swiss"/>
    <w:pitch w:val="variable"/>
    <w:sig w:usb0="800000EF" w:usb1="4000A47B" w:usb2="00000000" w:usb3="00000000" w:csb0="00000001" w:csb1="00000000"/>
  </w:font>
  <w:font w:name="DIN OT Medium">
    <w:altName w:val="Calibri"/>
    <w:charset w:val="00"/>
    <w:family w:val="swiss"/>
    <w:pitch w:val="variable"/>
    <w:sig w:usb0="800000EF" w:usb1="4000A47B" w:usb2="00000000" w:usb3="00000000" w:csb0="00000001" w:csb1="00000000"/>
  </w:font>
  <w:font w:name="MS PGothic">
    <w:panose1 w:val="020B0600070205080204"/>
    <w:charset w:val="80"/>
    <w:family w:val="swiss"/>
    <w:pitch w:val="variable"/>
    <w:sig w:usb0="E00002FF" w:usb1="6AC7FDFB" w:usb2="08000012" w:usb3="00000000" w:csb0="0002009F" w:csb1="00000000"/>
  </w:font>
  <w:font w:name="DIN Offc Medium">
    <w:altName w:val="Arial"/>
    <w:charset w:val="00"/>
    <w:family w:val="swiss"/>
    <w:pitch w:val="variable"/>
    <w:sig w:usb0="00000003"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hnschrift Semi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23C16" w14:textId="77777777" w:rsidR="00BF1FA5" w:rsidRPr="00BF1FA5" w:rsidRDefault="00BF1FA5" w:rsidP="00BF1FA5">
    <w:pPr>
      <w:pStyle w:val="Footer"/>
    </w:pPr>
    <w:r w:rsidRPr="00BF1FA5">
      <w:ptab w:relativeTo="margin" w:alignment="left" w:leader="none"/>
    </w:r>
    <w:r w:rsidRPr="00BF1FA5">
      <w:t xml:space="preserve">AUSTRALIAN PRUDENTIAL REGULATION AUTHORITY </w:t>
    </w:r>
    <w:r w:rsidRPr="00BF1FA5">
      <w:ptab w:relativeTo="margin" w:alignment="right" w:leader="none"/>
    </w:r>
    <w:r w:rsidRPr="00BF1FA5">
      <w:fldChar w:fldCharType="begin"/>
    </w:r>
    <w:r w:rsidRPr="00BF1FA5">
      <w:instrText xml:space="preserve"> PAGE  \* Arabic  \* MERGEFORMAT </w:instrText>
    </w:r>
    <w:r w:rsidRPr="00BF1FA5">
      <w:fldChar w:fldCharType="separate"/>
    </w:r>
    <w:r w:rsidRPr="00BF1FA5">
      <w:t>2</w:t>
    </w:r>
    <w:r w:rsidRPr="00BF1FA5">
      <w:fldChar w:fldCharType="end"/>
    </w:r>
  </w:p>
  <w:p w14:paraId="3A376321" w14:textId="77754F68" w:rsidR="00BF1FA5" w:rsidRDefault="00BF1FA5" w:rsidP="00553F22">
    <w:r w:rsidRPr="00BF1FA5">
      <w:rPr>
        <w:noProof/>
        <w:lang w:eastAsia="en-AU"/>
      </w:rPr>
      <mc:AlternateContent>
        <mc:Choice Requires="wpg">
          <w:drawing>
            <wp:anchor distT="0" distB="0" distL="114300" distR="114300" simplePos="0" relativeHeight="251658243" behindDoc="0" locked="0" layoutInCell="1" allowOverlap="1" wp14:anchorId="06714C11" wp14:editId="437FE4DE">
              <wp:simplePos x="0" y="0"/>
              <wp:positionH relativeFrom="column">
                <wp:posOffset>-914400</wp:posOffset>
              </wp:positionH>
              <wp:positionV relativeFrom="paragraph">
                <wp:posOffset>419735</wp:posOffset>
              </wp:positionV>
              <wp:extent cx="15120000" cy="277200"/>
              <wp:effectExtent l="0" t="0" r="5715" b="8890"/>
              <wp:wrapNone/>
              <wp:docPr id="9" name="Group 9" descr="Footer Banner" title="Footer Banner"/>
              <wp:cNvGraphicFramePr/>
              <a:graphic xmlns:a="http://schemas.openxmlformats.org/drawingml/2006/main">
                <a:graphicData uri="http://schemas.microsoft.com/office/word/2010/wordprocessingGroup">
                  <wpg:wgp>
                    <wpg:cNvGrpSpPr/>
                    <wpg:grpSpPr>
                      <a:xfrm>
                        <a:off x="0" y="0"/>
                        <a:ext cx="15120000" cy="277200"/>
                        <a:chOff x="0" y="0"/>
                        <a:chExt cx="15120000" cy="277200"/>
                      </a:xfrm>
                    </wpg:grpSpPr>
                    <wps:wsp>
                      <wps:cNvPr id="10" name="Rectangle 10" descr="Footer Banner" title="Footer Banner"/>
                      <wps:cNvSpPr/>
                      <wps:spPr>
                        <a:xfrm>
                          <a:off x="0" y="0"/>
                          <a:ext cx="15120000" cy="2772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descr="Footer Banner" title="Footer Banner"/>
                      <wps:cNvSpPr/>
                      <wps:spPr>
                        <a:xfrm>
                          <a:off x="914400" y="0"/>
                          <a:ext cx="2732400" cy="277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rto="http://schemas.microsoft.com/office/word/2006/arto">
          <w:pict>
            <v:group w14:anchorId="14863361" id="Group 9" o:spid="_x0000_s1026" alt="Title: Footer Banner - Description: Footer Banner" style="position:absolute;margin-left:-1in;margin-top:33.05pt;width:1190.55pt;height:21.85pt;z-index:251660294" coordsize="151200,2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">
              <v:rect id="Rectangle 10" o:spid="_x0000_s1027" alt="Footer Banner" style="position:absolute;width:151200;height:27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" fillcolor="#00a9e0 [3205]" stroked="f" strokeweight="2pt"/>
              <v:rect id="Rectangle 11" o:spid="_x0000_s1028" alt="Footer Banner" style="position:absolute;left:9144;width:27324;height:27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" fillcolor="#012169 [3204]" stroked="f" strokeweight="2p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4CC7DE" w14:textId="77777777" w:rsidR="00B83741" w:rsidRPr="000D4EDE" w:rsidRDefault="00B83741" w:rsidP="000D4EDE">
      <w:r>
        <w:separator/>
      </w:r>
    </w:p>
    <w:p w14:paraId="299C7D6C" w14:textId="77777777" w:rsidR="00B83741" w:rsidRDefault="00B83741"/>
    <w:p w14:paraId="73844FC1" w14:textId="77777777" w:rsidR="00B83741" w:rsidRDefault="00B83741"/>
  </w:footnote>
  <w:footnote w:type="continuationSeparator" w:id="0">
    <w:p w14:paraId="023DB2DF" w14:textId="77777777" w:rsidR="00B83741" w:rsidRPr="000D4EDE" w:rsidRDefault="00B83741" w:rsidP="000D4EDE">
      <w:r>
        <w:continuationSeparator/>
      </w:r>
    </w:p>
    <w:p w14:paraId="1403D11B" w14:textId="77777777" w:rsidR="00B83741" w:rsidRDefault="00B83741"/>
    <w:p w14:paraId="7179C636" w14:textId="77777777" w:rsidR="00B83741" w:rsidRDefault="00B83741"/>
  </w:footnote>
  <w:footnote w:type="continuationNotice" w:id="1">
    <w:p w14:paraId="48A34DBB" w14:textId="77777777" w:rsidR="00B83741" w:rsidRDefault="00B83741">
      <w:pPr>
        <w:spacing w:after="0"/>
      </w:pPr>
    </w:p>
  </w:footnote>
  <w:footnote w:id="2">
    <w:p w14:paraId="1E3BC57D" w14:textId="693DB6AC" w:rsidR="000D3F82" w:rsidRDefault="000D3F82">
      <w:pPr>
        <w:pStyle w:val="FootnoteText"/>
      </w:pPr>
      <w:r>
        <w:rPr>
          <w:rStyle w:val="FootnoteReference"/>
        </w:rPr>
        <w:footnoteRef/>
      </w:r>
      <w:r>
        <w:t xml:space="preserve"> </w:t>
      </w:r>
      <w:r w:rsidR="00F306ED">
        <w:tab/>
      </w:r>
      <w:r>
        <w:t>A</w:t>
      </w:r>
      <w:r w:rsidR="00287AAE">
        <w:t xml:space="preserve">n </w:t>
      </w:r>
      <w:r w:rsidR="00F306ED">
        <w:t>a</w:t>
      </w:r>
      <w:r w:rsidR="00287AAE">
        <w:t>ccountable person means a p</w:t>
      </w:r>
      <w:r w:rsidR="00BC15B9">
        <w:t xml:space="preserve">erson </w:t>
      </w:r>
      <w:r w:rsidR="000A24E4">
        <w:t xml:space="preserve">who is an accountable person under the </w:t>
      </w:r>
      <w:r w:rsidR="00F306ED">
        <w:t>Financial Accountability Regime.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3B4DF" w14:textId="0AA82054" w:rsidR="008C5D20" w:rsidRDefault="009324AA">
    <w:pPr>
      <w:pStyle w:val="Header"/>
    </w:pPr>
    <w:r>
      <w:rPr>
        <w:noProof/>
        <w:lang w:eastAsia="en-AU"/>
      </w:rPr>
      <w:drawing>
        <wp:anchor distT="0" distB="0" distL="114300" distR="114300" simplePos="0" relativeHeight="251658242" behindDoc="1" locked="0" layoutInCell="1" allowOverlap="1" wp14:anchorId="5D540731" wp14:editId="3CA33088">
          <wp:simplePos x="0" y="0"/>
          <wp:positionH relativeFrom="page">
            <wp:align>left</wp:align>
          </wp:positionH>
          <wp:positionV relativeFrom="paragraph">
            <wp:posOffset>-360234</wp:posOffset>
          </wp:positionV>
          <wp:extent cx="7550458" cy="10674036"/>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568071" cy="1069893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F0EC5" w14:textId="679A0EA4" w:rsidR="008C5D20" w:rsidRDefault="009324AA">
    <w:pPr>
      <w:pStyle w:val="Header"/>
    </w:pPr>
    <w:r w:rsidRPr="00F366D7">
      <w:rPr>
        <w:noProof/>
        <w:lang w:eastAsia="en-AU"/>
      </w:rPr>
      <mc:AlternateContent>
        <mc:Choice Requires="wps">
          <w:drawing>
            <wp:anchor distT="0" distB="0" distL="114300" distR="114300" simplePos="0" relativeHeight="251658240" behindDoc="0" locked="0" layoutInCell="1" allowOverlap="1" wp14:anchorId="63465509" wp14:editId="1C392053">
              <wp:simplePos x="0" y="0"/>
              <wp:positionH relativeFrom="column">
                <wp:posOffset>-942975</wp:posOffset>
              </wp:positionH>
              <wp:positionV relativeFrom="paragraph">
                <wp:posOffset>-350520</wp:posOffset>
              </wp:positionV>
              <wp:extent cx="7586663" cy="10667365"/>
              <wp:effectExtent l="0" t="0" r="14605" b="19685"/>
              <wp:wrapNone/>
              <wp:docPr id="13" name="Rectangle 13"/>
              <wp:cNvGraphicFramePr/>
              <a:graphic xmlns:a="http://schemas.openxmlformats.org/drawingml/2006/main">
                <a:graphicData uri="http://schemas.microsoft.com/office/word/2010/wordprocessingShape">
                  <wps:wsp>
                    <wps:cNvSpPr/>
                    <wps:spPr>
                      <a:xfrm>
                        <a:off x="0" y="0"/>
                        <a:ext cx="7586663" cy="106673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rect w14:anchorId="48131D6F" id="Rectangle 2" o:spid="_x0000_s1026" style="position:absolute;margin-left:-74.25pt;margin-top:-27.6pt;width:597.4pt;height:839.9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" fillcolor="#012169 [3204]" strokecolor="#001034 [1604]" strokeweight="2pt"/>
          </w:pict>
        </mc:Fallback>
      </mc:AlternateContent>
    </w:r>
    <w:r w:rsidRPr="00F366D7">
      <w:rPr>
        <w:noProof/>
        <w:lang w:eastAsia="en-AU"/>
      </w:rPr>
      <w:drawing>
        <wp:anchor distT="0" distB="0" distL="114300" distR="114300" simplePos="0" relativeHeight="251658241" behindDoc="0" locked="0" layoutInCell="1" allowOverlap="1" wp14:anchorId="5699D2C3" wp14:editId="66376F09">
          <wp:simplePos x="0" y="0"/>
          <wp:positionH relativeFrom="margin">
            <wp:posOffset>1408430</wp:posOffset>
          </wp:positionH>
          <wp:positionV relativeFrom="margin">
            <wp:posOffset>4164965</wp:posOffset>
          </wp:positionV>
          <wp:extent cx="2857500" cy="733425"/>
          <wp:effectExtent l="0" t="0" r="0" b="952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PRA_logo_White.png"/>
                  <pic:cNvPicPr/>
                </pic:nvPicPr>
                <pic:blipFill>
                  <a:blip r:embed="rId1">
                    <a:extLst>
                      <a:ext uri="{28A0092B-C50C-407E-A947-70E740481C1C}">
                        <a14:useLocalDpi xmlns:a14="http://schemas.microsoft.com/office/drawing/2010/main" val="0"/>
                      </a:ext>
                    </a:extLst>
                  </a:blip>
                  <a:stretch>
                    <a:fillRect/>
                  </a:stretch>
                </pic:blipFill>
                <pic:spPr>
                  <a:xfrm>
                    <a:off x="0" y="0"/>
                    <a:ext cx="2857500" cy="7334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C270B82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22A8032C"/>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2E4434BC"/>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366655D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6983867"/>
    <w:multiLevelType w:val="multilevel"/>
    <w:tmpl w:val="6034109E"/>
    <w:styleLink w:val="AppendixList"/>
    <w:lvl w:ilvl="0">
      <w:start w:val="1"/>
      <w:numFmt w:val="upperLetter"/>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19AE53F4"/>
    <w:multiLevelType w:val="multilevel"/>
    <w:tmpl w:val="73EC9368"/>
    <w:lvl w:ilvl="0">
      <w:start w:val="1"/>
      <w:numFmt w:val="decimal"/>
      <w:pStyle w:val="ListNumber"/>
      <w:lvlText w:val="%1."/>
      <w:lvlJc w:val="left"/>
      <w:pPr>
        <w:tabs>
          <w:tab w:val="num" w:pos="851"/>
        </w:tabs>
        <w:ind w:left="851" w:hanging="851"/>
      </w:pPr>
      <w:rPr>
        <w:rFonts w:hint="default"/>
        <w:spacing w:val="0"/>
      </w:rPr>
    </w:lvl>
    <w:lvl w:ilvl="1">
      <w:start w:val="1"/>
      <w:numFmt w:val="decimal"/>
      <w:pStyle w:val="ListNumber2"/>
      <w:lvlText w:val="%1.%2."/>
      <w:lvlJc w:val="left"/>
      <w:pPr>
        <w:tabs>
          <w:tab w:val="num" w:pos="1701"/>
        </w:tabs>
        <w:ind w:left="1701" w:hanging="850"/>
      </w:pPr>
      <w:rPr>
        <w:rFonts w:hint="default"/>
        <w:spacing w:val="0"/>
      </w:rPr>
    </w:lvl>
    <w:lvl w:ilvl="2">
      <w:start w:val="1"/>
      <w:numFmt w:val="decimal"/>
      <w:pStyle w:val="ListNumber3"/>
      <w:lvlText w:val="%1.%2.%3."/>
      <w:lvlJc w:val="left"/>
      <w:pPr>
        <w:tabs>
          <w:tab w:val="num" w:pos="2552"/>
        </w:tabs>
        <w:ind w:left="2552" w:hanging="851"/>
      </w:pPr>
      <w:rPr>
        <w:rFonts w:hint="default"/>
        <w:spacing w:val="0"/>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0" w15:restartNumberingAfterBreak="0">
    <w:nsid w:val="3037679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3087CCB"/>
    <w:multiLevelType w:val="multilevel"/>
    <w:tmpl w:val="585898BE"/>
    <w:lvl w:ilvl="0">
      <w:start w:val="1"/>
      <w:numFmt w:val="decimal"/>
      <w:suff w:val="nothing"/>
      <w:lvlText w:val="Chapter %1 - "/>
      <w:lvlJc w:val="left"/>
      <w:pPr>
        <w:ind w:left="0" w:firstLine="0"/>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3ED128A4"/>
    <w:multiLevelType w:val="hybridMultilevel"/>
    <w:tmpl w:val="90661042"/>
    <w:lvl w:ilvl="0" w:tplc="4C886866">
      <w:start w:val="1"/>
      <w:numFmt w:val="decimal"/>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0FE1B54"/>
    <w:multiLevelType w:val="multilevel"/>
    <w:tmpl w:val="2334ED86"/>
    <w:lvl w:ilvl="0">
      <w:start w:val="1"/>
      <w:numFmt w:val="decimal"/>
      <w:pStyle w:val="Heading1Numbers"/>
      <w:suff w:val="nothing"/>
      <w:lvlText w:val="Chapter %1 - "/>
      <w:lvlJc w:val="left"/>
      <w:pPr>
        <w:ind w:left="6380" w:firstLine="0"/>
      </w:pPr>
      <w:rPr>
        <w:rFonts w:hint="default"/>
      </w:rPr>
    </w:lvl>
    <w:lvl w:ilvl="1">
      <w:start w:val="1"/>
      <w:numFmt w:val="decimal"/>
      <w:pStyle w:val="Heading2Numbers"/>
      <w:lvlText w:val="%1.%2"/>
      <w:lvlJc w:val="left"/>
      <w:pPr>
        <w:tabs>
          <w:tab w:val="num" w:pos="2268"/>
        </w:tabs>
        <w:ind w:left="2268" w:hanging="851"/>
      </w:pPr>
      <w:rPr>
        <w:b w:val="0"/>
        <w:bCs w:val="0"/>
        <w:i w:val="0"/>
        <w:iCs w:val="0"/>
        <w:caps w:val="0"/>
        <w:smallCaps w:val="0"/>
        <w:strike w:val="0"/>
        <w:dstrike w:val="0"/>
        <w:outline w:val="0"/>
        <w:shadow w:val="0"/>
        <w:emboss w:val="0"/>
        <w:imprint w:val="0"/>
        <w:noProof w:val="0"/>
        <w:vanish w:val="0"/>
        <w:color w:val="00206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Numbers"/>
      <w:lvlText w:val="%1.%2.%3"/>
      <w:lvlJc w:val="left"/>
      <w:pPr>
        <w:tabs>
          <w:tab w:val="num" w:pos="1276"/>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4BC03DC3"/>
    <w:multiLevelType w:val="hybridMultilevel"/>
    <w:tmpl w:val="2D461B86"/>
    <w:lvl w:ilvl="0" w:tplc="1284BFEE">
      <w:start w:val="1"/>
      <w:numFmt w:val="decimal"/>
      <w:pStyle w:val="Numberedfigureheading"/>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40E5588"/>
    <w:multiLevelType w:val="multilevel"/>
    <w:tmpl w:val="060A2B94"/>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5D526774"/>
    <w:multiLevelType w:val="multilevel"/>
    <w:tmpl w:val="7CC65220"/>
    <w:lvl w:ilvl="0">
      <w:start w:val="1"/>
      <w:numFmt w:val="upperLetter"/>
      <w:pStyle w:val="AttachmentHeading"/>
      <w:suff w:val="space"/>
      <w:lvlText w:val="Attachment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69B17A3F"/>
    <w:multiLevelType w:val="multilevel"/>
    <w:tmpl w:val="4218048E"/>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7C0E6E8A"/>
    <w:multiLevelType w:val="hybridMultilevel"/>
    <w:tmpl w:val="B4D04064"/>
    <w:lvl w:ilvl="0" w:tplc="899ED676">
      <w:start w:val="1"/>
      <w:numFmt w:val="decimal"/>
      <w:pStyle w:val="Numberedtableheading"/>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76274067">
    <w:abstractNumId w:val="1"/>
  </w:num>
  <w:num w:numId="2" w16cid:durableId="1064908003">
    <w:abstractNumId w:val="0"/>
  </w:num>
  <w:num w:numId="3" w16cid:durableId="1641156209">
    <w:abstractNumId w:val="7"/>
  </w:num>
  <w:num w:numId="4" w16cid:durableId="910192977">
    <w:abstractNumId w:val="15"/>
  </w:num>
  <w:num w:numId="5" w16cid:durableId="13922416">
    <w:abstractNumId w:val="17"/>
  </w:num>
  <w:num w:numId="6" w16cid:durableId="915627615">
    <w:abstractNumId w:val="13"/>
  </w:num>
  <w:num w:numId="7" w16cid:durableId="6691376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4323445">
    <w:abstractNumId w:val="9"/>
  </w:num>
  <w:num w:numId="9" w16cid:durableId="1492866576">
    <w:abstractNumId w:val="5"/>
  </w:num>
  <w:num w:numId="10" w16cid:durableId="1392846505">
    <w:abstractNumId w:val="6"/>
  </w:num>
  <w:num w:numId="11" w16cid:durableId="639968503">
    <w:abstractNumId w:val="4"/>
  </w:num>
  <w:num w:numId="12" w16cid:durableId="1929195145">
    <w:abstractNumId w:val="3"/>
  </w:num>
  <w:num w:numId="13" w16cid:durableId="2065399409">
    <w:abstractNumId w:val="10"/>
  </w:num>
  <w:num w:numId="14" w16cid:durableId="256332862">
    <w:abstractNumId w:val="8"/>
  </w:num>
  <w:num w:numId="15" w16cid:durableId="1900898477">
    <w:abstractNumId w:val="11"/>
  </w:num>
  <w:num w:numId="16" w16cid:durableId="841429887">
    <w:abstractNumId w:val="16"/>
  </w:num>
  <w:num w:numId="17" w16cid:durableId="1727486836">
    <w:abstractNumId w:val="2"/>
  </w:num>
  <w:num w:numId="18" w16cid:durableId="1537504016">
    <w:abstractNumId w:val="18"/>
  </w:num>
  <w:num w:numId="19" w16cid:durableId="545215503">
    <w:abstractNumId w:val="12"/>
  </w:num>
  <w:num w:numId="20" w16cid:durableId="1250694722">
    <w:abstractNumId w:val="18"/>
  </w:num>
  <w:num w:numId="21" w16cid:durableId="1154180635">
    <w:abstractNumId w:val="14"/>
  </w:num>
  <w:num w:numId="22" w16cid:durableId="235012739">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SortMethod w:val="0004"/>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5C4"/>
    <w:rsid w:val="00002398"/>
    <w:rsid w:val="00005D98"/>
    <w:rsid w:val="00007262"/>
    <w:rsid w:val="00010B18"/>
    <w:rsid w:val="00011057"/>
    <w:rsid w:val="00011C96"/>
    <w:rsid w:val="0001306B"/>
    <w:rsid w:val="000141B9"/>
    <w:rsid w:val="00014B42"/>
    <w:rsid w:val="00014DB5"/>
    <w:rsid w:val="00017975"/>
    <w:rsid w:val="00027873"/>
    <w:rsid w:val="00030FA7"/>
    <w:rsid w:val="00033878"/>
    <w:rsid w:val="00034A19"/>
    <w:rsid w:val="00036F9E"/>
    <w:rsid w:val="000401D5"/>
    <w:rsid w:val="000413B3"/>
    <w:rsid w:val="00041E3F"/>
    <w:rsid w:val="0004505F"/>
    <w:rsid w:val="00047385"/>
    <w:rsid w:val="00053BBA"/>
    <w:rsid w:val="000573E5"/>
    <w:rsid w:val="00057715"/>
    <w:rsid w:val="00057B71"/>
    <w:rsid w:val="000622F3"/>
    <w:rsid w:val="00063972"/>
    <w:rsid w:val="0006513D"/>
    <w:rsid w:val="000702B0"/>
    <w:rsid w:val="0007202C"/>
    <w:rsid w:val="00072B30"/>
    <w:rsid w:val="0007319C"/>
    <w:rsid w:val="000732AA"/>
    <w:rsid w:val="00073C1D"/>
    <w:rsid w:val="00074512"/>
    <w:rsid w:val="00075DA0"/>
    <w:rsid w:val="00076603"/>
    <w:rsid w:val="000767DD"/>
    <w:rsid w:val="00076D7B"/>
    <w:rsid w:val="0008011A"/>
    <w:rsid w:val="00080FBD"/>
    <w:rsid w:val="00081E85"/>
    <w:rsid w:val="0008393F"/>
    <w:rsid w:val="00084F8B"/>
    <w:rsid w:val="000851D0"/>
    <w:rsid w:val="0008689D"/>
    <w:rsid w:val="00086D07"/>
    <w:rsid w:val="00086F71"/>
    <w:rsid w:val="000903F8"/>
    <w:rsid w:val="000906E2"/>
    <w:rsid w:val="00093915"/>
    <w:rsid w:val="000949AD"/>
    <w:rsid w:val="00094D88"/>
    <w:rsid w:val="00095109"/>
    <w:rsid w:val="00095BBB"/>
    <w:rsid w:val="00096B0F"/>
    <w:rsid w:val="00096F6C"/>
    <w:rsid w:val="00097461"/>
    <w:rsid w:val="000A0223"/>
    <w:rsid w:val="000A1BA8"/>
    <w:rsid w:val="000A24E4"/>
    <w:rsid w:val="000A3D4E"/>
    <w:rsid w:val="000A490E"/>
    <w:rsid w:val="000A6DF8"/>
    <w:rsid w:val="000A7384"/>
    <w:rsid w:val="000B04C5"/>
    <w:rsid w:val="000B0543"/>
    <w:rsid w:val="000B0B2E"/>
    <w:rsid w:val="000B0ED1"/>
    <w:rsid w:val="000B123A"/>
    <w:rsid w:val="000B4CFC"/>
    <w:rsid w:val="000B5AF7"/>
    <w:rsid w:val="000B63CA"/>
    <w:rsid w:val="000B74CA"/>
    <w:rsid w:val="000B752A"/>
    <w:rsid w:val="000C14D9"/>
    <w:rsid w:val="000C15C7"/>
    <w:rsid w:val="000C1D17"/>
    <w:rsid w:val="000C4A96"/>
    <w:rsid w:val="000C4B32"/>
    <w:rsid w:val="000C52F8"/>
    <w:rsid w:val="000C7009"/>
    <w:rsid w:val="000C7679"/>
    <w:rsid w:val="000D329E"/>
    <w:rsid w:val="000D3E07"/>
    <w:rsid w:val="000D3F82"/>
    <w:rsid w:val="000D4EDE"/>
    <w:rsid w:val="000D532F"/>
    <w:rsid w:val="000D684B"/>
    <w:rsid w:val="000E093C"/>
    <w:rsid w:val="000E2460"/>
    <w:rsid w:val="000E3427"/>
    <w:rsid w:val="000E3757"/>
    <w:rsid w:val="000E43AC"/>
    <w:rsid w:val="000E4409"/>
    <w:rsid w:val="000E54B4"/>
    <w:rsid w:val="000E6973"/>
    <w:rsid w:val="000E6E37"/>
    <w:rsid w:val="000E781B"/>
    <w:rsid w:val="000F0E6F"/>
    <w:rsid w:val="000F2C20"/>
    <w:rsid w:val="000F4D6A"/>
    <w:rsid w:val="000F69FA"/>
    <w:rsid w:val="0010067D"/>
    <w:rsid w:val="001018A5"/>
    <w:rsid w:val="001046A3"/>
    <w:rsid w:val="00106F56"/>
    <w:rsid w:val="0010782D"/>
    <w:rsid w:val="00111205"/>
    <w:rsid w:val="001114F6"/>
    <w:rsid w:val="00111879"/>
    <w:rsid w:val="00111C61"/>
    <w:rsid w:val="001139EA"/>
    <w:rsid w:val="00114D6A"/>
    <w:rsid w:val="00115A39"/>
    <w:rsid w:val="00115A86"/>
    <w:rsid w:val="00116F22"/>
    <w:rsid w:val="00121436"/>
    <w:rsid w:val="00121A07"/>
    <w:rsid w:val="00123576"/>
    <w:rsid w:val="00123B01"/>
    <w:rsid w:val="001241CB"/>
    <w:rsid w:val="00124B21"/>
    <w:rsid w:val="00124F87"/>
    <w:rsid w:val="0012758E"/>
    <w:rsid w:val="00130C14"/>
    <w:rsid w:val="001327B8"/>
    <w:rsid w:val="00133F73"/>
    <w:rsid w:val="0013471B"/>
    <w:rsid w:val="00135025"/>
    <w:rsid w:val="001352D4"/>
    <w:rsid w:val="0013571C"/>
    <w:rsid w:val="00136268"/>
    <w:rsid w:val="00137B6C"/>
    <w:rsid w:val="0014178B"/>
    <w:rsid w:val="00144295"/>
    <w:rsid w:val="00150E9B"/>
    <w:rsid w:val="0015184B"/>
    <w:rsid w:val="00151D78"/>
    <w:rsid w:val="0015458E"/>
    <w:rsid w:val="00157C98"/>
    <w:rsid w:val="0016272E"/>
    <w:rsid w:val="001636AB"/>
    <w:rsid w:val="00164341"/>
    <w:rsid w:val="00164996"/>
    <w:rsid w:val="001653B6"/>
    <w:rsid w:val="0016556D"/>
    <w:rsid w:val="00165BF6"/>
    <w:rsid w:val="00167A89"/>
    <w:rsid w:val="001715CB"/>
    <w:rsid w:val="00174B0F"/>
    <w:rsid w:val="00176846"/>
    <w:rsid w:val="001804A2"/>
    <w:rsid w:val="00181E57"/>
    <w:rsid w:val="0018235E"/>
    <w:rsid w:val="00182762"/>
    <w:rsid w:val="001835EF"/>
    <w:rsid w:val="00184187"/>
    <w:rsid w:val="001848AF"/>
    <w:rsid w:val="001868FD"/>
    <w:rsid w:val="00186F7F"/>
    <w:rsid w:val="00191E51"/>
    <w:rsid w:val="00194BDB"/>
    <w:rsid w:val="001955D6"/>
    <w:rsid w:val="00196594"/>
    <w:rsid w:val="00197F52"/>
    <w:rsid w:val="001A079E"/>
    <w:rsid w:val="001A109E"/>
    <w:rsid w:val="001A1531"/>
    <w:rsid w:val="001A1C5F"/>
    <w:rsid w:val="001A207E"/>
    <w:rsid w:val="001A2501"/>
    <w:rsid w:val="001A3D79"/>
    <w:rsid w:val="001A4EA4"/>
    <w:rsid w:val="001A664F"/>
    <w:rsid w:val="001A7CDD"/>
    <w:rsid w:val="001B02B5"/>
    <w:rsid w:val="001B0372"/>
    <w:rsid w:val="001B218F"/>
    <w:rsid w:val="001B22C6"/>
    <w:rsid w:val="001B2417"/>
    <w:rsid w:val="001B2DB7"/>
    <w:rsid w:val="001B303B"/>
    <w:rsid w:val="001B3A9F"/>
    <w:rsid w:val="001B49EF"/>
    <w:rsid w:val="001C1D41"/>
    <w:rsid w:val="001C33DB"/>
    <w:rsid w:val="001C4E53"/>
    <w:rsid w:val="001C4FE3"/>
    <w:rsid w:val="001C56C4"/>
    <w:rsid w:val="001C5C20"/>
    <w:rsid w:val="001D0C02"/>
    <w:rsid w:val="001D2186"/>
    <w:rsid w:val="001D25C8"/>
    <w:rsid w:val="001D3CCA"/>
    <w:rsid w:val="001D3D43"/>
    <w:rsid w:val="001D70C5"/>
    <w:rsid w:val="001E0F51"/>
    <w:rsid w:val="001E2C09"/>
    <w:rsid w:val="001E55BF"/>
    <w:rsid w:val="001F0BDA"/>
    <w:rsid w:val="001F1726"/>
    <w:rsid w:val="001F48E6"/>
    <w:rsid w:val="001F5287"/>
    <w:rsid w:val="001F58D9"/>
    <w:rsid w:val="001F6E1A"/>
    <w:rsid w:val="001F780A"/>
    <w:rsid w:val="001F7917"/>
    <w:rsid w:val="00200613"/>
    <w:rsid w:val="00200FD9"/>
    <w:rsid w:val="00201EDF"/>
    <w:rsid w:val="0020272F"/>
    <w:rsid w:val="00203273"/>
    <w:rsid w:val="00205821"/>
    <w:rsid w:val="00205CB0"/>
    <w:rsid w:val="00205E74"/>
    <w:rsid w:val="002070BA"/>
    <w:rsid w:val="00212A94"/>
    <w:rsid w:val="0021319B"/>
    <w:rsid w:val="00214883"/>
    <w:rsid w:val="00215459"/>
    <w:rsid w:val="00217E47"/>
    <w:rsid w:val="00220550"/>
    <w:rsid w:val="0022361D"/>
    <w:rsid w:val="00224676"/>
    <w:rsid w:val="002301A2"/>
    <w:rsid w:val="00230BA1"/>
    <w:rsid w:val="00231E61"/>
    <w:rsid w:val="00231EE0"/>
    <w:rsid w:val="0023346C"/>
    <w:rsid w:val="00234479"/>
    <w:rsid w:val="00235485"/>
    <w:rsid w:val="00236C2D"/>
    <w:rsid w:val="002374B7"/>
    <w:rsid w:val="00240126"/>
    <w:rsid w:val="00241FCC"/>
    <w:rsid w:val="00242384"/>
    <w:rsid w:val="0024304D"/>
    <w:rsid w:val="00244826"/>
    <w:rsid w:val="0024563A"/>
    <w:rsid w:val="00247ACA"/>
    <w:rsid w:val="00247C7A"/>
    <w:rsid w:val="00247D14"/>
    <w:rsid w:val="00250225"/>
    <w:rsid w:val="0025067E"/>
    <w:rsid w:val="002511BC"/>
    <w:rsid w:val="002516B2"/>
    <w:rsid w:val="00252E6A"/>
    <w:rsid w:val="00254120"/>
    <w:rsid w:val="00255A20"/>
    <w:rsid w:val="00256B55"/>
    <w:rsid w:val="0025782A"/>
    <w:rsid w:val="00260C38"/>
    <w:rsid w:val="00260E73"/>
    <w:rsid w:val="0026257B"/>
    <w:rsid w:val="00263414"/>
    <w:rsid w:val="002661A6"/>
    <w:rsid w:val="00266C23"/>
    <w:rsid w:val="002700AB"/>
    <w:rsid w:val="00271895"/>
    <w:rsid w:val="0027194D"/>
    <w:rsid w:val="00272FC4"/>
    <w:rsid w:val="00274C39"/>
    <w:rsid w:val="00277C9B"/>
    <w:rsid w:val="00277D6C"/>
    <w:rsid w:val="00283DF4"/>
    <w:rsid w:val="00286EAD"/>
    <w:rsid w:val="00287AAE"/>
    <w:rsid w:val="0029389B"/>
    <w:rsid w:val="002968D8"/>
    <w:rsid w:val="002976FA"/>
    <w:rsid w:val="002A00AE"/>
    <w:rsid w:val="002A1894"/>
    <w:rsid w:val="002A2188"/>
    <w:rsid w:val="002A2C50"/>
    <w:rsid w:val="002A3189"/>
    <w:rsid w:val="002A36F2"/>
    <w:rsid w:val="002A641A"/>
    <w:rsid w:val="002A7D14"/>
    <w:rsid w:val="002B0913"/>
    <w:rsid w:val="002B0AF7"/>
    <w:rsid w:val="002B0D07"/>
    <w:rsid w:val="002B1EEB"/>
    <w:rsid w:val="002B28E4"/>
    <w:rsid w:val="002B2DBA"/>
    <w:rsid w:val="002B343A"/>
    <w:rsid w:val="002B3C7D"/>
    <w:rsid w:val="002B7504"/>
    <w:rsid w:val="002C0D97"/>
    <w:rsid w:val="002C1285"/>
    <w:rsid w:val="002C2058"/>
    <w:rsid w:val="002C25F8"/>
    <w:rsid w:val="002C3763"/>
    <w:rsid w:val="002C4F95"/>
    <w:rsid w:val="002C59DC"/>
    <w:rsid w:val="002C66D1"/>
    <w:rsid w:val="002C7065"/>
    <w:rsid w:val="002C7F4A"/>
    <w:rsid w:val="002D0A71"/>
    <w:rsid w:val="002D0D5D"/>
    <w:rsid w:val="002D0EDF"/>
    <w:rsid w:val="002D2804"/>
    <w:rsid w:val="002D4B6C"/>
    <w:rsid w:val="002D5274"/>
    <w:rsid w:val="002D5FBF"/>
    <w:rsid w:val="002D74FA"/>
    <w:rsid w:val="002E159B"/>
    <w:rsid w:val="002E16F9"/>
    <w:rsid w:val="002E4581"/>
    <w:rsid w:val="002E59BE"/>
    <w:rsid w:val="002E5EFF"/>
    <w:rsid w:val="002E6E79"/>
    <w:rsid w:val="002F0135"/>
    <w:rsid w:val="002F0C2C"/>
    <w:rsid w:val="002F17FA"/>
    <w:rsid w:val="002F20E6"/>
    <w:rsid w:val="002F2A27"/>
    <w:rsid w:val="002F5054"/>
    <w:rsid w:val="002F74B1"/>
    <w:rsid w:val="00300655"/>
    <w:rsid w:val="00303D18"/>
    <w:rsid w:val="00305227"/>
    <w:rsid w:val="0030581A"/>
    <w:rsid w:val="00305A12"/>
    <w:rsid w:val="003068B6"/>
    <w:rsid w:val="003068FD"/>
    <w:rsid w:val="00307ADD"/>
    <w:rsid w:val="00307E55"/>
    <w:rsid w:val="003100EF"/>
    <w:rsid w:val="00312272"/>
    <w:rsid w:val="00312A66"/>
    <w:rsid w:val="003130CA"/>
    <w:rsid w:val="00316599"/>
    <w:rsid w:val="00316E43"/>
    <w:rsid w:val="00321582"/>
    <w:rsid w:val="0032180D"/>
    <w:rsid w:val="003234D3"/>
    <w:rsid w:val="00323CFA"/>
    <w:rsid w:val="00324D39"/>
    <w:rsid w:val="00325173"/>
    <w:rsid w:val="00326158"/>
    <w:rsid w:val="00330C9B"/>
    <w:rsid w:val="003328A5"/>
    <w:rsid w:val="00332909"/>
    <w:rsid w:val="003407C5"/>
    <w:rsid w:val="00343A97"/>
    <w:rsid w:val="0034784B"/>
    <w:rsid w:val="00350EE2"/>
    <w:rsid w:val="00352B1E"/>
    <w:rsid w:val="00352C2F"/>
    <w:rsid w:val="00355D40"/>
    <w:rsid w:val="0035645A"/>
    <w:rsid w:val="00362355"/>
    <w:rsid w:val="003633A9"/>
    <w:rsid w:val="003634BA"/>
    <w:rsid w:val="003653B4"/>
    <w:rsid w:val="00371AAC"/>
    <w:rsid w:val="00371F4E"/>
    <w:rsid w:val="00371F54"/>
    <w:rsid w:val="0037557E"/>
    <w:rsid w:val="0037770C"/>
    <w:rsid w:val="00377C8B"/>
    <w:rsid w:val="00377EF4"/>
    <w:rsid w:val="00381B0C"/>
    <w:rsid w:val="0038365B"/>
    <w:rsid w:val="00383A95"/>
    <w:rsid w:val="00383B19"/>
    <w:rsid w:val="00383B48"/>
    <w:rsid w:val="003856F1"/>
    <w:rsid w:val="00385CA0"/>
    <w:rsid w:val="00386B56"/>
    <w:rsid w:val="00391ECC"/>
    <w:rsid w:val="00392CA1"/>
    <w:rsid w:val="003A0C86"/>
    <w:rsid w:val="003A2733"/>
    <w:rsid w:val="003A3021"/>
    <w:rsid w:val="003A44DF"/>
    <w:rsid w:val="003A473C"/>
    <w:rsid w:val="003A627E"/>
    <w:rsid w:val="003A79EE"/>
    <w:rsid w:val="003A7AD1"/>
    <w:rsid w:val="003B03C6"/>
    <w:rsid w:val="003B4F0D"/>
    <w:rsid w:val="003B4F47"/>
    <w:rsid w:val="003B51A4"/>
    <w:rsid w:val="003B5ACA"/>
    <w:rsid w:val="003B5DDB"/>
    <w:rsid w:val="003B6E16"/>
    <w:rsid w:val="003C180A"/>
    <w:rsid w:val="003C1E25"/>
    <w:rsid w:val="003C32E0"/>
    <w:rsid w:val="003C335E"/>
    <w:rsid w:val="003C34D9"/>
    <w:rsid w:val="003D27CB"/>
    <w:rsid w:val="003D329D"/>
    <w:rsid w:val="003D4627"/>
    <w:rsid w:val="003D4979"/>
    <w:rsid w:val="003D62A5"/>
    <w:rsid w:val="003D6328"/>
    <w:rsid w:val="003D6D1D"/>
    <w:rsid w:val="003E0F49"/>
    <w:rsid w:val="003E3298"/>
    <w:rsid w:val="003E3960"/>
    <w:rsid w:val="003E4407"/>
    <w:rsid w:val="003E6BF6"/>
    <w:rsid w:val="003F0A42"/>
    <w:rsid w:val="003F0F0D"/>
    <w:rsid w:val="003F3A0D"/>
    <w:rsid w:val="003F41CC"/>
    <w:rsid w:val="003F41D9"/>
    <w:rsid w:val="003F4794"/>
    <w:rsid w:val="00400A52"/>
    <w:rsid w:val="0040173E"/>
    <w:rsid w:val="00402EA6"/>
    <w:rsid w:val="00403634"/>
    <w:rsid w:val="004038CB"/>
    <w:rsid w:val="00403FFA"/>
    <w:rsid w:val="00407E0D"/>
    <w:rsid w:val="00410D44"/>
    <w:rsid w:val="0041322E"/>
    <w:rsid w:val="004147BC"/>
    <w:rsid w:val="00415EC9"/>
    <w:rsid w:val="00416596"/>
    <w:rsid w:val="00416F15"/>
    <w:rsid w:val="00417260"/>
    <w:rsid w:val="00417F60"/>
    <w:rsid w:val="00424BC9"/>
    <w:rsid w:val="00425A69"/>
    <w:rsid w:val="00426FF6"/>
    <w:rsid w:val="00431ECA"/>
    <w:rsid w:val="00435288"/>
    <w:rsid w:val="00435339"/>
    <w:rsid w:val="004401AA"/>
    <w:rsid w:val="004410DC"/>
    <w:rsid w:val="00443D94"/>
    <w:rsid w:val="0044447D"/>
    <w:rsid w:val="004475A8"/>
    <w:rsid w:val="00450C67"/>
    <w:rsid w:val="00450CA0"/>
    <w:rsid w:val="00453810"/>
    <w:rsid w:val="00453A09"/>
    <w:rsid w:val="00454D45"/>
    <w:rsid w:val="004556B7"/>
    <w:rsid w:val="00460CF7"/>
    <w:rsid w:val="00460E6B"/>
    <w:rsid w:val="00462675"/>
    <w:rsid w:val="004632FF"/>
    <w:rsid w:val="00463FA8"/>
    <w:rsid w:val="00466648"/>
    <w:rsid w:val="00470DE1"/>
    <w:rsid w:val="00470E21"/>
    <w:rsid w:val="00472CBC"/>
    <w:rsid w:val="00475532"/>
    <w:rsid w:val="004765B3"/>
    <w:rsid w:val="00480E16"/>
    <w:rsid w:val="0048256B"/>
    <w:rsid w:val="00484BF5"/>
    <w:rsid w:val="004856DA"/>
    <w:rsid w:val="004861E2"/>
    <w:rsid w:val="004872C2"/>
    <w:rsid w:val="00493DAA"/>
    <w:rsid w:val="00493E40"/>
    <w:rsid w:val="00494335"/>
    <w:rsid w:val="004943D1"/>
    <w:rsid w:val="00494C26"/>
    <w:rsid w:val="00495A4C"/>
    <w:rsid w:val="004967A1"/>
    <w:rsid w:val="004A3B93"/>
    <w:rsid w:val="004A45A3"/>
    <w:rsid w:val="004A5CEA"/>
    <w:rsid w:val="004A64FD"/>
    <w:rsid w:val="004A6B62"/>
    <w:rsid w:val="004B21CB"/>
    <w:rsid w:val="004B5224"/>
    <w:rsid w:val="004B584E"/>
    <w:rsid w:val="004B68C9"/>
    <w:rsid w:val="004C1106"/>
    <w:rsid w:val="004C549E"/>
    <w:rsid w:val="004C6D4B"/>
    <w:rsid w:val="004C736D"/>
    <w:rsid w:val="004C766B"/>
    <w:rsid w:val="004D1532"/>
    <w:rsid w:val="004D2173"/>
    <w:rsid w:val="004D33E3"/>
    <w:rsid w:val="004D37A4"/>
    <w:rsid w:val="004D5328"/>
    <w:rsid w:val="004E1735"/>
    <w:rsid w:val="004E2269"/>
    <w:rsid w:val="004E25A6"/>
    <w:rsid w:val="004E2867"/>
    <w:rsid w:val="004E3179"/>
    <w:rsid w:val="004E5A13"/>
    <w:rsid w:val="004E7DAB"/>
    <w:rsid w:val="004F0F50"/>
    <w:rsid w:val="004F2AEC"/>
    <w:rsid w:val="004F3339"/>
    <w:rsid w:val="004F5291"/>
    <w:rsid w:val="004F72A2"/>
    <w:rsid w:val="005009C8"/>
    <w:rsid w:val="005026D4"/>
    <w:rsid w:val="00503A51"/>
    <w:rsid w:val="00506774"/>
    <w:rsid w:val="005113A6"/>
    <w:rsid w:val="00512309"/>
    <w:rsid w:val="0051376D"/>
    <w:rsid w:val="00513C19"/>
    <w:rsid w:val="00513DBF"/>
    <w:rsid w:val="005157B8"/>
    <w:rsid w:val="00515E36"/>
    <w:rsid w:val="00515E9D"/>
    <w:rsid w:val="00517B89"/>
    <w:rsid w:val="0052134C"/>
    <w:rsid w:val="005238C1"/>
    <w:rsid w:val="00525743"/>
    <w:rsid w:val="00525914"/>
    <w:rsid w:val="0053251B"/>
    <w:rsid w:val="005333B4"/>
    <w:rsid w:val="00534613"/>
    <w:rsid w:val="0054032B"/>
    <w:rsid w:val="00541D54"/>
    <w:rsid w:val="00542522"/>
    <w:rsid w:val="00544DB1"/>
    <w:rsid w:val="005451AB"/>
    <w:rsid w:val="0054526E"/>
    <w:rsid w:val="0054599C"/>
    <w:rsid w:val="00545CE1"/>
    <w:rsid w:val="005468EE"/>
    <w:rsid w:val="005476B5"/>
    <w:rsid w:val="00550894"/>
    <w:rsid w:val="0055170A"/>
    <w:rsid w:val="00553DCD"/>
    <w:rsid w:val="00553F22"/>
    <w:rsid w:val="005549D7"/>
    <w:rsid w:val="00556869"/>
    <w:rsid w:val="00557491"/>
    <w:rsid w:val="00557876"/>
    <w:rsid w:val="00557AD4"/>
    <w:rsid w:val="005602DA"/>
    <w:rsid w:val="00562087"/>
    <w:rsid w:val="00563912"/>
    <w:rsid w:val="005655CB"/>
    <w:rsid w:val="00566276"/>
    <w:rsid w:val="005678FC"/>
    <w:rsid w:val="0057126C"/>
    <w:rsid w:val="00571F92"/>
    <w:rsid w:val="005723C6"/>
    <w:rsid w:val="00573327"/>
    <w:rsid w:val="00575DB3"/>
    <w:rsid w:val="00576E07"/>
    <w:rsid w:val="0058026A"/>
    <w:rsid w:val="00582B97"/>
    <w:rsid w:val="00584A67"/>
    <w:rsid w:val="00584EFA"/>
    <w:rsid w:val="00590C5D"/>
    <w:rsid w:val="005911FA"/>
    <w:rsid w:val="00591747"/>
    <w:rsid w:val="00591D8C"/>
    <w:rsid w:val="00592F64"/>
    <w:rsid w:val="0059432E"/>
    <w:rsid w:val="005971F3"/>
    <w:rsid w:val="005A3644"/>
    <w:rsid w:val="005A3F63"/>
    <w:rsid w:val="005A59D0"/>
    <w:rsid w:val="005A5B60"/>
    <w:rsid w:val="005A6FB1"/>
    <w:rsid w:val="005A6FFC"/>
    <w:rsid w:val="005B058B"/>
    <w:rsid w:val="005B073E"/>
    <w:rsid w:val="005B227F"/>
    <w:rsid w:val="005B4CE6"/>
    <w:rsid w:val="005B7801"/>
    <w:rsid w:val="005B7B0E"/>
    <w:rsid w:val="005C0279"/>
    <w:rsid w:val="005C3367"/>
    <w:rsid w:val="005C3DA0"/>
    <w:rsid w:val="005C5891"/>
    <w:rsid w:val="005C667A"/>
    <w:rsid w:val="005C6900"/>
    <w:rsid w:val="005C739E"/>
    <w:rsid w:val="005C7D13"/>
    <w:rsid w:val="005D2EE0"/>
    <w:rsid w:val="005D35D1"/>
    <w:rsid w:val="005D466A"/>
    <w:rsid w:val="005D5FAE"/>
    <w:rsid w:val="005E0C27"/>
    <w:rsid w:val="005E111C"/>
    <w:rsid w:val="005E4276"/>
    <w:rsid w:val="005E4BC9"/>
    <w:rsid w:val="005E4E87"/>
    <w:rsid w:val="005E6331"/>
    <w:rsid w:val="005E754F"/>
    <w:rsid w:val="005F29B7"/>
    <w:rsid w:val="005F2A43"/>
    <w:rsid w:val="005F381D"/>
    <w:rsid w:val="005F5DE7"/>
    <w:rsid w:val="00600891"/>
    <w:rsid w:val="00602D39"/>
    <w:rsid w:val="0060528B"/>
    <w:rsid w:val="006055B4"/>
    <w:rsid w:val="00606EB5"/>
    <w:rsid w:val="00606FC8"/>
    <w:rsid w:val="00607387"/>
    <w:rsid w:val="0060748E"/>
    <w:rsid w:val="00607938"/>
    <w:rsid w:val="006116BB"/>
    <w:rsid w:val="006142D7"/>
    <w:rsid w:val="006157C8"/>
    <w:rsid w:val="006164FB"/>
    <w:rsid w:val="00616C90"/>
    <w:rsid w:val="00617492"/>
    <w:rsid w:val="00617850"/>
    <w:rsid w:val="00617EBF"/>
    <w:rsid w:val="00617FDA"/>
    <w:rsid w:val="00620B6D"/>
    <w:rsid w:val="00620D68"/>
    <w:rsid w:val="0062116F"/>
    <w:rsid w:val="0062215C"/>
    <w:rsid w:val="00622A66"/>
    <w:rsid w:val="00623B71"/>
    <w:rsid w:val="00623FD7"/>
    <w:rsid w:val="006245E7"/>
    <w:rsid w:val="0062589A"/>
    <w:rsid w:val="00625977"/>
    <w:rsid w:val="00626087"/>
    <w:rsid w:val="006319B5"/>
    <w:rsid w:val="006325D0"/>
    <w:rsid w:val="00634E4C"/>
    <w:rsid w:val="00636B8B"/>
    <w:rsid w:val="006379B5"/>
    <w:rsid w:val="00640AD8"/>
    <w:rsid w:val="00641EAA"/>
    <w:rsid w:val="006427FE"/>
    <w:rsid w:val="00645FED"/>
    <w:rsid w:val="00646695"/>
    <w:rsid w:val="00646A22"/>
    <w:rsid w:val="00647CD1"/>
    <w:rsid w:val="006506C1"/>
    <w:rsid w:val="00651840"/>
    <w:rsid w:val="006523FB"/>
    <w:rsid w:val="006560C0"/>
    <w:rsid w:val="00656300"/>
    <w:rsid w:val="0065747A"/>
    <w:rsid w:val="00661865"/>
    <w:rsid w:val="00662E28"/>
    <w:rsid w:val="00663A83"/>
    <w:rsid w:val="00664402"/>
    <w:rsid w:val="0066505E"/>
    <w:rsid w:val="0066674D"/>
    <w:rsid w:val="00666A78"/>
    <w:rsid w:val="006758D9"/>
    <w:rsid w:val="00676C12"/>
    <w:rsid w:val="00677F3C"/>
    <w:rsid w:val="00680FD7"/>
    <w:rsid w:val="0068227C"/>
    <w:rsid w:val="006830B6"/>
    <w:rsid w:val="006837B6"/>
    <w:rsid w:val="006856E6"/>
    <w:rsid w:val="006863ED"/>
    <w:rsid w:val="00691276"/>
    <w:rsid w:val="0069329E"/>
    <w:rsid w:val="0069375D"/>
    <w:rsid w:val="006938D5"/>
    <w:rsid w:val="00693CA3"/>
    <w:rsid w:val="0069407C"/>
    <w:rsid w:val="006941EF"/>
    <w:rsid w:val="00694C76"/>
    <w:rsid w:val="0069574E"/>
    <w:rsid w:val="006959BA"/>
    <w:rsid w:val="006969C0"/>
    <w:rsid w:val="00697A30"/>
    <w:rsid w:val="006A0091"/>
    <w:rsid w:val="006A16E4"/>
    <w:rsid w:val="006A1921"/>
    <w:rsid w:val="006A2303"/>
    <w:rsid w:val="006A422F"/>
    <w:rsid w:val="006A488D"/>
    <w:rsid w:val="006A6CE6"/>
    <w:rsid w:val="006A7222"/>
    <w:rsid w:val="006B01A2"/>
    <w:rsid w:val="006B254A"/>
    <w:rsid w:val="006B28B3"/>
    <w:rsid w:val="006B667C"/>
    <w:rsid w:val="006C4570"/>
    <w:rsid w:val="006C5543"/>
    <w:rsid w:val="006C6C47"/>
    <w:rsid w:val="006C7608"/>
    <w:rsid w:val="006D0AD8"/>
    <w:rsid w:val="006D2A45"/>
    <w:rsid w:val="006D6A3C"/>
    <w:rsid w:val="006D71B8"/>
    <w:rsid w:val="006E3742"/>
    <w:rsid w:val="006E4272"/>
    <w:rsid w:val="006E4DA8"/>
    <w:rsid w:val="006E5804"/>
    <w:rsid w:val="006E5C94"/>
    <w:rsid w:val="006F12CD"/>
    <w:rsid w:val="006F145A"/>
    <w:rsid w:val="006F27CB"/>
    <w:rsid w:val="006F359B"/>
    <w:rsid w:val="006F5865"/>
    <w:rsid w:val="006F5CCF"/>
    <w:rsid w:val="006F641D"/>
    <w:rsid w:val="006F6DF8"/>
    <w:rsid w:val="006F72F5"/>
    <w:rsid w:val="00701E1B"/>
    <w:rsid w:val="00701EC6"/>
    <w:rsid w:val="00701EEC"/>
    <w:rsid w:val="007025A3"/>
    <w:rsid w:val="00706179"/>
    <w:rsid w:val="00714F78"/>
    <w:rsid w:val="007152B0"/>
    <w:rsid w:val="007170F7"/>
    <w:rsid w:val="00721F31"/>
    <w:rsid w:val="007227BB"/>
    <w:rsid w:val="00722F9F"/>
    <w:rsid w:val="007253B8"/>
    <w:rsid w:val="00735A33"/>
    <w:rsid w:val="00735B75"/>
    <w:rsid w:val="00736E7D"/>
    <w:rsid w:val="007372B5"/>
    <w:rsid w:val="00737E07"/>
    <w:rsid w:val="00737FD0"/>
    <w:rsid w:val="0074129B"/>
    <w:rsid w:val="00745B65"/>
    <w:rsid w:val="00746703"/>
    <w:rsid w:val="007509A6"/>
    <w:rsid w:val="007510EE"/>
    <w:rsid w:val="00751A71"/>
    <w:rsid w:val="00752025"/>
    <w:rsid w:val="0075282B"/>
    <w:rsid w:val="00752AB8"/>
    <w:rsid w:val="00753B5F"/>
    <w:rsid w:val="00753F83"/>
    <w:rsid w:val="007541B0"/>
    <w:rsid w:val="00754456"/>
    <w:rsid w:val="0075469B"/>
    <w:rsid w:val="00755163"/>
    <w:rsid w:val="00755F85"/>
    <w:rsid w:val="007568F8"/>
    <w:rsid w:val="00756AAB"/>
    <w:rsid w:val="00757DFF"/>
    <w:rsid w:val="00757F63"/>
    <w:rsid w:val="007645AE"/>
    <w:rsid w:val="00764992"/>
    <w:rsid w:val="0076682B"/>
    <w:rsid w:val="00766A3F"/>
    <w:rsid w:val="00767D2B"/>
    <w:rsid w:val="00771E79"/>
    <w:rsid w:val="007725AD"/>
    <w:rsid w:val="00772DF1"/>
    <w:rsid w:val="007748F5"/>
    <w:rsid w:val="007753B6"/>
    <w:rsid w:val="00775AA0"/>
    <w:rsid w:val="007770FA"/>
    <w:rsid w:val="00781D5B"/>
    <w:rsid w:val="00783C5B"/>
    <w:rsid w:val="00786AAA"/>
    <w:rsid w:val="007916F1"/>
    <w:rsid w:val="00791738"/>
    <w:rsid w:val="00791780"/>
    <w:rsid w:val="007929E5"/>
    <w:rsid w:val="00792D37"/>
    <w:rsid w:val="00792FF3"/>
    <w:rsid w:val="00795638"/>
    <w:rsid w:val="00796464"/>
    <w:rsid w:val="007967F0"/>
    <w:rsid w:val="00797456"/>
    <w:rsid w:val="007A0EB7"/>
    <w:rsid w:val="007B0D81"/>
    <w:rsid w:val="007B5B84"/>
    <w:rsid w:val="007B6426"/>
    <w:rsid w:val="007B6871"/>
    <w:rsid w:val="007C08B1"/>
    <w:rsid w:val="007C296D"/>
    <w:rsid w:val="007C2CC2"/>
    <w:rsid w:val="007C318C"/>
    <w:rsid w:val="007C38BD"/>
    <w:rsid w:val="007C79AA"/>
    <w:rsid w:val="007D1DE2"/>
    <w:rsid w:val="007D262A"/>
    <w:rsid w:val="007D2850"/>
    <w:rsid w:val="007D2AED"/>
    <w:rsid w:val="007D2B18"/>
    <w:rsid w:val="007D31DA"/>
    <w:rsid w:val="007D57B8"/>
    <w:rsid w:val="007D72C5"/>
    <w:rsid w:val="007D7A86"/>
    <w:rsid w:val="007E0296"/>
    <w:rsid w:val="007E525D"/>
    <w:rsid w:val="007E5D0C"/>
    <w:rsid w:val="007E69AE"/>
    <w:rsid w:val="007E7F27"/>
    <w:rsid w:val="007F0323"/>
    <w:rsid w:val="007F1922"/>
    <w:rsid w:val="007F379E"/>
    <w:rsid w:val="007F471C"/>
    <w:rsid w:val="007F4A56"/>
    <w:rsid w:val="007F5EC8"/>
    <w:rsid w:val="00800703"/>
    <w:rsid w:val="00800A04"/>
    <w:rsid w:val="00800C90"/>
    <w:rsid w:val="00800F23"/>
    <w:rsid w:val="00803681"/>
    <w:rsid w:val="008045D9"/>
    <w:rsid w:val="008055F3"/>
    <w:rsid w:val="008063A7"/>
    <w:rsid w:val="00806AA5"/>
    <w:rsid w:val="008071C6"/>
    <w:rsid w:val="00807C43"/>
    <w:rsid w:val="00810167"/>
    <w:rsid w:val="008102E3"/>
    <w:rsid w:val="008125F8"/>
    <w:rsid w:val="00816A4B"/>
    <w:rsid w:val="00830802"/>
    <w:rsid w:val="008308E2"/>
    <w:rsid w:val="008342AF"/>
    <w:rsid w:val="008349ED"/>
    <w:rsid w:val="00834CE0"/>
    <w:rsid w:val="00835827"/>
    <w:rsid w:val="00835E15"/>
    <w:rsid w:val="0083727F"/>
    <w:rsid w:val="0084110F"/>
    <w:rsid w:val="00841B91"/>
    <w:rsid w:val="00844922"/>
    <w:rsid w:val="00844B1D"/>
    <w:rsid w:val="00844D8E"/>
    <w:rsid w:val="00844F5C"/>
    <w:rsid w:val="00845038"/>
    <w:rsid w:val="00845843"/>
    <w:rsid w:val="0084666A"/>
    <w:rsid w:val="00846D34"/>
    <w:rsid w:val="0084782C"/>
    <w:rsid w:val="00852CEA"/>
    <w:rsid w:val="00854508"/>
    <w:rsid w:val="00855730"/>
    <w:rsid w:val="00857135"/>
    <w:rsid w:val="00857371"/>
    <w:rsid w:val="0086035D"/>
    <w:rsid w:val="0086292A"/>
    <w:rsid w:val="00863020"/>
    <w:rsid w:val="008637EC"/>
    <w:rsid w:val="008676D8"/>
    <w:rsid w:val="00867B8C"/>
    <w:rsid w:val="00867F3D"/>
    <w:rsid w:val="00870BC6"/>
    <w:rsid w:val="00871FEA"/>
    <w:rsid w:val="00875C2F"/>
    <w:rsid w:val="00875DAD"/>
    <w:rsid w:val="00876CFA"/>
    <w:rsid w:val="00877B84"/>
    <w:rsid w:val="0088036D"/>
    <w:rsid w:val="00880FEA"/>
    <w:rsid w:val="00881155"/>
    <w:rsid w:val="00881F97"/>
    <w:rsid w:val="0088262E"/>
    <w:rsid w:val="00882892"/>
    <w:rsid w:val="00885A14"/>
    <w:rsid w:val="0088689B"/>
    <w:rsid w:val="00887313"/>
    <w:rsid w:val="00890FA0"/>
    <w:rsid w:val="00892BCA"/>
    <w:rsid w:val="008947BF"/>
    <w:rsid w:val="008A0CBE"/>
    <w:rsid w:val="008A1CA8"/>
    <w:rsid w:val="008A214D"/>
    <w:rsid w:val="008A352F"/>
    <w:rsid w:val="008A3584"/>
    <w:rsid w:val="008A4CDE"/>
    <w:rsid w:val="008A72D2"/>
    <w:rsid w:val="008A74A3"/>
    <w:rsid w:val="008A750C"/>
    <w:rsid w:val="008A7BAB"/>
    <w:rsid w:val="008A7F22"/>
    <w:rsid w:val="008B2000"/>
    <w:rsid w:val="008B2026"/>
    <w:rsid w:val="008B2BF9"/>
    <w:rsid w:val="008B2CA9"/>
    <w:rsid w:val="008B3F50"/>
    <w:rsid w:val="008B5419"/>
    <w:rsid w:val="008B61B3"/>
    <w:rsid w:val="008B6728"/>
    <w:rsid w:val="008B6868"/>
    <w:rsid w:val="008B6D24"/>
    <w:rsid w:val="008B783A"/>
    <w:rsid w:val="008C161D"/>
    <w:rsid w:val="008C2B14"/>
    <w:rsid w:val="008C34F7"/>
    <w:rsid w:val="008C4E00"/>
    <w:rsid w:val="008C5D20"/>
    <w:rsid w:val="008C660C"/>
    <w:rsid w:val="008C6A43"/>
    <w:rsid w:val="008C726C"/>
    <w:rsid w:val="008D080C"/>
    <w:rsid w:val="008D1143"/>
    <w:rsid w:val="008D4619"/>
    <w:rsid w:val="008D6437"/>
    <w:rsid w:val="008D6788"/>
    <w:rsid w:val="008D6EDF"/>
    <w:rsid w:val="008E2A26"/>
    <w:rsid w:val="008E3EF5"/>
    <w:rsid w:val="008E7B30"/>
    <w:rsid w:val="008F0D08"/>
    <w:rsid w:val="008F33B5"/>
    <w:rsid w:val="008F485B"/>
    <w:rsid w:val="008F57D5"/>
    <w:rsid w:val="008F776F"/>
    <w:rsid w:val="0090223E"/>
    <w:rsid w:val="00902603"/>
    <w:rsid w:val="00903604"/>
    <w:rsid w:val="00905111"/>
    <w:rsid w:val="00906799"/>
    <w:rsid w:val="00910AAC"/>
    <w:rsid w:val="00910EDD"/>
    <w:rsid w:val="009116E0"/>
    <w:rsid w:val="009127CD"/>
    <w:rsid w:val="0091434E"/>
    <w:rsid w:val="0091642A"/>
    <w:rsid w:val="00922193"/>
    <w:rsid w:val="00922608"/>
    <w:rsid w:val="00924152"/>
    <w:rsid w:val="00926072"/>
    <w:rsid w:val="00930FF7"/>
    <w:rsid w:val="00931420"/>
    <w:rsid w:val="0093194D"/>
    <w:rsid w:val="009324AA"/>
    <w:rsid w:val="00933CDE"/>
    <w:rsid w:val="00934C3F"/>
    <w:rsid w:val="00936247"/>
    <w:rsid w:val="00936721"/>
    <w:rsid w:val="00936AAC"/>
    <w:rsid w:val="00936CD1"/>
    <w:rsid w:val="009402DD"/>
    <w:rsid w:val="0094072E"/>
    <w:rsid w:val="00941708"/>
    <w:rsid w:val="009417AE"/>
    <w:rsid w:val="00944C84"/>
    <w:rsid w:val="009450BB"/>
    <w:rsid w:val="0094559A"/>
    <w:rsid w:val="00945635"/>
    <w:rsid w:val="00945B3F"/>
    <w:rsid w:val="00947A84"/>
    <w:rsid w:val="0095058A"/>
    <w:rsid w:val="009506EA"/>
    <w:rsid w:val="00950910"/>
    <w:rsid w:val="00950DCB"/>
    <w:rsid w:val="00950EEF"/>
    <w:rsid w:val="00952D00"/>
    <w:rsid w:val="00952D47"/>
    <w:rsid w:val="00952D4C"/>
    <w:rsid w:val="00953192"/>
    <w:rsid w:val="00957090"/>
    <w:rsid w:val="009578E8"/>
    <w:rsid w:val="00960246"/>
    <w:rsid w:val="00961983"/>
    <w:rsid w:val="00961C92"/>
    <w:rsid w:val="009636B2"/>
    <w:rsid w:val="0096554F"/>
    <w:rsid w:val="009720E1"/>
    <w:rsid w:val="00973F69"/>
    <w:rsid w:val="00974F0E"/>
    <w:rsid w:val="00975CD7"/>
    <w:rsid w:val="00977ED2"/>
    <w:rsid w:val="00977F61"/>
    <w:rsid w:val="00980B92"/>
    <w:rsid w:val="00981F23"/>
    <w:rsid w:val="009852BC"/>
    <w:rsid w:val="00985E70"/>
    <w:rsid w:val="009861EE"/>
    <w:rsid w:val="00986A4A"/>
    <w:rsid w:val="0098783B"/>
    <w:rsid w:val="00987919"/>
    <w:rsid w:val="00990059"/>
    <w:rsid w:val="00990800"/>
    <w:rsid w:val="00993C2B"/>
    <w:rsid w:val="00995C86"/>
    <w:rsid w:val="009965E0"/>
    <w:rsid w:val="009979F4"/>
    <w:rsid w:val="009A4242"/>
    <w:rsid w:val="009A45B2"/>
    <w:rsid w:val="009A4F19"/>
    <w:rsid w:val="009A5585"/>
    <w:rsid w:val="009A59D5"/>
    <w:rsid w:val="009A5D02"/>
    <w:rsid w:val="009A6B3D"/>
    <w:rsid w:val="009A6B5A"/>
    <w:rsid w:val="009B2CB7"/>
    <w:rsid w:val="009B3181"/>
    <w:rsid w:val="009B3C9A"/>
    <w:rsid w:val="009C0F10"/>
    <w:rsid w:val="009C198D"/>
    <w:rsid w:val="009C1B86"/>
    <w:rsid w:val="009C485C"/>
    <w:rsid w:val="009C7EBB"/>
    <w:rsid w:val="009D1A97"/>
    <w:rsid w:val="009D27ED"/>
    <w:rsid w:val="009D2DDD"/>
    <w:rsid w:val="009E0C10"/>
    <w:rsid w:val="009E0F10"/>
    <w:rsid w:val="009E321A"/>
    <w:rsid w:val="009E4116"/>
    <w:rsid w:val="009F0982"/>
    <w:rsid w:val="009F0B16"/>
    <w:rsid w:val="009F2785"/>
    <w:rsid w:val="00A03A70"/>
    <w:rsid w:val="00A048FA"/>
    <w:rsid w:val="00A05E57"/>
    <w:rsid w:val="00A07630"/>
    <w:rsid w:val="00A07E2C"/>
    <w:rsid w:val="00A10DA6"/>
    <w:rsid w:val="00A123C0"/>
    <w:rsid w:val="00A12F09"/>
    <w:rsid w:val="00A151E9"/>
    <w:rsid w:val="00A15DBB"/>
    <w:rsid w:val="00A21CAA"/>
    <w:rsid w:val="00A23A67"/>
    <w:rsid w:val="00A259F2"/>
    <w:rsid w:val="00A26F33"/>
    <w:rsid w:val="00A2758A"/>
    <w:rsid w:val="00A30912"/>
    <w:rsid w:val="00A30F63"/>
    <w:rsid w:val="00A32154"/>
    <w:rsid w:val="00A3281D"/>
    <w:rsid w:val="00A33802"/>
    <w:rsid w:val="00A350E2"/>
    <w:rsid w:val="00A37162"/>
    <w:rsid w:val="00A378E6"/>
    <w:rsid w:val="00A37D3A"/>
    <w:rsid w:val="00A37E51"/>
    <w:rsid w:val="00A41D80"/>
    <w:rsid w:val="00A41FA2"/>
    <w:rsid w:val="00A45337"/>
    <w:rsid w:val="00A47969"/>
    <w:rsid w:val="00A50FEC"/>
    <w:rsid w:val="00A519AE"/>
    <w:rsid w:val="00A51E2D"/>
    <w:rsid w:val="00A5238D"/>
    <w:rsid w:val="00A5319F"/>
    <w:rsid w:val="00A53690"/>
    <w:rsid w:val="00A53E12"/>
    <w:rsid w:val="00A5515E"/>
    <w:rsid w:val="00A57027"/>
    <w:rsid w:val="00A60B33"/>
    <w:rsid w:val="00A6202F"/>
    <w:rsid w:val="00A62D31"/>
    <w:rsid w:val="00A63380"/>
    <w:rsid w:val="00A63BDE"/>
    <w:rsid w:val="00A66F85"/>
    <w:rsid w:val="00A67720"/>
    <w:rsid w:val="00A67FFD"/>
    <w:rsid w:val="00A70176"/>
    <w:rsid w:val="00A70A3B"/>
    <w:rsid w:val="00A74B58"/>
    <w:rsid w:val="00A75CEF"/>
    <w:rsid w:val="00A767E1"/>
    <w:rsid w:val="00A7696A"/>
    <w:rsid w:val="00A77FBC"/>
    <w:rsid w:val="00A80A71"/>
    <w:rsid w:val="00A8129D"/>
    <w:rsid w:val="00A84259"/>
    <w:rsid w:val="00A865C7"/>
    <w:rsid w:val="00A87486"/>
    <w:rsid w:val="00A87B50"/>
    <w:rsid w:val="00A909CC"/>
    <w:rsid w:val="00A91039"/>
    <w:rsid w:val="00A944A1"/>
    <w:rsid w:val="00A944CF"/>
    <w:rsid w:val="00A95B0B"/>
    <w:rsid w:val="00A96137"/>
    <w:rsid w:val="00A964A5"/>
    <w:rsid w:val="00A97E3B"/>
    <w:rsid w:val="00AA00CB"/>
    <w:rsid w:val="00AA0CA8"/>
    <w:rsid w:val="00AA20A1"/>
    <w:rsid w:val="00AA41F2"/>
    <w:rsid w:val="00AA4393"/>
    <w:rsid w:val="00AA4408"/>
    <w:rsid w:val="00AA4A1C"/>
    <w:rsid w:val="00AA6810"/>
    <w:rsid w:val="00AA70B0"/>
    <w:rsid w:val="00AA7F89"/>
    <w:rsid w:val="00AB039E"/>
    <w:rsid w:val="00AB1C0D"/>
    <w:rsid w:val="00AB2584"/>
    <w:rsid w:val="00AB3B49"/>
    <w:rsid w:val="00AB4206"/>
    <w:rsid w:val="00AC1C12"/>
    <w:rsid w:val="00AC2C48"/>
    <w:rsid w:val="00AC2FFA"/>
    <w:rsid w:val="00AC55F2"/>
    <w:rsid w:val="00AC5EBD"/>
    <w:rsid w:val="00AC7E54"/>
    <w:rsid w:val="00AD12E7"/>
    <w:rsid w:val="00AD393D"/>
    <w:rsid w:val="00AD3C1B"/>
    <w:rsid w:val="00AD5D30"/>
    <w:rsid w:val="00AD6E79"/>
    <w:rsid w:val="00AD71D9"/>
    <w:rsid w:val="00AD7CB0"/>
    <w:rsid w:val="00AE1CA0"/>
    <w:rsid w:val="00AE1E0E"/>
    <w:rsid w:val="00AE6A4E"/>
    <w:rsid w:val="00AE729C"/>
    <w:rsid w:val="00AE7B98"/>
    <w:rsid w:val="00AF129F"/>
    <w:rsid w:val="00AF36AE"/>
    <w:rsid w:val="00AF6512"/>
    <w:rsid w:val="00AF68D8"/>
    <w:rsid w:val="00AF6B8B"/>
    <w:rsid w:val="00B00578"/>
    <w:rsid w:val="00B032B4"/>
    <w:rsid w:val="00B03CB0"/>
    <w:rsid w:val="00B10EA6"/>
    <w:rsid w:val="00B12DC9"/>
    <w:rsid w:val="00B13F84"/>
    <w:rsid w:val="00B14604"/>
    <w:rsid w:val="00B15ABA"/>
    <w:rsid w:val="00B16998"/>
    <w:rsid w:val="00B20DFD"/>
    <w:rsid w:val="00B21934"/>
    <w:rsid w:val="00B247EE"/>
    <w:rsid w:val="00B24DD4"/>
    <w:rsid w:val="00B250C8"/>
    <w:rsid w:val="00B26B32"/>
    <w:rsid w:val="00B312E1"/>
    <w:rsid w:val="00B32685"/>
    <w:rsid w:val="00B34061"/>
    <w:rsid w:val="00B34339"/>
    <w:rsid w:val="00B352D6"/>
    <w:rsid w:val="00B426B0"/>
    <w:rsid w:val="00B42B2F"/>
    <w:rsid w:val="00B432EF"/>
    <w:rsid w:val="00B43B73"/>
    <w:rsid w:val="00B44900"/>
    <w:rsid w:val="00B467F6"/>
    <w:rsid w:val="00B46AEA"/>
    <w:rsid w:val="00B472E1"/>
    <w:rsid w:val="00B47BF5"/>
    <w:rsid w:val="00B511E9"/>
    <w:rsid w:val="00B51611"/>
    <w:rsid w:val="00B52821"/>
    <w:rsid w:val="00B60C2A"/>
    <w:rsid w:val="00B610ED"/>
    <w:rsid w:val="00B6214D"/>
    <w:rsid w:val="00B6318B"/>
    <w:rsid w:val="00B63E40"/>
    <w:rsid w:val="00B64727"/>
    <w:rsid w:val="00B66809"/>
    <w:rsid w:val="00B6728D"/>
    <w:rsid w:val="00B71170"/>
    <w:rsid w:val="00B72C36"/>
    <w:rsid w:val="00B74AFF"/>
    <w:rsid w:val="00B75420"/>
    <w:rsid w:val="00B77E85"/>
    <w:rsid w:val="00B80BCE"/>
    <w:rsid w:val="00B81524"/>
    <w:rsid w:val="00B81740"/>
    <w:rsid w:val="00B81890"/>
    <w:rsid w:val="00B81FE2"/>
    <w:rsid w:val="00B83542"/>
    <w:rsid w:val="00B83741"/>
    <w:rsid w:val="00B837A9"/>
    <w:rsid w:val="00B83E20"/>
    <w:rsid w:val="00B85D7B"/>
    <w:rsid w:val="00B87033"/>
    <w:rsid w:val="00B900EA"/>
    <w:rsid w:val="00B91069"/>
    <w:rsid w:val="00B91871"/>
    <w:rsid w:val="00B92842"/>
    <w:rsid w:val="00B930D1"/>
    <w:rsid w:val="00B93531"/>
    <w:rsid w:val="00B97DA0"/>
    <w:rsid w:val="00BA1075"/>
    <w:rsid w:val="00BA2443"/>
    <w:rsid w:val="00BA2713"/>
    <w:rsid w:val="00BA2941"/>
    <w:rsid w:val="00BA4438"/>
    <w:rsid w:val="00BA4C61"/>
    <w:rsid w:val="00BA5DAB"/>
    <w:rsid w:val="00BA627A"/>
    <w:rsid w:val="00BA7CB5"/>
    <w:rsid w:val="00BB22FA"/>
    <w:rsid w:val="00BB2437"/>
    <w:rsid w:val="00BB2A6F"/>
    <w:rsid w:val="00BB2CC2"/>
    <w:rsid w:val="00BB3C67"/>
    <w:rsid w:val="00BB53C8"/>
    <w:rsid w:val="00BB64AA"/>
    <w:rsid w:val="00BB6983"/>
    <w:rsid w:val="00BB75B8"/>
    <w:rsid w:val="00BB7EB9"/>
    <w:rsid w:val="00BC15B9"/>
    <w:rsid w:val="00BC273A"/>
    <w:rsid w:val="00BC5823"/>
    <w:rsid w:val="00BC7DA7"/>
    <w:rsid w:val="00BC7F49"/>
    <w:rsid w:val="00BD12A1"/>
    <w:rsid w:val="00BD1D09"/>
    <w:rsid w:val="00BD1D6C"/>
    <w:rsid w:val="00BD2C0D"/>
    <w:rsid w:val="00BD50FC"/>
    <w:rsid w:val="00BD7B83"/>
    <w:rsid w:val="00BE3F90"/>
    <w:rsid w:val="00BE7700"/>
    <w:rsid w:val="00BF0820"/>
    <w:rsid w:val="00BF17C6"/>
    <w:rsid w:val="00BF1FA5"/>
    <w:rsid w:val="00BF2871"/>
    <w:rsid w:val="00BF674E"/>
    <w:rsid w:val="00BF6F09"/>
    <w:rsid w:val="00C00FDA"/>
    <w:rsid w:val="00C02EB9"/>
    <w:rsid w:val="00C0373C"/>
    <w:rsid w:val="00C04667"/>
    <w:rsid w:val="00C04E4B"/>
    <w:rsid w:val="00C059CA"/>
    <w:rsid w:val="00C10C22"/>
    <w:rsid w:val="00C10D1B"/>
    <w:rsid w:val="00C10E59"/>
    <w:rsid w:val="00C11531"/>
    <w:rsid w:val="00C11B56"/>
    <w:rsid w:val="00C146C2"/>
    <w:rsid w:val="00C14C04"/>
    <w:rsid w:val="00C14FE4"/>
    <w:rsid w:val="00C16045"/>
    <w:rsid w:val="00C20A87"/>
    <w:rsid w:val="00C2127E"/>
    <w:rsid w:val="00C21B0F"/>
    <w:rsid w:val="00C21E27"/>
    <w:rsid w:val="00C2332A"/>
    <w:rsid w:val="00C23A38"/>
    <w:rsid w:val="00C23CF4"/>
    <w:rsid w:val="00C23E77"/>
    <w:rsid w:val="00C24B14"/>
    <w:rsid w:val="00C271FE"/>
    <w:rsid w:val="00C31733"/>
    <w:rsid w:val="00C338B9"/>
    <w:rsid w:val="00C339FE"/>
    <w:rsid w:val="00C354AA"/>
    <w:rsid w:val="00C42269"/>
    <w:rsid w:val="00C42482"/>
    <w:rsid w:val="00C42EA5"/>
    <w:rsid w:val="00C462FC"/>
    <w:rsid w:val="00C475BE"/>
    <w:rsid w:val="00C47C54"/>
    <w:rsid w:val="00C52017"/>
    <w:rsid w:val="00C53B99"/>
    <w:rsid w:val="00C54528"/>
    <w:rsid w:val="00C56A71"/>
    <w:rsid w:val="00C5721F"/>
    <w:rsid w:val="00C575CA"/>
    <w:rsid w:val="00C62BF5"/>
    <w:rsid w:val="00C6302F"/>
    <w:rsid w:val="00C6331C"/>
    <w:rsid w:val="00C636DA"/>
    <w:rsid w:val="00C64BDA"/>
    <w:rsid w:val="00C6659C"/>
    <w:rsid w:val="00C67B3A"/>
    <w:rsid w:val="00C67E22"/>
    <w:rsid w:val="00C70556"/>
    <w:rsid w:val="00C72271"/>
    <w:rsid w:val="00C72A17"/>
    <w:rsid w:val="00C73BBD"/>
    <w:rsid w:val="00C74056"/>
    <w:rsid w:val="00C81356"/>
    <w:rsid w:val="00C813CD"/>
    <w:rsid w:val="00C82A2E"/>
    <w:rsid w:val="00C83166"/>
    <w:rsid w:val="00C8318C"/>
    <w:rsid w:val="00C858D9"/>
    <w:rsid w:val="00C85A17"/>
    <w:rsid w:val="00C86508"/>
    <w:rsid w:val="00C87DA0"/>
    <w:rsid w:val="00C91E77"/>
    <w:rsid w:val="00C94FE7"/>
    <w:rsid w:val="00C952BB"/>
    <w:rsid w:val="00C97387"/>
    <w:rsid w:val="00C977CC"/>
    <w:rsid w:val="00C97B08"/>
    <w:rsid w:val="00C97DF1"/>
    <w:rsid w:val="00CA26CA"/>
    <w:rsid w:val="00CA4E4D"/>
    <w:rsid w:val="00CA64A4"/>
    <w:rsid w:val="00CA6FF9"/>
    <w:rsid w:val="00CB0AEE"/>
    <w:rsid w:val="00CB0B44"/>
    <w:rsid w:val="00CB3189"/>
    <w:rsid w:val="00CB4238"/>
    <w:rsid w:val="00CB4D84"/>
    <w:rsid w:val="00CB5938"/>
    <w:rsid w:val="00CB5B27"/>
    <w:rsid w:val="00CB7B8B"/>
    <w:rsid w:val="00CB7DBA"/>
    <w:rsid w:val="00CB7E4F"/>
    <w:rsid w:val="00CC1A64"/>
    <w:rsid w:val="00CC1F18"/>
    <w:rsid w:val="00CC34EB"/>
    <w:rsid w:val="00CC66EA"/>
    <w:rsid w:val="00CD3647"/>
    <w:rsid w:val="00CD3C17"/>
    <w:rsid w:val="00CE19D0"/>
    <w:rsid w:val="00CE1E25"/>
    <w:rsid w:val="00CE1F9C"/>
    <w:rsid w:val="00CE2D14"/>
    <w:rsid w:val="00CE2E48"/>
    <w:rsid w:val="00CE5A2C"/>
    <w:rsid w:val="00CE6850"/>
    <w:rsid w:val="00CF0184"/>
    <w:rsid w:val="00CF1094"/>
    <w:rsid w:val="00CF12A9"/>
    <w:rsid w:val="00CF1338"/>
    <w:rsid w:val="00CF1550"/>
    <w:rsid w:val="00CF2798"/>
    <w:rsid w:val="00CF55F6"/>
    <w:rsid w:val="00CF59E0"/>
    <w:rsid w:val="00CF6672"/>
    <w:rsid w:val="00D009BB"/>
    <w:rsid w:val="00D021F7"/>
    <w:rsid w:val="00D043CA"/>
    <w:rsid w:val="00D04A3D"/>
    <w:rsid w:val="00D052E8"/>
    <w:rsid w:val="00D053A7"/>
    <w:rsid w:val="00D0558C"/>
    <w:rsid w:val="00D069C7"/>
    <w:rsid w:val="00D078A2"/>
    <w:rsid w:val="00D079EF"/>
    <w:rsid w:val="00D07CDF"/>
    <w:rsid w:val="00D14F0D"/>
    <w:rsid w:val="00D17BBF"/>
    <w:rsid w:val="00D203BD"/>
    <w:rsid w:val="00D21123"/>
    <w:rsid w:val="00D21F50"/>
    <w:rsid w:val="00D26BB7"/>
    <w:rsid w:val="00D27B98"/>
    <w:rsid w:val="00D303F6"/>
    <w:rsid w:val="00D3325E"/>
    <w:rsid w:val="00D33289"/>
    <w:rsid w:val="00D3400A"/>
    <w:rsid w:val="00D34E9D"/>
    <w:rsid w:val="00D35001"/>
    <w:rsid w:val="00D367EB"/>
    <w:rsid w:val="00D36A0F"/>
    <w:rsid w:val="00D36A98"/>
    <w:rsid w:val="00D36C91"/>
    <w:rsid w:val="00D37473"/>
    <w:rsid w:val="00D4032D"/>
    <w:rsid w:val="00D403C7"/>
    <w:rsid w:val="00D41871"/>
    <w:rsid w:val="00D41B6C"/>
    <w:rsid w:val="00D43D45"/>
    <w:rsid w:val="00D45954"/>
    <w:rsid w:val="00D461C2"/>
    <w:rsid w:val="00D466A9"/>
    <w:rsid w:val="00D47329"/>
    <w:rsid w:val="00D525C4"/>
    <w:rsid w:val="00D57146"/>
    <w:rsid w:val="00D61291"/>
    <w:rsid w:val="00D61AAE"/>
    <w:rsid w:val="00D6234F"/>
    <w:rsid w:val="00D646CA"/>
    <w:rsid w:val="00D64CB8"/>
    <w:rsid w:val="00D654F9"/>
    <w:rsid w:val="00D65808"/>
    <w:rsid w:val="00D70B79"/>
    <w:rsid w:val="00D72C81"/>
    <w:rsid w:val="00D72EB0"/>
    <w:rsid w:val="00D72FD8"/>
    <w:rsid w:val="00D74F41"/>
    <w:rsid w:val="00D75BB1"/>
    <w:rsid w:val="00D77AA2"/>
    <w:rsid w:val="00D81307"/>
    <w:rsid w:val="00D84279"/>
    <w:rsid w:val="00D87BB4"/>
    <w:rsid w:val="00D92A45"/>
    <w:rsid w:val="00D9398A"/>
    <w:rsid w:val="00D94BBE"/>
    <w:rsid w:val="00D95E7E"/>
    <w:rsid w:val="00D9697A"/>
    <w:rsid w:val="00DA11F9"/>
    <w:rsid w:val="00DA2E08"/>
    <w:rsid w:val="00DA4C48"/>
    <w:rsid w:val="00DA6FD6"/>
    <w:rsid w:val="00DA727D"/>
    <w:rsid w:val="00DB112C"/>
    <w:rsid w:val="00DB1244"/>
    <w:rsid w:val="00DB34F0"/>
    <w:rsid w:val="00DB4974"/>
    <w:rsid w:val="00DB53A7"/>
    <w:rsid w:val="00DB5702"/>
    <w:rsid w:val="00DB6030"/>
    <w:rsid w:val="00DB64A0"/>
    <w:rsid w:val="00DC13CF"/>
    <w:rsid w:val="00DC3285"/>
    <w:rsid w:val="00DC37D4"/>
    <w:rsid w:val="00DC71A1"/>
    <w:rsid w:val="00DD01CB"/>
    <w:rsid w:val="00DD06E8"/>
    <w:rsid w:val="00DD0B11"/>
    <w:rsid w:val="00DD119D"/>
    <w:rsid w:val="00DD170F"/>
    <w:rsid w:val="00DD3455"/>
    <w:rsid w:val="00DD36EB"/>
    <w:rsid w:val="00DD5719"/>
    <w:rsid w:val="00DD5B04"/>
    <w:rsid w:val="00DD661C"/>
    <w:rsid w:val="00DD7808"/>
    <w:rsid w:val="00DE0A8A"/>
    <w:rsid w:val="00DE3FB6"/>
    <w:rsid w:val="00DE4C6D"/>
    <w:rsid w:val="00DE69F8"/>
    <w:rsid w:val="00DF438F"/>
    <w:rsid w:val="00DF68E4"/>
    <w:rsid w:val="00DF6B07"/>
    <w:rsid w:val="00DF6E54"/>
    <w:rsid w:val="00E00FE1"/>
    <w:rsid w:val="00E034CC"/>
    <w:rsid w:val="00E03883"/>
    <w:rsid w:val="00E04228"/>
    <w:rsid w:val="00E04457"/>
    <w:rsid w:val="00E04BBC"/>
    <w:rsid w:val="00E066F4"/>
    <w:rsid w:val="00E103B5"/>
    <w:rsid w:val="00E10450"/>
    <w:rsid w:val="00E143FE"/>
    <w:rsid w:val="00E1478E"/>
    <w:rsid w:val="00E157DD"/>
    <w:rsid w:val="00E159D7"/>
    <w:rsid w:val="00E15EC0"/>
    <w:rsid w:val="00E16FC8"/>
    <w:rsid w:val="00E172D6"/>
    <w:rsid w:val="00E17327"/>
    <w:rsid w:val="00E213AB"/>
    <w:rsid w:val="00E21653"/>
    <w:rsid w:val="00E21C9B"/>
    <w:rsid w:val="00E2414E"/>
    <w:rsid w:val="00E25DBF"/>
    <w:rsid w:val="00E2630B"/>
    <w:rsid w:val="00E26830"/>
    <w:rsid w:val="00E26FAF"/>
    <w:rsid w:val="00E311A6"/>
    <w:rsid w:val="00E31AE8"/>
    <w:rsid w:val="00E354AD"/>
    <w:rsid w:val="00E40B36"/>
    <w:rsid w:val="00E41F1A"/>
    <w:rsid w:val="00E42B97"/>
    <w:rsid w:val="00E43AB0"/>
    <w:rsid w:val="00E444CE"/>
    <w:rsid w:val="00E45FE2"/>
    <w:rsid w:val="00E4652C"/>
    <w:rsid w:val="00E47209"/>
    <w:rsid w:val="00E50167"/>
    <w:rsid w:val="00E51672"/>
    <w:rsid w:val="00E522FC"/>
    <w:rsid w:val="00E53847"/>
    <w:rsid w:val="00E54ADA"/>
    <w:rsid w:val="00E55EE5"/>
    <w:rsid w:val="00E55FCF"/>
    <w:rsid w:val="00E57885"/>
    <w:rsid w:val="00E5794D"/>
    <w:rsid w:val="00E612DB"/>
    <w:rsid w:val="00E61784"/>
    <w:rsid w:val="00E625B3"/>
    <w:rsid w:val="00E64743"/>
    <w:rsid w:val="00E65F72"/>
    <w:rsid w:val="00E6745B"/>
    <w:rsid w:val="00E719E8"/>
    <w:rsid w:val="00E7257D"/>
    <w:rsid w:val="00E728CB"/>
    <w:rsid w:val="00E7336F"/>
    <w:rsid w:val="00E73E8A"/>
    <w:rsid w:val="00E747C3"/>
    <w:rsid w:val="00E74F3B"/>
    <w:rsid w:val="00E76262"/>
    <w:rsid w:val="00E84A6B"/>
    <w:rsid w:val="00E86390"/>
    <w:rsid w:val="00E863B3"/>
    <w:rsid w:val="00E87F65"/>
    <w:rsid w:val="00E90AB6"/>
    <w:rsid w:val="00E91095"/>
    <w:rsid w:val="00E910A2"/>
    <w:rsid w:val="00E913F0"/>
    <w:rsid w:val="00E92385"/>
    <w:rsid w:val="00E93C6A"/>
    <w:rsid w:val="00E93F74"/>
    <w:rsid w:val="00E96DEA"/>
    <w:rsid w:val="00EA1585"/>
    <w:rsid w:val="00EA2E37"/>
    <w:rsid w:val="00EA48AE"/>
    <w:rsid w:val="00EA51A7"/>
    <w:rsid w:val="00EA65A6"/>
    <w:rsid w:val="00EA7D2D"/>
    <w:rsid w:val="00EB09E2"/>
    <w:rsid w:val="00EB0CAD"/>
    <w:rsid w:val="00EB0D33"/>
    <w:rsid w:val="00EB0FCB"/>
    <w:rsid w:val="00EB1313"/>
    <w:rsid w:val="00EB2F08"/>
    <w:rsid w:val="00EB31B6"/>
    <w:rsid w:val="00EB74A5"/>
    <w:rsid w:val="00EB7A7A"/>
    <w:rsid w:val="00EC0246"/>
    <w:rsid w:val="00EC4983"/>
    <w:rsid w:val="00EC5B67"/>
    <w:rsid w:val="00ED018B"/>
    <w:rsid w:val="00ED3CD3"/>
    <w:rsid w:val="00ED65D6"/>
    <w:rsid w:val="00ED7564"/>
    <w:rsid w:val="00EE0126"/>
    <w:rsid w:val="00EE1741"/>
    <w:rsid w:val="00EE47FE"/>
    <w:rsid w:val="00EE50C6"/>
    <w:rsid w:val="00EE54C6"/>
    <w:rsid w:val="00EE6587"/>
    <w:rsid w:val="00EE70EE"/>
    <w:rsid w:val="00EE766D"/>
    <w:rsid w:val="00EF1126"/>
    <w:rsid w:val="00EF1CAD"/>
    <w:rsid w:val="00EF2208"/>
    <w:rsid w:val="00EF2763"/>
    <w:rsid w:val="00EF2A15"/>
    <w:rsid w:val="00EF2BED"/>
    <w:rsid w:val="00EF329F"/>
    <w:rsid w:val="00EF4942"/>
    <w:rsid w:val="00EF4AFB"/>
    <w:rsid w:val="00EF4B0D"/>
    <w:rsid w:val="00EF54CE"/>
    <w:rsid w:val="00EF5BFD"/>
    <w:rsid w:val="00EF6D33"/>
    <w:rsid w:val="00EF7E0D"/>
    <w:rsid w:val="00F00470"/>
    <w:rsid w:val="00F00827"/>
    <w:rsid w:val="00F01C6F"/>
    <w:rsid w:val="00F02A88"/>
    <w:rsid w:val="00F04B28"/>
    <w:rsid w:val="00F0509B"/>
    <w:rsid w:val="00F06EE2"/>
    <w:rsid w:val="00F07280"/>
    <w:rsid w:val="00F074DC"/>
    <w:rsid w:val="00F131E8"/>
    <w:rsid w:val="00F15632"/>
    <w:rsid w:val="00F16A5E"/>
    <w:rsid w:val="00F17535"/>
    <w:rsid w:val="00F23935"/>
    <w:rsid w:val="00F24895"/>
    <w:rsid w:val="00F24F8F"/>
    <w:rsid w:val="00F30097"/>
    <w:rsid w:val="00F303B2"/>
    <w:rsid w:val="00F306ED"/>
    <w:rsid w:val="00F307E0"/>
    <w:rsid w:val="00F31637"/>
    <w:rsid w:val="00F329C1"/>
    <w:rsid w:val="00F343DD"/>
    <w:rsid w:val="00F34D63"/>
    <w:rsid w:val="00F366D7"/>
    <w:rsid w:val="00F439FD"/>
    <w:rsid w:val="00F442CF"/>
    <w:rsid w:val="00F467C9"/>
    <w:rsid w:val="00F46CE9"/>
    <w:rsid w:val="00F47337"/>
    <w:rsid w:val="00F51B98"/>
    <w:rsid w:val="00F5328F"/>
    <w:rsid w:val="00F5349F"/>
    <w:rsid w:val="00F53D01"/>
    <w:rsid w:val="00F548E2"/>
    <w:rsid w:val="00F556AB"/>
    <w:rsid w:val="00F57F7A"/>
    <w:rsid w:val="00F61362"/>
    <w:rsid w:val="00F62D33"/>
    <w:rsid w:val="00F6438C"/>
    <w:rsid w:val="00F6570B"/>
    <w:rsid w:val="00F66A7B"/>
    <w:rsid w:val="00F67615"/>
    <w:rsid w:val="00F71909"/>
    <w:rsid w:val="00F73545"/>
    <w:rsid w:val="00F7357F"/>
    <w:rsid w:val="00F7687B"/>
    <w:rsid w:val="00F76A02"/>
    <w:rsid w:val="00F76C98"/>
    <w:rsid w:val="00F77467"/>
    <w:rsid w:val="00F804C7"/>
    <w:rsid w:val="00F804CD"/>
    <w:rsid w:val="00F80750"/>
    <w:rsid w:val="00F80C64"/>
    <w:rsid w:val="00F81517"/>
    <w:rsid w:val="00F819A7"/>
    <w:rsid w:val="00F82600"/>
    <w:rsid w:val="00F8381C"/>
    <w:rsid w:val="00F85F59"/>
    <w:rsid w:val="00F86538"/>
    <w:rsid w:val="00F86717"/>
    <w:rsid w:val="00F86DD4"/>
    <w:rsid w:val="00F91322"/>
    <w:rsid w:val="00F942EC"/>
    <w:rsid w:val="00F95536"/>
    <w:rsid w:val="00F96A07"/>
    <w:rsid w:val="00F96BDD"/>
    <w:rsid w:val="00F97C7A"/>
    <w:rsid w:val="00FA008C"/>
    <w:rsid w:val="00FA0DCA"/>
    <w:rsid w:val="00FA135A"/>
    <w:rsid w:val="00FA2909"/>
    <w:rsid w:val="00FA3CEC"/>
    <w:rsid w:val="00FA3ED8"/>
    <w:rsid w:val="00FA6729"/>
    <w:rsid w:val="00FA714D"/>
    <w:rsid w:val="00FB0FB3"/>
    <w:rsid w:val="00FB27CE"/>
    <w:rsid w:val="00FB2D47"/>
    <w:rsid w:val="00FB4CF2"/>
    <w:rsid w:val="00FB5F02"/>
    <w:rsid w:val="00FB6C68"/>
    <w:rsid w:val="00FC28CB"/>
    <w:rsid w:val="00FC318E"/>
    <w:rsid w:val="00FC398C"/>
    <w:rsid w:val="00FC4845"/>
    <w:rsid w:val="00FC535A"/>
    <w:rsid w:val="00FC58E6"/>
    <w:rsid w:val="00FC63E0"/>
    <w:rsid w:val="00FC6B03"/>
    <w:rsid w:val="00FC7570"/>
    <w:rsid w:val="00FD05C9"/>
    <w:rsid w:val="00FD06D5"/>
    <w:rsid w:val="00FD1137"/>
    <w:rsid w:val="00FD28FF"/>
    <w:rsid w:val="00FD5CBD"/>
    <w:rsid w:val="00FD68A1"/>
    <w:rsid w:val="00FE07BE"/>
    <w:rsid w:val="00FE110C"/>
    <w:rsid w:val="00FE1592"/>
    <w:rsid w:val="00FE2B3B"/>
    <w:rsid w:val="00FE419E"/>
    <w:rsid w:val="00FF1442"/>
    <w:rsid w:val="00FF2484"/>
    <w:rsid w:val="00FF27C1"/>
    <w:rsid w:val="00FF40C2"/>
    <w:rsid w:val="00FF4201"/>
    <w:rsid w:val="00FF46C4"/>
    <w:rsid w:val="00FF546B"/>
    <w:rsid w:val="00FF6B16"/>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D2F8B"/>
  <w15:docId w15:val="{EDD5BEC1-4ACB-445E-8DF2-A0245BDF5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DIN OT" w:eastAsiaTheme="minorHAnsi" w:hAnsi="DIN OT" w:cstheme="minorBidi"/>
        <w:color w:val="000000"/>
        <w:sz w:val="22"/>
        <w:szCs w:val="22"/>
        <w:lang w:val="en-AU" w:eastAsia="en-US" w:bidi="ar-SA"/>
      </w:rPr>
    </w:rPrDefault>
    <w:pPrDefault>
      <w:pPr>
        <w:spacing w:after="240"/>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3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953192"/>
    <w:pPr>
      <w:numPr>
        <w:numId w:val="5"/>
      </w:numPr>
    </w:pPr>
    <w:rPr>
      <w:rFonts w:ascii="DIN OT Light" w:hAnsi="DIN OT Light"/>
    </w:rPr>
  </w:style>
  <w:style w:type="paragraph" w:styleId="Heading1">
    <w:name w:val="heading 1"/>
    <w:basedOn w:val="Normal"/>
    <w:next w:val="Normal"/>
    <w:link w:val="Heading1Char"/>
    <w:uiPriority w:val="9"/>
    <w:qFormat/>
    <w:rsid w:val="00BB2437"/>
    <w:pPr>
      <w:keepNext/>
      <w:keepLines/>
      <w:pageBreakBefore/>
      <w:numPr>
        <w:numId w:val="0"/>
      </w:numPr>
      <w:pBdr>
        <w:bottom w:val="single" w:sz="4" w:space="3" w:color="BFBFBF" w:themeColor="background1" w:themeShade="BF"/>
      </w:pBdr>
      <w:spacing w:after="480"/>
      <w:outlineLvl w:val="0"/>
    </w:pPr>
    <w:rPr>
      <w:rFonts w:ascii="DIN OT Medium" w:eastAsiaTheme="majorEastAsia" w:hAnsi="DIN OT Medium" w:cstheme="majorBidi"/>
      <w:bCs/>
      <w:color w:val="012169" w:themeColor="text2"/>
      <w:sz w:val="48"/>
      <w:szCs w:val="28"/>
    </w:rPr>
  </w:style>
  <w:style w:type="paragraph" w:styleId="Heading2">
    <w:name w:val="heading 2"/>
    <w:basedOn w:val="Normal"/>
    <w:next w:val="Normal"/>
    <w:link w:val="Heading2Char"/>
    <w:uiPriority w:val="9"/>
    <w:qFormat/>
    <w:rsid w:val="00F61362"/>
    <w:pPr>
      <w:keepNext/>
      <w:keepLines/>
      <w:numPr>
        <w:numId w:val="0"/>
      </w:numPr>
      <w:spacing w:before="320"/>
      <w:outlineLvl w:val="1"/>
    </w:pPr>
    <w:rPr>
      <w:rFonts w:ascii="DIN OT Medium" w:eastAsiaTheme="majorEastAsia" w:hAnsi="DIN OT Medium" w:cstheme="majorBidi"/>
      <w:bCs/>
      <w:color w:val="012169" w:themeColor="text2"/>
      <w:sz w:val="30"/>
      <w:szCs w:val="26"/>
    </w:rPr>
  </w:style>
  <w:style w:type="paragraph" w:styleId="Heading3">
    <w:name w:val="heading 3"/>
    <w:basedOn w:val="Normal"/>
    <w:next w:val="Normal"/>
    <w:link w:val="Heading3Char"/>
    <w:uiPriority w:val="9"/>
    <w:qFormat/>
    <w:rsid w:val="007568F8"/>
    <w:pPr>
      <w:keepNext/>
      <w:keepLines/>
      <w:numPr>
        <w:numId w:val="0"/>
      </w:numPr>
      <w:spacing w:before="280" w:after="120"/>
      <w:outlineLvl w:val="2"/>
    </w:pPr>
    <w:rPr>
      <w:rFonts w:ascii="DIN OT Medium" w:eastAsiaTheme="majorEastAsia" w:hAnsi="DIN OT Medium" w:cstheme="majorBidi"/>
      <w:bCs/>
      <w:color w:val="012169" w:themeColor="text2"/>
      <w:sz w:val="26"/>
    </w:rPr>
  </w:style>
  <w:style w:type="paragraph" w:styleId="Heading4">
    <w:name w:val="heading 4"/>
    <w:basedOn w:val="Normal"/>
    <w:next w:val="Normal"/>
    <w:link w:val="Heading4Char"/>
    <w:uiPriority w:val="9"/>
    <w:qFormat/>
    <w:rsid w:val="0016272E"/>
    <w:pPr>
      <w:keepNext/>
      <w:keepLines/>
      <w:numPr>
        <w:numId w:val="0"/>
      </w:numPr>
      <w:spacing w:before="240" w:after="120"/>
      <w:outlineLvl w:val="3"/>
    </w:pPr>
    <w:rPr>
      <w:rFonts w:ascii="DIN OT Medium" w:eastAsiaTheme="majorEastAsia" w:hAnsi="DIN OT Medium" w:cstheme="majorBidi"/>
      <w:bCs/>
      <w:i/>
      <w:iCs/>
      <w:color w:val="012169" w:themeColor="text2"/>
      <w:sz w:val="26"/>
    </w:rPr>
  </w:style>
  <w:style w:type="paragraph" w:styleId="Heading5">
    <w:name w:val="heading 5"/>
    <w:basedOn w:val="Normal"/>
    <w:next w:val="Normal"/>
    <w:link w:val="Heading5Char"/>
    <w:uiPriority w:val="9"/>
    <w:qFormat/>
    <w:rsid w:val="006C6C47"/>
    <w:pPr>
      <w:keepNext/>
      <w:keepLines/>
      <w:numPr>
        <w:numId w:val="0"/>
      </w:numPr>
      <w:spacing w:before="240" w:after="60"/>
      <w:outlineLvl w:val="4"/>
    </w:pPr>
    <w:rPr>
      <w:rFonts w:ascii="DIN OT Medium" w:eastAsiaTheme="majorEastAsia" w:hAnsi="DIN OT Medium" w:cstheme="majorBidi"/>
      <w:color w:val="000000" w:themeColor="text1"/>
    </w:rPr>
  </w:style>
  <w:style w:type="paragraph" w:styleId="Heading6">
    <w:name w:val="heading 6"/>
    <w:basedOn w:val="Normal"/>
    <w:next w:val="Normal"/>
    <w:link w:val="Heading6Char"/>
    <w:uiPriority w:val="9"/>
    <w:semiHidden/>
    <w:qFormat/>
    <w:rsid w:val="00BB6983"/>
    <w:pPr>
      <w:keepNext/>
      <w:keepLines/>
      <w:numPr>
        <w:numId w:val="0"/>
      </w:numPr>
      <w:spacing w:after="120" w:line="288" w:lineRule="auto"/>
      <w:outlineLvl w:val="5"/>
    </w:pPr>
    <w:rPr>
      <w:rFonts w:ascii="DIN Offc Medium" w:eastAsiaTheme="majorEastAsia" w:hAnsi="DIN Offc Medium" w:cstheme="majorBidi"/>
      <w:i/>
      <w:iCs/>
      <w:color w:val="012169" w:themeColor="text2"/>
    </w:rPr>
  </w:style>
  <w:style w:type="paragraph" w:styleId="Heading7">
    <w:name w:val="heading 7"/>
    <w:basedOn w:val="Normal"/>
    <w:next w:val="Normal"/>
    <w:link w:val="Heading7Char"/>
    <w:uiPriority w:val="9"/>
    <w:semiHidden/>
    <w:qFormat/>
    <w:rsid w:val="00BB6983"/>
    <w:pPr>
      <w:keepNext/>
      <w:keepLines/>
      <w:numPr>
        <w:numId w:val="0"/>
      </w:numPr>
      <w:spacing w:after="120" w:line="288" w:lineRule="auto"/>
      <w:outlineLvl w:val="6"/>
    </w:pPr>
    <w:rPr>
      <w:rFonts w:ascii="DIN Offc Medium" w:eastAsiaTheme="majorEastAsia" w:hAnsi="DIN Offc Medium" w:cstheme="majorBidi"/>
      <w:i/>
      <w:iCs/>
      <w:color w:val="012169" w:themeColor="text2"/>
    </w:rPr>
  </w:style>
  <w:style w:type="paragraph" w:styleId="Heading8">
    <w:name w:val="heading 8"/>
    <w:basedOn w:val="Normal"/>
    <w:next w:val="Normal"/>
    <w:link w:val="Heading8Char"/>
    <w:uiPriority w:val="9"/>
    <w:semiHidden/>
    <w:qFormat/>
    <w:rsid w:val="00BB6983"/>
    <w:pPr>
      <w:keepNext/>
      <w:keepLines/>
      <w:numPr>
        <w:numId w:val="0"/>
      </w:numPr>
      <w:spacing w:after="120" w:line="288" w:lineRule="auto"/>
      <w:outlineLvl w:val="7"/>
    </w:pPr>
    <w:rPr>
      <w:rFonts w:ascii="DIN Offc Medium" w:eastAsiaTheme="majorEastAsia" w:hAnsi="DIN Offc Medium" w:cstheme="majorBidi"/>
      <w:i/>
      <w:color w:val="012169" w:themeColor="text2"/>
    </w:rPr>
  </w:style>
  <w:style w:type="paragraph" w:styleId="Heading9">
    <w:name w:val="heading 9"/>
    <w:basedOn w:val="Normal"/>
    <w:next w:val="Normal"/>
    <w:link w:val="Heading9Char"/>
    <w:uiPriority w:val="9"/>
    <w:semiHidden/>
    <w:qFormat/>
    <w:rsid w:val="00BB6983"/>
    <w:pPr>
      <w:keepNext/>
      <w:keepLines/>
      <w:numPr>
        <w:numId w:val="0"/>
      </w:numPr>
      <w:spacing w:after="120" w:line="288" w:lineRule="auto"/>
      <w:outlineLvl w:val="8"/>
    </w:pPr>
    <w:rPr>
      <w:rFonts w:ascii="DIN Offc Medium" w:eastAsiaTheme="majorEastAsia" w:hAnsi="DIN Offc Medium" w:cstheme="majorBidi"/>
      <w:i/>
      <w:iCs/>
      <w:color w:val="012169"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437"/>
    <w:rPr>
      <w:rFonts w:ascii="DIN OT Medium" w:eastAsiaTheme="majorEastAsia" w:hAnsi="DIN OT Medium" w:cstheme="majorBidi"/>
      <w:bCs/>
      <w:color w:val="012169" w:themeColor="text2"/>
      <w:sz w:val="48"/>
      <w:szCs w:val="28"/>
    </w:rPr>
  </w:style>
  <w:style w:type="character" w:customStyle="1" w:styleId="Heading2Char">
    <w:name w:val="Heading 2 Char"/>
    <w:basedOn w:val="DefaultParagraphFont"/>
    <w:link w:val="Heading2"/>
    <w:uiPriority w:val="9"/>
    <w:rsid w:val="00F61362"/>
    <w:rPr>
      <w:rFonts w:ascii="DIN OT Medium" w:eastAsiaTheme="majorEastAsia" w:hAnsi="DIN OT Medium" w:cstheme="majorBidi"/>
      <w:bCs/>
      <w:color w:val="012169" w:themeColor="text2"/>
      <w:sz w:val="30"/>
      <w:szCs w:val="26"/>
    </w:rPr>
  </w:style>
  <w:style w:type="character" w:customStyle="1" w:styleId="Heading3Char">
    <w:name w:val="Heading 3 Char"/>
    <w:basedOn w:val="DefaultParagraphFont"/>
    <w:link w:val="Heading3"/>
    <w:uiPriority w:val="9"/>
    <w:rsid w:val="007568F8"/>
    <w:rPr>
      <w:rFonts w:ascii="DIN OT Medium" w:eastAsiaTheme="majorEastAsia" w:hAnsi="DIN OT Medium" w:cstheme="majorBidi"/>
      <w:bCs/>
      <w:color w:val="012169" w:themeColor="text2"/>
      <w:sz w:val="26"/>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AD393D"/>
    <w:pPr>
      <w:keepNext/>
      <w:keepLines/>
      <w:numPr>
        <w:numId w:val="0"/>
      </w:numPr>
      <w:spacing w:before="240" w:after="120"/>
    </w:pPr>
    <w:rPr>
      <w:rFonts w:ascii="DIN OT Medium" w:hAnsi="DIN OT Medium"/>
      <w:color w:val="012169" w:themeColor="text2"/>
      <w:sz w:val="26"/>
    </w:rPr>
  </w:style>
  <w:style w:type="character" w:customStyle="1" w:styleId="Heading4Char">
    <w:name w:val="Heading 4 Char"/>
    <w:basedOn w:val="DefaultParagraphFont"/>
    <w:link w:val="Heading4"/>
    <w:uiPriority w:val="9"/>
    <w:rsid w:val="0016272E"/>
    <w:rPr>
      <w:rFonts w:ascii="DIN OT Medium" w:eastAsiaTheme="majorEastAsia" w:hAnsi="DIN OT Medium" w:cstheme="majorBidi"/>
      <w:bCs/>
      <w:i/>
      <w:iCs/>
      <w:color w:val="012169" w:themeColor="text2"/>
      <w:sz w:val="26"/>
    </w:rPr>
  </w:style>
  <w:style w:type="paragraph" w:styleId="ListBullet">
    <w:name w:val="List Bullet"/>
    <w:basedOn w:val="Normal"/>
    <w:uiPriority w:val="12"/>
    <w:qFormat/>
    <w:rsid w:val="00641EAA"/>
    <w:pPr>
      <w:numPr>
        <w:numId w:val="8"/>
      </w:numPr>
    </w:pPr>
  </w:style>
  <w:style w:type="paragraph" w:styleId="ListBullet2">
    <w:name w:val="List Bullet 2"/>
    <w:basedOn w:val="ListBullet"/>
    <w:uiPriority w:val="12"/>
    <w:qFormat/>
    <w:rsid w:val="00641EAA"/>
    <w:pPr>
      <w:numPr>
        <w:ilvl w:val="1"/>
      </w:numPr>
    </w:pPr>
  </w:style>
  <w:style w:type="paragraph" w:styleId="ListNumber">
    <w:name w:val="List Number"/>
    <w:basedOn w:val="Normal"/>
    <w:uiPriority w:val="15"/>
    <w:qFormat/>
    <w:rsid w:val="00662E28"/>
    <w:pPr>
      <w:numPr>
        <w:numId w:val="14"/>
      </w:numPr>
    </w:pPr>
  </w:style>
  <w:style w:type="paragraph" w:styleId="ListNumber2">
    <w:name w:val="List Number 2"/>
    <w:basedOn w:val="Normal"/>
    <w:uiPriority w:val="16"/>
    <w:qFormat/>
    <w:rsid w:val="00662E28"/>
    <w:pPr>
      <w:numPr>
        <w:ilvl w:val="1"/>
        <w:numId w:val="14"/>
      </w:numPr>
    </w:pPr>
  </w:style>
  <w:style w:type="paragraph" w:styleId="ListNumber3">
    <w:name w:val="List Number 3"/>
    <w:basedOn w:val="Normal"/>
    <w:uiPriority w:val="16"/>
    <w:qFormat/>
    <w:rsid w:val="00662E28"/>
    <w:pPr>
      <w:numPr>
        <w:ilvl w:val="2"/>
        <w:numId w:val="14"/>
      </w:numPr>
    </w:pPr>
  </w:style>
  <w:style w:type="paragraph" w:styleId="Title">
    <w:name w:val="Title"/>
    <w:basedOn w:val="Normal"/>
    <w:next w:val="Normal"/>
    <w:link w:val="TitleChar"/>
    <w:uiPriority w:val="31"/>
    <w:rsid w:val="00DD5719"/>
    <w:pPr>
      <w:numPr>
        <w:numId w:val="0"/>
      </w:numPr>
      <w:pBdr>
        <w:bottom w:val="single" w:sz="24" w:space="10" w:color="012169" w:themeColor="accent1"/>
      </w:pBdr>
      <w:spacing w:after="0" w:line="192" w:lineRule="auto"/>
      <w:ind w:right="567"/>
    </w:pPr>
    <w:rPr>
      <w:rFonts w:ascii="DIN OT Medium" w:eastAsiaTheme="majorEastAsia" w:hAnsi="DIN OT Medium" w:cstheme="majorBidi"/>
      <w:caps/>
      <w:color w:val="012169" w:themeColor="text2"/>
      <w:sz w:val="80"/>
      <w:szCs w:val="52"/>
    </w:rPr>
  </w:style>
  <w:style w:type="character" w:customStyle="1" w:styleId="TitleChar">
    <w:name w:val="Title Char"/>
    <w:basedOn w:val="DefaultParagraphFont"/>
    <w:link w:val="Title"/>
    <w:uiPriority w:val="31"/>
    <w:rsid w:val="000E3427"/>
    <w:rPr>
      <w:rFonts w:ascii="DIN OT Medium" w:eastAsiaTheme="majorEastAsia" w:hAnsi="DIN OT Medium" w:cstheme="majorBidi"/>
      <w:caps/>
      <w:color w:val="012169" w:themeColor="text2"/>
      <w:sz w:val="80"/>
      <w:szCs w:val="52"/>
    </w:rPr>
  </w:style>
  <w:style w:type="paragraph" w:styleId="TOC1">
    <w:name w:val="toc 1"/>
    <w:basedOn w:val="Normal"/>
    <w:next w:val="Normal"/>
    <w:autoRedefine/>
    <w:uiPriority w:val="39"/>
    <w:unhideWhenUsed/>
    <w:rsid w:val="008349ED"/>
    <w:pPr>
      <w:numPr>
        <w:numId w:val="0"/>
      </w:numPr>
      <w:tabs>
        <w:tab w:val="right" w:pos="9027"/>
      </w:tabs>
    </w:pPr>
    <w:rPr>
      <w:rFonts w:ascii="DIN OT Medium" w:hAnsi="DIN OT Medium"/>
    </w:rPr>
  </w:style>
  <w:style w:type="paragraph" w:styleId="TOCHeading">
    <w:name w:val="TOC Heading"/>
    <w:basedOn w:val="Heading1"/>
    <w:next w:val="Normal"/>
    <w:uiPriority w:val="39"/>
    <w:unhideWhenUsed/>
    <w:qFormat/>
    <w:rsid w:val="00616C90"/>
    <w:pPr>
      <w:outlineLvl w:val="9"/>
    </w:pPr>
  </w:style>
  <w:style w:type="paragraph" w:styleId="Footer">
    <w:name w:val="footer"/>
    <w:basedOn w:val="Normal"/>
    <w:link w:val="FooterChar"/>
    <w:uiPriority w:val="99"/>
    <w:rsid w:val="00EE70EE"/>
    <w:pPr>
      <w:numPr>
        <w:numId w:val="0"/>
      </w:numPr>
      <w:tabs>
        <w:tab w:val="right" w:pos="9639"/>
      </w:tabs>
      <w:spacing w:after="0" w:line="200" w:lineRule="exact"/>
      <w:contextualSpacing/>
    </w:pPr>
    <w:rPr>
      <w:caps/>
      <w:sz w:val="16"/>
    </w:rPr>
  </w:style>
  <w:style w:type="character" w:customStyle="1" w:styleId="FooterChar">
    <w:name w:val="Footer Char"/>
    <w:basedOn w:val="DefaultParagraphFont"/>
    <w:link w:val="Footer"/>
    <w:uiPriority w:val="99"/>
    <w:rsid w:val="00EE70EE"/>
    <w:rPr>
      <w:rFonts w:ascii="DIN OT Light" w:hAnsi="DIN OT Light"/>
      <w:caps/>
      <w:sz w:val="16"/>
    </w:rPr>
  </w:style>
  <w:style w:type="paragraph" w:styleId="ListBullet3">
    <w:name w:val="List Bullet 3"/>
    <w:basedOn w:val="Normal"/>
    <w:uiPriority w:val="12"/>
    <w:qFormat/>
    <w:rsid w:val="00641EAA"/>
    <w:pPr>
      <w:numPr>
        <w:ilvl w:val="2"/>
        <w:numId w:val="8"/>
      </w:numPr>
    </w:pPr>
  </w:style>
  <w:style w:type="table" w:styleId="TableGrid">
    <w:name w:val="Table Grid"/>
    <w:basedOn w:val="TableNormal"/>
    <w:uiPriority w:val="59"/>
    <w:rsid w:val="00B20DFD"/>
    <w:pPr>
      <w:spacing w:before="60" w:after="60"/>
    </w:pPr>
    <w:rPr>
      <w:sz w:val="20"/>
    </w:r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rFonts w:ascii="DIN Offc Medium" w:hAnsi="DIN Offc Medium"/>
        <w:b w:val="0"/>
        <w:color w:val="FFFFFF" w:themeColor="background1"/>
      </w:rPr>
      <w:tblPr/>
      <w:trPr>
        <w:cantSplit/>
        <w:tblHeader/>
      </w:trPr>
      <w:tcPr>
        <w:shd w:val="clear" w:color="auto" w:fill="012169" w:themeFill="accent1"/>
      </w:tcPr>
    </w:tblStylePr>
    <w:tblStylePr w:type="lastRow">
      <w:rPr>
        <w:rFonts w:ascii="DIN Offc Medium" w:hAnsi="DIN Offc Medium"/>
        <w:b w:val="0"/>
      </w:rPr>
      <w:tblPr/>
      <w:tcPr>
        <w:shd w:val="clear" w:color="auto" w:fill="EAECEE" w:themeFill="accent4" w:themeFillTint="33"/>
      </w:tcPr>
    </w:tblStylePr>
    <w:tblStylePr w:type="firstCol">
      <w:rPr>
        <w:rFonts w:ascii="DIN Offc Medium" w:hAnsi="DIN Offc Medium"/>
        <w:b w:val="0"/>
        <w:color w:val="auto"/>
      </w:rPr>
    </w:tblStylePr>
    <w:tblStylePr w:type="lastCol">
      <w:pPr>
        <w:jc w:val="right"/>
      </w:pPr>
      <w:rPr>
        <w:rFonts w:ascii="DIN Offc Medium" w:hAnsi="DIN Offc Medium"/>
        <w:b w:val="0"/>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27194D"/>
    <w:pPr>
      <w:tabs>
        <w:tab w:val="left" w:pos="1134"/>
      </w:tabs>
      <w:spacing w:before="240" w:after="120"/>
    </w:pPr>
    <w:rPr>
      <w:rFonts w:ascii="DIN OT Medium" w:hAnsi="DIN OT Medium"/>
      <w:bCs/>
      <w:i/>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29"/>
    <w:qFormat/>
    <w:locked/>
    <w:rsid w:val="003B51A4"/>
    <w:pPr>
      <w:numPr>
        <w:numId w:val="0"/>
      </w:numPr>
      <w:spacing w:after="840"/>
      <w:contextualSpacing/>
    </w:pPr>
  </w:style>
  <w:style w:type="character" w:customStyle="1" w:styleId="DateChar">
    <w:name w:val="Date Char"/>
    <w:basedOn w:val="DefaultParagraphFont"/>
    <w:link w:val="Date"/>
    <w:uiPriority w:val="29"/>
    <w:rsid w:val="003B51A4"/>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rsid w:val="000573E5"/>
    <w:rPr>
      <w:noProof w:val="0"/>
      <w:sz w:val="18"/>
      <w:vertAlign w:val="superscript"/>
      <w:lang w:val="en-AU"/>
    </w:rPr>
  </w:style>
  <w:style w:type="paragraph" w:styleId="FootnoteText">
    <w:name w:val="footnote text"/>
    <w:basedOn w:val="Normal"/>
    <w:link w:val="FootnoteTextChar"/>
    <w:uiPriority w:val="99"/>
    <w:rsid w:val="0016272E"/>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16272E"/>
    <w:rPr>
      <w:sz w:val="18"/>
    </w:rPr>
  </w:style>
  <w:style w:type="character" w:customStyle="1" w:styleId="Heading5Char">
    <w:name w:val="Heading 5 Char"/>
    <w:basedOn w:val="DefaultParagraphFont"/>
    <w:link w:val="Heading5"/>
    <w:uiPriority w:val="9"/>
    <w:rsid w:val="006C6C47"/>
    <w:rPr>
      <w:rFonts w:ascii="DIN OT Medium" w:eastAsiaTheme="majorEastAsia" w:hAnsi="DIN OT Medium" w:cstheme="majorBidi"/>
      <w:color w:val="000000" w:themeColor="text1"/>
    </w:rPr>
  </w:style>
  <w:style w:type="character" w:customStyle="1" w:styleId="Heading6Char">
    <w:name w:val="Heading 6 Char"/>
    <w:basedOn w:val="DefaultParagraphFont"/>
    <w:link w:val="Heading6"/>
    <w:uiPriority w:val="9"/>
    <w:semiHidden/>
    <w:rsid w:val="00283DF4"/>
    <w:rPr>
      <w:rFonts w:ascii="DIN Offc Medium" w:eastAsiaTheme="majorEastAsia" w:hAnsi="DIN Offc Medium" w:cstheme="majorBidi"/>
      <w:i/>
      <w:iCs/>
      <w:color w:val="012169" w:themeColor="text2"/>
    </w:rPr>
  </w:style>
  <w:style w:type="character" w:customStyle="1" w:styleId="Heading7Char">
    <w:name w:val="Heading 7 Char"/>
    <w:basedOn w:val="DefaultParagraphFont"/>
    <w:link w:val="Heading7"/>
    <w:uiPriority w:val="9"/>
    <w:semiHidden/>
    <w:rsid w:val="00283DF4"/>
    <w:rPr>
      <w:rFonts w:ascii="DIN Offc Medium" w:eastAsiaTheme="majorEastAsia" w:hAnsi="DIN Offc Medium" w:cstheme="majorBidi"/>
      <w:i/>
      <w:iCs/>
      <w:color w:val="012169" w:themeColor="text2"/>
    </w:rPr>
  </w:style>
  <w:style w:type="character" w:customStyle="1" w:styleId="Heading8Char">
    <w:name w:val="Heading 8 Char"/>
    <w:basedOn w:val="DefaultParagraphFont"/>
    <w:link w:val="Heading8"/>
    <w:uiPriority w:val="9"/>
    <w:semiHidden/>
    <w:rsid w:val="00283DF4"/>
    <w:rPr>
      <w:rFonts w:ascii="DIN Offc Medium" w:eastAsiaTheme="majorEastAsia" w:hAnsi="DIN Offc Medium" w:cstheme="majorBidi"/>
      <w:i/>
      <w:color w:val="012169" w:themeColor="text2"/>
    </w:rPr>
  </w:style>
  <w:style w:type="character" w:customStyle="1" w:styleId="Heading9Char">
    <w:name w:val="Heading 9 Char"/>
    <w:basedOn w:val="DefaultParagraphFont"/>
    <w:link w:val="Heading9"/>
    <w:uiPriority w:val="9"/>
    <w:semiHidden/>
    <w:rsid w:val="00283DF4"/>
    <w:rPr>
      <w:rFonts w:ascii="DIN Offc Medium" w:eastAsiaTheme="majorEastAsia" w:hAnsi="DIN Offc Medium" w:cstheme="majorBidi"/>
      <w:i/>
      <w:iCs/>
      <w:color w:val="012169" w:themeColor="text2"/>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17"/>
    <w:qFormat/>
    <w:rsid w:val="00BB7EB9"/>
    <w:pPr>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E910A2"/>
    <w:pPr>
      <w:numPr>
        <w:numId w:val="0"/>
      </w:numPr>
    </w:pPr>
    <w:rPr>
      <w:rFonts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945635"/>
    <w:pPr>
      <w:numPr>
        <w:numId w:val="0"/>
      </w:numPr>
      <w:ind w:left="425" w:right="425"/>
    </w:pPr>
    <w:rPr>
      <w:i/>
      <w:iCs/>
    </w:rPr>
  </w:style>
  <w:style w:type="character" w:customStyle="1" w:styleId="QuoteChar">
    <w:name w:val="Quote Char"/>
    <w:basedOn w:val="DefaultParagraphFont"/>
    <w:link w:val="Quote"/>
    <w:uiPriority w:val="19"/>
    <w:rsid w:val="00945635"/>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pPr>
  </w:style>
  <w:style w:type="character" w:customStyle="1" w:styleId="SignatureChar">
    <w:name w:val="Signature Char"/>
    <w:basedOn w:val="DefaultParagraphFont"/>
    <w:link w:val="Signature"/>
    <w:uiPriority w:val="29"/>
    <w:semiHidden/>
    <w:rsid w:val="00E910A2"/>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FC398C"/>
    <w:pPr>
      <w:numPr>
        <w:numId w:val="0"/>
      </w:numPr>
      <w:tabs>
        <w:tab w:val="left" w:pos="851"/>
        <w:tab w:val="right" w:pos="9027"/>
      </w:tabs>
      <w:ind w:left="850" w:hanging="737"/>
    </w:pPr>
  </w:style>
  <w:style w:type="paragraph" w:styleId="TOC3">
    <w:name w:val="toc 3"/>
    <w:basedOn w:val="Normal"/>
    <w:next w:val="Normal"/>
    <w:autoRedefine/>
    <w:uiPriority w:val="39"/>
    <w:rsid w:val="00AD393D"/>
    <w:pPr>
      <w:numPr>
        <w:numId w:val="0"/>
      </w:numPr>
      <w:tabs>
        <w:tab w:val="left" w:pos="851"/>
        <w:tab w:val="right" w:pos="9038"/>
      </w:tabs>
      <w:ind w:left="1702" w:hanging="851"/>
    </w:pPr>
  </w:style>
  <w:style w:type="paragraph" w:styleId="TOC4">
    <w:name w:val="toc 4"/>
    <w:basedOn w:val="Normal"/>
    <w:next w:val="Normal"/>
    <w:autoRedefine/>
    <w:uiPriority w:val="39"/>
    <w:rsid w:val="00AD393D"/>
    <w:pPr>
      <w:numPr>
        <w:numId w:val="0"/>
      </w:numPr>
      <w:tabs>
        <w:tab w:val="right" w:pos="9027"/>
      </w:tabs>
    </w:pPr>
    <w:rPr>
      <w:rFonts w:ascii="DIN OT Medium" w:hAnsi="DIN OT Medium"/>
    </w:rPr>
  </w:style>
  <w:style w:type="paragraph" w:styleId="TOC5">
    <w:name w:val="toc 5"/>
    <w:basedOn w:val="Normal"/>
    <w:next w:val="Normal"/>
    <w:autoRedefine/>
    <w:uiPriority w:val="39"/>
    <w:rsid w:val="00FC398C"/>
    <w:pPr>
      <w:numPr>
        <w:numId w:val="0"/>
      </w:numPr>
      <w:tabs>
        <w:tab w:val="left" w:pos="851"/>
        <w:tab w:val="right" w:pos="9027"/>
      </w:tabs>
      <w:ind w:left="113"/>
    </w:pPr>
  </w:style>
  <w:style w:type="paragraph" w:styleId="TOC6">
    <w:name w:val="toc 6"/>
    <w:basedOn w:val="Normal"/>
    <w:next w:val="Normal"/>
    <w:autoRedefine/>
    <w:uiPriority w:val="39"/>
    <w:rsid w:val="00EE70EE"/>
    <w:pPr>
      <w:numPr>
        <w:numId w:val="0"/>
      </w:numPr>
      <w:tabs>
        <w:tab w:val="left" w:pos="851"/>
        <w:tab w:val="right" w:pos="9027"/>
      </w:tabs>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customStyle="1" w:styleId="BulletList">
    <w:name w:val="Bullet List"/>
    <w:uiPriority w:val="99"/>
    <w:rsid w:val="00641EAA"/>
    <w:pPr>
      <w:numPr>
        <w:numId w:val="8"/>
      </w:numPr>
    </w:pPr>
  </w:style>
  <w:style w:type="paragraph" w:customStyle="1" w:styleId="PaperTitle">
    <w:name w:val="Paper Title"/>
    <w:next w:val="CoverDate"/>
    <w:uiPriority w:val="31"/>
    <w:rsid w:val="007E7F27"/>
    <w:pPr>
      <w:spacing w:before="2760"/>
      <w:contextualSpacing/>
    </w:pPr>
    <w:rPr>
      <w:rFonts w:ascii="DIN OT Medium" w:eastAsiaTheme="majorEastAsia" w:hAnsi="DIN OT Medium" w:cstheme="majorBidi"/>
      <w:color w:val="012169" w:themeColor="text2"/>
      <w:sz w:val="44"/>
      <w:szCs w:val="52"/>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ttachmentHeading">
    <w:name w:val="Attachment Heading"/>
    <w:basedOn w:val="Heading1"/>
    <w:next w:val="Normal"/>
    <w:uiPriority w:val="10"/>
    <w:qFormat/>
    <w:rsid w:val="003A2733"/>
    <w:pPr>
      <w:numPr>
        <w:numId w:val="16"/>
      </w:numPr>
    </w:pPr>
  </w:style>
  <w:style w:type="paragraph" w:customStyle="1" w:styleId="AttachmentSubHeading">
    <w:name w:val="Attachment Sub Heading"/>
    <w:basedOn w:val="Heading2"/>
    <w:next w:val="Normal"/>
    <w:uiPriority w:val="10"/>
    <w:qFormat/>
    <w:rsid w:val="003A2733"/>
  </w:style>
  <w:style w:type="paragraph" w:customStyle="1" w:styleId="Heading1Numbers">
    <w:name w:val="Heading 1 Numbers"/>
    <w:basedOn w:val="Heading1"/>
    <w:next w:val="Normal"/>
    <w:uiPriority w:val="9"/>
    <w:qFormat/>
    <w:rsid w:val="00014B42"/>
    <w:pPr>
      <w:numPr>
        <w:numId w:val="22"/>
      </w:numPr>
      <w:ind w:left="0"/>
    </w:pPr>
  </w:style>
  <w:style w:type="paragraph" w:customStyle="1" w:styleId="Heading2Numbers">
    <w:name w:val="Heading 2 Numbers"/>
    <w:basedOn w:val="Heading2"/>
    <w:next w:val="Normal"/>
    <w:uiPriority w:val="9"/>
    <w:qFormat/>
    <w:rsid w:val="003F0A42"/>
    <w:pPr>
      <w:numPr>
        <w:ilvl w:val="1"/>
        <w:numId w:val="22"/>
      </w:numPr>
      <w:tabs>
        <w:tab w:val="left" w:pos="2268"/>
      </w:tabs>
      <w:ind w:left="851"/>
    </w:pPr>
    <w:rPr>
      <w:bCs w:val="0"/>
      <w:color w:val="012169"/>
    </w:rPr>
  </w:style>
  <w:style w:type="paragraph" w:customStyle="1" w:styleId="Heading3Numbers">
    <w:name w:val="Heading 3 Numbers"/>
    <w:basedOn w:val="Heading3"/>
    <w:next w:val="Normal"/>
    <w:uiPriority w:val="9"/>
    <w:qFormat/>
    <w:rsid w:val="00014B42"/>
    <w:pPr>
      <w:numPr>
        <w:ilvl w:val="2"/>
        <w:numId w:val="22"/>
      </w:numPr>
    </w:pPr>
  </w:style>
  <w:style w:type="paragraph" w:customStyle="1" w:styleId="Heading4NoNumber">
    <w:name w:val="Heading 4 No Number"/>
    <w:basedOn w:val="Heading4"/>
    <w:uiPriority w:val="9"/>
    <w:semiHidden/>
    <w:qFormat/>
    <w:rsid w:val="00BA627A"/>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semiHidden/>
    <w:qFormat/>
    <w:rsid w:val="00E910A2"/>
    <w:pPr>
      <w:numPr>
        <w:numId w:val="0"/>
      </w:numPr>
    </w:pPr>
    <w:rPr>
      <w:rFonts w:ascii="DIN Offc Medium" w:hAnsi="DIN Offc Medium"/>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uiPriority w:val="31"/>
    <w:rsid w:val="005113A6"/>
    <w:rPr>
      <w:rFonts w:ascii="DIN OT Medium" w:eastAsiaTheme="majorEastAsia" w:hAnsi="DIN OT Medium" w:cstheme="majorBidi"/>
      <w:color w:val="00A9E0" w:themeColor="background2"/>
      <w:sz w:val="24"/>
      <w:szCs w:val="52"/>
    </w:rPr>
  </w:style>
  <w:style w:type="paragraph" w:customStyle="1" w:styleId="Address">
    <w:name w:val="Address"/>
    <w:basedOn w:val="Normal"/>
    <w:uiPriority w:val="29"/>
    <w:qFormat/>
    <w:rsid w:val="00E910A2"/>
    <w:pPr>
      <w:numPr>
        <w:numId w:val="0"/>
      </w:numPr>
      <w:spacing w:after="840"/>
      <w:contextualSpacing/>
    </w:pPr>
  </w:style>
  <w:style w:type="paragraph" w:customStyle="1" w:styleId="Sincerely">
    <w:name w:val="Sincerely"/>
    <w:basedOn w:val="Normal"/>
    <w:uiPriority w:val="29"/>
    <w:qFormat/>
    <w:rsid w:val="00E910A2"/>
    <w:pPr>
      <w:numPr>
        <w:numId w:val="0"/>
      </w:numPr>
      <w:spacing w:before="720" w:after="600"/>
    </w:pPr>
  </w:style>
  <w:style w:type="paragraph" w:customStyle="1" w:styleId="Subject">
    <w:name w:val="Subject"/>
    <w:basedOn w:val="Normal"/>
    <w:uiPriority w:val="29"/>
    <w:qFormat/>
    <w:rsid w:val="00EE70EE"/>
    <w:pPr>
      <w:numPr>
        <w:numId w:val="0"/>
      </w:numPr>
      <w:spacing w:before="480" w:after="480"/>
    </w:pPr>
    <w:rPr>
      <w:rFonts w:ascii="DIN OT Medium" w:hAnsi="DIN OT Medium"/>
    </w:rPr>
  </w:style>
  <w:style w:type="table" w:customStyle="1" w:styleId="TableOption2">
    <w:name w:val="Table Option 2"/>
    <w:basedOn w:val="TableGrid"/>
    <w:uiPriority w:val="99"/>
    <w:rsid w:val="00B20DFD"/>
    <w:tblPr/>
    <w:tcPr>
      <w:shd w:val="clear" w:color="auto" w:fill="EAECEE" w:themeFill="accent4" w:themeFillTint="33"/>
    </w:tcPr>
    <w:tblStylePr w:type="firstRow">
      <w:rPr>
        <w:rFonts w:ascii="Bahnschrift SemiCondensed" w:hAnsi="Bahnschrift SemiCondensed"/>
        <w:b w:val="0"/>
        <w:color w:val="FFFFFF" w:themeColor="background1"/>
      </w:rPr>
      <w:tblPr/>
      <w:trPr>
        <w:cantSplit/>
        <w:tblHeader/>
      </w:trPr>
      <w:tcPr>
        <w:shd w:val="clear" w:color="auto" w:fill="012169" w:themeFill="accent1"/>
      </w:tcPr>
    </w:tblStylePr>
    <w:tblStylePr w:type="lastRow">
      <w:rPr>
        <w:rFonts w:ascii="Bahnschrift SemiCondensed" w:hAnsi="Bahnschrift SemiCondensed"/>
        <w:b w:val="0"/>
      </w:rPr>
      <w:tblPr/>
      <w:tcPr>
        <w:shd w:val="clear" w:color="auto" w:fill="EAECEE" w:themeFill="accent4" w:themeFillTint="33"/>
      </w:tcPr>
    </w:tblStylePr>
    <w:tblStylePr w:type="firstCol">
      <w:rPr>
        <w:rFonts w:ascii="Bahnschrift SemiCondensed" w:hAnsi="Bahnschrift SemiCondensed"/>
        <w:b w:val="0"/>
        <w:color w:val="auto"/>
      </w:rPr>
      <w:tblPr/>
      <w:tcPr>
        <w:shd w:val="clear" w:color="auto" w:fill="012169" w:themeFill="accent1"/>
      </w:tcPr>
    </w:tblStylePr>
    <w:tblStylePr w:type="lastCol">
      <w:pPr>
        <w:jc w:val="right"/>
      </w:pPr>
      <w:rPr>
        <w:rFonts w:ascii="Bahnschrift SemiCondensed" w:hAnsi="Bahnschrift SemiCondensed"/>
        <w:b w:val="0"/>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0B74CA"/>
    <w:pPr>
      <w:keepNext/>
      <w:numPr>
        <w:numId w:val="0"/>
      </w:numPr>
      <w:spacing w:before="240" w:after="120"/>
    </w:pPr>
    <w:rPr>
      <w:rFonts w:ascii="DIN OT Medium" w:hAnsi="DIN OT Medium"/>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DisclaimerHeading">
    <w:name w:val="Disclaimer Heading"/>
    <w:basedOn w:val="Normal"/>
    <w:next w:val="Normal"/>
    <w:uiPriority w:val="32"/>
    <w:rsid w:val="00EE70EE"/>
    <w:pPr>
      <w:framePr w:w="9027" w:wrap="around" w:hAnchor="text" w:yAlign="bottom"/>
      <w:numPr>
        <w:numId w:val="0"/>
      </w:numPr>
      <w:pBdr>
        <w:top w:val="single" w:sz="48" w:space="1" w:color="D9D9D9" w:themeColor="background1" w:themeShade="D9"/>
        <w:left w:val="single" w:sz="24" w:space="4" w:color="D9D9D9" w:themeColor="background1" w:themeShade="D9"/>
        <w:bottom w:val="single" w:sz="48" w:space="1" w:color="D9D9D9" w:themeColor="background1" w:themeShade="D9"/>
        <w:right w:val="single" w:sz="24" w:space="4" w:color="D9D9D9" w:themeColor="background1" w:themeShade="D9"/>
      </w:pBdr>
      <w:shd w:val="clear" w:color="auto" w:fill="D9D9D9" w:themeFill="background1" w:themeFillShade="D9"/>
      <w:spacing w:before="240"/>
      <w:ind w:left="170" w:right="170"/>
    </w:pPr>
    <w:rPr>
      <w:rFonts w:ascii="DIN OT Medium" w:hAnsi="DIN OT Medium"/>
      <w:sz w:val="28"/>
    </w:rPr>
  </w:style>
  <w:style w:type="paragraph" w:customStyle="1" w:styleId="DisclaimerText">
    <w:name w:val="Disclaimer Text"/>
    <w:basedOn w:val="DisclaimerHeading"/>
    <w:uiPriority w:val="32"/>
    <w:rsid w:val="00EE70EE"/>
    <w:pPr>
      <w:framePr w:wrap="around"/>
    </w:pPr>
    <w:rPr>
      <w:rFonts w:ascii="DIN OT Light" w:hAnsi="DIN OT Light"/>
      <w:sz w:val="22"/>
    </w:rPr>
  </w:style>
  <w:style w:type="character" w:customStyle="1" w:styleId="BoldCharacterDINOTMedium">
    <w:name w:val="Bold Character (DIN OT Medium)"/>
    <w:basedOn w:val="DefaultParagraphFont"/>
    <w:uiPriority w:val="10"/>
    <w:qFormat/>
    <w:rsid w:val="00484BF5"/>
    <w:rPr>
      <w:rFonts w:ascii="DIN OT Medium" w:hAnsi="DIN OT Medium"/>
    </w:rPr>
  </w:style>
  <w:style w:type="paragraph" w:customStyle="1" w:styleId="CoverLine">
    <w:name w:val="Cover Line"/>
    <w:basedOn w:val="Normal"/>
    <w:uiPriority w:val="31"/>
    <w:qFormat/>
    <w:rsid w:val="008B2BF9"/>
    <w:pPr>
      <w:numPr>
        <w:numId w:val="0"/>
      </w:numPr>
      <w:pBdr>
        <w:bottom w:val="single" w:sz="24" w:space="10" w:color="00A9E0" w:themeColor="accent2"/>
      </w:pBdr>
      <w:spacing w:before="2170" w:after="0" w:line="192" w:lineRule="auto"/>
      <w:ind w:left="-1440" w:firstLine="1021"/>
    </w:pPr>
    <w:rPr>
      <w:rFonts w:ascii="DIN OT Medium" w:hAnsi="DIN OT Medium"/>
      <w:caps/>
      <w:color w:val="FFFFFF" w:themeColor="background1"/>
      <w:sz w:val="80"/>
    </w:rPr>
  </w:style>
  <w:style w:type="table" w:customStyle="1" w:styleId="Style1">
    <w:name w:val="Style1"/>
    <w:basedOn w:val="TableNormal"/>
    <w:uiPriority w:val="99"/>
    <w:rsid w:val="00362355"/>
    <w:pPr>
      <w:spacing w:after="0"/>
    </w:pPr>
    <w:rPr>
      <w:sz w:val="20"/>
    </w:rPr>
    <w:tblPr/>
  </w:style>
  <w:style w:type="table" w:styleId="GridTable7Colorful-Accent6">
    <w:name w:val="Grid Table 7 Colorful Accent 6"/>
    <w:basedOn w:val="TableNormal"/>
    <w:uiPriority w:val="52"/>
    <w:locked/>
    <w:rsid w:val="005971F3"/>
    <w:pPr>
      <w:spacing w:after="0"/>
    </w:pPr>
    <w:rPr>
      <w:color w:val="26A6DC" w:themeColor="accent6" w:themeShade="BF"/>
    </w:rPr>
    <w:tblPr>
      <w:tblStyleRowBandSize w:val="1"/>
      <w:tblStyleColBandSize w:val="1"/>
      <w:tblBorders>
        <w:top w:val="single" w:sz="4" w:space="0" w:color="A9DCF1" w:themeColor="accent6" w:themeTint="99"/>
        <w:left w:val="single" w:sz="4" w:space="0" w:color="A9DCF1" w:themeColor="accent6" w:themeTint="99"/>
        <w:bottom w:val="single" w:sz="4" w:space="0" w:color="A9DCF1" w:themeColor="accent6" w:themeTint="99"/>
        <w:right w:val="single" w:sz="4" w:space="0" w:color="A9DCF1" w:themeColor="accent6" w:themeTint="99"/>
        <w:insideH w:val="single" w:sz="4" w:space="0" w:color="A9DCF1" w:themeColor="accent6" w:themeTint="99"/>
        <w:insideV w:val="single" w:sz="4" w:space="0" w:color="A9DCF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F3FA" w:themeFill="accent6" w:themeFillTint="33"/>
      </w:tcPr>
    </w:tblStylePr>
    <w:tblStylePr w:type="band1Horz">
      <w:tblPr/>
      <w:tcPr>
        <w:shd w:val="clear" w:color="auto" w:fill="E2F3FA" w:themeFill="accent6" w:themeFillTint="33"/>
      </w:tcPr>
    </w:tblStylePr>
    <w:tblStylePr w:type="neCell">
      <w:tblPr/>
      <w:tcPr>
        <w:tcBorders>
          <w:bottom w:val="single" w:sz="4" w:space="0" w:color="A9DCF1" w:themeColor="accent6" w:themeTint="99"/>
        </w:tcBorders>
      </w:tcPr>
    </w:tblStylePr>
    <w:tblStylePr w:type="nwCell">
      <w:tblPr/>
      <w:tcPr>
        <w:tcBorders>
          <w:bottom w:val="single" w:sz="4" w:space="0" w:color="A9DCF1" w:themeColor="accent6" w:themeTint="99"/>
        </w:tcBorders>
      </w:tcPr>
    </w:tblStylePr>
    <w:tblStylePr w:type="seCell">
      <w:tblPr/>
      <w:tcPr>
        <w:tcBorders>
          <w:top w:val="single" w:sz="4" w:space="0" w:color="A9DCF1" w:themeColor="accent6" w:themeTint="99"/>
        </w:tcBorders>
      </w:tcPr>
    </w:tblStylePr>
    <w:tblStylePr w:type="swCell">
      <w:tblPr/>
      <w:tcPr>
        <w:tcBorders>
          <w:top w:val="single" w:sz="4" w:space="0" w:color="A9DCF1" w:themeColor="accent6" w:themeTint="99"/>
        </w:tcBorders>
      </w:tcPr>
    </w:tblStylePr>
  </w:style>
  <w:style w:type="character" w:customStyle="1" w:styleId="LightCharacterDINOTLight">
    <w:name w:val="Light Character (DIN OT Light)"/>
    <w:basedOn w:val="DefaultParagraphFont"/>
    <w:uiPriority w:val="10"/>
    <w:qFormat/>
    <w:rsid w:val="00DB34F0"/>
    <w:rPr>
      <w:rFonts w:ascii="DIN OT Light" w:hAnsi="DIN OT Light"/>
    </w:rPr>
  </w:style>
  <w:style w:type="table" w:styleId="GridTable4-Accent3">
    <w:name w:val="Grid Table 4 Accent 3"/>
    <w:basedOn w:val="TableNormal"/>
    <w:uiPriority w:val="49"/>
    <w:locked/>
    <w:rsid w:val="00DD01CB"/>
    <w:pPr>
      <w:spacing w:after="0"/>
    </w:pPr>
    <w:tblPr>
      <w:tblStyleRowBandSize w:val="1"/>
      <w:tblStyleColBandSize w:val="1"/>
      <w:tblBorders>
        <w:top w:val="single" w:sz="4" w:space="0" w:color="48ADFF" w:themeColor="accent3" w:themeTint="99"/>
        <w:left w:val="single" w:sz="4" w:space="0" w:color="48ADFF" w:themeColor="accent3" w:themeTint="99"/>
        <w:bottom w:val="single" w:sz="4" w:space="0" w:color="48ADFF" w:themeColor="accent3" w:themeTint="99"/>
        <w:right w:val="single" w:sz="4" w:space="0" w:color="48ADFF" w:themeColor="accent3" w:themeTint="99"/>
        <w:insideH w:val="single" w:sz="4" w:space="0" w:color="48ADFF" w:themeColor="accent3" w:themeTint="99"/>
        <w:insideV w:val="single" w:sz="4" w:space="0" w:color="48ADFF" w:themeColor="accent3" w:themeTint="99"/>
      </w:tblBorders>
    </w:tblPr>
    <w:tblStylePr w:type="firstRow">
      <w:rPr>
        <w:b/>
        <w:bCs/>
        <w:color w:val="FFFFFF" w:themeColor="background1"/>
      </w:rPr>
      <w:tblPr/>
      <w:tcPr>
        <w:tcBorders>
          <w:top w:val="single" w:sz="4" w:space="0" w:color="0072CE" w:themeColor="accent3"/>
          <w:left w:val="single" w:sz="4" w:space="0" w:color="0072CE" w:themeColor="accent3"/>
          <w:bottom w:val="single" w:sz="4" w:space="0" w:color="0072CE" w:themeColor="accent3"/>
          <w:right w:val="single" w:sz="4" w:space="0" w:color="0072CE" w:themeColor="accent3"/>
          <w:insideH w:val="nil"/>
          <w:insideV w:val="nil"/>
        </w:tcBorders>
        <w:shd w:val="clear" w:color="auto" w:fill="0072CE" w:themeFill="accent3"/>
      </w:tcPr>
    </w:tblStylePr>
    <w:tblStylePr w:type="lastRow">
      <w:rPr>
        <w:b/>
        <w:bCs/>
      </w:rPr>
      <w:tblPr/>
      <w:tcPr>
        <w:tcBorders>
          <w:top w:val="double" w:sz="4" w:space="0" w:color="0072CE" w:themeColor="accent3"/>
        </w:tcBorders>
      </w:tcPr>
    </w:tblStylePr>
    <w:tblStylePr w:type="firstCol">
      <w:rPr>
        <w:b/>
        <w:bCs/>
      </w:rPr>
    </w:tblStylePr>
    <w:tblStylePr w:type="lastCol">
      <w:rPr>
        <w:b/>
        <w:bCs/>
      </w:rPr>
    </w:tblStylePr>
    <w:tblStylePr w:type="band1Vert">
      <w:tblPr/>
      <w:tcPr>
        <w:shd w:val="clear" w:color="auto" w:fill="C2E3FF" w:themeFill="accent3" w:themeFillTint="33"/>
      </w:tcPr>
    </w:tblStylePr>
    <w:tblStylePr w:type="band1Horz">
      <w:tblPr/>
      <w:tcPr>
        <w:shd w:val="clear" w:color="auto" w:fill="C2E3FF" w:themeFill="accent3" w:themeFillTint="33"/>
      </w:tcPr>
    </w:tblStylePr>
  </w:style>
  <w:style w:type="table" w:styleId="GridTable4-Accent1">
    <w:name w:val="Grid Table 4 Accent 1"/>
    <w:basedOn w:val="TableNormal"/>
    <w:uiPriority w:val="49"/>
    <w:locked/>
    <w:rsid w:val="00DD01CB"/>
    <w:pPr>
      <w:spacing w:after="0"/>
    </w:pPr>
    <w:tblPr>
      <w:tblStyleRowBandSize w:val="1"/>
      <w:tblStyleColBandSize w:val="1"/>
      <w:tblBorders>
        <w:top w:val="single" w:sz="4" w:space="0" w:color="0E57FC" w:themeColor="accent1" w:themeTint="99"/>
        <w:left w:val="single" w:sz="4" w:space="0" w:color="0E57FC" w:themeColor="accent1" w:themeTint="99"/>
        <w:bottom w:val="single" w:sz="4" w:space="0" w:color="0E57FC" w:themeColor="accent1" w:themeTint="99"/>
        <w:right w:val="single" w:sz="4" w:space="0" w:color="0E57FC" w:themeColor="accent1" w:themeTint="99"/>
        <w:insideH w:val="single" w:sz="4" w:space="0" w:color="0E57FC" w:themeColor="accent1" w:themeTint="99"/>
        <w:insideV w:val="single" w:sz="4" w:space="0" w:color="0E57FC" w:themeColor="accent1" w:themeTint="99"/>
      </w:tblBorders>
    </w:tblPr>
    <w:tblStylePr w:type="firstRow">
      <w:rPr>
        <w:b/>
        <w:bCs/>
        <w:color w:val="FFFFFF" w:themeColor="background1"/>
      </w:rPr>
      <w:tblPr/>
      <w:tcPr>
        <w:tcBorders>
          <w:top w:val="single" w:sz="4" w:space="0" w:color="012169" w:themeColor="accent1"/>
          <w:left w:val="single" w:sz="4" w:space="0" w:color="012169" w:themeColor="accent1"/>
          <w:bottom w:val="single" w:sz="4" w:space="0" w:color="012169" w:themeColor="accent1"/>
          <w:right w:val="single" w:sz="4" w:space="0" w:color="012169" w:themeColor="accent1"/>
          <w:insideH w:val="nil"/>
          <w:insideV w:val="nil"/>
        </w:tcBorders>
        <w:shd w:val="clear" w:color="auto" w:fill="012169" w:themeFill="accent1"/>
      </w:tcPr>
    </w:tblStylePr>
    <w:tblStylePr w:type="lastRow">
      <w:rPr>
        <w:b/>
        <w:bCs/>
      </w:rPr>
      <w:tblPr/>
      <w:tcPr>
        <w:tcBorders>
          <w:top w:val="double" w:sz="4" w:space="0" w:color="012169" w:themeColor="accent1"/>
        </w:tcBorders>
      </w:tcPr>
    </w:tblStylePr>
    <w:tblStylePr w:type="firstCol">
      <w:rPr>
        <w:b/>
        <w:bCs/>
      </w:rPr>
    </w:tblStylePr>
    <w:tblStylePr w:type="lastCol">
      <w:rPr>
        <w:b/>
        <w:bCs/>
      </w:rPr>
    </w:tblStylePr>
    <w:tblStylePr w:type="band1Vert">
      <w:tblPr/>
      <w:tcPr>
        <w:shd w:val="clear" w:color="auto" w:fill="AEC7FE" w:themeFill="accent1" w:themeFillTint="33"/>
      </w:tcPr>
    </w:tblStylePr>
    <w:tblStylePr w:type="band1Horz">
      <w:tblPr/>
      <w:tcPr>
        <w:shd w:val="clear" w:color="auto" w:fill="AEC7FE" w:themeFill="accent1" w:themeFillTint="33"/>
      </w:tcPr>
    </w:tblStylePr>
  </w:style>
  <w:style w:type="table" w:styleId="ListTable3-Accent1">
    <w:name w:val="List Table 3 Accent 1"/>
    <w:basedOn w:val="TableNormal"/>
    <w:uiPriority w:val="48"/>
    <w:locked/>
    <w:rsid w:val="006157C8"/>
    <w:pPr>
      <w:spacing w:after="0"/>
    </w:pPr>
    <w:tblPr>
      <w:tblStyleRowBandSize w:val="1"/>
      <w:tblStyleColBandSize w:val="1"/>
      <w:tblBorders>
        <w:top w:val="single" w:sz="4" w:space="0" w:color="012169" w:themeColor="accent1"/>
        <w:left w:val="single" w:sz="4" w:space="0" w:color="012169" w:themeColor="accent1"/>
        <w:bottom w:val="single" w:sz="4" w:space="0" w:color="012169" w:themeColor="accent1"/>
        <w:right w:val="single" w:sz="4" w:space="0" w:color="012169" w:themeColor="accent1"/>
      </w:tblBorders>
    </w:tblPr>
    <w:tblStylePr w:type="firstRow">
      <w:rPr>
        <w:b/>
        <w:bCs/>
        <w:color w:val="FFFFFF" w:themeColor="background1"/>
      </w:rPr>
      <w:tblPr/>
      <w:tcPr>
        <w:shd w:val="clear" w:color="auto" w:fill="012169" w:themeFill="accent1"/>
      </w:tcPr>
    </w:tblStylePr>
    <w:tblStylePr w:type="lastRow">
      <w:rPr>
        <w:b/>
        <w:bCs/>
      </w:rPr>
      <w:tblPr/>
      <w:tcPr>
        <w:tcBorders>
          <w:top w:val="double" w:sz="4" w:space="0" w:color="01216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2169" w:themeColor="accent1"/>
          <w:right w:val="single" w:sz="4" w:space="0" w:color="012169" w:themeColor="accent1"/>
        </w:tcBorders>
      </w:tcPr>
    </w:tblStylePr>
    <w:tblStylePr w:type="band1Horz">
      <w:tblPr/>
      <w:tcPr>
        <w:tcBorders>
          <w:top w:val="single" w:sz="4" w:space="0" w:color="012169" w:themeColor="accent1"/>
          <w:bottom w:val="single" w:sz="4" w:space="0" w:color="01216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2169" w:themeColor="accent1"/>
          <w:left w:val="nil"/>
        </w:tcBorders>
      </w:tcPr>
    </w:tblStylePr>
    <w:tblStylePr w:type="swCell">
      <w:tblPr/>
      <w:tcPr>
        <w:tcBorders>
          <w:top w:val="double" w:sz="4" w:space="0" w:color="012169" w:themeColor="accent1"/>
          <w:right w:val="nil"/>
        </w:tcBorders>
      </w:tcPr>
    </w:tblStylePr>
  </w:style>
  <w:style w:type="paragraph" w:customStyle="1" w:styleId="Numberedtableheading">
    <w:name w:val="Numbered table heading"/>
    <w:basedOn w:val="Heading4"/>
    <w:qFormat/>
    <w:rsid w:val="00AA0CA8"/>
    <w:pPr>
      <w:numPr>
        <w:numId w:val="20"/>
      </w:numPr>
      <w:spacing w:before="120"/>
    </w:pPr>
  </w:style>
  <w:style w:type="paragraph" w:customStyle="1" w:styleId="Numberedfigureheading">
    <w:name w:val="Numbered figure heading"/>
    <w:basedOn w:val="Numberedtableheading"/>
    <w:qFormat/>
    <w:rsid w:val="008071C6"/>
    <w:pPr>
      <w:numPr>
        <w:numId w:val="21"/>
      </w:numPr>
      <w:ind w:left="0" w:firstLine="0"/>
    </w:pPr>
  </w:style>
  <w:style w:type="character" w:styleId="UnresolvedMention">
    <w:name w:val="Unresolved Mention"/>
    <w:basedOn w:val="DefaultParagraphFont"/>
    <w:uiPriority w:val="99"/>
    <w:semiHidden/>
    <w:unhideWhenUsed/>
    <w:rsid w:val="00995C86"/>
    <w:rPr>
      <w:color w:val="605E5C"/>
      <w:shd w:val="clear" w:color="auto" w:fill="E1DFDD"/>
    </w:rPr>
  </w:style>
  <w:style w:type="paragraph" w:styleId="Revision">
    <w:name w:val="Revision"/>
    <w:hidden/>
    <w:uiPriority w:val="99"/>
    <w:semiHidden/>
    <w:rsid w:val="00E93C6A"/>
    <w:pPr>
      <w:spacing w:after="0"/>
    </w:pPr>
    <w:rPr>
      <w:rFonts w:ascii="DIN OT Light" w:hAnsi="DIN OT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6.xml"/><Relationship Id="rId7" Type="http://schemas.openxmlformats.org/officeDocument/2006/relationships/styles" Target="styles.xml"/><Relationship Id="rId12" Type="http://schemas.openxmlformats.org/officeDocument/2006/relationships/hyperlink" Target="https://creativecommons.org/licenses/by/3.0/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olicyDevelopment@apr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im/sites/contenttypes/APRATemplates/_2021_External%20Paper%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B264F7B5C0046D29582FF923E554263"/>
        <w:category>
          <w:name w:val="General"/>
          <w:gallery w:val="placeholder"/>
        </w:category>
        <w:types>
          <w:type w:val="bbPlcHdr"/>
        </w:types>
        <w:behaviors>
          <w:behavior w:val="content"/>
        </w:behaviors>
        <w:guid w:val="{9A31E197-4F91-49B0-B563-0A8C2F94E319}"/>
      </w:docPartPr>
      <w:docPartBody>
        <w:p w:rsidR="001F012E" w:rsidRDefault="001F012E">
          <w:pPr>
            <w:pStyle w:val="BB264F7B5C0046D29582FF923E554263"/>
          </w:pPr>
          <w:r w:rsidRPr="00B6214D">
            <w:t>[Abstract]</w:t>
          </w:r>
        </w:p>
      </w:docPartBody>
    </w:docPart>
    <w:docPart>
      <w:docPartPr>
        <w:name w:val="8ECC27E97E4D4B74A3F2D2E8FDE43096"/>
        <w:category>
          <w:name w:val="General"/>
          <w:gallery w:val="placeholder"/>
        </w:category>
        <w:types>
          <w:type w:val="bbPlcHdr"/>
        </w:types>
        <w:behaviors>
          <w:behavior w:val="content"/>
        </w:behaviors>
        <w:guid w:val="{70768915-C162-4F49-9444-C6214E62DF72}"/>
      </w:docPartPr>
      <w:docPartBody>
        <w:p w:rsidR="001F012E" w:rsidRDefault="001F012E">
          <w:pPr>
            <w:pStyle w:val="8ECC27E97E4D4B74A3F2D2E8FDE43096"/>
          </w:pPr>
          <w: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IN OT">
    <w:charset w:val="00"/>
    <w:family w:val="swiss"/>
    <w:pitch w:val="variable"/>
    <w:sig w:usb0="800000EF" w:usb1="4000A47B" w:usb2="00000000" w:usb3="00000000" w:csb0="00000001" w:csb1="00000000"/>
  </w:font>
  <w:font w:name="Cordia New">
    <w:panose1 w:val="020B0304020202020204"/>
    <w:charset w:val="DE"/>
    <w:family w:val="roman"/>
    <w:pitch w:val="variable"/>
    <w:sig w:usb0="01000001" w:usb1="00000000" w:usb2="00000000" w:usb3="00000000" w:csb0="00010000" w:csb1="00000000"/>
  </w:font>
  <w:font w:name="DIN OT Light">
    <w:altName w:val="Calibri"/>
    <w:charset w:val="00"/>
    <w:family w:val="swiss"/>
    <w:pitch w:val="variable"/>
    <w:sig w:usb0="800000EF" w:usb1="4000A47B" w:usb2="00000000" w:usb3="00000000" w:csb0="00000001" w:csb1="00000000"/>
  </w:font>
  <w:font w:name="DIN OT Medium">
    <w:altName w:val="Calibri"/>
    <w:charset w:val="00"/>
    <w:family w:val="swiss"/>
    <w:pitch w:val="variable"/>
    <w:sig w:usb0="800000EF" w:usb1="4000A47B" w:usb2="00000000" w:usb3="00000000" w:csb0="00000001" w:csb1="00000000"/>
  </w:font>
  <w:font w:name="MS PGothic">
    <w:panose1 w:val="020B0600070205080204"/>
    <w:charset w:val="80"/>
    <w:family w:val="swiss"/>
    <w:pitch w:val="variable"/>
    <w:sig w:usb0="E00002FF" w:usb1="6AC7FDFB" w:usb2="08000012" w:usb3="00000000" w:csb0="0002009F" w:csb1="00000000"/>
  </w:font>
  <w:font w:name="DIN Offc Medium">
    <w:altName w:val="Arial"/>
    <w:charset w:val="00"/>
    <w:family w:val="swiss"/>
    <w:pitch w:val="variable"/>
    <w:sig w:usb0="00000003"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hnschrift SemiCondensed">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12E"/>
    <w:rsid w:val="00065518"/>
    <w:rsid w:val="0008618D"/>
    <w:rsid w:val="000E4134"/>
    <w:rsid w:val="00143ADE"/>
    <w:rsid w:val="001913DC"/>
    <w:rsid w:val="001A6E0B"/>
    <w:rsid w:val="001A7D6D"/>
    <w:rsid w:val="001D2F92"/>
    <w:rsid w:val="001F012E"/>
    <w:rsid w:val="002B0D31"/>
    <w:rsid w:val="00413A29"/>
    <w:rsid w:val="00473B2B"/>
    <w:rsid w:val="004907D3"/>
    <w:rsid w:val="0089720E"/>
    <w:rsid w:val="009C5E20"/>
    <w:rsid w:val="00A22C75"/>
    <w:rsid w:val="00B339AE"/>
    <w:rsid w:val="00B53835"/>
    <w:rsid w:val="00B70DF9"/>
    <w:rsid w:val="00BE78A0"/>
    <w:rsid w:val="00C141DB"/>
    <w:rsid w:val="00C964B4"/>
    <w:rsid w:val="00D26B2B"/>
    <w:rsid w:val="00DE79AE"/>
    <w:rsid w:val="00E20464"/>
    <w:rsid w:val="00F415FE"/>
    <w:rsid w:val="00F50A63"/>
    <w:rsid w:val="00FF592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264F7B5C0046D29582FF923E554263">
    <w:name w:val="BB264F7B5C0046D29582FF923E554263"/>
  </w:style>
  <w:style w:type="paragraph" w:customStyle="1" w:styleId="8ECC27E97E4D4B74A3F2D2E8FDE43096">
    <w:name w:val="8ECC27E97E4D4B74A3F2D2E8FDE430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Response paper</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8" ma:contentTypeDescription="Create a new document." ma:contentTypeScope="" ma:versionID="33751fc2e25aff34227f1c8db8239990">
  <xsd:schema xmlns:xsd="http://www.w3.org/2001/XMLSchema" xmlns:xs="http://www.w3.org/2001/XMLSchema" xmlns:p="http://schemas.microsoft.com/office/2006/metadata/properties" xmlns:ns1="http://schemas.microsoft.com/sharepoint/v3" xmlns:ns2="4195ad5f-cdf2-4c4a-8d9b-b7944a108e98" xmlns:ns3="26285671-540d-468b-b7a1-f3e0438dd51a" targetNamespace="http://schemas.microsoft.com/office/2006/metadata/properties" ma:root="true" ma:fieldsID="b07e9e1b733d0321caea61c9fbc9d73b" ns1:_="" ns2:_="" ns3:_="">
    <xsd:import namespace="http://schemas.microsoft.com/sharepoint/v3"/>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SharedWithUsers xmlns="4195ad5f-cdf2-4c4a-8d9b-b7944a108e98">
      <UserInfo>
        <DisplayName>John Lonsdale</DisplayName>
        <AccountId>44</AccountId>
        <AccountType/>
      </UserInfo>
      <UserInfo>
        <DisplayName>Meredith Swain</DisplayName>
        <AccountId>437</AccountId>
        <AccountType/>
      </UserInfo>
      <UserInfo>
        <DisplayName>Clare Gibney</DisplayName>
        <AccountId>266</AccountId>
        <AccountType/>
      </UserInfo>
      <UserInfo>
        <DisplayName>Mel Grantham</DisplayName>
        <AccountId>38</AccountId>
        <AccountType/>
      </UserInfo>
      <UserInfo>
        <DisplayName>James Rushton</DisplayName>
        <AccountId>190</AccountId>
        <AccountType/>
      </UserInfo>
      <UserInfo>
        <DisplayName>Denis Gorey</DisplayName>
        <AccountId>22</AccountId>
        <AccountType/>
      </UserInfo>
      <UserInfo>
        <DisplayName>Gideon Holland</DisplayName>
        <AccountId>23</AccountId>
        <AccountType/>
      </UserInfo>
      <UserInfo>
        <DisplayName>Alison Bliss</DisplayName>
        <AccountId>42</AccountId>
        <AccountType/>
      </UserInfo>
      <UserInfo>
        <DisplayName>Mike Devine</DisplayName>
        <AccountId>351</AccountId>
        <AccountType/>
      </UserInfo>
      <UserInfo>
        <DisplayName>Gavin Maunder</DisplayName>
        <AccountId>20</AccountId>
        <AccountType/>
      </UserInfo>
      <UserInfo>
        <DisplayName>Thi Tran</DisplayName>
        <AccountId>194</AccountId>
        <AccountType/>
      </UserInfo>
    </SharedWithUsers>
    <_ip_UnifiedCompliancePolicyUIAction xmlns="http://schemas.microsoft.com/sharepoint/v3" xsi:nil="true"/>
    <TaxCatchAll xmlns="4195ad5f-cdf2-4c4a-8d9b-b7944a108e98" xsi:nil="true"/>
    <_ip_UnifiedCompliancePolicyProperties xmlns="http://schemas.microsoft.com/sharepoint/v3" xsi:nil="true"/>
    <lcf76f155ced4ddcb4097134ff3c332f xmlns="26285671-540d-468b-b7a1-f3e0438dd51a">
      <Terms xmlns="http://schemas.microsoft.com/office/infopath/2007/PartnerControls"/>
    </lcf76f155ced4ddcb4097134ff3c332f>
    <_dlc_DocId xmlns="4195ad5f-cdf2-4c4a-8d9b-b7944a108e98">DOCID-322795542-35169</_dlc_DocId>
    <_dlc_DocIdUrl xmlns="4195ad5f-cdf2-4c4a-8d9b-b7944a108e98">
      <Url>https://pmc01.sharepoint.com/sites/CRMOBPR/_layouts/15/DocIdRedir.aspx?ID=DOCID-322795542-35169</Url>
      <Description>DOCID-322795542-35169</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C1ED8B-DDCD-4B85-9337-FE83388C31CD}"/>
</file>

<file path=customXml/itemProps3.xml><?xml version="1.0" encoding="utf-8"?>
<ds:datastoreItem xmlns:ds="http://schemas.openxmlformats.org/officeDocument/2006/customXml" ds:itemID="{0FDAD51B-DED9-4D5F-99E0-E5E925108C88}">
  <ds:schemaRefs>
    <ds:schemaRef ds:uri="http://schemas.microsoft.com/sharepoint/v3/contenttype/forms"/>
  </ds:schemaRefs>
</ds:datastoreItem>
</file>

<file path=customXml/itemProps4.xml><?xml version="1.0" encoding="utf-8"?>
<ds:datastoreItem xmlns:ds="http://schemas.openxmlformats.org/officeDocument/2006/customXml" ds:itemID="{9E74A522-E535-401E-A772-BADE87F74D0C}">
  <ds:schemaRefs>
    <ds:schemaRef ds:uri="http://schemas.openxmlformats.org/officeDocument/2006/bibliography"/>
  </ds:schemaRefs>
</ds:datastoreItem>
</file>

<file path=customXml/itemProps5.xml><?xml version="1.0" encoding="utf-8"?>
<ds:datastoreItem xmlns:ds="http://schemas.openxmlformats.org/officeDocument/2006/customXml" ds:itemID="{868B0BE8-B069-445F-9530-31CE9F57343A}">
  <ds:schemaRefs>
    <ds:schemaRef ds:uri="http://schemas.microsoft.com/office/2006/metadata/properties"/>
    <ds:schemaRef ds:uri="http://schemas.microsoft.com/office/infopath/2007/PartnerControls"/>
    <ds:schemaRef ds:uri="79530295-9eea-494d-b82a-9ff74409eafc"/>
  </ds:schemaRefs>
</ds:datastoreItem>
</file>

<file path=customXml/itemProps6.xml><?xml version="1.0" encoding="utf-8"?>
<ds:datastoreItem xmlns:ds="http://schemas.openxmlformats.org/officeDocument/2006/customXml" ds:itemID="{81749762-B311-46DD-A670-41DA78A5B6F5}"/>
</file>

<file path=docProps/app.xml><?xml version="1.0" encoding="utf-8"?>
<Properties xmlns="http://schemas.openxmlformats.org/officeDocument/2006/extended-properties" xmlns:vt="http://schemas.openxmlformats.org/officeDocument/2006/docPropsVTypes">
  <Template>_2021_External%20Paper%20Template.dotm</Template>
  <TotalTime>6272</TotalTime>
  <Pages>1</Pages>
  <Words>4390</Words>
  <Characters>25024</Characters>
  <Application>Microsoft Office Word</Application>
  <DocSecurity>4</DocSecurity>
  <Lines>208</Lines>
  <Paragraphs>58</Paragraphs>
  <ScaleCrop>false</ScaleCrop>
  <HeadingPairs>
    <vt:vector size="2" baseType="variant">
      <vt:variant>
        <vt:lpstr>Title</vt:lpstr>
      </vt:variant>
      <vt:variant>
        <vt:i4>1</vt:i4>
      </vt:variant>
    </vt:vector>
  </HeadingPairs>
  <TitlesOfParts>
    <vt:vector size="1" baseType="lpstr">
      <vt:lpstr>Operational Risk Management</vt:lpstr>
    </vt:vector>
  </TitlesOfParts>
  <Company/>
  <LinksUpToDate>false</LinksUpToDate>
  <CharactersWithSpaces>29356</CharactersWithSpaces>
  <SharedDoc>false</SharedDoc>
  <HLinks>
    <vt:vector size="36" baseType="variant">
      <vt:variant>
        <vt:i4>721016</vt:i4>
      </vt:variant>
      <vt:variant>
        <vt:i4>30</vt:i4>
      </vt:variant>
      <vt:variant>
        <vt:i4>0</vt:i4>
      </vt:variant>
      <vt:variant>
        <vt:i4>5</vt:i4>
      </vt:variant>
      <vt:variant>
        <vt:lpwstr>mailto:PolicyDevelopment@apra.gov.au</vt:lpwstr>
      </vt:variant>
      <vt:variant>
        <vt:lpwstr/>
      </vt:variant>
      <vt:variant>
        <vt:i4>1048628</vt:i4>
      </vt:variant>
      <vt:variant>
        <vt:i4>23</vt:i4>
      </vt:variant>
      <vt:variant>
        <vt:i4>0</vt:i4>
      </vt:variant>
      <vt:variant>
        <vt:i4>5</vt:i4>
      </vt:variant>
      <vt:variant>
        <vt:lpwstr/>
      </vt:variant>
      <vt:variant>
        <vt:lpwstr>_Toc136506379</vt:lpwstr>
      </vt:variant>
      <vt:variant>
        <vt:i4>1048628</vt:i4>
      </vt:variant>
      <vt:variant>
        <vt:i4>17</vt:i4>
      </vt:variant>
      <vt:variant>
        <vt:i4>0</vt:i4>
      </vt:variant>
      <vt:variant>
        <vt:i4>5</vt:i4>
      </vt:variant>
      <vt:variant>
        <vt:lpwstr/>
      </vt:variant>
      <vt:variant>
        <vt:lpwstr>_Toc136506378</vt:lpwstr>
      </vt:variant>
      <vt:variant>
        <vt:i4>1048628</vt:i4>
      </vt:variant>
      <vt:variant>
        <vt:i4>11</vt:i4>
      </vt:variant>
      <vt:variant>
        <vt:i4>0</vt:i4>
      </vt:variant>
      <vt:variant>
        <vt:i4>5</vt:i4>
      </vt:variant>
      <vt:variant>
        <vt:lpwstr/>
      </vt:variant>
      <vt:variant>
        <vt:lpwstr>_Toc136506377</vt:lpwstr>
      </vt:variant>
      <vt:variant>
        <vt:i4>1048628</vt:i4>
      </vt:variant>
      <vt:variant>
        <vt:i4>5</vt:i4>
      </vt:variant>
      <vt:variant>
        <vt:i4>0</vt:i4>
      </vt:variant>
      <vt:variant>
        <vt:i4>5</vt:i4>
      </vt:variant>
      <vt:variant>
        <vt:lpwstr/>
      </vt:variant>
      <vt:variant>
        <vt:lpwstr>_Toc136506376</vt:lpwstr>
      </vt:variant>
      <vt:variant>
        <vt:i4>2359406</vt:i4>
      </vt:variant>
      <vt:variant>
        <vt:i4>0</vt:i4>
      </vt:variant>
      <vt:variant>
        <vt:i4>0</vt:i4>
      </vt:variant>
      <vt:variant>
        <vt:i4>5</vt:i4>
      </vt:variant>
      <vt:variant>
        <vt:lpwstr>https://creativecommons.org/licenses/by/3.0/au/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Operational Risk Management</dc:title>
  <dc:subject/>
  <dc:creator>Gavin Maunder</dc:creator>
  <cp:keywords>[SEC=OFFICIAL]</cp:keywords>
  <dc:description/>
  <cp:lastModifiedBy>Gavin Maunder</cp:lastModifiedBy>
  <cp:revision>566</cp:revision>
  <cp:lastPrinted>2018-02-21T15:18:00Z</cp:lastPrinted>
  <dcterms:created xsi:type="dcterms:W3CDTF">2022-11-29T13:09:00Z</dcterms:created>
  <dcterms:modified xsi:type="dcterms:W3CDTF">2023-07-10T15:19:00Z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Global">
    <vt:bool>true</vt:bool>
  </property>
  <property fmtid="{D5CDD505-2E9C-101B-9397-08002B2CF9AE}" pid="3" name="KeepMarginsTheSame">
    <vt:bool>true</vt:bool>
  </property>
  <property fmtid="{D5CDD505-2E9C-101B-9397-08002B2CF9AE}" pid="4" name="PM_ProtectiveMarkingValue_Footer">
    <vt:lpwstr>OFFICIAL</vt:lpwstr>
  </property>
  <property fmtid="{D5CDD505-2E9C-101B-9397-08002B2CF9AE}" pid="5" name="PM_Caveats_Count">
    <vt:lpwstr>0</vt:lpwstr>
  </property>
  <property fmtid="{D5CDD505-2E9C-101B-9397-08002B2CF9AE}" pid="6" name="PM_SecurityClassification">
    <vt:lpwstr>OFFICIAL</vt:lpwstr>
  </property>
  <property fmtid="{D5CDD505-2E9C-101B-9397-08002B2CF9AE}" pid="7" name="PM_DisplayValueSecClassificationWithQualifier">
    <vt:lpwstr>OFFICIAL</vt:lpwstr>
  </property>
  <property fmtid="{D5CDD505-2E9C-101B-9397-08002B2CF9AE}" pid="8" name="PM_Qualifier">
    <vt:lpwstr/>
  </property>
  <property fmtid="{D5CDD505-2E9C-101B-9397-08002B2CF9AE}" pid="9" name="PM_ProtectiveMarkingImage_Header">
    <vt:lpwstr>C:\Program Files\Common Files\janusNET Shared\janusSEAL\Images\DocumentSlashBlue.png</vt:lpwstr>
  </property>
  <property fmtid="{D5CDD505-2E9C-101B-9397-08002B2CF9AE}" pid="10" name="PM_InsertionValue">
    <vt:lpwstr>OFFICIAL</vt:lpwstr>
  </property>
  <property fmtid="{D5CDD505-2E9C-101B-9397-08002B2CF9AE}" pid="11" name="PM_ProtectiveMarkingValue_Header">
    <vt:lpwstr>OFFICIAL</vt:lpwstr>
  </property>
  <property fmtid="{D5CDD505-2E9C-101B-9397-08002B2CF9AE}" pid="12" name="PM_ProtectiveMarkingImage_Footer">
    <vt:lpwstr>C:\Program Files\Common Files\janusNET Shared\janusSEAL\Images\DocumentSlashBlue.png</vt:lpwstr>
  </property>
  <property fmtid="{D5CDD505-2E9C-101B-9397-08002B2CF9AE}" pid="13" name="PM_Namespace">
    <vt:lpwstr>gov.au</vt:lpwstr>
  </property>
  <property fmtid="{D5CDD505-2E9C-101B-9397-08002B2CF9AE}" pid="14" name="PM_Version">
    <vt:lpwstr>2018.3</vt:lpwstr>
  </property>
  <property fmtid="{D5CDD505-2E9C-101B-9397-08002B2CF9AE}" pid="15" name="PM_Originating_FileId">
    <vt:lpwstr>2D3CA2CCF58E4577ADFF6BC7C9E7EA41</vt:lpwstr>
  </property>
  <property fmtid="{D5CDD505-2E9C-101B-9397-08002B2CF9AE}" pid="16" name="PM_OriginationTimeStamp">
    <vt:lpwstr>2023-01-13T03:39:29Z</vt:lpwstr>
  </property>
  <property fmtid="{D5CDD505-2E9C-101B-9397-08002B2CF9AE}" pid="17" name="PM_Hash_Version">
    <vt:lpwstr>2022.1</vt:lpwstr>
  </property>
  <property fmtid="{D5CDD505-2E9C-101B-9397-08002B2CF9AE}" pid="18" name="ContentTypeId">
    <vt:lpwstr>0x0101009CA239676470E04B809DDC4E24CF2322</vt:lpwstr>
  </property>
  <property fmtid="{D5CDD505-2E9C-101B-9397-08002B2CF9AE}" pid="19" name="APRAPeriod">
    <vt:lpwstr/>
  </property>
  <property fmtid="{D5CDD505-2E9C-101B-9397-08002B2CF9AE}" pid="20" name="APRAYear">
    <vt:lpwstr>56;#2017|d3a4eca2-678d-4407-b6b0-19c597d571b1</vt:lpwstr>
  </property>
  <property fmtid="{D5CDD505-2E9C-101B-9397-08002B2CF9AE}" pid="21" name="APRAIndustry">
    <vt:lpwstr>8;#Cross Industry|72fe5b41-a18b-4402-ad9b-cffc85b73640</vt:lpwstr>
  </property>
  <property fmtid="{D5CDD505-2E9C-101B-9397-08002B2CF9AE}" pid="22" name="APRAPRSG">
    <vt:lpwstr>42;#CPS 231 Outsourcing|67eb5496-fd27-48af-bc8c-774ff6cb01c6;#81;#CPS 232 Business Continuity Management|db6449ba-26ed-4547-9345-c925a9000a8c;#128;#CPS 234 IT Security|bac97c93-04f2-4ce3-8b08-cf7493ff3252</vt:lpwstr>
  </property>
  <property fmtid="{D5CDD505-2E9C-101B-9397-08002B2CF9AE}" pid="23" name="_dlc_DocIdItemGuid">
    <vt:lpwstr>74d2880f-6e6b-496a-9076-82edb42947c6</vt:lpwstr>
  </property>
  <property fmtid="{D5CDD505-2E9C-101B-9397-08002B2CF9AE}" pid="24" name="IsLocked">
    <vt:lpwstr>Yes</vt:lpwstr>
  </property>
  <property fmtid="{D5CDD505-2E9C-101B-9397-08002B2CF9AE}" pid="25" name="APRACostCentre">
    <vt:lpwstr/>
  </property>
  <property fmtid="{D5CDD505-2E9C-101B-9397-08002B2CF9AE}" pid="26" name="IT system type">
    <vt:lpwstr/>
  </property>
  <property fmtid="{D5CDD505-2E9C-101B-9397-08002B2CF9AE}" pid="27" name="APRACategory">
    <vt:lpwstr/>
  </property>
  <property fmtid="{D5CDD505-2E9C-101B-9397-08002B2CF9AE}" pid="28" name="APRADocumentType">
    <vt:lpwstr>Response paper</vt:lpwstr>
  </property>
  <property fmtid="{D5CDD505-2E9C-101B-9397-08002B2CF9AE}" pid="29" name="APRAStatus">
    <vt:lpwstr>Draft</vt:lpwstr>
  </property>
  <property fmtid="{D5CDD505-2E9C-101B-9397-08002B2CF9AE}" pid="30" name="APRAActivity">
    <vt:lpwstr>Prudential policy development</vt:lpwstr>
  </property>
  <property fmtid="{D5CDD505-2E9C-101B-9397-08002B2CF9AE}" pid="31" name="APRAEntityAdviceSupport">
    <vt:lpwstr/>
  </property>
  <property fmtid="{D5CDD505-2E9C-101B-9397-08002B2CF9AE}" pid="32" name="APRALegislation">
    <vt:lpwstr/>
  </property>
  <property fmtid="{D5CDD505-2E9C-101B-9397-08002B2CF9AE}" pid="33" name="APRAExternalOrganisation">
    <vt:lpwstr/>
  </property>
  <property fmtid="{D5CDD505-2E9C-101B-9397-08002B2CF9AE}" pid="34" name="APRAIRTR">
    <vt:lpwstr/>
  </property>
  <property fmtid="{D5CDD505-2E9C-101B-9397-08002B2CF9AE}" pid="35" name="RecordPoint_WorkflowType">
    <vt:lpwstr>ActiveSubmitStub</vt:lpwstr>
  </property>
  <property fmtid="{D5CDD505-2E9C-101B-9397-08002B2CF9AE}" pid="36" name="RecordPoint_ActiveItemWebId">
    <vt:lpwstr>{8519a14e-5c73-4f9a-a3a9-27c320967c41}</vt:lpwstr>
  </property>
  <property fmtid="{D5CDD505-2E9C-101B-9397-08002B2CF9AE}" pid="37" name="RecordPoint_ActiveItemSiteId">
    <vt:lpwstr>{2cada49c-ae30-40b5-bba4-93d447100c6c}</vt:lpwstr>
  </property>
  <property fmtid="{D5CDD505-2E9C-101B-9397-08002B2CF9AE}" pid="38" name="RecordPoint_ActiveItemListId">
    <vt:lpwstr>{697db2ba-7734-4e83-9523-7ac0d89b7c37}</vt:lpwstr>
  </property>
  <property fmtid="{D5CDD505-2E9C-101B-9397-08002B2CF9AE}" pid="39" name="RecordPoint_ActiveItemUniqueId">
    <vt:lpwstr>{a3138531-2604-467e-a895-e82e051f4ae5}</vt:lpwstr>
  </property>
  <property fmtid="{D5CDD505-2E9C-101B-9397-08002B2CF9AE}" pid="40" name="RecordPoint_RecordNumberSubmitted">
    <vt:lpwstr>R0001708452</vt:lpwstr>
  </property>
  <property fmtid="{D5CDD505-2E9C-101B-9397-08002B2CF9AE}" pid="41" name="PM_SecurityClassification_Prev">
    <vt:lpwstr>OFFICIAL</vt:lpwstr>
  </property>
  <property fmtid="{D5CDD505-2E9C-101B-9397-08002B2CF9AE}" pid="42" name="PM_Qualifier_Prev">
    <vt:lpwstr/>
  </property>
  <property fmtid="{D5CDD505-2E9C-101B-9397-08002B2CF9AE}" pid="43" name="PM_Note">
    <vt:lpwstr/>
  </property>
  <property fmtid="{D5CDD505-2E9C-101B-9397-08002B2CF9AE}" pid="44" name="PM_Markers">
    <vt:lpwstr/>
  </property>
  <property fmtid="{D5CDD505-2E9C-101B-9397-08002B2CF9AE}" pid="45" name="APRATemplateType">
    <vt:lpwstr>9;#Common|b6fb27ac-f757-4d62-bc99-778f68d8a9b3</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SetDate">
    <vt:lpwstr>2023-01-13T03:39:29Z</vt:lpwstr>
  </property>
  <property fmtid="{D5CDD505-2E9C-101B-9397-08002B2CF9AE}" pid="50" name="PM_Display">
    <vt:lpwstr>OFFICIAL</vt:lpwstr>
  </property>
  <property fmtid="{D5CDD505-2E9C-101B-9397-08002B2CF9AE}" pid="51" name="PMUuid">
    <vt:lpwstr>v=2022.2;d=gov.au;g=46DD6D7C-8107-577B-BC6E-F348953B2E44</vt:lpwstr>
  </property>
  <property fmtid="{D5CDD505-2E9C-101B-9397-08002B2CF9AE}" pid="52" name="PM_OriginatorDomainName_SHA256">
    <vt:lpwstr>ECBDE2B44A971754412B3FB70606937A119CC0D4B6C1B658A40FBD41C30BE3EC</vt:lpwstr>
  </property>
  <property fmtid="{D5CDD505-2E9C-101B-9397-08002B2CF9AE}" pid="53" name="MSIP_Label_c0129afb-6481-4f92-bc9f-5a4a6346364d_Name">
    <vt:lpwstr>OFFICIAL</vt:lpwstr>
  </property>
  <property fmtid="{D5CDD505-2E9C-101B-9397-08002B2CF9AE}" pid="54" name="MSIP_Label_c0129afb-6481-4f92-bc9f-5a4a6346364d_SiteId">
    <vt:lpwstr>c05e3ffd-b491-4431-9809-e61d4dc78816</vt:lpwstr>
  </property>
  <property fmtid="{D5CDD505-2E9C-101B-9397-08002B2CF9AE}" pid="55" name="MSIP_Label_c0129afb-6481-4f92-bc9f-5a4a6346364d_Enabled">
    <vt:lpwstr>true</vt:lpwstr>
  </property>
  <property fmtid="{D5CDD505-2E9C-101B-9397-08002B2CF9AE}" pid="56" name="MSIP_Label_c0129afb-6481-4f92-bc9f-5a4a6346364d_Method">
    <vt:lpwstr>Privileged</vt:lpwstr>
  </property>
  <property fmtid="{D5CDD505-2E9C-101B-9397-08002B2CF9AE}" pid="57" name="MSIP_Label_c0129afb-6481-4f92-bc9f-5a4a6346364d_ContentBits">
    <vt:lpwstr>0</vt:lpwstr>
  </property>
  <property fmtid="{D5CDD505-2E9C-101B-9397-08002B2CF9AE}" pid="58" name="RecordPoint_SubmissionCompleted">
    <vt:lpwstr>2023-02-27T12:29:08.0915408+11:00</vt:lpwstr>
  </property>
  <property fmtid="{D5CDD505-2E9C-101B-9397-08002B2CF9AE}" pid="59" name="APRASecurityClassification">
    <vt:lpwstr>OFFICIAL</vt:lpwstr>
  </property>
  <property fmtid="{D5CDD505-2E9C-101B-9397-08002B2CF9AE}" pid="60" name="DocumentSetDescription">
    <vt:lpwstr/>
  </property>
  <property fmtid="{D5CDD505-2E9C-101B-9397-08002B2CF9AE}" pid="61" name="_ExtendedDescription">
    <vt:lpwstr/>
  </property>
  <property fmtid="{D5CDD505-2E9C-101B-9397-08002B2CF9AE}" pid="62" name="URL">
    <vt:lpwstr/>
  </property>
  <property fmtid="{D5CDD505-2E9C-101B-9397-08002B2CF9AE}" pid="63" name="PM_Originator_Hash_SHA1">
    <vt:lpwstr>9286F1E78DCB54AF772C60A5C7723E880DD2CC78</vt:lpwstr>
  </property>
  <property fmtid="{D5CDD505-2E9C-101B-9397-08002B2CF9AE}" pid="64" name="PM_OriginatorUserAccountName_SHA256">
    <vt:lpwstr>5B048E7A4906685DDFE1A3D352927449A46A52604D77DEB9772F273D95D32C62</vt:lpwstr>
  </property>
  <property fmtid="{D5CDD505-2E9C-101B-9397-08002B2CF9AE}" pid="65" name="PM_Hash_SHA1">
    <vt:lpwstr>8CB7302E5C207B971A64FCEAAC0BD5209456888B</vt:lpwstr>
  </property>
  <property fmtid="{D5CDD505-2E9C-101B-9397-08002B2CF9AE}" pid="66" name="PM_Hash_Salt_Prev">
    <vt:lpwstr>24891B1F6847E2A6B655A63C5C3064CD</vt:lpwstr>
  </property>
  <property fmtid="{D5CDD505-2E9C-101B-9397-08002B2CF9AE}" pid="67" name="PM_Hash_Salt">
    <vt:lpwstr>BF0B3D2CBBEDC2CB50D2A84AC7AF05C1</vt:lpwstr>
  </property>
  <property fmtid="{D5CDD505-2E9C-101B-9397-08002B2CF9AE}" pid="68" name="PMHMAC">
    <vt:lpwstr>v=2022.1;a=SHA256;h=A88E55521E7E3573D2AF0933C6F63E2FA7C1FC31380B4A3AD2BD00F287E9B204</vt:lpwstr>
  </property>
  <property fmtid="{D5CDD505-2E9C-101B-9397-08002B2CF9AE}" pid="69" name="MSIP_Label_c0129afb-6481-4f92-bc9f-5a4a6346364d_ActionId">
    <vt:lpwstr>359afefbcf7a48e09d2a7ef88dfcab5b</vt:lpwstr>
  </property>
  <property fmtid="{D5CDD505-2E9C-101B-9397-08002B2CF9AE}" pid="70" name="MediaServiceImageTags">
    <vt:lpwstr/>
  </property>
</Properties>
</file>