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31783" w14:textId="135C7547" w:rsidR="00F06E14" w:rsidRPr="00FF1636" w:rsidRDefault="00A85F14" w:rsidP="00F06E14">
      <w:pPr>
        <w:pStyle w:val="Reportsubtitle"/>
        <w:rPr>
          <w:rFonts w:cs="Arial"/>
        </w:rPr>
      </w:pPr>
      <w:bookmarkStart w:id="0" w:name="_GoBack"/>
      <w:bookmarkEnd w:id="0"/>
      <w:r w:rsidRPr="00FF1636">
        <w:rPr>
          <w:rFonts w:cs="Arial"/>
          <w:b/>
          <w:color w:val="auto"/>
        </w:rPr>
        <w:t xml:space="preserve">Allocation </w:t>
      </w:r>
      <w:r w:rsidR="00C614E8" w:rsidRPr="00FF1636">
        <w:rPr>
          <w:rFonts w:cs="Arial"/>
          <w:b/>
          <w:color w:val="auto"/>
        </w:rPr>
        <w:t>and technical instruments</w:t>
      </w:r>
      <w:r w:rsidRPr="00FF1636">
        <w:rPr>
          <w:rFonts w:cs="Arial"/>
          <w:b/>
          <w:color w:val="auto"/>
        </w:rPr>
        <w:t xml:space="preserve"> for the 3.4/3.7 GHz bands </w:t>
      </w:r>
      <w:r w:rsidR="00C614E8" w:rsidRPr="00FF1636">
        <w:rPr>
          <w:rFonts w:cs="Arial"/>
          <w:b/>
          <w:color w:val="auto"/>
        </w:rPr>
        <w:t>allocation process</w:t>
      </w:r>
      <w:r w:rsidR="00E15D1E" w:rsidRPr="00FF1636">
        <w:rPr>
          <w:rFonts w:cs="Arial"/>
          <w:b/>
          <w:color w:val="auto"/>
        </w:rPr>
        <w:br/>
      </w:r>
      <w:r w:rsidR="00D61AF5" w:rsidRPr="00FF1636">
        <w:rPr>
          <w:rFonts w:cs="Arial"/>
        </w:rPr>
        <w:t>Outcomes paper</w:t>
      </w:r>
    </w:p>
    <w:p w14:paraId="5F4AF774" w14:textId="38C6C4F6" w:rsidR="00C97736" w:rsidRPr="00FF1636" w:rsidRDefault="004725C0" w:rsidP="00EC2B68">
      <w:pPr>
        <w:pStyle w:val="Reportdate"/>
        <w:spacing w:after="720"/>
        <w:rPr>
          <w:rFonts w:cs="Arial"/>
        </w:rPr>
        <w:sectPr w:rsidR="00C97736" w:rsidRPr="00FF1636" w:rsidSect="0021426C">
          <w:headerReference w:type="even" r:id="rId8"/>
          <w:headerReference w:type="default" r:id="rId9"/>
          <w:footerReference w:type="even" r:id="rId10"/>
          <w:footerReference w:type="default" r:id="rId11"/>
          <w:headerReference w:type="first" r:id="rId12"/>
          <w:footerReference w:type="first" r:id="rId13"/>
          <w:pgSz w:w="11906" w:h="16838" w:code="9"/>
          <w:pgMar w:top="3924" w:right="992" w:bottom="1440" w:left="1134" w:header="709" w:footer="454" w:gutter="0"/>
          <w:cols w:space="708"/>
          <w:docGrid w:linePitch="360"/>
        </w:sectPr>
      </w:pPr>
      <w:r w:rsidRPr="00FF78AC">
        <w:rPr>
          <w:rFonts w:cs="Arial"/>
        </w:rPr>
        <w:t>Ju</w:t>
      </w:r>
      <w:r w:rsidR="00052548" w:rsidRPr="00FF78AC">
        <w:rPr>
          <w:rFonts w:cs="Arial"/>
        </w:rPr>
        <w:t>LY</w:t>
      </w:r>
      <w:r w:rsidR="00BD4421" w:rsidRPr="00FF78AC">
        <w:rPr>
          <w:rStyle w:val="CommentReference"/>
          <w:rFonts w:cs="Arial"/>
          <w:caps w:val="0"/>
          <w:color w:val="auto"/>
          <w:spacing w:val="0"/>
        </w:rPr>
        <w:t xml:space="preserve"> </w:t>
      </w:r>
      <w:r w:rsidR="00BD4421" w:rsidRPr="00FF78AC">
        <w:rPr>
          <w:rFonts w:cs="Arial"/>
        </w:rPr>
        <w:t>20</w:t>
      </w:r>
      <w:r w:rsidR="008E0428" w:rsidRPr="00FF78AC">
        <w:rPr>
          <w:rFonts w:cs="Arial"/>
        </w:rPr>
        <w:t>2</w:t>
      </w:r>
      <w:r w:rsidR="008500E5" w:rsidRPr="00FF78AC">
        <w:rPr>
          <w:rFonts w:cs="Arial"/>
        </w:rPr>
        <w:t>3</w:t>
      </w:r>
    </w:p>
    <w:p w14:paraId="5A040C8F" w14:textId="77777777" w:rsidR="0005011A" w:rsidRPr="00FF1636" w:rsidRDefault="0005011A" w:rsidP="00FC07B9">
      <w:pPr>
        <w:pStyle w:val="ACMACorporateAddressHeader"/>
        <w:rPr>
          <w:rFonts w:cs="Arial"/>
        </w:rPr>
      </w:pPr>
      <w:r w:rsidRPr="00FF1636">
        <w:rPr>
          <w:rFonts w:cs="Arial"/>
        </w:rPr>
        <w:lastRenderedPageBreak/>
        <w:t>Canberra</w:t>
      </w:r>
    </w:p>
    <w:p w14:paraId="6862A79C" w14:textId="77777777" w:rsidR="0005011A" w:rsidRPr="00FF1636" w:rsidRDefault="0005011A" w:rsidP="00FC07B9">
      <w:pPr>
        <w:pStyle w:val="ACMACorporateAddresses"/>
        <w:rPr>
          <w:rFonts w:cs="Arial"/>
        </w:rPr>
      </w:pPr>
      <w:r w:rsidRPr="00FF1636">
        <w:rPr>
          <w:rFonts w:cs="Arial"/>
        </w:rPr>
        <w:t xml:space="preserve">Red Building </w:t>
      </w:r>
      <w:r w:rsidRPr="00FF1636">
        <w:rPr>
          <w:rFonts w:cs="Arial"/>
        </w:rPr>
        <w:br/>
        <w:t>Benjamin Offices</w:t>
      </w:r>
      <w:r w:rsidRPr="00FF1636">
        <w:rPr>
          <w:rFonts w:cs="Arial"/>
        </w:rPr>
        <w:br/>
        <w:t xml:space="preserve">Chan Street </w:t>
      </w:r>
      <w:r w:rsidRPr="00FF1636">
        <w:rPr>
          <w:rFonts w:cs="Arial"/>
        </w:rPr>
        <w:br/>
        <w:t>Belconnen ACT</w:t>
      </w:r>
    </w:p>
    <w:p w14:paraId="2BC4E776" w14:textId="77777777" w:rsidR="0005011A" w:rsidRPr="00FF1636" w:rsidRDefault="0005011A" w:rsidP="00FC07B9">
      <w:pPr>
        <w:pStyle w:val="ACMACorporateAddresses"/>
        <w:rPr>
          <w:rFonts w:cs="Arial"/>
        </w:rPr>
      </w:pPr>
      <w:r w:rsidRPr="00FF1636">
        <w:rPr>
          <w:rFonts w:cs="Arial"/>
        </w:rPr>
        <w:t>PO Box 78</w:t>
      </w:r>
      <w:r w:rsidRPr="00FF1636">
        <w:rPr>
          <w:rFonts w:cs="Arial"/>
        </w:rPr>
        <w:br/>
        <w:t>Belconnen ACT 2616</w:t>
      </w:r>
    </w:p>
    <w:p w14:paraId="3BF060E6" w14:textId="77777777" w:rsidR="00FE1823" w:rsidRPr="00FF1636" w:rsidRDefault="0005011A" w:rsidP="00FC07B9">
      <w:pPr>
        <w:pStyle w:val="ACMACorporateAddresses"/>
        <w:rPr>
          <w:rFonts w:cs="Arial"/>
        </w:rPr>
      </w:pPr>
      <w:r w:rsidRPr="00FF1636">
        <w:rPr>
          <w:rFonts w:cs="Arial"/>
        </w:rPr>
        <w:t>T</w:t>
      </w:r>
      <w:r w:rsidR="00537604" w:rsidRPr="00FF1636">
        <w:rPr>
          <w:rFonts w:cs="Arial"/>
        </w:rPr>
        <w:tab/>
      </w:r>
      <w:r w:rsidRPr="00FF1636">
        <w:rPr>
          <w:rFonts w:cs="Arial"/>
        </w:rPr>
        <w:t>+61 2 6219 5555</w:t>
      </w:r>
      <w:r w:rsidRPr="00FF1636">
        <w:rPr>
          <w:rFonts w:cs="Arial"/>
        </w:rPr>
        <w:br/>
        <w:t>F</w:t>
      </w:r>
      <w:r w:rsidR="00537604" w:rsidRPr="00FF1636">
        <w:rPr>
          <w:rFonts w:cs="Arial"/>
        </w:rPr>
        <w:tab/>
      </w:r>
      <w:r w:rsidRPr="00FF1636">
        <w:rPr>
          <w:rFonts w:cs="Arial"/>
        </w:rPr>
        <w:t>+61 2 6219 5353</w:t>
      </w:r>
    </w:p>
    <w:p w14:paraId="0FC238E4" w14:textId="77777777" w:rsidR="0005011A" w:rsidRPr="00FF1636" w:rsidRDefault="0005011A" w:rsidP="00FC07B9">
      <w:pPr>
        <w:pStyle w:val="ACMACorporateAddressHeader"/>
        <w:rPr>
          <w:rFonts w:cs="Arial"/>
        </w:rPr>
      </w:pPr>
      <w:r w:rsidRPr="00FF1636">
        <w:rPr>
          <w:rFonts w:cs="Arial"/>
        </w:rPr>
        <w:t>Melbourne</w:t>
      </w:r>
    </w:p>
    <w:p w14:paraId="290D346F" w14:textId="77777777" w:rsidR="0005011A" w:rsidRPr="00FF1636" w:rsidRDefault="0005011A" w:rsidP="00FC07B9">
      <w:pPr>
        <w:pStyle w:val="ACMACorporateAddresses"/>
        <w:rPr>
          <w:rFonts w:cs="Arial"/>
        </w:rPr>
      </w:pPr>
      <w:r w:rsidRPr="00FF1636">
        <w:rPr>
          <w:rFonts w:cs="Arial"/>
        </w:rPr>
        <w:t xml:space="preserve">Level 32 </w:t>
      </w:r>
      <w:r w:rsidRPr="00FF1636">
        <w:rPr>
          <w:rFonts w:cs="Arial"/>
        </w:rPr>
        <w:br/>
        <w:t>Melbourne Central Tower</w:t>
      </w:r>
      <w:r w:rsidRPr="00FF1636">
        <w:rPr>
          <w:rFonts w:cs="Arial"/>
        </w:rPr>
        <w:br/>
        <w:t xml:space="preserve">360 Elizabeth Street </w:t>
      </w:r>
      <w:r w:rsidR="008C10F4" w:rsidRPr="00FF1636">
        <w:rPr>
          <w:rFonts w:cs="Arial"/>
        </w:rPr>
        <w:br/>
      </w:r>
      <w:r w:rsidRPr="00FF1636">
        <w:rPr>
          <w:rFonts w:cs="Arial"/>
        </w:rPr>
        <w:t>Melbourne VIC</w:t>
      </w:r>
    </w:p>
    <w:p w14:paraId="7AA1433D" w14:textId="77777777" w:rsidR="0005011A" w:rsidRPr="00FF1636" w:rsidRDefault="0005011A" w:rsidP="00FC07B9">
      <w:pPr>
        <w:pStyle w:val="ACMACorporateAddresses"/>
        <w:rPr>
          <w:rFonts w:cs="Arial"/>
        </w:rPr>
      </w:pPr>
      <w:r w:rsidRPr="00FF1636">
        <w:rPr>
          <w:rFonts w:cs="Arial"/>
        </w:rPr>
        <w:t>PO Box 13112</w:t>
      </w:r>
      <w:r w:rsidRPr="00FF1636">
        <w:rPr>
          <w:rFonts w:cs="Arial"/>
        </w:rPr>
        <w:br/>
        <w:t xml:space="preserve">Law Courts </w:t>
      </w:r>
      <w:r w:rsidRPr="00FF1636">
        <w:rPr>
          <w:rFonts w:cs="Arial"/>
        </w:rPr>
        <w:br/>
        <w:t>Melbourne VIC 8010</w:t>
      </w:r>
    </w:p>
    <w:p w14:paraId="179D6EDA" w14:textId="77777777" w:rsidR="0005011A" w:rsidRPr="00FF1636" w:rsidRDefault="0005011A" w:rsidP="00FC07B9">
      <w:pPr>
        <w:pStyle w:val="ACMACorporateAddresses"/>
        <w:rPr>
          <w:rFonts w:cs="Arial"/>
        </w:rPr>
      </w:pPr>
      <w:r w:rsidRPr="00FF1636">
        <w:rPr>
          <w:rFonts w:cs="Arial"/>
        </w:rPr>
        <w:t>T</w:t>
      </w:r>
      <w:r w:rsidR="00140318" w:rsidRPr="00FF1636">
        <w:rPr>
          <w:rFonts w:cs="Arial"/>
        </w:rPr>
        <w:tab/>
      </w:r>
      <w:r w:rsidRPr="00FF1636">
        <w:rPr>
          <w:rFonts w:cs="Arial"/>
        </w:rPr>
        <w:t>+61 3 9963 6800</w:t>
      </w:r>
      <w:r w:rsidRPr="00FF1636">
        <w:rPr>
          <w:rFonts w:cs="Arial"/>
        </w:rPr>
        <w:br/>
        <w:t>F</w:t>
      </w:r>
      <w:r w:rsidR="00140318" w:rsidRPr="00FF1636">
        <w:rPr>
          <w:rFonts w:cs="Arial"/>
        </w:rPr>
        <w:tab/>
      </w:r>
      <w:r w:rsidRPr="00FF1636">
        <w:rPr>
          <w:rFonts w:cs="Arial"/>
        </w:rPr>
        <w:t>+61 3 9963 6899</w:t>
      </w:r>
    </w:p>
    <w:p w14:paraId="0DB2660F" w14:textId="77777777" w:rsidR="0005011A" w:rsidRPr="00FF1636" w:rsidRDefault="0005011A" w:rsidP="00FC07B9">
      <w:pPr>
        <w:pStyle w:val="ACMACorporateAddressHeader"/>
        <w:rPr>
          <w:rFonts w:cs="Arial"/>
        </w:rPr>
      </w:pPr>
      <w:r w:rsidRPr="00FF1636">
        <w:rPr>
          <w:rFonts w:cs="Arial"/>
        </w:rPr>
        <w:t>Sydney</w:t>
      </w:r>
    </w:p>
    <w:p w14:paraId="1001FE28" w14:textId="77777777" w:rsidR="0005011A" w:rsidRPr="00FF1636" w:rsidRDefault="0005011A" w:rsidP="00FC07B9">
      <w:pPr>
        <w:pStyle w:val="ACMACorporateAddresses"/>
        <w:rPr>
          <w:rFonts w:cs="Arial"/>
        </w:rPr>
      </w:pPr>
      <w:r w:rsidRPr="00FF1636">
        <w:rPr>
          <w:rFonts w:cs="Arial"/>
        </w:rPr>
        <w:t xml:space="preserve">Level 5 </w:t>
      </w:r>
      <w:r w:rsidRPr="00FF1636">
        <w:rPr>
          <w:rFonts w:cs="Arial"/>
        </w:rPr>
        <w:br/>
        <w:t>The Bay Centre</w:t>
      </w:r>
      <w:r w:rsidRPr="00FF1636">
        <w:rPr>
          <w:rFonts w:cs="Arial"/>
        </w:rPr>
        <w:br/>
        <w:t xml:space="preserve">65 Pirrama Road </w:t>
      </w:r>
      <w:r w:rsidRPr="00FF1636">
        <w:rPr>
          <w:rFonts w:cs="Arial"/>
        </w:rPr>
        <w:br/>
        <w:t>Pyrmont NSW</w:t>
      </w:r>
    </w:p>
    <w:p w14:paraId="377FFA8E" w14:textId="77777777" w:rsidR="0005011A" w:rsidRPr="00FF1636" w:rsidRDefault="0005011A" w:rsidP="00FC07B9">
      <w:pPr>
        <w:pStyle w:val="ACMACorporateAddresses"/>
        <w:rPr>
          <w:rFonts w:cs="Arial"/>
        </w:rPr>
      </w:pPr>
      <w:r w:rsidRPr="00FF1636">
        <w:rPr>
          <w:rFonts w:cs="Arial"/>
        </w:rPr>
        <w:t>PO Box Q500</w:t>
      </w:r>
      <w:r w:rsidRPr="00FF1636">
        <w:rPr>
          <w:rFonts w:cs="Arial"/>
        </w:rPr>
        <w:br/>
        <w:t xml:space="preserve">Queen Victoria Building </w:t>
      </w:r>
      <w:r w:rsidRPr="00FF1636">
        <w:rPr>
          <w:rFonts w:cs="Arial"/>
        </w:rPr>
        <w:br/>
        <w:t>NSW 1230</w:t>
      </w:r>
    </w:p>
    <w:p w14:paraId="43BBF200" w14:textId="77777777" w:rsidR="0005011A" w:rsidRPr="00FF1636" w:rsidRDefault="0005011A" w:rsidP="00FC07B9">
      <w:pPr>
        <w:pStyle w:val="ACMACorporateAddresses"/>
        <w:rPr>
          <w:rFonts w:cs="Arial"/>
        </w:rPr>
      </w:pPr>
      <w:r w:rsidRPr="00FF1636">
        <w:rPr>
          <w:rFonts w:cs="Arial"/>
        </w:rPr>
        <w:t>T</w:t>
      </w:r>
      <w:r w:rsidR="00140318" w:rsidRPr="00FF1636">
        <w:rPr>
          <w:rFonts w:cs="Arial"/>
        </w:rPr>
        <w:tab/>
      </w:r>
      <w:r w:rsidRPr="00FF1636">
        <w:rPr>
          <w:rFonts w:cs="Arial"/>
        </w:rPr>
        <w:t>+61 2 9334 7700</w:t>
      </w:r>
      <w:r w:rsidR="00140318" w:rsidRPr="00FF1636">
        <w:rPr>
          <w:rFonts w:cs="Arial"/>
        </w:rPr>
        <w:t xml:space="preserve"> or</w:t>
      </w:r>
      <w:r w:rsidRPr="00FF1636">
        <w:rPr>
          <w:rFonts w:cs="Arial"/>
        </w:rPr>
        <w:t xml:space="preserve"> 1800 226 667</w:t>
      </w:r>
      <w:r w:rsidRPr="00FF1636">
        <w:rPr>
          <w:rFonts w:cs="Arial"/>
        </w:rPr>
        <w:br/>
        <w:t>F</w:t>
      </w:r>
      <w:r w:rsidR="00140318" w:rsidRPr="00FF1636">
        <w:rPr>
          <w:rFonts w:cs="Arial"/>
        </w:rPr>
        <w:tab/>
      </w:r>
      <w:r w:rsidRPr="00FF1636">
        <w:rPr>
          <w:rFonts w:cs="Arial"/>
        </w:rPr>
        <w:t>+61 2 9334 7799</w:t>
      </w:r>
    </w:p>
    <w:p w14:paraId="1C3FD0BB" w14:textId="77777777" w:rsidR="00140318" w:rsidRPr="00FF1636" w:rsidRDefault="00140318" w:rsidP="00FC07B9">
      <w:pPr>
        <w:pStyle w:val="ACMACopyrightHeader"/>
        <w:rPr>
          <w:rFonts w:cs="Arial"/>
        </w:rPr>
      </w:pPr>
      <w:r w:rsidRPr="00FF1636">
        <w:rPr>
          <w:rFonts w:cs="Arial"/>
        </w:rPr>
        <w:t>Copyright notice</w:t>
      </w:r>
    </w:p>
    <w:p w14:paraId="57374A88" w14:textId="77777777" w:rsidR="00140318" w:rsidRPr="00FF1636" w:rsidRDefault="00623FF9" w:rsidP="00623FF9">
      <w:pPr>
        <w:pStyle w:val="ACMACClogo"/>
        <w:rPr>
          <w:rFonts w:ascii="Arial" w:hAnsi="Arial" w:cs="Arial"/>
        </w:rPr>
      </w:pPr>
      <w:r w:rsidRPr="00FF1636">
        <w:rPr>
          <w:rFonts w:ascii="Arial" w:hAnsi="Arial" w:cs="Arial"/>
          <w:noProof/>
        </w:rPr>
        <w:drawing>
          <wp:inline distT="0" distB="0" distL="0" distR="0" wp14:anchorId="44CA5880" wp14:editId="21B20B35">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7F3330DF" w14:textId="77777777" w:rsidR="00AA2DE5" w:rsidRPr="00FF1636" w:rsidRDefault="00D4244F" w:rsidP="00AA2DE5">
      <w:pPr>
        <w:pStyle w:val="ACMACorporateAddresses"/>
        <w:rPr>
          <w:rStyle w:val="Hyperlink"/>
          <w:rFonts w:cs="Arial"/>
        </w:rPr>
      </w:pPr>
      <w:hyperlink r:id="rId16" w:history="1">
        <w:r w:rsidR="00AA2DE5" w:rsidRPr="00FF1636">
          <w:rPr>
            <w:rStyle w:val="Hyperlink"/>
            <w:rFonts w:cs="Arial"/>
          </w:rPr>
          <w:t>https://creativecommons.org/licenses/by/4.0/</w:t>
        </w:r>
      </w:hyperlink>
    </w:p>
    <w:p w14:paraId="69E6E9AC" w14:textId="77777777" w:rsidR="00AA2DE5" w:rsidRPr="00FF1636" w:rsidRDefault="00AA2DE5" w:rsidP="00AA2DE5">
      <w:pPr>
        <w:pStyle w:val="ACMACorporateAddresses"/>
        <w:rPr>
          <w:rFonts w:cs="Arial"/>
        </w:rPr>
      </w:pPr>
      <w:r w:rsidRPr="00FF1636">
        <w:rPr>
          <w:rFonts w:cs="Arial"/>
        </w:rPr>
        <w:t xml:space="preserve">With the exception of coats of arms, logos, emblems, images, other third-party material or devices protected by a trademark, this content is made available under the terms of the Creative Commons Attribution 4.0 International (CC BY 4.0) licence. </w:t>
      </w:r>
    </w:p>
    <w:p w14:paraId="5A9F65B1" w14:textId="77777777" w:rsidR="00AA2DE5" w:rsidRPr="00FF1636" w:rsidRDefault="00AA2DE5" w:rsidP="00AA2DE5">
      <w:pPr>
        <w:pStyle w:val="ACMACorporateAddresses"/>
        <w:rPr>
          <w:rFonts w:cs="Arial"/>
        </w:rPr>
      </w:pPr>
      <w:r w:rsidRPr="00FF1636">
        <w:rPr>
          <w:rFonts w:cs="Arial"/>
        </w:rPr>
        <w:t>We request attribution as © Commonwealth of Australia (Australian Communications and Media Authority) 20</w:t>
      </w:r>
      <w:r w:rsidR="00C41F21" w:rsidRPr="00FF1636">
        <w:rPr>
          <w:rFonts w:cs="Arial"/>
        </w:rPr>
        <w:t>2</w:t>
      </w:r>
      <w:r w:rsidR="008500E5" w:rsidRPr="00FF1636">
        <w:rPr>
          <w:rFonts w:cs="Arial"/>
        </w:rPr>
        <w:t>3</w:t>
      </w:r>
      <w:r w:rsidRPr="00FF1636">
        <w:rPr>
          <w:rFonts w:cs="Arial"/>
        </w:rPr>
        <w:t>.</w:t>
      </w:r>
    </w:p>
    <w:p w14:paraId="300D1AF5" w14:textId="77777777" w:rsidR="00AA2DE5" w:rsidRPr="00FF1636" w:rsidRDefault="00AA2DE5" w:rsidP="00AA2DE5">
      <w:pPr>
        <w:pStyle w:val="ACMACorporateAddresses"/>
        <w:rPr>
          <w:rFonts w:cs="Arial"/>
        </w:rPr>
      </w:pPr>
      <w:r w:rsidRPr="00FF1636">
        <w:rPr>
          <w:rFonts w:cs="Arial"/>
        </w:rPr>
        <w:t>All other rights are reserved.</w:t>
      </w:r>
    </w:p>
    <w:p w14:paraId="01CFF2D0" w14:textId="77777777" w:rsidR="00AA2DE5" w:rsidRPr="00FF1636" w:rsidRDefault="00AA2DE5" w:rsidP="00AA2DE5">
      <w:pPr>
        <w:pStyle w:val="ACMACorporateAddresses"/>
        <w:rPr>
          <w:rFonts w:cs="Arial"/>
        </w:rPr>
      </w:pPr>
      <w:r w:rsidRPr="00FF1636">
        <w:rPr>
          <w:rFonts w:cs="Arial"/>
        </w:rP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1A2C5D2" w14:textId="77777777" w:rsidR="00AA2DE5" w:rsidRPr="00FF1636" w:rsidRDefault="00AA2DE5" w:rsidP="00AA2DE5">
      <w:pPr>
        <w:pStyle w:val="ACMACorporateAddresses"/>
        <w:rPr>
          <w:rFonts w:cs="Arial"/>
        </w:rPr>
      </w:pPr>
      <w:r w:rsidRPr="00FF1636">
        <w:rPr>
          <w:rFonts w:cs="Arial"/>
        </w:rPr>
        <w:t>Written enquiries may be sent to:</w:t>
      </w:r>
    </w:p>
    <w:p w14:paraId="7C8BBBDD" w14:textId="77777777" w:rsidR="00AA2DE5" w:rsidRPr="00FF1636" w:rsidRDefault="00AA2DE5" w:rsidP="00AA2DE5">
      <w:pPr>
        <w:pStyle w:val="ACMACorporateAddresses"/>
        <w:rPr>
          <w:rStyle w:val="Hyperlink"/>
          <w:rFonts w:cs="Arial"/>
        </w:rPr>
      </w:pPr>
      <w:r w:rsidRPr="00FF1636">
        <w:rPr>
          <w:rFonts w:cs="Arial"/>
        </w:rPr>
        <w:t xml:space="preserve">Manager, Editorial </w:t>
      </w:r>
      <w:r w:rsidR="000245E5" w:rsidRPr="00FF1636">
        <w:rPr>
          <w:rFonts w:cs="Arial"/>
        </w:rPr>
        <w:t>Services</w:t>
      </w:r>
      <w:r w:rsidRPr="00FF1636">
        <w:rPr>
          <w:rFonts w:cs="Arial"/>
        </w:rPr>
        <w:br/>
        <w:t>PO Box 13112</w:t>
      </w:r>
      <w:r w:rsidRPr="00FF1636">
        <w:rPr>
          <w:rFonts w:cs="Arial"/>
        </w:rPr>
        <w:br/>
        <w:t>Law Courts</w:t>
      </w:r>
      <w:r w:rsidRPr="00FF1636">
        <w:rPr>
          <w:rFonts w:cs="Arial"/>
        </w:rPr>
        <w:br/>
        <w:t>Melbourne VIC 8010</w:t>
      </w:r>
      <w:r w:rsidRPr="00FF1636">
        <w:rPr>
          <w:rFonts w:cs="Arial"/>
        </w:rPr>
        <w:br/>
        <w:t xml:space="preserve">Email: </w:t>
      </w:r>
      <w:hyperlink r:id="rId17" w:history="1">
        <w:r w:rsidRPr="00FF1636">
          <w:rPr>
            <w:rStyle w:val="Hyperlink"/>
            <w:rFonts w:cs="Arial"/>
          </w:rPr>
          <w:t>info@acma.gov.au</w:t>
        </w:r>
      </w:hyperlink>
    </w:p>
    <w:p w14:paraId="17B3156F" w14:textId="77777777" w:rsidR="00D16FE3" w:rsidRPr="00FF1636" w:rsidRDefault="00D16FE3" w:rsidP="00D16FE3">
      <w:pPr>
        <w:pStyle w:val="ACMACorporateAddresses"/>
        <w:rPr>
          <w:rStyle w:val="Hyperlink"/>
          <w:rFonts w:cs="Arial"/>
        </w:rPr>
      </w:pPr>
    </w:p>
    <w:p w14:paraId="199AB1D9" w14:textId="77777777" w:rsidR="00D16FE3" w:rsidRPr="00FF1636" w:rsidRDefault="00D16FE3" w:rsidP="00D16FE3">
      <w:pPr>
        <w:pStyle w:val="ACMACorporateAddresses"/>
        <w:rPr>
          <w:rFonts w:cs="Arial"/>
        </w:rPr>
        <w:sectPr w:rsidR="00D16FE3" w:rsidRPr="00FF1636">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77062342" w14:textId="0D2CC4F7" w:rsidR="00733B09" w:rsidRDefault="00B24265">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\t "Exec summary heading,1" </w:instrText>
      </w:r>
      <w:r>
        <w:rPr>
          <w:rFonts w:cs="Arial"/>
          <w:b w:val="0"/>
        </w:rPr>
        <w:fldChar w:fldCharType="separate"/>
      </w:r>
      <w:hyperlink w:anchor="_Toc139280823" w:history="1">
        <w:r w:rsidR="00733B09" w:rsidRPr="00B634BC">
          <w:rPr>
            <w:rStyle w:val="Hyperlink"/>
          </w:rPr>
          <w:t>Introduction</w:t>
        </w:r>
        <w:r w:rsidR="00733B09">
          <w:rPr>
            <w:webHidden/>
          </w:rPr>
          <w:tab/>
        </w:r>
        <w:r w:rsidR="00733B09">
          <w:rPr>
            <w:webHidden/>
          </w:rPr>
          <w:fldChar w:fldCharType="begin"/>
        </w:r>
        <w:r w:rsidR="00733B09">
          <w:rPr>
            <w:webHidden/>
          </w:rPr>
          <w:instrText xml:space="preserve"> PAGEREF _Toc139280823 \h </w:instrText>
        </w:r>
        <w:r w:rsidR="00733B09">
          <w:rPr>
            <w:webHidden/>
          </w:rPr>
        </w:r>
        <w:r w:rsidR="00733B09">
          <w:rPr>
            <w:webHidden/>
          </w:rPr>
          <w:fldChar w:fldCharType="separate"/>
        </w:r>
        <w:r w:rsidR="00340360">
          <w:rPr>
            <w:webHidden/>
          </w:rPr>
          <w:t>1</w:t>
        </w:r>
        <w:r w:rsidR="00733B09">
          <w:rPr>
            <w:webHidden/>
          </w:rPr>
          <w:fldChar w:fldCharType="end"/>
        </w:r>
      </w:hyperlink>
    </w:p>
    <w:p w14:paraId="418385D3" w14:textId="393E46B1" w:rsidR="00733B09" w:rsidRDefault="00D4244F">
      <w:pPr>
        <w:pStyle w:val="TOC2"/>
        <w:rPr>
          <w:rFonts w:asciiTheme="minorHAnsi" w:eastAsiaTheme="minorEastAsia" w:hAnsiTheme="minorHAnsi" w:cstheme="minorBidi"/>
          <w:spacing w:val="0"/>
          <w:sz w:val="22"/>
          <w:szCs w:val="22"/>
        </w:rPr>
      </w:pPr>
      <w:hyperlink w:anchor="_Toc139280824" w:history="1">
        <w:r w:rsidR="00733B09" w:rsidRPr="00B634BC">
          <w:rPr>
            <w:rStyle w:val="Hyperlink"/>
          </w:rPr>
          <w:t>Legislative context and policy objectives</w:t>
        </w:r>
        <w:r w:rsidR="00733B09">
          <w:rPr>
            <w:webHidden/>
          </w:rPr>
          <w:tab/>
        </w:r>
        <w:r w:rsidR="00733B09">
          <w:rPr>
            <w:webHidden/>
          </w:rPr>
          <w:fldChar w:fldCharType="begin"/>
        </w:r>
        <w:r w:rsidR="00733B09">
          <w:rPr>
            <w:webHidden/>
          </w:rPr>
          <w:instrText xml:space="preserve"> PAGEREF _Toc139280824 \h </w:instrText>
        </w:r>
        <w:r w:rsidR="00733B09">
          <w:rPr>
            <w:webHidden/>
          </w:rPr>
        </w:r>
        <w:r w:rsidR="00733B09">
          <w:rPr>
            <w:webHidden/>
          </w:rPr>
          <w:fldChar w:fldCharType="separate"/>
        </w:r>
        <w:r w:rsidR="00340360">
          <w:rPr>
            <w:webHidden/>
          </w:rPr>
          <w:t>2</w:t>
        </w:r>
        <w:r w:rsidR="00733B09">
          <w:rPr>
            <w:webHidden/>
          </w:rPr>
          <w:fldChar w:fldCharType="end"/>
        </w:r>
      </w:hyperlink>
    </w:p>
    <w:p w14:paraId="6DB1CA63" w14:textId="5E4B4EE4" w:rsidR="00733B09" w:rsidRDefault="00D4244F">
      <w:pPr>
        <w:pStyle w:val="TOC3"/>
        <w:rPr>
          <w:rFonts w:asciiTheme="minorHAnsi" w:eastAsiaTheme="minorEastAsia" w:hAnsiTheme="minorHAnsi" w:cstheme="minorBidi"/>
        </w:rPr>
      </w:pPr>
      <w:hyperlink w:anchor="_Toc139280825" w:history="1">
        <w:r w:rsidR="00733B09" w:rsidRPr="00B634BC">
          <w:rPr>
            <w:rStyle w:val="Hyperlink"/>
          </w:rPr>
          <w:t>Allocation limits</w:t>
        </w:r>
        <w:r w:rsidR="00733B09">
          <w:rPr>
            <w:webHidden/>
          </w:rPr>
          <w:tab/>
        </w:r>
        <w:r w:rsidR="00733B09">
          <w:rPr>
            <w:webHidden/>
          </w:rPr>
          <w:fldChar w:fldCharType="begin"/>
        </w:r>
        <w:r w:rsidR="00733B09">
          <w:rPr>
            <w:webHidden/>
          </w:rPr>
          <w:instrText xml:space="preserve"> PAGEREF _Toc139280825 \h </w:instrText>
        </w:r>
        <w:r w:rsidR="00733B09">
          <w:rPr>
            <w:webHidden/>
          </w:rPr>
        </w:r>
        <w:r w:rsidR="00733B09">
          <w:rPr>
            <w:webHidden/>
          </w:rPr>
          <w:fldChar w:fldCharType="separate"/>
        </w:r>
        <w:r w:rsidR="00340360">
          <w:rPr>
            <w:webHidden/>
          </w:rPr>
          <w:t>3</w:t>
        </w:r>
        <w:r w:rsidR="00733B09">
          <w:rPr>
            <w:webHidden/>
          </w:rPr>
          <w:fldChar w:fldCharType="end"/>
        </w:r>
      </w:hyperlink>
    </w:p>
    <w:p w14:paraId="58AE36E4" w14:textId="10DAEBBF" w:rsidR="00733B09" w:rsidRDefault="00D4244F">
      <w:pPr>
        <w:pStyle w:val="TOC2"/>
        <w:rPr>
          <w:rFonts w:asciiTheme="minorHAnsi" w:eastAsiaTheme="minorEastAsia" w:hAnsiTheme="minorHAnsi" w:cstheme="minorBidi"/>
          <w:spacing w:val="0"/>
          <w:sz w:val="22"/>
          <w:szCs w:val="22"/>
        </w:rPr>
      </w:pPr>
      <w:hyperlink w:anchor="_Toc139280826" w:history="1">
        <w:r w:rsidR="00733B09" w:rsidRPr="00B634BC">
          <w:rPr>
            <w:rStyle w:val="Hyperlink"/>
          </w:rPr>
          <w:t>Final allocation and technical instruments</w:t>
        </w:r>
        <w:r w:rsidR="00733B09">
          <w:rPr>
            <w:webHidden/>
          </w:rPr>
          <w:tab/>
        </w:r>
        <w:r w:rsidR="00733B09">
          <w:rPr>
            <w:webHidden/>
          </w:rPr>
          <w:fldChar w:fldCharType="begin"/>
        </w:r>
        <w:r w:rsidR="00733B09">
          <w:rPr>
            <w:webHidden/>
          </w:rPr>
          <w:instrText xml:space="preserve"> PAGEREF _Toc139280826 \h </w:instrText>
        </w:r>
        <w:r w:rsidR="00733B09">
          <w:rPr>
            <w:webHidden/>
          </w:rPr>
        </w:r>
        <w:r w:rsidR="00733B09">
          <w:rPr>
            <w:webHidden/>
          </w:rPr>
          <w:fldChar w:fldCharType="separate"/>
        </w:r>
        <w:r w:rsidR="00340360">
          <w:rPr>
            <w:webHidden/>
          </w:rPr>
          <w:t>4</w:t>
        </w:r>
        <w:r w:rsidR="00733B09">
          <w:rPr>
            <w:webHidden/>
          </w:rPr>
          <w:fldChar w:fldCharType="end"/>
        </w:r>
      </w:hyperlink>
    </w:p>
    <w:p w14:paraId="2E7CBDA5" w14:textId="63739554" w:rsidR="00733B09" w:rsidRDefault="00D4244F">
      <w:pPr>
        <w:pStyle w:val="TOC1"/>
        <w:rPr>
          <w:rFonts w:asciiTheme="minorHAnsi" w:eastAsiaTheme="minorEastAsia" w:hAnsiTheme="minorHAnsi" w:cstheme="minorBidi"/>
          <w:b w:val="0"/>
          <w:spacing w:val="0"/>
          <w:sz w:val="22"/>
          <w:szCs w:val="22"/>
        </w:rPr>
      </w:pPr>
      <w:hyperlink w:anchor="_Toc139280827" w:history="1">
        <w:r w:rsidR="00733B09" w:rsidRPr="00B634BC">
          <w:rPr>
            <w:rStyle w:val="Hyperlink"/>
          </w:rPr>
          <w:t>Summary of submissions and ACMA responses</w:t>
        </w:r>
        <w:r w:rsidR="00733B09">
          <w:rPr>
            <w:webHidden/>
          </w:rPr>
          <w:tab/>
        </w:r>
        <w:r w:rsidR="00733B09">
          <w:rPr>
            <w:webHidden/>
          </w:rPr>
          <w:fldChar w:fldCharType="begin"/>
        </w:r>
        <w:r w:rsidR="00733B09">
          <w:rPr>
            <w:webHidden/>
          </w:rPr>
          <w:instrText xml:space="preserve"> PAGEREF _Toc139280827 \h </w:instrText>
        </w:r>
        <w:r w:rsidR="00733B09">
          <w:rPr>
            <w:webHidden/>
          </w:rPr>
        </w:r>
        <w:r w:rsidR="00733B09">
          <w:rPr>
            <w:webHidden/>
          </w:rPr>
          <w:fldChar w:fldCharType="separate"/>
        </w:r>
        <w:r w:rsidR="00340360">
          <w:rPr>
            <w:webHidden/>
          </w:rPr>
          <w:t>6</w:t>
        </w:r>
        <w:r w:rsidR="00733B09">
          <w:rPr>
            <w:webHidden/>
          </w:rPr>
          <w:fldChar w:fldCharType="end"/>
        </w:r>
      </w:hyperlink>
    </w:p>
    <w:p w14:paraId="02841D3D" w14:textId="456983E3" w:rsidR="00733B09" w:rsidRDefault="00D4244F">
      <w:pPr>
        <w:pStyle w:val="TOC2"/>
        <w:rPr>
          <w:rFonts w:asciiTheme="minorHAnsi" w:eastAsiaTheme="minorEastAsia" w:hAnsiTheme="minorHAnsi" w:cstheme="minorBidi"/>
          <w:spacing w:val="0"/>
          <w:sz w:val="22"/>
          <w:szCs w:val="22"/>
        </w:rPr>
      </w:pPr>
      <w:hyperlink w:anchor="_Toc139280828" w:history="1">
        <w:r w:rsidR="00733B09" w:rsidRPr="00B634BC">
          <w:rPr>
            <w:rStyle w:val="Hyperlink"/>
          </w:rPr>
          <w:t>Marketing plan</w:t>
        </w:r>
        <w:r w:rsidR="00733B09">
          <w:rPr>
            <w:webHidden/>
          </w:rPr>
          <w:tab/>
        </w:r>
        <w:r w:rsidR="00733B09">
          <w:rPr>
            <w:webHidden/>
          </w:rPr>
          <w:fldChar w:fldCharType="begin"/>
        </w:r>
        <w:r w:rsidR="00733B09">
          <w:rPr>
            <w:webHidden/>
          </w:rPr>
          <w:instrText xml:space="preserve"> PAGEREF _Toc139280828 \h </w:instrText>
        </w:r>
        <w:r w:rsidR="00733B09">
          <w:rPr>
            <w:webHidden/>
          </w:rPr>
        </w:r>
        <w:r w:rsidR="00733B09">
          <w:rPr>
            <w:webHidden/>
          </w:rPr>
          <w:fldChar w:fldCharType="separate"/>
        </w:r>
        <w:r w:rsidR="00340360">
          <w:rPr>
            <w:webHidden/>
          </w:rPr>
          <w:t>6</w:t>
        </w:r>
        <w:r w:rsidR="00733B09">
          <w:rPr>
            <w:webHidden/>
          </w:rPr>
          <w:fldChar w:fldCharType="end"/>
        </w:r>
      </w:hyperlink>
    </w:p>
    <w:p w14:paraId="21626CC7" w14:textId="453865F4" w:rsidR="00733B09" w:rsidRDefault="00D4244F">
      <w:pPr>
        <w:pStyle w:val="TOC3"/>
        <w:rPr>
          <w:rFonts w:asciiTheme="minorHAnsi" w:eastAsiaTheme="minorEastAsia" w:hAnsiTheme="minorHAnsi" w:cstheme="minorBidi"/>
        </w:rPr>
      </w:pPr>
      <w:hyperlink w:anchor="_Toc139280829" w:history="1">
        <w:r w:rsidR="00733B09" w:rsidRPr="00B634BC">
          <w:rPr>
            <w:rStyle w:val="Hyperlink"/>
          </w:rPr>
          <w:t>Issues for comment</w:t>
        </w:r>
        <w:r w:rsidR="00733B09">
          <w:rPr>
            <w:webHidden/>
          </w:rPr>
          <w:tab/>
        </w:r>
        <w:r w:rsidR="00733B09">
          <w:rPr>
            <w:webHidden/>
          </w:rPr>
          <w:fldChar w:fldCharType="begin"/>
        </w:r>
        <w:r w:rsidR="00733B09">
          <w:rPr>
            <w:webHidden/>
          </w:rPr>
          <w:instrText xml:space="preserve"> PAGEREF _Toc139280829 \h </w:instrText>
        </w:r>
        <w:r w:rsidR="00733B09">
          <w:rPr>
            <w:webHidden/>
          </w:rPr>
        </w:r>
        <w:r w:rsidR="00733B09">
          <w:rPr>
            <w:webHidden/>
          </w:rPr>
          <w:fldChar w:fldCharType="separate"/>
        </w:r>
        <w:r w:rsidR="00340360">
          <w:rPr>
            <w:webHidden/>
          </w:rPr>
          <w:t>6</w:t>
        </w:r>
        <w:r w:rsidR="00733B09">
          <w:rPr>
            <w:webHidden/>
          </w:rPr>
          <w:fldChar w:fldCharType="end"/>
        </w:r>
      </w:hyperlink>
    </w:p>
    <w:p w14:paraId="57F3C9F0" w14:textId="4021DE0D" w:rsidR="00733B09" w:rsidRDefault="00D4244F">
      <w:pPr>
        <w:pStyle w:val="TOC3"/>
        <w:rPr>
          <w:rFonts w:asciiTheme="minorHAnsi" w:eastAsiaTheme="minorEastAsia" w:hAnsiTheme="minorHAnsi" w:cstheme="minorBidi"/>
        </w:rPr>
      </w:pPr>
      <w:hyperlink w:anchor="_Toc139280830" w:history="1">
        <w:r w:rsidR="00733B09" w:rsidRPr="00B634BC">
          <w:rPr>
            <w:rStyle w:val="Hyperlink"/>
          </w:rPr>
          <w:t>Responses to issues for comment and the ACMA’s views</w:t>
        </w:r>
        <w:r w:rsidR="00733B09">
          <w:rPr>
            <w:webHidden/>
          </w:rPr>
          <w:tab/>
        </w:r>
        <w:r w:rsidR="00733B09">
          <w:rPr>
            <w:webHidden/>
          </w:rPr>
          <w:fldChar w:fldCharType="begin"/>
        </w:r>
        <w:r w:rsidR="00733B09">
          <w:rPr>
            <w:webHidden/>
          </w:rPr>
          <w:instrText xml:space="preserve"> PAGEREF _Toc139280830 \h </w:instrText>
        </w:r>
        <w:r w:rsidR="00733B09">
          <w:rPr>
            <w:webHidden/>
          </w:rPr>
        </w:r>
        <w:r w:rsidR="00733B09">
          <w:rPr>
            <w:webHidden/>
          </w:rPr>
          <w:fldChar w:fldCharType="separate"/>
        </w:r>
        <w:r w:rsidR="00340360">
          <w:rPr>
            <w:webHidden/>
          </w:rPr>
          <w:t>7</w:t>
        </w:r>
        <w:r w:rsidR="00733B09">
          <w:rPr>
            <w:webHidden/>
          </w:rPr>
          <w:fldChar w:fldCharType="end"/>
        </w:r>
      </w:hyperlink>
    </w:p>
    <w:p w14:paraId="3E96DD25" w14:textId="5A98EC13" w:rsidR="00733B09" w:rsidRDefault="00D4244F">
      <w:pPr>
        <w:pStyle w:val="TOC2"/>
        <w:rPr>
          <w:rFonts w:asciiTheme="minorHAnsi" w:eastAsiaTheme="minorEastAsia" w:hAnsiTheme="minorHAnsi" w:cstheme="minorBidi"/>
          <w:spacing w:val="0"/>
          <w:sz w:val="22"/>
          <w:szCs w:val="22"/>
        </w:rPr>
      </w:pPr>
      <w:hyperlink w:anchor="_Toc139280831" w:history="1">
        <w:r w:rsidR="00733B09" w:rsidRPr="00B634BC">
          <w:rPr>
            <w:rStyle w:val="Hyperlink"/>
          </w:rPr>
          <w:t>Allocation determination</w:t>
        </w:r>
        <w:r w:rsidR="00733B09">
          <w:rPr>
            <w:webHidden/>
          </w:rPr>
          <w:tab/>
        </w:r>
        <w:r w:rsidR="00733B09">
          <w:rPr>
            <w:webHidden/>
          </w:rPr>
          <w:fldChar w:fldCharType="begin"/>
        </w:r>
        <w:r w:rsidR="00733B09">
          <w:rPr>
            <w:webHidden/>
          </w:rPr>
          <w:instrText xml:space="preserve"> PAGEREF _Toc139280831 \h </w:instrText>
        </w:r>
        <w:r w:rsidR="00733B09">
          <w:rPr>
            <w:webHidden/>
          </w:rPr>
        </w:r>
        <w:r w:rsidR="00733B09">
          <w:rPr>
            <w:webHidden/>
          </w:rPr>
          <w:fldChar w:fldCharType="separate"/>
        </w:r>
        <w:r w:rsidR="00340360">
          <w:rPr>
            <w:webHidden/>
          </w:rPr>
          <w:t>13</w:t>
        </w:r>
        <w:r w:rsidR="00733B09">
          <w:rPr>
            <w:webHidden/>
          </w:rPr>
          <w:fldChar w:fldCharType="end"/>
        </w:r>
      </w:hyperlink>
    </w:p>
    <w:p w14:paraId="3CAEAFEE" w14:textId="202D7CAD" w:rsidR="00733B09" w:rsidRDefault="00D4244F">
      <w:pPr>
        <w:pStyle w:val="TOC3"/>
        <w:rPr>
          <w:rFonts w:asciiTheme="minorHAnsi" w:eastAsiaTheme="minorEastAsia" w:hAnsiTheme="minorHAnsi" w:cstheme="minorBidi"/>
        </w:rPr>
      </w:pPr>
      <w:hyperlink w:anchor="_Toc139280832" w:history="1">
        <w:r w:rsidR="00733B09" w:rsidRPr="00B634BC">
          <w:rPr>
            <w:rStyle w:val="Hyperlink"/>
          </w:rPr>
          <w:t>Issues for comment</w:t>
        </w:r>
        <w:r w:rsidR="00733B09">
          <w:rPr>
            <w:webHidden/>
          </w:rPr>
          <w:tab/>
        </w:r>
        <w:r w:rsidR="00733B09">
          <w:rPr>
            <w:webHidden/>
          </w:rPr>
          <w:fldChar w:fldCharType="begin"/>
        </w:r>
        <w:r w:rsidR="00733B09">
          <w:rPr>
            <w:webHidden/>
          </w:rPr>
          <w:instrText xml:space="preserve"> PAGEREF _Toc139280832 \h </w:instrText>
        </w:r>
        <w:r w:rsidR="00733B09">
          <w:rPr>
            <w:webHidden/>
          </w:rPr>
        </w:r>
        <w:r w:rsidR="00733B09">
          <w:rPr>
            <w:webHidden/>
          </w:rPr>
          <w:fldChar w:fldCharType="separate"/>
        </w:r>
        <w:r w:rsidR="00340360">
          <w:rPr>
            <w:webHidden/>
          </w:rPr>
          <w:t>13</w:t>
        </w:r>
        <w:r w:rsidR="00733B09">
          <w:rPr>
            <w:webHidden/>
          </w:rPr>
          <w:fldChar w:fldCharType="end"/>
        </w:r>
      </w:hyperlink>
    </w:p>
    <w:p w14:paraId="14A00EFC" w14:textId="0CA0050E" w:rsidR="00733B09" w:rsidRDefault="00D4244F">
      <w:pPr>
        <w:pStyle w:val="TOC3"/>
        <w:rPr>
          <w:rFonts w:asciiTheme="minorHAnsi" w:eastAsiaTheme="minorEastAsia" w:hAnsiTheme="minorHAnsi" w:cstheme="minorBidi"/>
        </w:rPr>
      </w:pPr>
      <w:hyperlink w:anchor="_Toc139280833" w:history="1">
        <w:r w:rsidR="00733B09" w:rsidRPr="00B634BC">
          <w:rPr>
            <w:rStyle w:val="Hyperlink"/>
          </w:rPr>
          <w:t>Responses to issues for comment and the ACMA’s views</w:t>
        </w:r>
        <w:r w:rsidR="00733B09">
          <w:rPr>
            <w:webHidden/>
          </w:rPr>
          <w:tab/>
        </w:r>
        <w:r w:rsidR="00733B09">
          <w:rPr>
            <w:webHidden/>
          </w:rPr>
          <w:fldChar w:fldCharType="begin"/>
        </w:r>
        <w:r w:rsidR="00733B09">
          <w:rPr>
            <w:webHidden/>
          </w:rPr>
          <w:instrText xml:space="preserve"> PAGEREF _Toc139280833 \h </w:instrText>
        </w:r>
        <w:r w:rsidR="00733B09">
          <w:rPr>
            <w:webHidden/>
          </w:rPr>
        </w:r>
        <w:r w:rsidR="00733B09">
          <w:rPr>
            <w:webHidden/>
          </w:rPr>
          <w:fldChar w:fldCharType="separate"/>
        </w:r>
        <w:r w:rsidR="00340360">
          <w:rPr>
            <w:webHidden/>
          </w:rPr>
          <w:t>14</w:t>
        </w:r>
        <w:r w:rsidR="00733B09">
          <w:rPr>
            <w:webHidden/>
          </w:rPr>
          <w:fldChar w:fldCharType="end"/>
        </w:r>
      </w:hyperlink>
    </w:p>
    <w:p w14:paraId="5B6BA500" w14:textId="54B959F8" w:rsidR="00733B09" w:rsidRDefault="00D4244F">
      <w:pPr>
        <w:pStyle w:val="TOC3"/>
        <w:rPr>
          <w:rFonts w:asciiTheme="minorHAnsi" w:eastAsiaTheme="minorEastAsia" w:hAnsiTheme="minorHAnsi" w:cstheme="minorBidi"/>
        </w:rPr>
      </w:pPr>
      <w:hyperlink w:anchor="_Toc139280834" w:history="1">
        <w:r w:rsidR="00733B09" w:rsidRPr="00B634BC">
          <w:rPr>
            <w:rStyle w:val="Hyperlink"/>
          </w:rPr>
          <w:t>Other matters</w:t>
        </w:r>
        <w:r w:rsidR="00733B09">
          <w:rPr>
            <w:webHidden/>
          </w:rPr>
          <w:tab/>
        </w:r>
        <w:r w:rsidR="00733B09">
          <w:rPr>
            <w:webHidden/>
          </w:rPr>
          <w:fldChar w:fldCharType="begin"/>
        </w:r>
        <w:r w:rsidR="00733B09">
          <w:rPr>
            <w:webHidden/>
          </w:rPr>
          <w:instrText xml:space="preserve"> PAGEREF _Toc139280834 \h </w:instrText>
        </w:r>
        <w:r w:rsidR="00733B09">
          <w:rPr>
            <w:webHidden/>
          </w:rPr>
        </w:r>
        <w:r w:rsidR="00733B09">
          <w:rPr>
            <w:webHidden/>
          </w:rPr>
          <w:fldChar w:fldCharType="separate"/>
        </w:r>
        <w:r w:rsidR="00340360">
          <w:rPr>
            <w:webHidden/>
          </w:rPr>
          <w:t>17</w:t>
        </w:r>
        <w:r w:rsidR="00733B09">
          <w:rPr>
            <w:webHidden/>
          </w:rPr>
          <w:fldChar w:fldCharType="end"/>
        </w:r>
      </w:hyperlink>
    </w:p>
    <w:p w14:paraId="4BA5C778" w14:textId="3CC4B2F6" w:rsidR="00733B09" w:rsidRDefault="00D4244F">
      <w:pPr>
        <w:pStyle w:val="TOC2"/>
        <w:rPr>
          <w:rFonts w:asciiTheme="minorHAnsi" w:eastAsiaTheme="minorEastAsia" w:hAnsiTheme="minorHAnsi" w:cstheme="minorBidi"/>
          <w:spacing w:val="0"/>
          <w:sz w:val="22"/>
          <w:szCs w:val="22"/>
        </w:rPr>
      </w:pPr>
      <w:hyperlink w:anchor="_Toc139280835" w:history="1">
        <w:r w:rsidR="00733B09" w:rsidRPr="00B634BC">
          <w:rPr>
            <w:rStyle w:val="Hyperlink"/>
          </w:rPr>
          <w:t>Allocation limits</w:t>
        </w:r>
        <w:r w:rsidR="00733B09">
          <w:rPr>
            <w:webHidden/>
          </w:rPr>
          <w:tab/>
        </w:r>
        <w:r w:rsidR="00733B09">
          <w:rPr>
            <w:webHidden/>
          </w:rPr>
          <w:fldChar w:fldCharType="begin"/>
        </w:r>
        <w:r w:rsidR="00733B09">
          <w:rPr>
            <w:webHidden/>
          </w:rPr>
          <w:instrText xml:space="preserve"> PAGEREF _Toc139280835 \h </w:instrText>
        </w:r>
        <w:r w:rsidR="00733B09">
          <w:rPr>
            <w:webHidden/>
          </w:rPr>
        </w:r>
        <w:r w:rsidR="00733B09">
          <w:rPr>
            <w:webHidden/>
          </w:rPr>
          <w:fldChar w:fldCharType="separate"/>
        </w:r>
        <w:r w:rsidR="00340360">
          <w:rPr>
            <w:webHidden/>
          </w:rPr>
          <w:t>22</w:t>
        </w:r>
        <w:r w:rsidR="00733B09">
          <w:rPr>
            <w:webHidden/>
          </w:rPr>
          <w:fldChar w:fldCharType="end"/>
        </w:r>
      </w:hyperlink>
    </w:p>
    <w:p w14:paraId="31E21199" w14:textId="013F08A2" w:rsidR="00733B09" w:rsidRDefault="00D4244F">
      <w:pPr>
        <w:pStyle w:val="TOC3"/>
        <w:rPr>
          <w:rFonts w:asciiTheme="minorHAnsi" w:eastAsiaTheme="minorEastAsia" w:hAnsiTheme="minorHAnsi" w:cstheme="minorBidi"/>
        </w:rPr>
      </w:pPr>
      <w:hyperlink w:anchor="_Toc139280836" w:history="1">
        <w:r w:rsidR="00733B09" w:rsidRPr="00B634BC">
          <w:rPr>
            <w:rStyle w:val="Hyperlink"/>
          </w:rPr>
          <w:t>Issues for comment</w:t>
        </w:r>
        <w:r w:rsidR="00733B09">
          <w:rPr>
            <w:webHidden/>
          </w:rPr>
          <w:tab/>
        </w:r>
        <w:r w:rsidR="00733B09">
          <w:rPr>
            <w:webHidden/>
          </w:rPr>
          <w:fldChar w:fldCharType="begin"/>
        </w:r>
        <w:r w:rsidR="00733B09">
          <w:rPr>
            <w:webHidden/>
          </w:rPr>
          <w:instrText xml:space="preserve"> PAGEREF _Toc139280836 \h </w:instrText>
        </w:r>
        <w:r w:rsidR="00733B09">
          <w:rPr>
            <w:webHidden/>
          </w:rPr>
        </w:r>
        <w:r w:rsidR="00733B09">
          <w:rPr>
            <w:webHidden/>
          </w:rPr>
          <w:fldChar w:fldCharType="separate"/>
        </w:r>
        <w:r w:rsidR="00340360">
          <w:rPr>
            <w:webHidden/>
          </w:rPr>
          <w:t>22</w:t>
        </w:r>
        <w:r w:rsidR="00733B09">
          <w:rPr>
            <w:webHidden/>
          </w:rPr>
          <w:fldChar w:fldCharType="end"/>
        </w:r>
      </w:hyperlink>
    </w:p>
    <w:p w14:paraId="48C9ED9A" w14:textId="10935BF3" w:rsidR="00733B09" w:rsidRDefault="00D4244F">
      <w:pPr>
        <w:pStyle w:val="TOC3"/>
        <w:rPr>
          <w:rFonts w:asciiTheme="minorHAnsi" w:eastAsiaTheme="minorEastAsia" w:hAnsiTheme="minorHAnsi" w:cstheme="minorBidi"/>
        </w:rPr>
      </w:pPr>
      <w:hyperlink w:anchor="_Toc139280837" w:history="1">
        <w:r w:rsidR="00733B09" w:rsidRPr="00B634BC">
          <w:rPr>
            <w:rStyle w:val="Hyperlink"/>
          </w:rPr>
          <w:t>Responses to issues for comment and the ACMA’s views</w:t>
        </w:r>
        <w:r w:rsidR="00733B09">
          <w:rPr>
            <w:webHidden/>
          </w:rPr>
          <w:tab/>
        </w:r>
        <w:r w:rsidR="00733B09">
          <w:rPr>
            <w:webHidden/>
          </w:rPr>
          <w:fldChar w:fldCharType="begin"/>
        </w:r>
        <w:r w:rsidR="00733B09">
          <w:rPr>
            <w:webHidden/>
          </w:rPr>
          <w:instrText xml:space="preserve"> PAGEREF _Toc139280837 \h </w:instrText>
        </w:r>
        <w:r w:rsidR="00733B09">
          <w:rPr>
            <w:webHidden/>
          </w:rPr>
        </w:r>
        <w:r w:rsidR="00733B09">
          <w:rPr>
            <w:webHidden/>
          </w:rPr>
          <w:fldChar w:fldCharType="separate"/>
        </w:r>
        <w:r w:rsidR="00340360">
          <w:rPr>
            <w:webHidden/>
          </w:rPr>
          <w:t>22</w:t>
        </w:r>
        <w:r w:rsidR="00733B09">
          <w:rPr>
            <w:webHidden/>
          </w:rPr>
          <w:fldChar w:fldCharType="end"/>
        </w:r>
      </w:hyperlink>
    </w:p>
    <w:p w14:paraId="05AD10AE" w14:textId="49D2D058" w:rsidR="00733B09" w:rsidRDefault="00D4244F">
      <w:pPr>
        <w:pStyle w:val="TOC2"/>
        <w:rPr>
          <w:rFonts w:asciiTheme="minorHAnsi" w:eastAsiaTheme="minorEastAsia" w:hAnsiTheme="minorHAnsi" w:cstheme="minorBidi"/>
          <w:spacing w:val="0"/>
          <w:sz w:val="22"/>
          <w:szCs w:val="22"/>
        </w:rPr>
      </w:pPr>
      <w:hyperlink w:anchor="_Toc139280838" w:history="1">
        <w:r w:rsidR="00733B09" w:rsidRPr="00B634BC">
          <w:rPr>
            <w:rStyle w:val="Hyperlink"/>
          </w:rPr>
          <w:t>Collusion provisions</w:t>
        </w:r>
        <w:r w:rsidR="00733B09">
          <w:rPr>
            <w:webHidden/>
          </w:rPr>
          <w:tab/>
        </w:r>
        <w:r w:rsidR="00733B09">
          <w:rPr>
            <w:webHidden/>
          </w:rPr>
          <w:fldChar w:fldCharType="begin"/>
        </w:r>
        <w:r w:rsidR="00733B09">
          <w:rPr>
            <w:webHidden/>
          </w:rPr>
          <w:instrText xml:space="preserve"> PAGEREF _Toc139280838 \h </w:instrText>
        </w:r>
        <w:r w:rsidR="00733B09">
          <w:rPr>
            <w:webHidden/>
          </w:rPr>
        </w:r>
        <w:r w:rsidR="00733B09">
          <w:rPr>
            <w:webHidden/>
          </w:rPr>
          <w:fldChar w:fldCharType="separate"/>
        </w:r>
        <w:r w:rsidR="00340360">
          <w:rPr>
            <w:webHidden/>
          </w:rPr>
          <w:t>33</w:t>
        </w:r>
        <w:r w:rsidR="00733B09">
          <w:rPr>
            <w:webHidden/>
          </w:rPr>
          <w:fldChar w:fldCharType="end"/>
        </w:r>
      </w:hyperlink>
    </w:p>
    <w:p w14:paraId="5B658D9E" w14:textId="5053D1EF" w:rsidR="00733B09" w:rsidRDefault="00D4244F">
      <w:pPr>
        <w:pStyle w:val="TOC3"/>
        <w:rPr>
          <w:rFonts w:asciiTheme="minorHAnsi" w:eastAsiaTheme="minorEastAsia" w:hAnsiTheme="minorHAnsi" w:cstheme="minorBidi"/>
        </w:rPr>
      </w:pPr>
      <w:hyperlink w:anchor="_Toc139280839" w:history="1">
        <w:r w:rsidR="00733B09" w:rsidRPr="00B634BC">
          <w:rPr>
            <w:rStyle w:val="Hyperlink"/>
          </w:rPr>
          <w:t>Issues for comment</w:t>
        </w:r>
        <w:r w:rsidR="00733B09">
          <w:rPr>
            <w:webHidden/>
          </w:rPr>
          <w:tab/>
        </w:r>
        <w:r w:rsidR="00733B09">
          <w:rPr>
            <w:webHidden/>
          </w:rPr>
          <w:fldChar w:fldCharType="begin"/>
        </w:r>
        <w:r w:rsidR="00733B09">
          <w:rPr>
            <w:webHidden/>
          </w:rPr>
          <w:instrText xml:space="preserve"> PAGEREF _Toc139280839 \h </w:instrText>
        </w:r>
        <w:r w:rsidR="00733B09">
          <w:rPr>
            <w:webHidden/>
          </w:rPr>
        </w:r>
        <w:r w:rsidR="00733B09">
          <w:rPr>
            <w:webHidden/>
          </w:rPr>
          <w:fldChar w:fldCharType="separate"/>
        </w:r>
        <w:r w:rsidR="00340360">
          <w:rPr>
            <w:webHidden/>
          </w:rPr>
          <w:t>33</w:t>
        </w:r>
        <w:r w:rsidR="00733B09">
          <w:rPr>
            <w:webHidden/>
          </w:rPr>
          <w:fldChar w:fldCharType="end"/>
        </w:r>
      </w:hyperlink>
    </w:p>
    <w:p w14:paraId="61F6DF42" w14:textId="7FEC6EF6" w:rsidR="00733B09" w:rsidRDefault="00D4244F">
      <w:pPr>
        <w:pStyle w:val="TOC3"/>
        <w:rPr>
          <w:rFonts w:asciiTheme="minorHAnsi" w:eastAsiaTheme="minorEastAsia" w:hAnsiTheme="minorHAnsi" w:cstheme="minorBidi"/>
        </w:rPr>
      </w:pPr>
      <w:hyperlink w:anchor="_Toc139280840" w:history="1">
        <w:r w:rsidR="00733B09" w:rsidRPr="00B634BC">
          <w:rPr>
            <w:rStyle w:val="Hyperlink"/>
          </w:rPr>
          <w:t>Responses to issues for comment and the ACMA’s views</w:t>
        </w:r>
        <w:r w:rsidR="00733B09">
          <w:rPr>
            <w:webHidden/>
          </w:rPr>
          <w:tab/>
        </w:r>
        <w:r w:rsidR="00733B09">
          <w:rPr>
            <w:webHidden/>
          </w:rPr>
          <w:fldChar w:fldCharType="begin"/>
        </w:r>
        <w:r w:rsidR="00733B09">
          <w:rPr>
            <w:webHidden/>
          </w:rPr>
          <w:instrText xml:space="preserve"> PAGEREF _Toc139280840 \h </w:instrText>
        </w:r>
        <w:r w:rsidR="00733B09">
          <w:rPr>
            <w:webHidden/>
          </w:rPr>
        </w:r>
        <w:r w:rsidR="00733B09">
          <w:rPr>
            <w:webHidden/>
          </w:rPr>
          <w:fldChar w:fldCharType="separate"/>
        </w:r>
        <w:r w:rsidR="00340360">
          <w:rPr>
            <w:webHidden/>
          </w:rPr>
          <w:t>34</w:t>
        </w:r>
        <w:r w:rsidR="00733B09">
          <w:rPr>
            <w:webHidden/>
          </w:rPr>
          <w:fldChar w:fldCharType="end"/>
        </w:r>
      </w:hyperlink>
    </w:p>
    <w:p w14:paraId="56DFC04A" w14:textId="553FE95E" w:rsidR="00733B09" w:rsidRDefault="00D4244F">
      <w:pPr>
        <w:pStyle w:val="TOC2"/>
        <w:rPr>
          <w:rFonts w:asciiTheme="minorHAnsi" w:eastAsiaTheme="minorEastAsia" w:hAnsiTheme="minorHAnsi" w:cstheme="minorBidi"/>
          <w:spacing w:val="0"/>
          <w:sz w:val="22"/>
          <w:szCs w:val="22"/>
        </w:rPr>
      </w:pPr>
      <w:hyperlink w:anchor="_Toc139280841" w:history="1">
        <w:r w:rsidR="00733B09" w:rsidRPr="00B634BC">
          <w:rPr>
            <w:rStyle w:val="Hyperlink"/>
          </w:rPr>
          <w:t>Technical instruments</w:t>
        </w:r>
        <w:r w:rsidR="00733B09">
          <w:rPr>
            <w:webHidden/>
          </w:rPr>
          <w:tab/>
        </w:r>
        <w:r w:rsidR="00733B09">
          <w:rPr>
            <w:webHidden/>
          </w:rPr>
          <w:fldChar w:fldCharType="begin"/>
        </w:r>
        <w:r w:rsidR="00733B09">
          <w:rPr>
            <w:webHidden/>
          </w:rPr>
          <w:instrText xml:space="preserve"> PAGEREF _Toc139280841 \h </w:instrText>
        </w:r>
        <w:r w:rsidR="00733B09">
          <w:rPr>
            <w:webHidden/>
          </w:rPr>
        </w:r>
        <w:r w:rsidR="00733B09">
          <w:rPr>
            <w:webHidden/>
          </w:rPr>
          <w:fldChar w:fldCharType="separate"/>
        </w:r>
        <w:r w:rsidR="00340360">
          <w:rPr>
            <w:webHidden/>
          </w:rPr>
          <w:t>34</w:t>
        </w:r>
        <w:r w:rsidR="00733B09">
          <w:rPr>
            <w:webHidden/>
          </w:rPr>
          <w:fldChar w:fldCharType="end"/>
        </w:r>
      </w:hyperlink>
    </w:p>
    <w:p w14:paraId="60E0C480" w14:textId="286B8849" w:rsidR="00733B09" w:rsidRDefault="00D4244F">
      <w:pPr>
        <w:pStyle w:val="TOC3"/>
        <w:rPr>
          <w:rFonts w:asciiTheme="minorHAnsi" w:eastAsiaTheme="minorEastAsia" w:hAnsiTheme="minorHAnsi" w:cstheme="minorBidi"/>
        </w:rPr>
      </w:pPr>
      <w:hyperlink w:anchor="_Toc139280842" w:history="1">
        <w:r w:rsidR="00733B09" w:rsidRPr="00B634BC">
          <w:rPr>
            <w:rStyle w:val="Hyperlink"/>
          </w:rPr>
          <w:t>Issues for comment</w:t>
        </w:r>
        <w:r w:rsidR="00733B09">
          <w:rPr>
            <w:webHidden/>
          </w:rPr>
          <w:tab/>
        </w:r>
        <w:r w:rsidR="00733B09">
          <w:rPr>
            <w:webHidden/>
          </w:rPr>
          <w:fldChar w:fldCharType="begin"/>
        </w:r>
        <w:r w:rsidR="00733B09">
          <w:rPr>
            <w:webHidden/>
          </w:rPr>
          <w:instrText xml:space="preserve"> PAGEREF _Toc139280842 \h </w:instrText>
        </w:r>
        <w:r w:rsidR="00733B09">
          <w:rPr>
            <w:webHidden/>
          </w:rPr>
        </w:r>
        <w:r w:rsidR="00733B09">
          <w:rPr>
            <w:webHidden/>
          </w:rPr>
          <w:fldChar w:fldCharType="separate"/>
        </w:r>
        <w:r w:rsidR="00340360">
          <w:rPr>
            <w:webHidden/>
          </w:rPr>
          <w:t>34</w:t>
        </w:r>
        <w:r w:rsidR="00733B09">
          <w:rPr>
            <w:webHidden/>
          </w:rPr>
          <w:fldChar w:fldCharType="end"/>
        </w:r>
      </w:hyperlink>
    </w:p>
    <w:p w14:paraId="29DF58BD" w14:textId="675446B0" w:rsidR="00733B09" w:rsidRDefault="00D4244F">
      <w:pPr>
        <w:pStyle w:val="TOC3"/>
        <w:rPr>
          <w:rFonts w:asciiTheme="minorHAnsi" w:eastAsiaTheme="minorEastAsia" w:hAnsiTheme="minorHAnsi" w:cstheme="minorBidi"/>
        </w:rPr>
      </w:pPr>
      <w:hyperlink w:anchor="_Toc139280843" w:history="1">
        <w:r w:rsidR="00733B09" w:rsidRPr="00B634BC">
          <w:rPr>
            <w:rStyle w:val="Hyperlink"/>
          </w:rPr>
          <w:t>Responses to issues for comment and the ACMA’s views</w:t>
        </w:r>
        <w:r w:rsidR="00733B09">
          <w:rPr>
            <w:webHidden/>
          </w:rPr>
          <w:tab/>
        </w:r>
        <w:r w:rsidR="00733B09">
          <w:rPr>
            <w:webHidden/>
          </w:rPr>
          <w:fldChar w:fldCharType="begin"/>
        </w:r>
        <w:r w:rsidR="00733B09">
          <w:rPr>
            <w:webHidden/>
          </w:rPr>
          <w:instrText xml:space="preserve"> PAGEREF _Toc139280843 \h </w:instrText>
        </w:r>
        <w:r w:rsidR="00733B09">
          <w:rPr>
            <w:webHidden/>
          </w:rPr>
        </w:r>
        <w:r w:rsidR="00733B09">
          <w:rPr>
            <w:webHidden/>
          </w:rPr>
          <w:fldChar w:fldCharType="separate"/>
        </w:r>
        <w:r w:rsidR="00340360">
          <w:rPr>
            <w:webHidden/>
          </w:rPr>
          <w:t>35</w:t>
        </w:r>
        <w:r w:rsidR="00733B09">
          <w:rPr>
            <w:webHidden/>
          </w:rPr>
          <w:fldChar w:fldCharType="end"/>
        </w:r>
      </w:hyperlink>
    </w:p>
    <w:p w14:paraId="785C1642" w14:textId="69EB880B" w:rsidR="00733B09" w:rsidRDefault="00D4244F">
      <w:pPr>
        <w:pStyle w:val="TOC1"/>
        <w:rPr>
          <w:rFonts w:asciiTheme="minorHAnsi" w:eastAsiaTheme="minorEastAsia" w:hAnsiTheme="minorHAnsi" w:cstheme="minorBidi"/>
          <w:b w:val="0"/>
          <w:spacing w:val="0"/>
          <w:sz w:val="22"/>
          <w:szCs w:val="22"/>
        </w:rPr>
      </w:pPr>
      <w:hyperlink w:anchor="_Toc139280844" w:history="1">
        <w:r w:rsidR="00733B09" w:rsidRPr="00B634BC">
          <w:rPr>
            <w:rStyle w:val="Hyperlink"/>
          </w:rPr>
          <w:t>Next steps</w:t>
        </w:r>
        <w:r w:rsidR="00733B09">
          <w:rPr>
            <w:webHidden/>
          </w:rPr>
          <w:tab/>
        </w:r>
        <w:r w:rsidR="00733B09">
          <w:rPr>
            <w:webHidden/>
          </w:rPr>
          <w:fldChar w:fldCharType="begin"/>
        </w:r>
        <w:r w:rsidR="00733B09">
          <w:rPr>
            <w:webHidden/>
          </w:rPr>
          <w:instrText xml:space="preserve"> PAGEREF _Toc139280844 \h </w:instrText>
        </w:r>
        <w:r w:rsidR="00733B09">
          <w:rPr>
            <w:webHidden/>
          </w:rPr>
        </w:r>
        <w:r w:rsidR="00733B09">
          <w:rPr>
            <w:webHidden/>
          </w:rPr>
          <w:fldChar w:fldCharType="separate"/>
        </w:r>
        <w:r w:rsidR="00340360">
          <w:rPr>
            <w:webHidden/>
          </w:rPr>
          <w:t>40</w:t>
        </w:r>
        <w:r w:rsidR="00733B09">
          <w:rPr>
            <w:webHidden/>
          </w:rPr>
          <w:fldChar w:fldCharType="end"/>
        </w:r>
      </w:hyperlink>
    </w:p>
    <w:p w14:paraId="384B7A9C" w14:textId="7FCEECBD" w:rsidR="004D56FF" w:rsidRPr="00FF1636" w:rsidRDefault="00B24265">
      <w:pPr>
        <w:rPr>
          <w:rFonts w:cs="Arial"/>
        </w:rPr>
        <w:sectPr w:rsidR="004D56FF" w:rsidRPr="00FF1636"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0A49FC60" w14:textId="77777777" w:rsidR="00D100CC" w:rsidRPr="00FF1636" w:rsidRDefault="00D100CC" w:rsidP="00D100CC">
      <w:pPr>
        <w:pStyle w:val="Heading1"/>
        <w:spacing w:line="276" w:lineRule="auto"/>
      </w:pPr>
      <w:bookmarkStart w:id="1" w:name="_Toc139280823"/>
      <w:r w:rsidRPr="00FF1636">
        <w:lastRenderedPageBreak/>
        <w:t>Introduction</w:t>
      </w:r>
      <w:bookmarkEnd w:id="1"/>
    </w:p>
    <w:p w14:paraId="36B089C6" w14:textId="1838622B" w:rsidR="00562B6C" w:rsidRPr="00FF1636" w:rsidRDefault="00776B9D" w:rsidP="00F3267E">
      <w:pPr>
        <w:pStyle w:val="Paragraph"/>
      </w:pPr>
      <w:r w:rsidRPr="00FF1636">
        <w:t xml:space="preserve">The </w:t>
      </w:r>
      <w:r w:rsidR="00060A0D" w:rsidRPr="00FF1636">
        <w:t xml:space="preserve">ACMA </w:t>
      </w:r>
      <w:r w:rsidR="008B4D8D">
        <w:t xml:space="preserve">is </w:t>
      </w:r>
      <w:r w:rsidR="00EC4ECE">
        <w:t>preparing</w:t>
      </w:r>
      <w:r w:rsidR="008B4D8D">
        <w:t xml:space="preserve"> to </w:t>
      </w:r>
      <w:r w:rsidR="00217461" w:rsidRPr="00FF1636">
        <w:t>re</w:t>
      </w:r>
      <w:r w:rsidR="00217913">
        <w:t>-</w:t>
      </w:r>
      <w:r w:rsidR="008B4D8D" w:rsidRPr="00FF1636">
        <w:t>allocate spectrum in the 3.4</w:t>
      </w:r>
      <w:r w:rsidR="008B4C4B" w:rsidRPr="00FF1636">
        <w:t xml:space="preserve"> GHz (3400–3575 MHz</w:t>
      </w:r>
      <w:r w:rsidR="00115C7C" w:rsidRPr="00FF1636">
        <w:t xml:space="preserve"> in some regional areas</w:t>
      </w:r>
      <w:r w:rsidR="008B4C4B" w:rsidRPr="00FF1636">
        <w:t>) and the 3.7 GHz (3700–3800 MHz</w:t>
      </w:r>
      <w:r w:rsidR="00115C7C" w:rsidRPr="00FF1636">
        <w:t xml:space="preserve"> in metropolitan and regional areas</w:t>
      </w:r>
      <w:r w:rsidR="008B4C4B" w:rsidRPr="00FF1636">
        <w:t>)</w:t>
      </w:r>
      <w:r w:rsidR="00115C7C" w:rsidRPr="00FF1636">
        <w:t xml:space="preserve"> </w:t>
      </w:r>
      <w:r w:rsidR="002C7F0C" w:rsidRPr="00FF1636">
        <w:t xml:space="preserve">bands </w:t>
      </w:r>
      <w:r w:rsidR="00F611C0" w:rsidRPr="00FF1636">
        <w:t xml:space="preserve">by </w:t>
      </w:r>
      <w:r w:rsidR="00F36AB0" w:rsidRPr="00FF1636">
        <w:t xml:space="preserve">issuing </w:t>
      </w:r>
      <w:r w:rsidR="00F611C0" w:rsidRPr="00FF1636">
        <w:t>spectrum licence</w:t>
      </w:r>
      <w:r w:rsidR="00F36AB0" w:rsidRPr="00FF1636">
        <w:t>s</w:t>
      </w:r>
      <w:r w:rsidR="00F611C0" w:rsidRPr="00FF1636">
        <w:t>,</w:t>
      </w:r>
      <w:r w:rsidR="002C7F0C" w:rsidRPr="00FF1636">
        <w:t xml:space="preserve"> pursuant to section 153L of the </w:t>
      </w:r>
      <w:hyperlink r:id="rId27" w:history="1">
        <w:r w:rsidR="007772E1" w:rsidRPr="006C6CD0">
          <w:rPr>
            <w:rStyle w:val="Hyperlink"/>
            <w:i/>
          </w:rPr>
          <w:t>R</w:t>
        </w:r>
        <w:r w:rsidR="002C7F0C" w:rsidRPr="006C6CD0">
          <w:rPr>
            <w:rStyle w:val="Hyperlink"/>
            <w:i/>
          </w:rPr>
          <w:t>adiocommunications Act 1992</w:t>
        </w:r>
      </w:hyperlink>
      <w:r w:rsidR="002C7F0C" w:rsidRPr="00FF1636">
        <w:rPr>
          <w:i/>
        </w:rPr>
        <w:t xml:space="preserve"> </w:t>
      </w:r>
      <w:r w:rsidR="00217913">
        <w:t>and the</w:t>
      </w:r>
      <w:r w:rsidR="00BC61BF" w:rsidRPr="00BC61BF">
        <w:rPr>
          <w:i/>
        </w:rPr>
        <w:t xml:space="preserve"> </w:t>
      </w:r>
      <w:hyperlink r:id="rId28" w:history="1">
        <w:r w:rsidR="00BC61BF" w:rsidRPr="00B62E9E">
          <w:rPr>
            <w:rStyle w:val="Hyperlink"/>
          </w:rPr>
          <w:t>Radiocommunications (Spectrum Re-allocation – 3.4 GHz and 3.7 GHz Bands) Declaration 2022</w:t>
        </w:r>
      </w:hyperlink>
      <w:r w:rsidR="00A84FC5">
        <w:rPr>
          <w:i/>
        </w:rPr>
        <w:t xml:space="preserve"> </w:t>
      </w:r>
      <w:r w:rsidR="00A84FC5">
        <w:t xml:space="preserve">(the </w:t>
      </w:r>
      <w:r w:rsidR="003D072A">
        <w:t>r</w:t>
      </w:r>
      <w:r w:rsidR="00A84FC5">
        <w:t xml:space="preserve">e-allocation </w:t>
      </w:r>
      <w:r w:rsidR="003D072A">
        <w:t>d</w:t>
      </w:r>
      <w:r w:rsidR="00A84FC5">
        <w:t>eclaration)</w:t>
      </w:r>
      <w:r w:rsidR="00BC61BF" w:rsidRPr="00FF1636">
        <w:t xml:space="preserve">. </w:t>
      </w:r>
      <w:r w:rsidR="002C7F0C" w:rsidRPr="00FF1636">
        <w:t xml:space="preserve"> </w:t>
      </w:r>
    </w:p>
    <w:p w14:paraId="6C8DA91A" w14:textId="787DC5D0" w:rsidR="00DB65CC" w:rsidRPr="00FF1636" w:rsidRDefault="007772E1" w:rsidP="00F3267E">
      <w:pPr>
        <w:pStyle w:val="Paragraphbeforelist"/>
        <w:rPr>
          <w:highlight w:val="yellow"/>
        </w:rPr>
      </w:pPr>
      <w:r w:rsidRPr="00FF1636">
        <w:t>Th</w:t>
      </w:r>
      <w:r w:rsidR="0074586A">
        <w:t>is</w:t>
      </w:r>
      <w:r w:rsidRPr="00FF1636">
        <w:t xml:space="preserve"> 3.4/3.7 GHz bands allocation process is part of the ACMA’s wider mid-band allocations work program in the 3.4</w:t>
      </w:r>
      <w:r w:rsidR="00684467" w:rsidRPr="00FF1636">
        <w:t>–</w:t>
      </w:r>
      <w:r w:rsidRPr="00FF1636">
        <w:t xml:space="preserve">4.0 GHz band. An overview of the milestones for mid-band allocation projects is available on </w:t>
      </w:r>
      <w:hyperlink r:id="rId29" w:history="1">
        <w:r w:rsidRPr="00FF1636">
          <w:rPr>
            <w:rStyle w:val="Hyperlink"/>
          </w:rPr>
          <w:t>our website</w:t>
        </w:r>
      </w:hyperlink>
      <w:r w:rsidR="00DE2588">
        <w:t xml:space="preserve">, </w:t>
      </w:r>
      <w:r w:rsidR="00506566" w:rsidRPr="00FF1636">
        <w:t>as follows:</w:t>
      </w:r>
    </w:p>
    <w:p w14:paraId="607EBE4C" w14:textId="0955476F" w:rsidR="007C1A71" w:rsidRPr="00EE1EA9" w:rsidRDefault="007C1A71" w:rsidP="00B62E9E">
      <w:pPr>
        <w:pStyle w:val="Bulletlevel1"/>
      </w:pPr>
      <w:r w:rsidRPr="00EE1EA9">
        <w:t xml:space="preserve">An administrative allocation of area-wide licences (AWLs) in remote areas of the 3.4–4.0 GHz band, intended to support both wide-area </w:t>
      </w:r>
      <w:r w:rsidR="005046F2" w:rsidRPr="00EE1EA9">
        <w:t>(WA)</w:t>
      </w:r>
      <w:r w:rsidRPr="00EE1EA9">
        <w:t xml:space="preserve"> and local-area </w:t>
      </w:r>
      <w:r w:rsidR="005046F2" w:rsidRPr="00EE1EA9">
        <w:t>(LA)</w:t>
      </w:r>
      <w:r w:rsidRPr="00EE1EA9">
        <w:t xml:space="preserve"> wireless broadband </w:t>
      </w:r>
      <w:r w:rsidR="005046F2" w:rsidRPr="00EE1EA9">
        <w:t>(WBB)</w:t>
      </w:r>
      <w:r w:rsidRPr="00EE1EA9">
        <w:t xml:space="preserve"> </w:t>
      </w:r>
      <w:r w:rsidR="008253F7">
        <w:t>use-case</w:t>
      </w:r>
      <w:r w:rsidRPr="00EE1EA9">
        <w:t>s. The ACMA expects to commence this allocation process in Q</w:t>
      </w:r>
      <w:r w:rsidR="00060081" w:rsidRPr="00EE1EA9">
        <w:t>3</w:t>
      </w:r>
      <w:r w:rsidRPr="00EE1EA9">
        <w:t xml:space="preserve"> 2023.</w:t>
      </w:r>
    </w:p>
    <w:p w14:paraId="7957531B" w14:textId="2071D962" w:rsidR="007C1A71" w:rsidRPr="00EE1EA9" w:rsidRDefault="007C1A71" w:rsidP="00B62E9E">
      <w:pPr>
        <w:pStyle w:val="Bulletlevel1"/>
      </w:pPr>
      <w:r w:rsidRPr="00EE1EA9">
        <w:t>The auction of spectrum licences in the 3.4/3.7 GHz bands</w:t>
      </w:r>
      <w:r w:rsidR="00060081" w:rsidRPr="00EE1EA9">
        <w:t xml:space="preserve"> (the subject of this paper)</w:t>
      </w:r>
      <w:r w:rsidRPr="00EE1EA9">
        <w:t>, intended to support the continued deployment of WA WBB services, such as mobile and fixed wireless networks.</w:t>
      </w:r>
      <w:r w:rsidR="00DA6249" w:rsidRPr="00EE1EA9">
        <w:t xml:space="preserve"> The </w:t>
      </w:r>
      <w:r w:rsidR="00D43429" w:rsidRPr="00EE1EA9">
        <w:t xml:space="preserve">ACMA expects </w:t>
      </w:r>
      <w:r w:rsidR="006D419A" w:rsidRPr="00EE1EA9">
        <w:t xml:space="preserve">to commence this process </w:t>
      </w:r>
      <w:r w:rsidR="000365BD" w:rsidRPr="00EE1EA9">
        <w:t>in Q4 2023.</w:t>
      </w:r>
    </w:p>
    <w:p w14:paraId="261C296C" w14:textId="73BFF840" w:rsidR="007C1A71" w:rsidRPr="00EE1EA9" w:rsidRDefault="007C1A71" w:rsidP="00B62E9E">
      <w:pPr>
        <w:pStyle w:val="Bulletlevel1"/>
      </w:pPr>
      <w:r w:rsidRPr="00EE1EA9">
        <w:t xml:space="preserve">An administrative allocation of AWLs in the 3.8 GHz band (3.8–3.95 GHz in metropolitan areas and surrounds, and 3.75–3.95 GHz in some regional areas) to support new LA WBB services, and the continued deployment of satellite and point-to-point (PTP) services. The ACMA expects to commence this allocation process in Q1 2024. </w:t>
      </w:r>
    </w:p>
    <w:p w14:paraId="0E8E415A" w14:textId="4BA775A3" w:rsidR="002C7F0C" w:rsidRPr="00FF1636" w:rsidRDefault="007C1A71" w:rsidP="00B62E9E">
      <w:pPr>
        <w:pStyle w:val="Bulletlevel1last"/>
      </w:pPr>
      <w:r w:rsidRPr="00FF1636">
        <w:t xml:space="preserve">An allocation of apparatus licences in </w:t>
      </w:r>
      <w:r w:rsidR="00806BDF">
        <w:t xml:space="preserve">select </w:t>
      </w:r>
      <w:r w:rsidR="0086304F">
        <w:t>metropolitan areas</w:t>
      </w:r>
      <w:r w:rsidRPr="00FF1636">
        <w:t xml:space="preserve"> </w:t>
      </w:r>
      <w:r w:rsidR="0086304F">
        <w:t>(known as ‘</w:t>
      </w:r>
      <w:r w:rsidRPr="00FF1636">
        <w:t>urban excise areas</w:t>
      </w:r>
      <w:r w:rsidR="0086304F">
        <w:t>’)</w:t>
      </w:r>
      <w:r w:rsidRPr="00FF1636">
        <w:t xml:space="preserve"> </w:t>
      </w:r>
      <w:r w:rsidR="0086304F">
        <w:t>in</w:t>
      </w:r>
      <w:r w:rsidRPr="00FF1636">
        <w:t xml:space="preserve"> the 3.4–3.475 GHz band, and metropolitan and regional areas of the 3.95–4.0 GHz band, intended to support restricted cell LA WBB use.</w:t>
      </w:r>
      <w:r w:rsidR="00DE2DBD">
        <w:t xml:space="preserve"> The timing for this allocation is yet to be determined.</w:t>
      </w:r>
    </w:p>
    <w:p w14:paraId="68329BFE" w14:textId="30DA4CDE" w:rsidR="00BF6FFC" w:rsidRPr="00FF1636" w:rsidRDefault="009E13AF" w:rsidP="00EE1EA9">
      <w:pPr>
        <w:pStyle w:val="Paragraphbeforelist"/>
      </w:pPr>
      <w:r w:rsidRPr="00FF1636">
        <w:t xml:space="preserve">In preparation for the auction of spectrum licences, we </w:t>
      </w:r>
      <w:r w:rsidR="00DA5B18" w:rsidRPr="00FF1636">
        <w:t>consulted</w:t>
      </w:r>
      <w:r w:rsidR="00611D7B" w:rsidRPr="00FF1636">
        <w:t xml:space="preserve"> on</w:t>
      </w:r>
      <w:r w:rsidRPr="00FF1636">
        <w:t xml:space="preserve"> </w:t>
      </w:r>
      <w:hyperlink r:id="rId30" w:history="1">
        <w:r w:rsidRPr="007A175B">
          <w:rPr>
            <w:rStyle w:val="Hyperlink"/>
          </w:rPr>
          <w:t>allocation and technical instruments</w:t>
        </w:r>
      </w:hyperlink>
      <w:r w:rsidR="00684467">
        <w:t xml:space="preserve">, </w:t>
      </w:r>
      <w:r w:rsidRPr="00FF1636">
        <w:t xml:space="preserve">which describe the parts of the spectrum </w:t>
      </w:r>
      <w:r w:rsidR="004E5524">
        <w:t>availa</w:t>
      </w:r>
      <w:r w:rsidR="002732E8">
        <w:t>ble</w:t>
      </w:r>
      <w:r w:rsidRPr="00FF1636">
        <w:t xml:space="preserve">, as well as setting out the rules and procedures that </w:t>
      </w:r>
      <w:r w:rsidRPr="00EE1EA9" w:rsidDel="00BD61B4">
        <w:t>we</w:t>
      </w:r>
      <w:r w:rsidRPr="00FF1636" w:rsidDel="00BD61B4">
        <w:t xml:space="preserve"> propose </w:t>
      </w:r>
      <w:r w:rsidRPr="00FF1636">
        <w:t xml:space="preserve">will govern the </w:t>
      </w:r>
      <w:r w:rsidR="002732E8">
        <w:t>allocatio</w:t>
      </w:r>
      <w:r w:rsidRPr="00FF1636">
        <w:t>n process</w:t>
      </w:r>
      <w:r w:rsidR="00BF6FFC" w:rsidRPr="00FF1636">
        <w:t xml:space="preserve">. </w:t>
      </w:r>
      <w:r w:rsidR="00B073D1">
        <w:t>We consulted on draft versions of the</w:t>
      </w:r>
      <w:r w:rsidR="00B073D1" w:rsidRPr="00FF1636">
        <w:t xml:space="preserve"> </w:t>
      </w:r>
      <w:r w:rsidR="00B073D1">
        <w:t xml:space="preserve">following </w:t>
      </w:r>
      <w:r w:rsidR="00BF6FFC" w:rsidRPr="00FF1636">
        <w:t>allocation and technical instruments:</w:t>
      </w:r>
    </w:p>
    <w:p w14:paraId="1DECA2B8" w14:textId="4953E127" w:rsidR="00DF161B" w:rsidRPr="00684467" w:rsidRDefault="00DF161B" w:rsidP="00797749">
      <w:pPr>
        <w:pStyle w:val="Bulletlevel1"/>
      </w:pPr>
      <w:r w:rsidRPr="00FF1636">
        <w:t xml:space="preserve">the </w:t>
      </w:r>
      <w:r w:rsidRPr="00797749">
        <w:t>Radiocommunications Spectrum Marketing Plan (3.4/3.7 GHz Bands) 2023</w:t>
      </w:r>
      <w:r w:rsidRPr="00684467" w:rsidDel="00807740">
        <w:t xml:space="preserve"> </w:t>
      </w:r>
      <w:r w:rsidRPr="00684467">
        <w:t xml:space="preserve">(the marketing plan), to be made under section 39A of the </w:t>
      </w:r>
      <w:r w:rsidR="00EE1EA9" w:rsidRPr="00C60907">
        <w:t xml:space="preserve">Radiocommunications </w:t>
      </w:r>
      <w:r w:rsidRPr="00684467">
        <w:t>Act, describing the 3.4/3.7 GHz bands products available</w:t>
      </w:r>
    </w:p>
    <w:p w14:paraId="1A2B3753" w14:textId="12604290" w:rsidR="00DF161B" w:rsidRPr="00684467" w:rsidRDefault="00DF161B" w:rsidP="00797749">
      <w:pPr>
        <w:pStyle w:val="Bulletlevel1"/>
      </w:pPr>
      <w:r w:rsidRPr="00684467">
        <w:t>the</w:t>
      </w:r>
      <w:r w:rsidRPr="00797749">
        <w:t xml:space="preserve"> Radiocommunications (Spectrum Licence Allocation—3.4/3.7 GHz Bands) Determination 2023</w:t>
      </w:r>
      <w:r w:rsidRPr="00684467" w:rsidDel="00807740">
        <w:t xml:space="preserve"> </w:t>
      </w:r>
      <w:r w:rsidRPr="00684467">
        <w:t xml:space="preserve">(the allocation determination), to be made under sections 60 and 294 of the </w:t>
      </w:r>
      <w:r w:rsidR="00EE1EA9" w:rsidRPr="00C60907">
        <w:t xml:space="preserve">Radiocommunications </w:t>
      </w:r>
      <w:r w:rsidRPr="00684467">
        <w:t>Act, covering the auction procedures and rules for the allocation of spectrum licences in the 3.4/3.7 GHz bands</w:t>
      </w:r>
    </w:p>
    <w:p w14:paraId="06F633C3" w14:textId="77777777" w:rsidR="00DF161B" w:rsidRPr="00684467" w:rsidRDefault="00DF161B" w:rsidP="00797749">
      <w:pPr>
        <w:pStyle w:val="Bulletlevel1"/>
      </w:pPr>
      <w:r w:rsidRPr="00684467">
        <w:t xml:space="preserve">an amendment to the </w:t>
      </w:r>
      <w:r w:rsidRPr="00797749">
        <w:t>Radiocommunications (Unacceptable Levels of Interference – 3.4 GHz Band) Determination 2015</w:t>
      </w:r>
    </w:p>
    <w:p w14:paraId="2E2C73B1" w14:textId="77777777" w:rsidR="00DF161B" w:rsidRPr="00FF1636" w:rsidRDefault="00DF161B" w:rsidP="00797749">
      <w:pPr>
        <w:pStyle w:val="Bulletlevel1"/>
      </w:pPr>
      <w:r w:rsidRPr="00684467">
        <w:t>an amendment</w:t>
      </w:r>
      <w:r>
        <w:t xml:space="preserve"> to the </w:t>
      </w:r>
      <w:r w:rsidRPr="00797749">
        <w:rPr>
          <w:iCs/>
        </w:rPr>
        <w:t>Radiocommunications Advisory Guidelines (Managing Interference to Spectrum Licensed Receivers – 3.4 GHz Band) 2015</w:t>
      </w:r>
    </w:p>
    <w:p w14:paraId="7A5F1B73" w14:textId="76B0E1F9" w:rsidR="00DF161B" w:rsidRPr="00FF1636" w:rsidRDefault="00DF161B" w:rsidP="00797749">
      <w:pPr>
        <w:pStyle w:val="Bulletlevel1last"/>
      </w:pPr>
      <w:r>
        <w:t xml:space="preserve">an amendment to the </w:t>
      </w:r>
      <w:r w:rsidRPr="00797749">
        <w:t>Radiocommunications Advisory Guidelines (Managing Interference from Spectrum Licensed Transmitters – 3.4 GHz Band) 2015</w:t>
      </w:r>
      <w:r w:rsidR="00684467">
        <w:t>.</w:t>
      </w:r>
    </w:p>
    <w:p w14:paraId="2DACF5ED" w14:textId="19A7A5FA" w:rsidR="00DF161B" w:rsidRDefault="00DF161B" w:rsidP="00BA11D0">
      <w:pPr>
        <w:pStyle w:val="Paragraph"/>
        <w:keepNext/>
      </w:pPr>
      <w:r>
        <w:t xml:space="preserve">The ACMA also consulted on amendments to a policy document, the Radiocommunications Assignment and Licensing Instruction MS47 </w:t>
      </w:r>
      <w:r w:rsidRPr="00797749">
        <w:rPr>
          <w:iCs/>
        </w:rPr>
        <w:t xml:space="preserve">Frequency </w:t>
      </w:r>
      <w:r w:rsidRPr="00797749">
        <w:rPr>
          <w:iCs/>
        </w:rPr>
        <w:lastRenderedPageBreak/>
        <w:t>coordination and licensing procedures for Area-Wide Licences (AWL) in the 3400–4000 MHz band</w:t>
      </w:r>
      <w:r w:rsidRPr="00684467">
        <w:rPr>
          <w:iCs/>
        </w:rPr>
        <w:t xml:space="preserve"> </w:t>
      </w:r>
      <w:r>
        <w:t>(</w:t>
      </w:r>
      <w:hyperlink r:id="rId31" w:history="1">
        <w:r w:rsidRPr="005F7CB2">
          <w:rPr>
            <w:rStyle w:val="Hyperlink"/>
          </w:rPr>
          <w:t>RALI MS47</w:t>
        </w:r>
      </w:hyperlink>
      <w:r>
        <w:t>).</w:t>
      </w:r>
    </w:p>
    <w:p w14:paraId="6A4F982B" w14:textId="193C5AF3" w:rsidR="00615A4C" w:rsidRPr="00FF1636" w:rsidRDefault="00615A4C" w:rsidP="00F3267E">
      <w:pPr>
        <w:pStyle w:val="Paragraph"/>
      </w:pPr>
      <w:r>
        <w:t xml:space="preserve">We undertook a </w:t>
      </w:r>
      <w:hyperlink r:id="rId32" w:history="1">
        <w:r w:rsidRPr="004A01E7">
          <w:rPr>
            <w:rStyle w:val="Hyperlink"/>
          </w:rPr>
          <w:t>further consultation</w:t>
        </w:r>
      </w:hyperlink>
      <w:r>
        <w:t xml:space="preserve"> </w:t>
      </w:r>
      <w:r w:rsidR="00527314">
        <w:t xml:space="preserve">to consider whether </w:t>
      </w:r>
      <w:r w:rsidR="000729E5">
        <w:t xml:space="preserve">we </w:t>
      </w:r>
      <w:r w:rsidR="004A01E7">
        <w:t xml:space="preserve">should </w:t>
      </w:r>
      <w:r w:rsidR="003A24B5">
        <w:t>require applicants</w:t>
      </w:r>
      <w:r w:rsidR="004A01E7">
        <w:t xml:space="preserve"> </w:t>
      </w:r>
      <w:r w:rsidR="00DF6723">
        <w:t xml:space="preserve">to provide greater assurance </w:t>
      </w:r>
      <w:r w:rsidR="00453905">
        <w:t xml:space="preserve">to the ACMA that the allocation process has not </w:t>
      </w:r>
      <w:r w:rsidR="00880591">
        <w:t xml:space="preserve">been affected by collusive behaviour in the lead-up to the allocation process being advertised. We noted that such </w:t>
      </w:r>
      <w:r w:rsidR="00D55C0C">
        <w:t>behaviour</w:t>
      </w:r>
      <w:r w:rsidR="00880591">
        <w:t xml:space="preserve"> may be </w:t>
      </w:r>
      <w:r w:rsidR="00D55C0C">
        <w:t xml:space="preserve">prohibited </w:t>
      </w:r>
      <w:r w:rsidR="00186045">
        <w:t xml:space="preserve">under the cartel conduct provisions of Division 1 of Part IV of the </w:t>
      </w:r>
      <w:r w:rsidR="00186045">
        <w:rPr>
          <w:i/>
        </w:rPr>
        <w:t>Competition and Consumer Act 2010</w:t>
      </w:r>
      <w:r w:rsidR="00186045">
        <w:t xml:space="preserve">. </w:t>
      </w:r>
    </w:p>
    <w:p w14:paraId="6B358C51" w14:textId="7A74FB69" w:rsidR="00041AF8" w:rsidRPr="00186045" w:rsidRDefault="00041AF8" w:rsidP="00F3267E">
      <w:pPr>
        <w:pStyle w:val="Paragraph"/>
      </w:pPr>
      <w:r>
        <w:t>This outcomes paper relies on concepts and definitions in</w:t>
      </w:r>
      <w:r w:rsidR="00DE2588">
        <w:t xml:space="preserve"> the</w:t>
      </w:r>
      <w:r>
        <w:t xml:space="preserve"> </w:t>
      </w:r>
      <w:hyperlink r:id="rId33" w:history="1">
        <w:r w:rsidR="00DE2588">
          <w:rPr>
            <w:rStyle w:val="Hyperlink"/>
          </w:rPr>
          <w:t>consultation paper on the draft allocation and technical instruments</w:t>
        </w:r>
      </w:hyperlink>
      <w:r w:rsidR="00701655">
        <w:t xml:space="preserve"> </w:t>
      </w:r>
      <w:r>
        <w:t>(</w:t>
      </w:r>
      <w:r w:rsidR="00DE2588">
        <w:t xml:space="preserve">the </w:t>
      </w:r>
      <w:r>
        <w:t xml:space="preserve">consultation paper), and should be read </w:t>
      </w:r>
      <w:r w:rsidR="00684467">
        <w:t xml:space="preserve">alongside that </w:t>
      </w:r>
      <w:r>
        <w:t>paper.</w:t>
      </w:r>
    </w:p>
    <w:p w14:paraId="02D53001" w14:textId="2D8B1E50" w:rsidR="00915DCF" w:rsidRPr="00FF1636" w:rsidRDefault="00915DCF" w:rsidP="00FF78AC">
      <w:pPr>
        <w:pStyle w:val="Heading2"/>
        <w:spacing w:line="276" w:lineRule="auto"/>
      </w:pPr>
      <w:bookmarkStart w:id="2" w:name="_Toc139280824"/>
      <w:r w:rsidRPr="00FF1636">
        <w:t>Legislative context and policy objectives</w:t>
      </w:r>
      <w:bookmarkEnd w:id="2"/>
    </w:p>
    <w:p w14:paraId="4B789AC8" w14:textId="74DDD52A" w:rsidR="000B20AF" w:rsidRPr="00FF1636" w:rsidRDefault="000B20AF" w:rsidP="008253F7">
      <w:pPr>
        <w:pStyle w:val="Paragraphbeforelist"/>
      </w:pPr>
      <w:r w:rsidRPr="00FF1636">
        <w:t>As stated in the consultation paper, the ACMA’s decisions in relation to allocation processes for the 3.4</w:t>
      </w:r>
      <w:r w:rsidR="00EE1EA9" w:rsidRPr="00C60907">
        <w:rPr>
          <w:iCs/>
        </w:rPr>
        <w:t>–</w:t>
      </w:r>
      <w:r w:rsidRPr="00FF1636">
        <w:t xml:space="preserve">4.0 GHz band are guided by </w:t>
      </w:r>
      <w:r w:rsidRPr="008253F7">
        <w:t>the</w:t>
      </w:r>
      <w:r w:rsidRPr="00FF1636">
        <w:t xml:space="preserve"> object of the </w:t>
      </w:r>
      <w:r w:rsidR="00EE1EA9" w:rsidRPr="00C60907">
        <w:t xml:space="preserve">Radiocommunications </w:t>
      </w:r>
      <w:r w:rsidRPr="00FF1636">
        <w:t>Act, which is to promote the long-term public interest derived from the use of the spectrum by providing for the management of the spectrum in a manner that:</w:t>
      </w:r>
    </w:p>
    <w:p w14:paraId="6CD6C731" w14:textId="77777777" w:rsidR="00F41166" w:rsidRPr="00FF1636" w:rsidRDefault="00F41166" w:rsidP="0071044A">
      <w:pPr>
        <w:pStyle w:val="Bulletlevel1"/>
      </w:pPr>
      <w:r w:rsidRPr="00FF1636">
        <w:t xml:space="preserve">facilitates the efficient planning, </w:t>
      </w:r>
      <w:r w:rsidRPr="008253F7">
        <w:t>allocation</w:t>
      </w:r>
      <w:r w:rsidRPr="00FF1636">
        <w:t xml:space="preserve"> and use of the spectrum</w:t>
      </w:r>
    </w:p>
    <w:p w14:paraId="06A48928" w14:textId="77777777" w:rsidR="00DA7482" w:rsidRPr="00FF1636" w:rsidRDefault="00DA7482" w:rsidP="0071044A">
      <w:pPr>
        <w:pStyle w:val="Bulletlevel1"/>
      </w:pPr>
      <w:r w:rsidRPr="00FF1636">
        <w:t xml:space="preserve">facilitates the use of the spectrum for:  </w:t>
      </w:r>
    </w:p>
    <w:p w14:paraId="712E7BCD" w14:textId="77777777" w:rsidR="00F32608" w:rsidRPr="008253F7" w:rsidRDefault="00DA7482" w:rsidP="0071044A">
      <w:pPr>
        <w:pStyle w:val="Bulletlevel2"/>
      </w:pPr>
      <w:r w:rsidRPr="008253F7">
        <w:t>commercial purposes</w:t>
      </w:r>
      <w:r w:rsidR="00813DAF" w:rsidRPr="008253F7">
        <w:t xml:space="preserve"> </w:t>
      </w:r>
    </w:p>
    <w:p w14:paraId="1F505120" w14:textId="77777777" w:rsidR="009C447A" w:rsidRPr="00FF1636" w:rsidRDefault="00813DAF" w:rsidP="0071044A">
      <w:pPr>
        <w:pStyle w:val="Bulletlevel2"/>
      </w:pPr>
      <w:r w:rsidRPr="008253F7">
        <w:t>defence</w:t>
      </w:r>
      <w:r w:rsidRPr="00FF1636">
        <w:t xml:space="preserve"> purposes, national security purposes and other non-commercial purposes (including public safety and community purposes)</w:t>
      </w:r>
    </w:p>
    <w:p w14:paraId="6744F098" w14:textId="247DBAE4" w:rsidR="006454A6" w:rsidRPr="00FF1636" w:rsidRDefault="00F32608" w:rsidP="0071044A">
      <w:pPr>
        <w:pStyle w:val="Bulletlevel1last"/>
      </w:pPr>
      <w:r w:rsidRPr="00FF1636">
        <w:t xml:space="preserve">supports the </w:t>
      </w:r>
      <w:r w:rsidRPr="008253F7">
        <w:t>communications</w:t>
      </w:r>
      <w:r w:rsidRPr="00FF1636">
        <w:t xml:space="preserve"> policy objectives of the </w:t>
      </w:r>
      <w:r w:rsidR="008253F7">
        <w:t>Australian</w:t>
      </w:r>
      <w:r w:rsidR="008253F7" w:rsidRPr="00FF1636">
        <w:t xml:space="preserve"> </w:t>
      </w:r>
      <w:r w:rsidRPr="00FF1636">
        <w:t xml:space="preserve">Government.  </w:t>
      </w:r>
    </w:p>
    <w:p w14:paraId="06B26300" w14:textId="7D47AD5B" w:rsidR="008253F7" w:rsidRDefault="000B20AF" w:rsidP="008253F7">
      <w:pPr>
        <w:pStyle w:val="Paragraph"/>
      </w:pPr>
      <w:r>
        <w:t xml:space="preserve">On 10 February 2022, the </w:t>
      </w:r>
      <w:r w:rsidRPr="0071044A">
        <w:rPr>
          <w:iCs/>
        </w:rPr>
        <w:t>Radiocommunications (Ministerial Policy Statement – 3.4</w:t>
      </w:r>
      <w:r w:rsidR="00DE2588">
        <w:rPr>
          <w:iCs/>
        </w:rPr>
        <w:t>-</w:t>
      </w:r>
      <w:r w:rsidRPr="0071044A">
        <w:rPr>
          <w:iCs/>
        </w:rPr>
        <w:t>4.0 GHz</w:t>
      </w:r>
      <w:r w:rsidR="00DE2588">
        <w:rPr>
          <w:iCs/>
        </w:rPr>
        <w:t>)</w:t>
      </w:r>
      <w:r w:rsidRPr="0071044A">
        <w:rPr>
          <w:iCs/>
        </w:rPr>
        <w:t xml:space="preserve"> Instrument 2022</w:t>
      </w:r>
      <w:r>
        <w:rPr>
          <w:i/>
        </w:rPr>
        <w:t xml:space="preserve"> </w:t>
      </w:r>
      <w:r>
        <w:t>(</w:t>
      </w:r>
      <w:r w:rsidR="00DE2588">
        <w:t xml:space="preserve">the </w:t>
      </w:r>
      <w:r>
        <w:t xml:space="preserve">MPS) commenced. Under section 28C of the </w:t>
      </w:r>
      <w:r w:rsidR="00EE1EA9" w:rsidRPr="00C60907">
        <w:t xml:space="preserve">Radiocommunications </w:t>
      </w:r>
      <w:r>
        <w:t xml:space="preserve">Act, the ACMA must have regard to the MPS in performing its spectrum management functions and </w:t>
      </w:r>
      <w:r w:rsidRPr="008253F7">
        <w:t>exercising</w:t>
      </w:r>
      <w:r>
        <w:t xml:space="preserve"> its spectrum management powers.</w:t>
      </w:r>
    </w:p>
    <w:p w14:paraId="5ACEEB5B" w14:textId="0A6ED61A" w:rsidR="000B20AF" w:rsidRDefault="000B20AF" w:rsidP="008253F7">
      <w:pPr>
        <w:pStyle w:val="Paragraphbeforelist"/>
      </w:pPr>
      <w:r>
        <w:t xml:space="preserve">The MPS sets out </w:t>
      </w:r>
      <w:r w:rsidR="008253F7">
        <w:t xml:space="preserve">4 </w:t>
      </w:r>
      <w:r>
        <w:t>objectives for the allocation of the 3.4</w:t>
      </w:r>
      <w:r w:rsidR="008253F7" w:rsidRPr="00C60907">
        <w:rPr>
          <w:iCs/>
        </w:rPr>
        <w:t>–</w:t>
      </w:r>
      <w:r>
        <w:t>4.0 GHz band:</w:t>
      </w:r>
    </w:p>
    <w:p w14:paraId="4F27F0BA" w14:textId="77777777" w:rsidR="000B20AF" w:rsidRPr="008253F7" w:rsidRDefault="000B20AF" w:rsidP="0071044A">
      <w:pPr>
        <w:pStyle w:val="Bulletlevel1"/>
      </w:pPr>
      <w:r>
        <w:t xml:space="preserve">supporting the </w:t>
      </w:r>
      <w:r w:rsidRPr="008253F7">
        <w:t>deployment of new and innovative technology, including 5G</w:t>
      </w:r>
    </w:p>
    <w:p w14:paraId="4A4AF446" w14:textId="5918678E" w:rsidR="000B20AF" w:rsidRPr="008253F7" w:rsidRDefault="000B20AF" w:rsidP="0071044A">
      <w:pPr>
        <w:pStyle w:val="Bulletlevel1"/>
      </w:pPr>
      <w:r w:rsidRPr="008253F7">
        <w:t xml:space="preserve">supporting a wide range of </w:t>
      </w:r>
      <w:r w:rsidR="008253F7">
        <w:t>use-case</w:t>
      </w:r>
      <w:r w:rsidRPr="008253F7">
        <w:t>s and users</w:t>
      </w:r>
    </w:p>
    <w:p w14:paraId="388A0011" w14:textId="77777777" w:rsidR="000B20AF" w:rsidRDefault="000B20AF" w:rsidP="0071044A">
      <w:pPr>
        <w:pStyle w:val="Bulletlevel1"/>
      </w:pPr>
      <w:r w:rsidRPr="008253F7">
        <w:t>supporting digital connectivity</w:t>
      </w:r>
      <w:r>
        <w:t xml:space="preserve"> and investment in regional Australia</w:t>
      </w:r>
    </w:p>
    <w:p w14:paraId="21314F77" w14:textId="77777777" w:rsidR="000B20AF" w:rsidRDefault="000B20AF" w:rsidP="0071044A">
      <w:pPr>
        <w:pStyle w:val="Bulletlevel1last"/>
      </w:pPr>
      <w:r>
        <w:t xml:space="preserve">promoting competitive </w:t>
      </w:r>
      <w:r w:rsidRPr="008253F7">
        <w:t>markets</w:t>
      </w:r>
      <w:r>
        <w:t>.</w:t>
      </w:r>
    </w:p>
    <w:p w14:paraId="7BC2400C" w14:textId="2840DB3A" w:rsidR="00CA06DC" w:rsidRPr="00FF1636" w:rsidRDefault="00BF5C77" w:rsidP="008253F7">
      <w:pPr>
        <w:pStyle w:val="Paragraphbeforelist"/>
      </w:pPr>
      <w:r w:rsidRPr="00FF1636">
        <w:t xml:space="preserve">On 7 December 2022, </w:t>
      </w:r>
      <w:r w:rsidR="000B20AF">
        <w:t>t</w:t>
      </w:r>
      <w:r w:rsidR="000B20AF" w:rsidRPr="00FF1636">
        <w:t>he</w:t>
      </w:r>
      <w:r w:rsidRPr="00FF1636">
        <w:t xml:space="preserve"> Minister for Communications, the Hon Michelle Rowland MP, issued a Statement of Expectations (SoE) to the ACMA. The SoE sets out government policies and objectives relative to the ACMA’s regulatory and spectrum management remit. Of </w:t>
      </w:r>
      <w:r w:rsidR="008253F7" w:rsidRPr="00FF1636">
        <w:t>relevance</w:t>
      </w:r>
      <w:r w:rsidRPr="00FF1636">
        <w:t xml:space="preserve"> to this allocation </w:t>
      </w:r>
      <w:r w:rsidR="001B4D63">
        <w:t>are</w:t>
      </w:r>
      <w:r w:rsidR="001B4D63" w:rsidRPr="00FF1636">
        <w:t xml:space="preserve"> </w:t>
      </w:r>
      <w:r w:rsidRPr="00FF1636">
        <w:t>the government’s objectives to</w:t>
      </w:r>
      <w:r w:rsidR="00CA06DC" w:rsidRPr="00FF1636">
        <w:t>:</w:t>
      </w:r>
    </w:p>
    <w:p w14:paraId="662018EC" w14:textId="77777777" w:rsidR="00CA06DC" w:rsidRPr="00FF1636" w:rsidRDefault="00440EDC" w:rsidP="0071044A">
      <w:pPr>
        <w:pStyle w:val="Bulletlevel1"/>
      </w:pPr>
      <w:r w:rsidRPr="00FF1636">
        <w:t xml:space="preserve">support government policies related to regional, rural and remote Australia including by having regard </w:t>
      </w:r>
      <w:r w:rsidRPr="008253F7">
        <w:t>to</w:t>
      </w:r>
      <w:r w:rsidRPr="00FF1636">
        <w:t xml:space="preserve"> relevant ministerial policy statements in the planning and allocation of spectrum to support innovation and competition in these areas</w:t>
      </w:r>
    </w:p>
    <w:p w14:paraId="78690CA4" w14:textId="77777777" w:rsidR="00CA06DC" w:rsidRPr="00FF1636" w:rsidRDefault="00BF7332" w:rsidP="0071044A">
      <w:pPr>
        <w:pStyle w:val="Bulletlevel1last"/>
      </w:pPr>
      <w:r w:rsidRPr="00FF1636">
        <w:t xml:space="preserve">promote the long-term public interest derived from spectrum, including the benefits of technological developments that improve spectrum utilisation. </w:t>
      </w:r>
    </w:p>
    <w:p w14:paraId="429FD501" w14:textId="7F513EC1" w:rsidR="00CC66CF" w:rsidRPr="00FF1636" w:rsidRDefault="000B20AF" w:rsidP="008253F7">
      <w:pPr>
        <w:pStyle w:val="Paragraph"/>
      </w:pPr>
      <w:r w:rsidRPr="00FF1636">
        <w:t xml:space="preserve">We are considering these objectives </w:t>
      </w:r>
      <w:r>
        <w:t>in relation to</w:t>
      </w:r>
      <w:r w:rsidRPr="00FF1636">
        <w:t xml:space="preserve"> all the mid-band (3.4</w:t>
      </w:r>
      <w:r w:rsidR="008253F7" w:rsidRPr="00C60907">
        <w:rPr>
          <w:iCs/>
        </w:rPr>
        <w:t>–</w:t>
      </w:r>
      <w:r w:rsidRPr="00FF1636">
        <w:t>4.0 GHz) allocations</w:t>
      </w:r>
      <w:r>
        <w:t xml:space="preserve"> above</w:t>
      </w:r>
      <w:r w:rsidRPr="00FF1636">
        <w:t xml:space="preserve">. </w:t>
      </w:r>
      <w:r w:rsidRPr="008253F7">
        <w:t>Different</w:t>
      </w:r>
      <w:r>
        <w:t xml:space="preserve"> allocations are intended to support different </w:t>
      </w:r>
      <w:r w:rsidR="008253F7">
        <w:t>use-case</w:t>
      </w:r>
      <w:r>
        <w:t xml:space="preserve">s. The objective to support a wide range of </w:t>
      </w:r>
      <w:r w:rsidR="008253F7">
        <w:t>use-case</w:t>
      </w:r>
      <w:r>
        <w:t xml:space="preserve">s and users is supported by the availability of the suite of mid-band allocations. The </w:t>
      </w:r>
      <w:r w:rsidRPr="00FF1636">
        <w:t>3.4/3.7 GHz bands allocation process</w:t>
      </w:r>
      <w:r>
        <w:t xml:space="preserve"> is intended to support the deployment of WA WBB, while the AWL allocations </w:t>
      </w:r>
      <w:r>
        <w:lastRenderedPageBreak/>
        <w:t>are intended to support other services such as LA WBB, PTP and fixed satellite services (FSS). The spectrum licence allocation process</w:t>
      </w:r>
      <w:r w:rsidR="001B4D63">
        <w:rPr>
          <w:color w:val="202124"/>
          <w:sz w:val="21"/>
          <w:szCs w:val="21"/>
          <w:shd w:val="clear" w:color="auto" w:fill="FFFFFF"/>
        </w:rPr>
        <w:t xml:space="preserve"> – </w:t>
      </w:r>
      <w:r>
        <w:t>and the considerations on allocation limits</w:t>
      </w:r>
      <w:r w:rsidR="001B4D63">
        <w:rPr>
          <w:color w:val="202124"/>
          <w:sz w:val="21"/>
          <w:szCs w:val="21"/>
          <w:shd w:val="clear" w:color="auto" w:fill="FFFFFF"/>
        </w:rPr>
        <w:t xml:space="preserve"> – </w:t>
      </w:r>
      <w:r>
        <w:t>intends to support digital connectivity and investment in regional Australia, and promote competitive markets.</w:t>
      </w:r>
    </w:p>
    <w:p w14:paraId="6965EB72" w14:textId="6C10A7F2" w:rsidR="002414D5" w:rsidRPr="00152258" w:rsidRDefault="002414D5" w:rsidP="003061F3">
      <w:pPr>
        <w:pStyle w:val="Heading3"/>
        <w:rPr>
          <w:sz w:val="28"/>
          <w:szCs w:val="28"/>
        </w:rPr>
      </w:pPr>
      <w:bookmarkStart w:id="3" w:name="_Toc139280825"/>
      <w:r w:rsidRPr="00152258">
        <w:rPr>
          <w:sz w:val="28"/>
          <w:szCs w:val="28"/>
        </w:rPr>
        <w:t>Allocation limits</w:t>
      </w:r>
      <w:bookmarkEnd w:id="3"/>
    </w:p>
    <w:p w14:paraId="0F04B36E" w14:textId="48874777" w:rsidR="009F633B" w:rsidRPr="00D51341" w:rsidRDefault="009F633B" w:rsidP="00CE1EC8">
      <w:pPr>
        <w:pStyle w:val="Paragraph"/>
      </w:pPr>
      <w:r w:rsidRPr="00D51341">
        <w:t xml:space="preserve">Procedures determined under section 60 of the </w:t>
      </w:r>
      <w:r w:rsidR="00EE1EA9" w:rsidRPr="00C60907">
        <w:t xml:space="preserve">Radiocommunications </w:t>
      </w:r>
      <w:r w:rsidRPr="00D51341">
        <w:t xml:space="preserve">Act for the allocation of spectrum licences may impose limits on the aggregate of the parts of the spectrum that, under transmitter </w:t>
      </w:r>
      <w:r w:rsidR="001B4D63">
        <w:t>and</w:t>
      </w:r>
      <w:r w:rsidRPr="00D51341">
        <w:t xml:space="preserve"> existing spectrum licences, and as a result of the allocation of spectrum licences under section 60, may be used by any one person, a specified person, or, in total, by the members of a specified group of persons (subsection 60(5)). Such a limit is known as an ‘allocation limit’. An allocation limit may apply in relation to one or more of a specified part of the spectrum, a specified area or a specified population reach (subsection 60(6)). A limit for a specified person, or for a specified group of persons, may be nil (subsection 60(6A)). </w:t>
      </w:r>
    </w:p>
    <w:p w14:paraId="42642E32" w14:textId="629C6190" w:rsidR="009F633B" w:rsidRPr="00D51341" w:rsidRDefault="009F633B" w:rsidP="00CE1EC8">
      <w:pPr>
        <w:pStyle w:val="Paragraph"/>
      </w:pPr>
      <w:r w:rsidRPr="00D51341">
        <w:t xml:space="preserve">As such, in imposing an allocation limit, the ACMA can determine procedures that count existing transmitter licences and existing spectrum licences towards an assessment of whether allocating new spectrum licences under section 60 would exceed those limits. For example, if the ACMA is allocating spectrum licences in the 500 MHz to 1000 MHz frequency band, it is allocating 500 MHz of spectrum. However, it might impose an allocation limit that no person may, under existing spectrum licences and </w:t>
      </w:r>
      <w:r w:rsidR="00DE2588" w:rsidRPr="00D51341">
        <w:t>because of</w:t>
      </w:r>
      <w:r w:rsidRPr="00D51341">
        <w:t xml:space="preserve"> the allocation of new spectrum licences, use more than </w:t>
      </w:r>
      <w:r w:rsidR="001B4D63" w:rsidRPr="00D51341">
        <w:t>250</w:t>
      </w:r>
      <w:r w:rsidR="001B4D63">
        <w:t> </w:t>
      </w:r>
      <w:r w:rsidRPr="00D51341">
        <w:t>MHz in the 500 MHz to 1500 MHz frequency band. This may be because there are already existing spectrum licences in the 1000 MHz to 1500 MHz frequency band.</w:t>
      </w:r>
    </w:p>
    <w:p w14:paraId="184D0697" w14:textId="77777777" w:rsidR="009F633B" w:rsidRPr="00D51341" w:rsidRDefault="009F633B" w:rsidP="002B2584">
      <w:pPr>
        <w:pStyle w:val="Paragraph"/>
      </w:pPr>
      <w:r w:rsidRPr="00D51341">
        <w:t xml:space="preserve">In this example, a person who holds no existing spectrum licences in the 1000 MHz to 1500 MHz band could be allocated new spectrum licences in the 500 MHz to 1000 MHz band totalling 250 MHz, but a person who already holds existing spectrum licences in the 1000 MHz to 1500 MHz band totalling 250 MHz could not be allocated any new spectrum licences in the 500 MHz to 1000 </w:t>
      </w:r>
      <w:r w:rsidRPr="002B2584">
        <w:t>MHz</w:t>
      </w:r>
      <w:r w:rsidRPr="00D51341">
        <w:t xml:space="preserve"> band. The consideration of existing spectrum licences outside the band currently being allocated is sometimes referred to as a consideration of a ‘cross-band frequency range’.</w:t>
      </w:r>
    </w:p>
    <w:p w14:paraId="5E027AD6" w14:textId="77777777" w:rsidR="009F633B" w:rsidRPr="00D51341" w:rsidRDefault="009F633B" w:rsidP="002B2584">
      <w:pPr>
        <w:pStyle w:val="Paragraphbeforelist"/>
      </w:pPr>
      <w:r w:rsidRPr="00D51341">
        <w:t xml:space="preserve">There are existing spectrum licences in the parts of the spectrum that adjoin the 3.4/3.7 GHz bands (these parts are sometimes </w:t>
      </w:r>
      <w:r w:rsidRPr="002B2584">
        <w:t>referred</w:t>
      </w:r>
      <w:r w:rsidRPr="00D51341">
        <w:t xml:space="preserve"> to as the 3.4 GHz band, or the 3.4 GHz and 3.6 GHz bands). There are also existing spectrum licences in the parts of the spectrum known as:</w:t>
      </w:r>
    </w:p>
    <w:p w14:paraId="202F557C" w14:textId="77777777" w:rsidR="009F633B" w:rsidRPr="002B2584" w:rsidRDefault="009F633B" w:rsidP="002B2584">
      <w:pPr>
        <w:pStyle w:val="Bulletlevel1"/>
      </w:pPr>
      <w:r w:rsidRPr="002B2584">
        <w:t>the 700 MHz band</w:t>
      </w:r>
    </w:p>
    <w:p w14:paraId="52EF458C" w14:textId="77777777" w:rsidR="009F633B" w:rsidRPr="002B2584" w:rsidRDefault="009F633B" w:rsidP="002B2584">
      <w:pPr>
        <w:pStyle w:val="Bulletlevel1"/>
      </w:pPr>
      <w:r w:rsidRPr="002B2584">
        <w:t>the 850/900 MHz band</w:t>
      </w:r>
    </w:p>
    <w:p w14:paraId="404BDAFC" w14:textId="77777777" w:rsidR="009F633B" w:rsidRPr="002B2584" w:rsidRDefault="009F633B" w:rsidP="002B2584">
      <w:pPr>
        <w:pStyle w:val="Bulletlevel1"/>
      </w:pPr>
      <w:r w:rsidRPr="002B2584">
        <w:t>the 1800 MHz band</w:t>
      </w:r>
    </w:p>
    <w:p w14:paraId="391CC832" w14:textId="77777777" w:rsidR="009F633B" w:rsidRPr="002B2584" w:rsidRDefault="009F633B" w:rsidP="002B2584">
      <w:pPr>
        <w:pStyle w:val="Bulletlevel1"/>
      </w:pPr>
      <w:r w:rsidRPr="002B2584">
        <w:t>the 2.3 GHz band</w:t>
      </w:r>
    </w:p>
    <w:p w14:paraId="2038E70E" w14:textId="77777777" w:rsidR="009F633B" w:rsidRPr="002B2584" w:rsidRDefault="009F633B" w:rsidP="002B2584">
      <w:pPr>
        <w:pStyle w:val="Bulletlevel1"/>
      </w:pPr>
      <w:r w:rsidRPr="002B2584">
        <w:t>the 2.5 GHz band</w:t>
      </w:r>
    </w:p>
    <w:p w14:paraId="4204C31A" w14:textId="77777777" w:rsidR="009F633B" w:rsidRPr="002B2584" w:rsidRDefault="009F633B" w:rsidP="002B2584">
      <w:pPr>
        <w:pStyle w:val="Bulletlevel1"/>
      </w:pPr>
      <w:r w:rsidRPr="002B2584">
        <w:t>the 20 GHz band (though these licences are only held by the Department of Defence)</w:t>
      </w:r>
    </w:p>
    <w:p w14:paraId="4BBD8D11" w14:textId="77777777" w:rsidR="009F633B" w:rsidRPr="002B2584" w:rsidRDefault="009F633B" w:rsidP="002B2584">
      <w:pPr>
        <w:pStyle w:val="Bulletlevel1"/>
      </w:pPr>
      <w:r w:rsidRPr="002B2584">
        <w:t xml:space="preserve">the 30 GHz band (though these licences are only held by the Department of Defence) </w:t>
      </w:r>
    </w:p>
    <w:p w14:paraId="41D9B019" w14:textId="77777777" w:rsidR="009F633B" w:rsidRPr="00D51341" w:rsidRDefault="009F633B" w:rsidP="002B2584">
      <w:pPr>
        <w:pStyle w:val="Bulletlevel1last"/>
      </w:pPr>
      <w:r w:rsidRPr="00D51341">
        <w:t xml:space="preserve">the 26 GHz </w:t>
      </w:r>
      <w:r w:rsidRPr="002B2584">
        <w:t>band</w:t>
      </w:r>
      <w:r w:rsidRPr="00D51341">
        <w:t>.</w:t>
      </w:r>
    </w:p>
    <w:p w14:paraId="574590A3" w14:textId="59DDC7FB" w:rsidR="009F633B" w:rsidRPr="00D51341" w:rsidRDefault="009F633B" w:rsidP="00CE1EC8">
      <w:pPr>
        <w:pStyle w:val="Paragraph"/>
      </w:pPr>
      <w:r w:rsidRPr="00D51341">
        <w:t xml:space="preserve">Before the ACMA determines procedures under section 60 of the </w:t>
      </w:r>
      <w:r w:rsidR="00EE1EA9" w:rsidRPr="00C60907">
        <w:t xml:space="preserve">Radiocommunications </w:t>
      </w:r>
      <w:r w:rsidRPr="00D51341">
        <w:t>Act, it must consult the Australian Competition and Consumer Commission (ACCC) about whether the procedures should impose allocation limits and, if so, the nature of those limits (subsection 60(13A)).</w:t>
      </w:r>
    </w:p>
    <w:p w14:paraId="53EBE4E8" w14:textId="09194B4A" w:rsidR="009F633B" w:rsidRPr="00D51341" w:rsidRDefault="009F633B" w:rsidP="00303721">
      <w:pPr>
        <w:pStyle w:val="Paragraph"/>
      </w:pPr>
      <w:r w:rsidRPr="00D51341">
        <w:lastRenderedPageBreak/>
        <w:t xml:space="preserve">A determination under section 60 of the </w:t>
      </w:r>
      <w:r w:rsidR="00EE1EA9" w:rsidRPr="00C60907">
        <w:t xml:space="preserve">Radiocommunications </w:t>
      </w:r>
      <w:r w:rsidRPr="00D51341">
        <w:t xml:space="preserve">Act is a legislative instrument. Accordingly, before the determination is made, the ACMA must be satisfied that such consultation as was appropriate, and was reasonably practicable to undertake, has been undertaken (section 17 of the </w:t>
      </w:r>
      <w:r w:rsidRPr="00D51341">
        <w:rPr>
          <w:i/>
        </w:rPr>
        <w:t>Legislation Act 2003</w:t>
      </w:r>
      <w:r w:rsidRPr="00D51341">
        <w:t>).</w:t>
      </w:r>
    </w:p>
    <w:p w14:paraId="3DBA8C36" w14:textId="4ED4BE29" w:rsidR="009435E3" w:rsidRPr="009435E3" w:rsidRDefault="00625472" w:rsidP="00265AF5">
      <w:pPr>
        <w:pStyle w:val="Heading2"/>
      </w:pPr>
      <w:bookmarkStart w:id="4" w:name="_Toc139280826"/>
      <w:r>
        <w:t xml:space="preserve">Final </w:t>
      </w:r>
      <w:r w:rsidR="009435E3">
        <w:t xml:space="preserve">allocation and technical </w:t>
      </w:r>
      <w:r>
        <w:t>instruments</w:t>
      </w:r>
      <w:bookmarkEnd w:id="4"/>
    </w:p>
    <w:p w14:paraId="5580FBD7" w14:textId="219E2080" w:rsidR="003304DB" w:rsidRPr="00FF1636" w:rsidRDefault="003304DB" w:rsidP="0053270B">
      <w:pPr>
        <w:pStyle w:val="Paragraphbeforelist"/>
      </w:pPr>
      <w:r>
        <w:t xml:space="preserve">Having considered submissions to the consultation </w:t>
      </w:r>
      <w:r w:rsidR="00C06329">
        <w:t>on the draft allocation and technical instruments</w:t>
      </w:r>
      <w:r w:rsidRPr="00FF1636">
        <w:t xml:space="preserve">, the ACMA has made the </w:t>
      </w:r>
      <w:r>
        <w:t>following legislative instruments:</w:t>
      </w:r>
    </w:p>
    <w:p w14:paraId="504A467D" w14:textId="38ABF1D8" w:rsidR="003304DB" w:rsidRPr="002B2584" w:rsidRDefault="00D4244F" w:rsidP="00A06E45">
      <w:pPr>
        <w:pStyle w:val="Bulletlevel1"/>
      </w:pPr>
      <w:hyperlink r:id="rId34" w:history="1">
        <w:r w:rsidR="003304DB" w:rsidRPr="006457DE">
          <w:rPr>
            <w:rStyle w:val="Hyperlink"/>
          </w:rPr>
          <w:t>the allocation determination</w:t>
        </w:r>
      </w:hyperlink>
    </w:p>
    <w:p w14:paraId="4C7F0C04" w14:textId="5221B2D4" w:rsidR="003304DB" w:rsidRPr="002B2584" w:rsidRDefault="00D4244F" w:rsidP="00A06E45">
      <w:pPr>
        <w:pStyle w:val="Bulletlevel1"/>
      </w:pPr>
      <w:hyperlink r:id="rId35" w:history="1">
        <w:r w:rsidR="003304DB" w:rsidRPr="001525B9">
          <w:rPr>
            <w:rStyle w:val="Hyperlink"/>
          </w:rPr>
          <w:t>the marketing plan</w:t>
        </w:r>
      </w:hyperlink>
    </w:p>
    <w:p w14:paraId="40FCD0CA" w14:textId="75FF3A2A" w:rsidR="003304DB" w:rsidRPr="002B2584" w:rsidRDefault="003304DB" w:rsidP="00A06E45">
      <w:pPr>
        <w:pStyle w:val="Bulletlevel1"/>
      </w:pPr>
      <w:r w:rsidRPr="002B2584">
        <w:t xml:space="preserve">the </w:t>
      </w:r>
      <w:hyperlink r:id="rId36" w:history="1">
        <w:r w:rsidRPr="00856E11">
          <w:rPr>
            <w:rStyle w:val="Hyperlink"/>
          </w:rPr>
          <w:t>Radiocommunications (Unacceptable Levels of Interference – 3.4 GHz Band) Amendment Determination 2023 (No. 1)</w:t>
        </w:r>
      </w:hyperlink>
    </w:p>
    <w:p w14:paraId="3DE2BF55" w14:textId="5121BF55" w:rsidR="003304DB" w:rsidRPr="008C67E6" w:rsidRDefault="003304DB" w:rsidP="00A06E45">
      <w:pPr>
        <w:pStyle w:val="Bulletlevel1"/>
      </w:pPr>
      <w:r w:rsidRPr="002B2584">
        <w:t>the</w:t>
      </w:r>
      <w:r w:rsidRPr="00DF2B17">
        <w:t xml:space="preserve"> </w:t>
      </w:r>
      <w:hyperlink r:id="rId37" w:history="1">
        <w:r w:rsidRPr="005837C0">
          <w:rPr>
            <w:rStyle w:val="Hyperlink"/>
          </w:rPr>
          <w:t>Radiocommunications Advisory Guidelines (Managing Interference to Spectrum Licensed Receivers</w:t>
        </w:r>
        <w:r w:rsidRPr="005837C0">
          <w:rPr>
            <w:rStyle w:val="Hyperlink"/>
            <w:iCs/>
          </w:rPr>
          <w:t xml:space="preserve"> – 3.4 GHz Band) Variation 2023 (No. 1)</w:t>
        </w:r>
      </w:hyperlink>
    </w:p>
    <w:p w14:paraId="3ED2F393" w14:textId="3DAB86D5" w:rsidR="003304DB" w:rsidRPr="00FF1636" w:rsidRDefault="003304DB" w:rsidP="00DF2B17">
      <w:pPr>
        <w:pStyle w:val="Bulletlevel1last"/>
      </w:pPr>
      <w:r w:rsidRPr="00FF1636">
        <w:t xml:space="preserve">the </w:t>
      </w:r>
      <w:hyperlink r:id="rId38" w:history="1">
        <w:r w:rsidRPr="006044CB">
          <w:rPr>
            <w:rStyle w:val="Hyperlink"/>
          </w:rPr>
          <w:t>Radiocommunications Advisory Guidelines (Managing Interference from Spectrum Licensed Transmitters – 3.4 GHz Band) Variation 2023 (No. 1)</w:t>
        </w:r>
      </w:hyperlink>
      <w:r w:rsidR="006044CB">
        <w:t>.</w:t>
      </w:r>
    </w:p>
    <w:p w14:paraId="2C8A4F96" w14:textId="5BBB2554" w:rsidR="003304DB" w:rsidRDefault="003304DB" w:rsidP="002B2584">
      <w:pPr>
        <w:pStyle w:val="Paragraph"/>
      </w:pPr>
      <w:r w:rsidRPr="00FF1636">
        <w:t xml:space="preserve">We have also made </w:t>
      </w:r>
      <w:r w:rsidRPr="002B2584">
        <w:t>amendments</w:t>
      </w:r>
      <w:r w:rsidRPr="00FF1636">
        <w:t xml:space="preserve"> to RALI MS47</w:t>
      </w:r>
      <w:r>
        <w:t>.</w:t>
      </w:r>
    </w:p>
    <w:p w14:paraId="071B2BA2" w14:textId="160A8483" w:rsidR="0070467E" w:rsidRDefault="009953EA" w:rsidP="002B2584">
      <w:pPr>
        <w:pStyle w:val="Paragraphbeforelist"/>
      </w:pPr>
      <w:r>
        <w:t>The ACMA formulated the proposals in the consultation paper</w:t>
      </w:r>
      <w:r w:rsidR="00EE2EA7">
        <w:t xml:space="preserve"> and draft versions of the allocation and technical instruments</w:t>
      </w:r>
      <w:r>
        <w:t xml:space="preserve"> based on</w:t>
      </w:r>
      <w:r w:rsidR="00C33668">
        <w:t xml:space="preserve"> </w:t>
      </w:r>
      <w:r w:rsidR="002C4A0D">
        <w:t>views gathered through</w:t>
      </w:r>
      <w:r>
        <w:t xml:space="preserve"> </w:t>
      </w:r>
      <w:r w:rsidR="00C33668">
        <w:t>ongoing engagement, including</w:t>
      </w:r>
      <w:r w:rsidR="0070467E">
        <w:t>:</w:t>
      </w:r>
      <w:r w:rsidR="00C33668">
        <w:t xml:space="preserve"> </w:t>
      </w:r>
    </w:p>
    <w:p w14:paraId="4C9008DF" w14:textId="1FC07126" w:rsidR="0070467E" w:rsidRDefault="00C33668" w:rsidP="002B2584">
      <w:pPr>
        <w:pStyle w:val="Bulletlevel1"/>
      </w:pPr>
      <w:r>
        <w:t>public consultation</w:t>
      </w:r>
      <w:r w:rsidR="00F306CF">
        <w:t xml:space="preserve"> (including</w:t>
      </w:r>
      <w:r w:rsidR="0070467E">
        <w:t xml:space="preserve"> </w:t>
      </w:r>
      <w:r w:rsidR="0070467E" w:rsidRPr="002B2584">
        <w:t>previous</w:t>
      </w:r>
      <w:r w:rsidR="0070467E">
        <w:t xml:space="preserve"> consultation on </w:t>
      </w:r>
      <w:hyperlink r:id="rId39" w:history="1">
        <w:r w:rsidR="0070467E" w:rsidRPr="00BB7585">
          <w:rPr>
            <w:rStyle w:val="Hyperlink"/>
          </w:rPr>
          <w:t>replanning and optimising arrangements in the band</w:t>
        </w:r>
      </w:hyperlink>
      <w:r w:rsidR="00370C4A">
        <w:t xml:space="preserve"> and </w:t>
      </w:r>
      <w:hyperlink r:id="rId40" w:history="1">
        <w:r w:rsidR="00370C4A" w:rsidRPr="00FC61A1">
          <w:rPr>
            <w:rStyle w:val="Hyperlink"/>
          </w:rPr>
          <w:t>the re-allocation declaration</w:t>
        </w:r>
      </w:hyperlink>
      <w:r w:rsidR="00370C4A">
        <w:t>)</w:t>
      </w:r>
    </w:p>
    <w:p w14:paraId="4BD543CF" w14:textId="0D901D64" w:rsidR="0070467E" w:rsidRDefault="00C33668" w:rsidP="002B2584">
      <w:pPr>
        <w:pStyle w:val="Bulletlevel1"/>
      </w:pPr>
      <w:r>
        <w:t xml:space="preserve">targeted </w:t>
      </w:r>
      <w:r w:rsidRPr="002B2584">
        <w:t>consultation</w:t>
      </w:r>
      <w:r>
        <w:t xml:space="preserve"> (</w:t>
      </w:r>
      <w:hyperlink r:id="rId41" w:anchor="previous-spectrum-tune-ups-34%E2%80%9340-ghz-frequency-range" w:history="1">
        <w:r w:rsidRPr="008A3D00">
          <w:rPr>
            <w:rStyle w:val="Hyperlink"/>
          </w:rPr>
          <w:t>referred to as ‘tune-ups’</w:t>
        </w:r>
        <w:r w:rsidR="008A3D00" w:rsidRPr="008A3D00">
          <w:rPr>
            <w:rStyle w:val="Hyperlink"/>
          </w:rPr>
          <w:t xml:space="preserve"> and held in March 2022, July 2022 and February 2023</w:t>
        </w:r>
      </w:hyperlink>
      <w:r>
        <w:t xml:space="preserve">), and </w:t>
      </w:r>
    </w:p>
    <w:p w14:paraId="76089E4C" w14:textId="77777777" w:rsidR="0070467E" w:rsidRDefault="00C33668" w:rsidP="002B2584">
      <w:pPr>
        <w:pStyle w:val="Bulletlevel1last"/>
      </w:pPr>
      <w:r>
        <w:t>individual</w:t>
      </w:r>
      <w:r w:rsidR="008A3D00">
        <w:t xml:space="preserve"> meetings</w:t>
      </w:r>
      <w:r>
        <w:t xml:space="preserve"> with </w:t>
      </w:r>
      <w:r w:rsidRPr="002B2584">
        <w:t>stakeholders</w:t>
      </w:r>
      <w:r w:rsidR="0015546D">
        <w:t xml:space="preserve">. </w:t>
      </w:r>
    </w:p>
    <w:p w14:paraId="1AC9296C" w14:textId="55D7B0F3" w:rsidR="00AE445A" w:rsidRDefault="00AE445A" w:rsidP="002B2584">
      <w:pPr>
        <w:pStyle w:val="Paragraph"/>
      </w:pPr>
      <w:r>
        <w:t xml:space="preserve">In developing the spectrum licence technical framework, we also </w:t>
      </w:r>
      <w:r w:rsidR="006C4C4A">
        <w:t>convene</w:t>
      </w:r>
      <w:r w:rsidR="00E43A91">
        <w:t>d</w:t>
      </w:r>
      <w:r w:rsidR="008E0270">
        <w:t xml:space="preserve"> a</w:t>
      </w:r>
      <w:r>
        <w:t xml:space="preserve"> </w:t>
      </w:r>
      <w:hyperlink r:id="rId42" w:history="1">
        <w:r w:rsidRPr="009434B8">
          <w:rPr>
            <w:rStyle w:val="Hyperlink"/>
          </w:rPr>
          <w:t>technical liaison group</w:t>
        </w:r>
      </w:hyperlink>
      <w:r>
        <w:t xml:space="preserve"> well in advance of the allocation to inform our proposals and views.</w:t>
      </w:r>
      <w:r w:rsidR="00537EF3">
        <w:t xml:space="preserve"> This </w:t>
      </w:r>
      <w:r w:rsidR="00F31619">
        <w:t>provides a forum for</w:t>
      </w:r>
      <w:r w:rsidR="00537EF3">
        <w:t xml:space="preserve"> stakeholders to </w:t>
      </w:r>
      <w:r w:rsidR="00A83705" w:rsidRPr="002B2584">
        <w:t>comment</w:t>
      </w:r>
      <w:r w:rsidR="00A83705">
        <w:t xml:space="preserve"> and </w:t>
      </w:r>
      <w:r w:rsidR="00F31619">
        <w:t>provide advice on</w:t>
      </w:r>
      <w:r w:rsidR="00A83705">
        <w:t xml:space="preserve"> the development of technical frameworks </w:t>
      </w:r>
      <w:r w:rsidR="00F31619">
        <w:t xml:space="preserve">in advance of a public consultation. </w:t>
      </w:r>
    </w:p>
    <w:p w14:paraId="51968DF5" w14:textId="3F4A352B" w:rsidR="00EB51A1" w:rsidRPr="00D51341" w:rsidRDefault="00D71F45" w:rsidP="00D63722">
      <w:pPr>
        <w:pStyle w:val="Paragraphbeforelist"/>
      </w:pPr>
      <w:r>
        <w:t>Having considered stakeholder submissions to the consultation on the draft allocation and technical instruments, s</w:t>
      </w:r>
      <w:r w:rsidR="0015546D">
        <w:t>ome of the ACMA’s views</w:t>
      </w:r>
      <w:r w:rsidR="00C06329">
        <w:t>, contained in the final instruments,</w:t>
      </w:r>
      <w:r w:rsidR="0015546D">
        <w:t xml:space="preserve"> are different to the proposals contained </w:t>
      </w:r>
      <w:r w:rsidR="0015546D" w:rsidRPr="00D63722">
        <w:t>within</w:t>
      </w:r>
      <w:r w:rsidR="0015546D">
        <w:t xml:space="preserve"> the consultation paper</w:t>
      </w:r>
      <w:r w:rsidR="0027495E">
        <w:t>.</w:t>
      </w:r>
      <w:r w:rsidR="00C06329">
        <w:t xml:space="preserve"> These include:</w:t>
      </w:r>
    </w:p>
    <w:p w14:paraId="7690EFF3" w14:textId="6865611D" w:rsidR="00824E2F" w:rsidRPr="00CE79E0" w:rsidRDefault="005B5909" w:rsidP="00EB51A1">
      <w:pPr>
        <w:pStyle w:val="Bulletlevel1"/>
      </w:pPr>
      <w:r>
        <w:t>We will make results</w:t>
      </w:r>
      <w:r w:rsidR="00FE11F6" w:rsidRPr="00CE79E0">
        <w:t xml:space="preserve"> of the 3.7 GHz band auction available</w:t>
      </w:r>
      <w:r w:rsidR="00827FAF" w:rsidRPr="00CE79E0">
        <w:t xml:space="preserve"> to all registered bidders at the conclusion of that auction.</w:t>
      </w:r>
    </w:p>
    <w:p w14:paraId="5B2919B3" w14:textId="77777777" w:rsidR="00F73328" w:rsidRDefault="005B5909" w:rsidP="009B79A1">
      <w:pPr>
        <w:pStyle w:val="Bulletlevel1"/>
      </w:pPr>
      <w:r>
        <w:t>We will not require applicants</w:t>
      </w:r>
      <w:r w:rsidR="00827FAF" w:rsidRPr="00CE79E0">
        <w:t xml:space="preserve"> to certify an anti-collusion statement in their application materials.</w:t>
      </w:r>
    </w:p>
    <w:p w14:paraId="1B8DC193" w14:textId="2DE612E3" w:rsidR="00F36FE6" w:rsidRDefault="00204007" w:rsidP="00CE79E0">
      <w:pPr>
        <w:pStyle w:val="Bulletlevel2"/>
        <w:tabs>
          <w:tab w:val="clear" w:pos="845"/>
          <w:tab w:val="num" w:pos="550"/>
        </w:tabs>
        <w:ind w:left="295"/>
      </w:pPr>
      <w:r>
        <w:t xml:space="preserve">We </w:t>
      </w:r>
      <w:r w:rsidR="00D63722">
        <w:t xml:space="preserve">have </w:t>
      </w:r>
      <w:r w:rsidR="00F36FE6">
        <w:t xml:space="preserve">included </w:t>
      </w:r>
      <w:r w:rsidR="00313CE5">
        <w:t xml:space="preserve">a </w:t>
      </w:r>
      <w:r w:rsidR="00F36FE6">
        <w:t>new Part 13</w:t>
      </w:r>
      <w:r w:rsidR="00313CE5">
        <w:t xml:space="preserve"> (guidance on managing interference with radio altimeters)</w:t>
      </w:r>
      <w:r w:rsidR="00F36FE6">
        <w:t xml:space="preserve"> to the </w:t>
      </w:r>
      <w:hyperlink r:id="rId43" w:history="1">
        <w:r w:rsidR="001F11E2" w:rsidRPr="009753AC">
          <w:rPr>
            <w:rStyle w:val="Hyperlink"/>
          </w:rPr>
          <w:t>Radiocommunications Advisory Guidelines (Managing Interference from Spectrum Licensed Transmitters – 3.4 GHz Band) 2015</w:t>
        </w:r>
      </w:hyperlink>
      <w:r w:rsidR="001F11E2" w:rsidRPr="00FF1636">
        <w:t xml:space="preserve"> (‘RAG Tx’)</w:t>
      </w:r>
      <w:r w:rsidR="00D63722">
        <w:t>,</w:t>
      </w:r>
      <w:r w:rsidR="00F36FE6">
        <w:t xml:space="preserve"> </w:t>
      </w:r>
      <w:r w:rsidR="00313CE5">
        <w:t>whi</w:t>
      </w:r>
      <w:r w:rsidR="00F44CC7">
        <w:t>ch</w:t>
      </w:r>
      <w:r w:rsidR="00D810BB">
        <w:t xml:space="preserve"> </w:t>
      </w:r>
      <w:r w:rsidR="007A3D95">
        <w:t xml:space="preserve">defines the </w:t>
      </w:r>
      <w:r w:rsidR="00D810BB">
        <w:t xml:space="preserve">following </w:t>
      </w:r>
      <w:r w:rsidR="00E1603B">
        <w:t xml:space="preserve">requirements </w:t>
      </w:r>
      <w:r w:rsidR="00F36FE6">
        <w:t>for transmitters operating in the 3700-3800 MHz band:</w:t>
      </w:r>
    </w:p>
    <w:p w14:paraId="6941DCED" w14:textId="3C7C238F" w:rsidR="00204007" w:rsidRDefault="00F36FE6" w:rsidP="002432F0">
      <w:pPr>
        <w:pStyle w:val="ListBullet"/>
        <w:tabs>
          <w:tab w:val="clear" w:pos="295"/>
          <w:tab w:val="num" w:pos="579"/>
        </w:tabs>
        <w:ind w:left="579"/>
      </w:pPr>
      <w:r>
        <w:t>Until 31 March 2026, licensees must ensure that transmitters operate in a manner that is consistent with the requirements for AWL</w:t>
      </w:r>
      <w:r w:rsidR="00D63722">
        <w:t>s</w:t>
      </w:r>
      <w:r>
        <w:t xml:space="preserve"> under </w:t>
      </w:r>
      <w:hyperlink r:id="rId44" w:history="1">
        <w:r w:rsidRPr="00071B2C">
          <w:rPr>
            <w:rStyle w:val="Hyperlink"/>
            <w:rFonts w:cs="Arial"/>
          </w:rPr>
          <w:t>RALI MS47</w:t>
        </w:r>
      </w:hyperlink>
      <w:r>
        <w:t xml:space="preserve"> regarding radio altimeters</w:t>
      </w:r>
      <w:r w:rsidR="002432F0">
        <w:t>.</w:t>
      </w:r>
    </w:p>
    <w:p w14:paraId="27DAF250" w14:textId="295104CA" w:rsidR="00F73328" w:rsidRDefault="00F73328" w:rsidP="009753AC">
      <w:pPr>
        <w:pStyle w:val="ListBullet"/>
        <w:keepNext/>
      </w:pPr>
      <w:r>
        <w:lastRenderedPageBreak/>
        <w:t xml:space="preserve">We have included the following conditions for licences </w:t>
      </w:r>
      <w:r w:rsidR="00204007">
        <w:t xml:space="preserve">issued </w:t>
      </w:r>
      <w:r>
        <w:t>in the 3700</w:t>
      </w:r>
      <w:r w:rsidR="00D63722">
        <w:t>–</w:t>
      </w:r>
      <w:r>
        <w:t>3800 MHz band</w:t>
      </w:r>
      <w:r w:rsidR="00D675CD">
        <w:t xml:space="preserve"> to align with</w:t>
      </w:r>
      <w:r w:rsidR="00D63722">
        <w:t xml:space="preserve"> the</w:t>
      </w:r>
      <w:r w:rsidR="00D675CD">
        <w:t xml:space="preserve"> </w:t>
      </w:r>
      <w:hyperlink r:id="rId45" w:history="1">
        <w:r w:rsidR="00BE354D" w:rsidRPr="009753AC">
          <w:rPr>
            <w:rStyle w:val="Hyperlink"/>
            <w:i/>
            <w:iCs/>
          </w:rPr>
          <w:t>Wireless broadband and radio altimeter coexistence</w:t>
        </w:r>
        <w:r w:rsidR="00BE354D">
          <w:rPr>
            <w:rStyle w:val="Hyperlink"/>
            <w:iCs/>
          </w:rPr>
          <w:t xml:space="preserve"> outcomes paper</w:t>
        </w:r>
      </w:hyperlink>
      <w:r w:rsidR="00D675CD">
        <w:t>:</w:t>
      </w:r>
    </w:p>
    <w:p w14:paraId="158EAE06" w14:textId="77777777" w:rsidR="00F73328" w:rsidRDefault="00F73328" w:rsidP="00CE79E0">
      <w:pPr>
        <w:pStyle w:val="Bulletlevel2"/>
      </w:pPr>
      <w:r>
        <w:t xml:space="preserve">Transmitters must not exceed a total EIRP of 72 dBm/5 MHz </w:t>
      </w:r>
    </w:p>
    <w:p w14:paraId="4261B989" w14:textId="62F70B1F" w:rsidR="00037C32" w:rsidRDefault="002E238A" w:rsidP="00CE79E0">
      <w:pPr>
        <w:pStyle w:val="Bulletlevel2"/>
        <w:tabs>
          <w:tab w:val="num" w:pos="1118"/>
        </w:tabs>
      </w:pPr>
      <w:r>
        <w:t>L</w:t>
      </w:r>
      <w:r w:rsidR="00F73328">
        <w:t>icensees must ensure that transmitters operate in a manner consistent with the requirements for AWL</w:t>
      </w:r>
      <w:r w:rsidR="00D63722">
        <w:t>s</w:t>
      </w:r>
      <w:r w:rsidR="00F73328">
        <w:t xml:space="preserve"> under </w:t>
      </w:r>
      <w:hyperlink r:id="rId46" w:history="1">
        <w:r w:rsidR="00F73328" w:rsidRPr="00071B2C">
          <w:rPr>
            <w:rStyle w:val="Hyperlink"/>
          </w:rPr>
          <w:t>RALI MS47</w:t>
        </w:r>
      </w:hyperlink>
      <w:r w:rsidR="00F73328">
        <w:t xml:space="preserve"> regarding radio altimeters</w:t>
      </w:r>
      <w:r w:rsidR="00103C87">
        <w:t xml:space="preserve"> (as detailed in new</w:t>
      </w:r>
      <w:r w:rsidR="00037C32">
        <w:t xml:space="preserve"> Part</w:t>
      </w:r>
      <w:r w:rsidR="00103C87">
        <w:t xml:space="preserve"> </w:t>
      </w:r>
      <w:r w:rsidR="00037C32">
        <w:t xml:space="preserve">13 </w:t>
      </w:r>
      <w:r w:rsidR="00103C87">
        <w:t>of</w:t>
      </w:r>
      <w:r w:rsidR="00037C32">
        <w:t xml:space="preserve"> the RAG Tx</w:t>
      </w:r>
      <w:r w:rsidR="00103C87">
        <w:t>)</w:t>
      </w:r>
      <w:r w:rsidR="00F73328">
        <w:t xml:space="preserve">. </w:t>
      </w:r>
      <w:r w:rsidR="00037C32">
        <w:t xml:space="preserve"> </w:t>
      </w:r>
    </w:p>
    <w:p w14:paraId="12BD3C6D" w14:textId="4F904384" w:rsidR="0045486C" w:rsidRDefault="0045486C" w:rsidP="00CE79E0">
      <w:pPr>
        <w:pStyle w:val="Bulletlevel1"/>
      </w:pPr>
      <w:r>
        <w:t xml:space="preserve">We did not adopt the more stringent FSS filter mask proposed by AMTA. This is because we did not formally consult on it. We are consulting on it as part of the </w:t>
      </w:r>
      <w:hyperlink r:id="rId47" w:history="1">
        <w:r w:rsidR="0046581B">
          <w:rPr>
            <w:rStyle w:val="Hyperlink"/>
          </w:rPr>
          <w:t>area-wide apparatus licences in the 3.8 GHz band in metropolitan and regional Australia – licensing, allocation process, technical framework and pricing arrangements</w:t>
        </w:r>
      </w:hyperlink>
      <w:r w:rsidRPr="004667B8">
        <w:t xml:space="preserve"> consultation process</w:t>
      </w:r>
      <w:r>
        <w:t>. This will ensure all interested and potentially affected stakeholders have an opportunity to consider and comment on the proposed changes.</w:t>
      </w:r>
    </w:p>
    <w:p w14:paraId="431BB8CF" w14:textId="101B2DAF" w:rsidR="00977A62" w:rsidRPr="0085450D" w:rsidRDefault="00977A62" w:rsidP="00585DDB">
      <w:pPr>
        <w:pStyle w:val="Bulletlevel1last"/>
      </w:pPr>
      <w:r>
        <w:t xml:space="preserve">We </w:t>
      </w:r>
      <w:r w:rsidR="00D63722">
        <w:t xml:space="preserve">have </w:t>
      </w:r>
      <w:r>
        <w:t>amended the definition for receiver blocking</w:t>
      </w:r>
      <w:r w:rsidR="00E43A91">
        <w:t xml:space="preserve"> in the</w:t>
      </w:r>
      <w:r w:rsidR="008F0478">
        <w:t xml:space="preserve"> </w:t>
      </w:r>
      <w:hyperlink r:id="rId48" w:history="1">
        <w:r w:rsidR="00F35A1B" w:rsidRPr="00585DDB">
          <w:rPr>
            <w:rStyle w:val="Hyperlink"/>
          </w:rPr>
          <w:t>R</w:t>
        </w:r>
        <w:r w:rsidR="008F0478" w:rsidRPr="00585DDB">
          <w:rPr>
            <w:rStyle w:val="Hyperlink"/>
          </w:rPr>
          <w:t>adio</w:t>
        </w:r>
        <w:r w:rsidR="00E1571E" w:rsidRPr="00585DDB">
          <w:rPr>
            <w:rStyle w:val="Hyperlink"/>
          </w:rPr>
          <w:t>communications Advisory Guidelines (Mana</w:t>
        </w:r>
        <w:r w:rsidR="001D0C42" w:rsidRPr="00585DDB">
          <w:rPr>
            <w:rStyle w:val="Hyperlink"/>
          </w:rPr>
          <w:t xml:space="preserve">ging </w:t>
        </w:r>
        <w:r w:rsidR="00F35A1B" w:rsidRPr="00585DDB">
          <w:rPr>
            <w:rStyle w:val="Hyperlink"/>
          </w:rPr>
          <w:t>I</w:t>
        </w:r>
        <w:r w:rsidR="001D0C42" w:rsidRPr="00585DDB">
          <w:rPr>
            <w:rStyle w:val="Hyperlink"/>
          </w:rPr>
          <w:t xml:space="preserve">nterference to </w:t>
        </w:r>
        <w:r w:rsidR="00F35A1B" w:rsidRPr="00585DDB">
          <w:rPr>
            <w:rStyle w:val="Hyperlink"/>
          </w:rPr>
          <w:t>S</w:t>
        </w:r>
        <w:r w:rsidR="001D0C42" w:rsidRPr="00585DDB">
          <w:rPr>
            <w:rStyle w:val="Hyperlink"/>
          </w:rPr>
          <w:t xml:space="preserve">pectrum </w:t>
        </w:r>
        <w:r w:rsidR="00F35A1B" w:rsidRPr="00585DDB">
          <w:rPr>
            <w:rStyle w:val="Hyperlink"/>
          </w:rPr>
          <w:t>L</w:t>
        </w:r>
        <w:r w:rsidR="001D0C42" w:rsidRPr="00585DDB">
          <w:rPr>
            <w:rStyle w:val="Hyperlink"/>
          </w:rPr>
          <w:t>icence</w:t>
        </w:r>
        <w:r w:rsidR="00CF4250" w:rsidRPr="00585DDB">
          <w:rPr>
            <w:rStyle w:val="Hyperlink"/>
          </w:rPr>
          <w:t>d</w:t>
        </w:r>
        <w:r w:rsidR="001D0C42" w:rsidRPr="00585DDB">
          <w:rPr>
            <w:rStyle w:val="Hyperlink"/>
          </w:rPr>
          <w:t xml:space="preserve"> </w:t>
        </w:r>
        <w:r w:rsidR="00F35A1B" w:rsidRPr="00585DDB">
          <w:rPr>
            <w:rStyle w:val="Hyperlink"/>
          </w:rPr>
          <w:t>R</w:t>
        </w:r>
        <w:r w:rsidR="001D0C42" w:rsidRPr="00585DDB">
          <w:rPr>
            <w:rStyle w:val="Hyperlink"/>
          </w:rPr>
          <w:t>eceivers) 2015</w:t>
        </w:r>
      </w:hyperlink>
      <w:r w:rsidR="001D0C42">
        <w:t>.</w:t>
      </w:r>
    </w:p>
    <w:p w14:paraId="583AA6B2" w14:textId="645EA1B3" w:rsidR="00232E6E" w:rsidRDefault="004375C4" w:rsidP="00182CD2">
      <w:pPr>
        <w:pStyle w:val="Paragraph"/>
      </w:pPr>
      <w:r>
        <w:t>These changes are discussed in more detail in t</w:t>
      </w:r>
      <w:r w:rsidR="009861B3">
        <w:t>he body of this paper.</w:t>
      </w:r>
    </w:p>
    <w:p w14:paraId="0FCF352F" w14:textId="65A301F5" w:rsidR="00BE354D" w:rsidRDefault="000A0239" w:rsidP="00585DDB">
      <w:pPr>
        <w:pStyle w:val="Paragraph"/>
      </w:pPr>
      <w:r w:rsidRPr="00E33FDD">
        <w:t xml:space="preserve">The </w:t>
      </w:r>
      <w:hyperlink r:id="rId49" w:history="1">
        <w:r w:rsidR="00BE354D">
          <w:rPr>
            <w:rStyle w:val="Hyperlink"/>
            <w:i/>
          </w:rPr>
          <w:t xml:space="preserve">Wireless broadband and radio altimeter coexistence </w:t>
        </w:r>
        <w:r w:rsidR="00BE354D" w:rsidRPr="00585DDB">
          <w:rPr>
            <w:rStyle w:val="Hyperlink"/>
            <w:iCs/>
          </w:rPr>
          <w:t>outcomes paper</w:t>
        </w:r>
      </w:hyperlink>
      <w:r w:rsidRPr="0085450D">
        <w:rPr>
          <w:i/>
        </w:rPr>
        <w:t xml:space="preserve"> </w:t>
      </w:r>
      <w:r w:rsidRPr="0085450D">
        <w:t>(</w:t>
      </w:r>
      <w:r w:rsidRPr="001A7780">
        <w:t>the</w:t>
      </w:r>
      <w:r w:rsidRPr="0085450D">
        <w:t xml:space="preserve"> ‘RA outcomes paper’) details decisions made to regarding coexistence between wireless broadband (WBB) services in the 3400</w:t>
      </w:r>
      <w:r w:rsidR="00BE354D">
        <w:t>–</w:t>
      </w:r>
      <w:r w:rsidRPr="0085450D">
        <w:t xml:space="preserve">4000 MHz band </w:t>
      </w:r>
      <w:r w:rsidR="00BE354D">
        <w:t>and</w:t>
      </w:r>
      <w:r w:rsidR="00BE354D" w:rsidRPr="0085450D">
        <w:t xml:space="preserve"> </w:t>
      </w:r>
      <w:r w:rsidRPr="0085450D">
        <w:t>radio altimeter</w:t>
      </w:r>
      <w:r w:rsidR="00BE354D">
        <w:t>s</w:t>
      </w:r>
      <w:r w:rsidRPr="0085450D">
        <w:t xml:space="preserve">. </w:t>
      </w:r>
      <w:r w:rsidR="007A416E">
        <w:t>I</w:t>
      </w:r>
      <w:r w:rsidRPr="0085450D">
        <w:t xml:space="preserve">nterested parties should read the RA outcomes paper for further details. </w:t>
      </w:r>
    </w:p>
    <w:p w14:paraId="04E552CD" w14:textId="563FF29B" w:rsidR="000A0239" w:rsidRPr="00A43D81" w:rsidRDefault="00BE354D" w:rsidP="00182CD2">
      <w:pPr>
        <w:pStyle w:val="Bulletlevel1"/>
        <w:numPr>
          <w:ilvl w:val="0"/>
          <w:numId w:val="0"/>
        </w:numPr>
      </w:pPr>
      <w:r>
        <w:t>T</w:t>
      </w:r>
      <w:r w:rsidR="000A0239" w:rsidRPr="0085450D">
        <w:t xml:space="preserve">he key changes </w:t>
      </w:r>
      <w:r>
        <w:t xml:space="preserve">from </w:t>
      </w:r>
      <w:r w:rsidR="000A0239" w:rsidRPr="0085450D">
        <w:t xml:space="preserve">what </w:t>
      </w:r>
      <w:r>
        <w:t xml:space="preserve">we </w:t>
      </w:r>
      <w:r w:rsidR="000A0239" w:rsidRPr="0085450D">
        <w:t xml:space="preserve">consulted on </w:t>
      </w:r>
      <w:r>
        <w:t>are</w:t>
      </w:r>
      <w:r w:rsidR="000A0239" w:rsidRPr="0085450D">
        <w:t xml:space="preserve">: </w:t>
      </w:r>
    </w:p>
    <w:p w14:paraId="6CA630A0" w14:textId="4E4F861D" w:rsidR="000A0239" w:rsidRPr="0085450D" w:rsidRDefault="00BE354D" w:rsidP="00182CD2">
      <w:pPr>
        <w:pStyle w:val="ListBullet"/>
        <w:rPr>
          <w:b/>
          <w:bCs/>
        </w:rPr>
      </w:pPr>
      <w:r>
        <w:t>T</w:t>
      </w:r>
      <w:r w:rsidR="000A0239" w:rsidRPr="0085450D">
        <w:t xml:space="preserve">he size of interim restricted zones </w:t>
      </w:r>
      <w:r>
        <w:t>was</w:t>
      </w:r>
      <w:r w:rsidRPr="0085450D">
        <w:t xml:space="preserve"> </w:t>
      </w:r>
      <w:r w:rsidR="000A0239" w:rsidRPr="0085450D">
        <w:t>revised based on new information about WBB antennas.</w:t>
      </w:r>
    </w:p>
    <w:p w14:paraId="3EA46622" w14:textId="5BD8E7DE" w:rsidR="000A0239" w:rsidRPr="0085450D" w:rsidRDefault="00BE354D" w:rsidP="00182CD2">
      <w:pPr>
        <w:pStyle w:val="ListBullet"/>
        <w:rPr>
          <w:b/>
          <w:bCs/>
        </w:rPr>
      </w:pPr>
      <w:r>
        <w:t>R</w:t>
      </w:r>
      <w:r w:rsidR="000A0239" w:rsidRPr="0085450D">
        <w:t>unway coordinates have been provided to assist stakeholders and accredited persons.</w:t>
      </w:r>
    </w:p>
    <w:p w14:paraId="43EEF181" w14:textId="49A3F1C0" w:rsidR="000A0239" w:rsidRPr="0085450D" w:rsidRDefault="00BE354D" w:rsidP="00182CD2">
      <w:pPr>
        <w:pStyle w:val="ListBullet"/>
        <w:rPr>
          <w:b/>
          <w:bCs/>
        </w:rPr>
      </w:pPr>
      <w:r>
        <w:t>T</w:t>
      </w:r>
      <w:r w:rsidR="000A0239" w:rsidRPr="0085450D">
        <w:t xml:space="preserve">he approach </w:t>
      </w:r>
      <w:r>
        <w:t>to</w:t>
      </w:r>
      <w:r w:rsidRPr="0085450D">
        <w:t xml:space="preserve"> </w:t>
      </w:r>
      <w:r w:rsidR="000A0239" w:rsidRPr="0085450D">
        <w:t xml:space="preserve">unwanted emissions was revised so the spurious domain </w:t>
      </w:r>
      <w:r w:rsidRPr="0085450D">
        <w:t>commence</w:t>
      </w:r>
      <w:r>
        <w:t>s</w:t>
      </w:r>
      <w:r w:rsidRPr="0085450D">
        <w:t xml:space="preserve"> </w:t>
      </w:r>
      <w:r w:rsidR="000A0239" w:rsidRPr="0085450D">
        <w:t>below 4200 MHz.</w:t>
      </w:r>
    </w:p>
    <w:p w14:paraId="40B3C2D2" w14:textId="685CACAC" w:rsidR="000A0239" w:rsidRPr="0085450D" w:rsidRDefault="00BE354D" w:rsidP="00182CD2">
      <w:pPr>
        <w:pStyle w:val="ListBullet"/>
      </w:pPr>
      <w:r>
        <w:t>T</w:t>
      </w:r>
      <w:r w:rsidR="000A0239" w:rsidRPr="0085450D">
        <w:t xml:space="preserve">he </w:t>
      </w:r>
      <w:r w:rsidR="000842E0">
        <w:t>recommendation</w:t>
      </w:r>
      <w:r w:rsidR="009555E9">
        <w:t xml:space="preserve"> </w:t>
      </w:r>
      <w:r w:rsidR="000842E0">
        <w:t xml:space="preserve">for spectrum licensees </w:t>
      </w:r>
      <w:r w:rsidR="009555E9">
        <w:t xml:space="preserve">to </w:t>
      </w:r>
      <w:r w:rsidR="00212809">
        <w:t xml:space="preserve">coordinate with </w:t>
      </w:r>
      <w:r w:rsidR="000842E0">
        <w:t xml:space="preserve">airports and heliports when deploying services </w:t>
      </w:r>
      <w:r w:rsidR="000A0239" w:rsidRPr="0085450D">
        <w:t xml:space="preserve">was </w:t>
      </w:r>
      <w:r w:rsidR="00076DBB">
        <w:t xml:space="preserve">replaced with </w:t>
      </w:r>
      <w:r w:rsidR="00C66D22">
        <w:t>mandated</w:t>
      </w:r>
      <w:r w:rsidR="00FF3869">
        <w:t xml:space="preserve"> </w:t>
      </w:r>
      <w:r w:rsidR="00F063C3">
        <w:t xml:space="preserve">EIRP restrictions </w:t>
      </w:r>
      <w:r w:rsidR="00CD3124">
        <w:t>as well as</w:t>
      </w:r>
      <w:r w:rsidR="003122C8">
        <w:t xml:space="preserve"> </w:t>
      </w:r>
      <w:r w:rsidR="00101AB5">
        <w:t xml:space="preserve">deployment restrictions </w:t>
      </w:r>
      <w:r w:rsidR="0090526B">
        <w:t xml:space="preserve">for transmitters </w:t>
      </w:r>
      <w:r w:rsidR="006271E0">
        <w:t>operating in the 3700</w:t>
      </w:r>
      <w:r>
        <w:t>–</w:t>
      </w:r>
      <w:r w:rsidR="006271E0">
        <w:t>3800 MHz band</w:t>
      </w:r>
      <w:r w:rsidR="000A0239" w:rsidRPr="0085450D">
        <w:t>.</w:t>
      </w:r>
      <w:r w:rsidR="008060C4">
        <w:t xml:space="preserve"> The lat</w:t>
      </w:r>
      <w:r w:rsidR="00F43014">
        <w:t>t</w:t>
      </w:r>
      <w:r w:rsidR="008060C4">
        <w:t xml:space="preserve">er </w:t>
      </w:r>
      <w:r>
        <w:t xml:space="preserve">will apply </w:t>
      </w:r>
      <w:r w:rsidR="008060C4">
        <w:t xml:space="preserve">until </w:t>
      </w:r>
      <w:r w:rsidR="0051150C">
        <w:t>31 March 2026.</w:t>
      </w:r>
    </w:p>
    <w:p w14:paraId="7F0ADA07" w14:textId="66D4703B" w:rsidR="000A0239" w:rsidRPr="00F626EE" w:rsidRDefault="00BE354D" w:rsidP="00182CD2">
      <w:pPr>
        <w:pStyle w:val="ListBullet"/>
        <w:rPr>
          <w:b/>
        </w:rPr>
      </w:pPr>
      <w:r>
        <w:t>T</w:t>
      </w:r>
      <w:r w:rsidR="000A0239" w:rsidRPr="0085450D">
        <w:t>he mandate that beam-scanning</w:t>
      </w:r>
      <w:r w:rsidR="00E4681B">
        <w:t xml:space="preserve"> of base station antennas must</w:t>
      </w:r>
      <w:r w:rsidR="000A0239" w:rsidRPr="0085450D">
        <w:t xml:space="preserve"> not occur above the horizon was removed.</w:t>
      </w:r>
    </w:p>
    <w:p w14:paraId="74285515" w14:textId="19EA9CC8" w:rsidR="000A0239" w:rsidRPr="00182CD2" w:rsidRDefault="000A0239" w:rsidP="00182CD2">
      <w:pPr>
        <w:pStyle w:val="ListBullet"/>
        <w:rPr>
          <w:b/>
          <w:bCs/>
        </w:rPr>
      </w:pPr>
      <w:r w:rsidRPr="0085450D">
        <w:t xml:space="preserve">There </w:t>
      </w:r>
      <w:r w:rsidR="00BE354D">
        <w:t>was</w:t>
      </w:r>
      <w:r w:rsidR="00BE354D" w:rsidRPr="0085450D">
        <w:t xml:space="preserve"> </w:t>
      </w:r>
      <w:r w:rsidRPr="0085450D">
        <w:t xml:space="preserve">an </w:t>
      </w:r>
      <w:r w:rsidR="00BE354D" w:rsidRPr="0085450D">
        <w:t>acknowledge</w:t>
      </w:r>
      <w:r w:rsidR="00BE354D">
        <w:t>ment</w:t>
      </w:r>
      <w:r w:rsidR="00BE354D" w:rsidRPr="0085450D">
        <w:t xml:space="preserve"> </w:t>
      </w:r>
      <w:r w:rsidRPr="0085450D">
        <w:t xml:space="preserve">that the technical framework </w:t>
      </w:r>
      <w:r w:rsidR="009D2B9F">
        <w:t xml:space="preserve">for </w:t>
      </w:r>
      <w:r w:rsidRPr="0085450D">
        <w:t xml:space="preserve">TRP or EIRP limits generally </w:t>
      </w:r>
      <w:r w:rsidR="009D2B9F" w:rsidRPr="0085450D">
        <w:t>appl</w:t>
      </w:r>
      <w:r w:rsidR="009D2B9F">
        <w:t>ied</w:t>
      </w:r>
      <w:r w:rsidR="009D2B9F" w:rsidRPr="0085450D">
        <w:t xml:space="preserve"> </w:t>
      </w:r>
      <w:r w:rsidRPr="0085450D">
        <w:t>to total emissions rather than per-plane of polarisation</w:t>
      </w:r>
      <w:r w:rsidR="009D2B9F">
        <w:t>,</w:t>
      </w:r>
      <w:r w:rsidRPr="0085450D">
        <w:t xml:space="preserve"> </w:t>
      </w:r>
      <w:r w:rsidR="009D2B9F">
        <w:t xml:space="preserve">which resulted in </w:t>
      </w:r>
      <w:r w:rsidRPr="0085450D">
        <w:t>subsequent changes.</w:t>
      </w:r>
    </w:p>
    <w:p w14:paraId="75064369" w14:textId="2BD4DBF2" w:rsidR="000F239D" w:rsidRPr="00FF1636" w:rsidRDefault="00FB6F3A" w:rsidP="000F239D">
      <w:pPr>
        <w:pStyle w:val="Heading1"/>
      </w:pPr>
      <w:bookmarkStart w:id="5" w:name="_Toc139280827"/>
      <w:r w:rsidRPr="00FF1636">
        <w:lastRenderedPageBreak/>
        <w:t>Summary of submissions</w:t>
      </w:r>
      <w:r w:rsidR="00E531BD">
        <w:t xml:space="preserve"> and ACMA </w:t>
      </w:r>
      <w:r w:rsidR="00A77023">
        <w:t>response</w:t>
      </w:r>
      <w:r w:rsidR="009D2B9F">
        <w:t>s</w:t>
      </w:r>
      <w:bookmarkEnd w:id="5"/>
      <w:r w:rsidR="001B2869">
        <w:t xml:space="preserve"> </w:t>
      </w:r>
    </w:p>
    <w:p w14:paraId="3A5D54B1" w14:textId="37B4C69F" w:rsidR="00F3267E" w:rsidRPr="00FF1636" w:rsidRDefault="009D2B9F" w:rsidP="00CE79E0">
      <w:pPr>
        <w:pStyle w:val="Paragraph"/>
      </w:pPr>
      <w:r>
        <w:t>I</w:t>
      </w:r>
      <w:r w:rsidR="005B4C49" w:rsidRPr="00F3267E">
        <w:t xml:space="preserve">n response to </w:t>
      </w:r>
      <w:r>
        <w:t>our</w:t>
      </w:r>
      <w:r w:rsidRPr="00F3267E">
        <w:t xml:space="preserve"> </w:t>
      </w:r>
      <w:r w:rsidR="005B4C49" w:rsidRPr="00F3267E">
        <w:t>consultation</w:t>
      </w:r>
      <w:r w:rsidR="00424D45" w:rsidRPr="00F3267E">
        <w:t xml:space="preserve"> paper, </w:t>
      </w:r>
      <w:r w:rsidRPr="00686A0C">
        <w:t>1</w:t>
      </w:r>
      <w:r w:rsidRPr="00F3267E">
        <w:t>2 submissions were received</w:t>
      </w:r>
      <w:r>
        <w:t xml:space="preserve">, including one in-confidence. The </w:t>
      </w:r>
      <w:r w:rsidR="00015265" w:rsidRPr="00F3267E">
        <w:t xml:space="preserve">public submissions can be found on </w:t>
      </w:r>
      <w:r w:rsidR="00015265" w:rsidRPr="00D1138F">
        <w:rPr>
          <w:u w:color="0000FF"/>
        </w:rPr>
        <w:t xml:space="preserve">the </w:t>
      </w:r>
      <w:hyperlink r:id="rId50" w:history="1">
        <w:r w:rsidR="00015265" w:rsidRPr="00D1138F">
          <w:rPr>
            <w:rStyle w:val="Hyperlink"/>
          </w:rPr>
          <w:t>ACMA’s website</w:t>
        </w:r>
      </w:hyperlink>
      <w:r w:rsidR="00521ADF" w:rsidRPr="00F3267E">
        <w:t>.</w:t>
      </w:r>
      <w:r w:rsidR="00D1138F">
        <w:t xml:space="preserve"> </w:t>
      </w:r>
      <w:r>
        <w:t>Seven</w:t>
      </w:r>
      <w:r w:rsidRPr="00F3267E">
        <w:t xml:space="preserve"> </w:t>
      </w:r>
      <w:r w:rsidR="00CE3279" w:rsidRPr="00F3267E">
        <w:t xml:space="preserve">submissions </w:t>
      </w:r>
      <w:r w:rsidR="00EA4213" w:rsidRPr="00F3267E">
        <w:t xml:space="preserve">specifically </w:t>
      </w:r>
      <w:r w:rsidR="005F3A71" w:rsidRPr="00F3267E">
        <w:t>address</w:t>
      </w:r>
      <w:r w:rsidR="005F3A71">
        <w:t>ed</w:t>
      </w:r>
      <w:r w:rsidR="005F3A71" w:rsidRPr="00F3267E">
        <w:t xml:space="preserve"> </w:t>
      </w:r>
      <w:r w:rsidR="00CE3279" w:rsidRPr="00F3267E">
        <w:t>the draft marketing plan</w:t>
      </w:r>
      <w:r w:rsidR="00E02FEE" w:rsidRPr="00F3267E">
        <w:t xml:space="preserve"> and draft allocation determination</w:t>
      </w:r>
      <w:r w:rsidR="001B699F" w:rsidRPr="00F3267E">
        <w:t xml:space="preserve">. A summary of views expressed at consultation as well as the ACMA’s view is outlined in detail </w:t>
      </w:r>
      <w:r w:rsidR="00E249CB" w:rsidRPr="00F3267E">
        <w:t>in this section</w:t>
      </w:r>
      <w:r w:rsidR="001B699F" w:rsidRPr="00F3267E">
        <w:t>.</w:t>
      </w:r>
      <w:r w:rsidR="00E249CB" w:rsidRPr="00F3267E">
        <w:t xml:space="preserve"> </w:t>
      </w:r>
    </w:p>
    <w:p w14:paraId="4AD7C03C" w14:textId="3DACAE1E" w:rsidR="00FB0B6E" w:rsidRDefault="00913A17" w:rsidP="009D2B9F">
      <w:pPr>
        <w:pStyle w:val="Heading2"/>
      </w:pPr>
      <w:bookmarkStart w:id="6" w:name="_Toc139280828"/>
      <w:r>
        <w:t>Marketing plan</w:t>
      </w:r>
      <w:bookmarkEnd w:id="6"/>
    </w:p>
    <w:p w14:paraId="19EBF1D0" w14:textId="460AAD4A" w:rsidR="00913A17" w:rsidRPr="00913A17" w:rsidRDefault="00913A17" w:rsidP="00D1648D">
      <w:pPr>
        <w:pStyle w:val="Heading3"/>
      </w:pPr>
      <w:bookmarkStart w:id="7" w:name="_Toc139280829"/>
      <w:r>
        <w:t>Issues for comment</w:t>
      </w:r>
      <w:bookmarkEnd w:id="7"/>
    </w:p>
    <w:p w14:paraId="356D7E54" w14:textId="77777777" w:rsidR="0091696C" w:rsidRDefault="009D2B9F" w:rsidP="00D1648D">
      <w:pPr>
        <w:pStyle w:val="Heading4"/>
        <w:spacing w:before="120"/>
      </w:pPr>
      <w:r w:rsidRPr="0091696C">
        <w:t>Licence commencement and duration</w:t>
      </w:r>
    </w:p>
    <w:p w14:paraId="30E4EBFE" w14:textId="6D1C273F" w:rsidR="009D2B9F" w:rsidRDefault="0091696C" w:rsidP="00D1648D">
      <w:pPr>
        <w:pStyle w:val="Paragraphbeforelist"/>
      </w:pPr>
      <w:r w:rsidRPr="00D1648D">
        <w:t>W</w:t>
      </w:r>
      <w:r w:rsidR="009D2B9F" w:rsidRPr="0091696C">
        <w:t>e</w:t>
      </w:r>
      <w:r w:rsidR="009D2B9F">
        <w:t xml:space="preserve"> sought </w:t>
      </w:r>
      <w:r w:rsidR="009D2B9F" w:rsidRPr="0091696C">
        <w:t>comments</w:t>
      </w:r>
      <w:r w:rsidR="009D2B9F">
        <w:t xml:space="preserve"> on our preliminary views that:</w:t>
      </w:r>
    </w:p>
    <w:p w14:paraId="593E38C7" w14:textId="493CA8D1" w:rsidR="009D2B9F" w:rsidRDefault="009D2B9F" w:rsidP="00D1648D">
      <w:pPr>
        <w:pStyle w:val="Bulletlevel1"/>
      </w:pPr>
      <w:r>
        <w:t>3.4 GHz licences will commence as soon as possible after a winning bidder pays its spectrum access charge. The expiry date will be 13 December 2030 (approximately 7 years), to align with existing 3.4 GHz band licences.</w:t>
      </w:r>
    </w:p>
    <w:p w14:paraId="43150B66" w14:textId="42E86F50" w:rsidR="009D2B9F" w:rsidRDefault="009D2B9F" w:rsidP="00D1648D">
      <w:pPr>
        <w:pStyle w:val="Bulletlevel1last"/>
      </w:pPr>
      <w:r>
        <w:t>Subject to the payment of the spectrum access charge, 3.7 GHz licences will commence on the later of 8 weeks after publication of the auction results, or the day the licence is issued, for a term ending 20 years and 8 weeks after the publication of auction results (so most licence</w:t>
      </w:r>
      <w:r w:rsidR="005A0880">
        <w:t xml:space="preserve"> durations </w:t>
      </w:r>
      <w:r>
        <w:t>will be for 20 years, the maximum allowable under subsection 65(3) of the Radiocommunications Act).</w:t>
      </w:r>
    </w:p>
    <w:p w14:paraId="734877D1" w14:textId="77777777" w:rsidR="0091696C" w:rsidRDefault="009D2B9F" w:rsidP="00D1648D">
      <w:pPr>
        <w:pStyle w:val="Heading4"/>
      </w:pPr>
      <w:r w:rsidRPr="0091696C">
        <w:t>Licence renewal statements</w:t>
      </w:r>
    </w:p>
    <w:p w14:paraId="1963317B" w14:textId="3FD1CAE9" w:rsidR="009D2B9F" w:rsidRDefault="0091696C" w:rsidP="00D1648D">
      <w:pPr>
        <w:pStyle w:val="Paragraphbeforelist"/>
      </w:pPr>
      <w:r>
        <w:t xml:space="preserve">We </w:t>
      </w:r>
      <w:r w:rsidR="009D2B9F">
        <w:t>sought comments on our preliminary views to include the following statements in spectrum licences issued as a result of the 3.4/3.7 GHz bands allocation process:</w:t>
      </w:r>
    </w:p>
    <w:p w14:paraId="0D6E04F8" w14:textId="77777777" w:rsidR="009D2B9F" w:rsidRDefault="009D2B9F" w:rsidP="00D1648D">
      <w:pPr>
        <w:pStyle w:val="Bulletlevel1"/>
      </w:pPr>
      <w:r w:rsidRPr="00D1648D">
        <w:rPr>
          <w:i/>
          <w:iCs/>
        </w:rPr>
        <w:t>For 3.4 GHz licences</w:t>
      </w:r>
      <w:r>
        <w:t>:</w:t>
      </w:r>
    </w:p>
    <w:p w14:paraId="50C143EF" w14:textId="6229CB5A" w:rsidR="009D2B9F" w:rsidRDefault="009D2B9F" w:rsidP="00D1648D">
      <w:pPr>
        <w:pStyle w:val="Bulletlevel2"/>
      </w:pPr>
      <w:r>
        <w:t>The spectrum licences may be renewed at the ACMA’s discretion.</w:t>
      </w:r>
    </w:p>
    <w:p w14:paraId="2157F740" w14:textId="6D102EA2" w:rsidR="009D2B9F" w:rsidRDefault="009D2B9F" w:rsidP="00D1648D">
      <w:pPr>
        <w:pStyle w:val="Bulletlevel2"/>
      </w:pPr>
      <w:r>
        <w:t>There is a renewal application period of 13 December 2028 to 12 December 2030 (a period of 2 years before licence expiry).</w:t>
      </w:r>
    </w:p>
    <w:p w14:paraId="46B51A68" w14:textId="25BD03BC" w:rsidR="009D2B9F" w:rsidRDefault="009D2B9F" w:rsidP="00D1648D">
      <w:pPr>
        <w:pStyle w:val="Bulletlevel2"/>
      </w:pPr>
      <w:r>
        <w:t>There is a renewal decision-making period of 6 months after receiving an application for renewal of the licence.</w:t>
      </w:r>
    </w:p>
    <w:p w14:paraId="2CC2DE8D" w14:textId="19E3B52E" w:rsidR="009D2B9F" w:rsidRDefault="009D2B9F" w:rsidP="00D1648D">
      <w:pPr>
        <w:pStyle w:val="Bulletlevel2"/>
      </w:pPr>
      <w:r>
        <w:t>There will be a public interest statement.</w:t>
      </w:r>
    </w:p>
    <w:p w14:paraId="4AE087BC" w14:textId="77777777" w:rsidR="009D2B9F" w:rsidRPr="00D1648D" w:rsidRDefault="009D2B9F" w:rsidP="00D1648D">
      <w:pPr>
        <w:pStyle w:val="Bulletlevel1"/>
        <w:rPr>
          <w:b/>
          <w:bCs/>
        </w:rPr>
      </w:pPr>
      <w:r w:rsidRPr="00D1648D">
        <w:rPr>
          <w:i/>
          <w:iCs/>
        </w:rPr>
        <w:t>For 3.7 GHz licences</w:t>
      </w:r>
      <w:r w:rsidRPr="00D1648D">
        <w:rPr>
          <w:b/>
          <w:bCs/>
        </w:rPr>
        <w:t>:</w:t>
      </w:r>
    </w:p>
    <w:p w14:paraId="22C42033" w14:textId="4BF7F4E5" w:rsidR="009D2B9F" w:rsidRDefault="009D2B9F" w:rsidP="00D1648D">
      <w:pPr>
        <w:pStyle w:val="Bulletlevel2"/>
      </w:pPr>
      <w:r>
        <w:t>The spectrum licences may be renewed at the ACMA’s discretion.</w:t>
      </w:r>
    </w:p>
    <w:p w14:paraId="59140364" w14:textId="4DF189C1" w:rsidR="009D2B9F" w:rsidRDefault="009D2B9F" w:rsidP="00D1648D">
      <w:pPr>
        <w:pStyle w:val="Bulletlevel2"/>
      </w:pPr>
      <w:r>
        <w:t>There is a renewal application period of one year, commencing 5 years before licence expiry.</w:t>
      </w:r>
    </w:p>
    <w:p w14:paraId="6FD2FC60" w14:textId="7CF23E96" w:rsidR="009D2B9F" w:rsidRDefault="009D2B9F" w:rsidP="00D1648D">
      <w:pPr>
        <w:pStyle w:val="Bulletlevel2"/>
      </w:pPr>
      <w:r>
        <w:t>There is a renewal decision-making period of 2 years, commencing immediately after the renewal application period.</w:t>
      </w:r>
    </w:p>
    <w:p w14:paraId="0C28E20B" w14:textId="34AAA130" w:rsidR="009D2B9F" w:rsidRDefault="009D2B9F" w:rsidP="00D1648D">
      <w:pPr>
        <w:pStyle w:val="Bulletlevel2last"/>
      </w:pPr>
      <w:r>
        <w:t>There will be no public interest statement.</w:t>
      </w:r>
    </w:p>
    <w:p w14:paraId="4D1B9068" w14:textId="77777777" w:rsidR="0091696C" w:rsidRDefault="009D2B9F" w:rsidP="00D1648D">
      <w:pPr>
        <w:pStyle w:val="Heading4"/>
      </w:pPr>
      <w:r w:rsidRPr="0091696C">
        <w:t>Frequency lot configuration</w:t>
      </w:r>
    </w:p>
    <w:p w14:paraId="17747A85" w14:textId="1BE9E3F0" w:rsidR="009D2B9F" w:rsidRDefault="0091696C" w:rsidP="00D1648D">
      <w:pPr>
        <w:pStyle w:val="Paragraphbeforelist"/>
      </w:pPr>
      <w:r w:rsidRPr="00D1648D">
        <w:t>We</w:t>
      </w:r>
      <w:r>
        <w:rPr>
          <w:b/>
          <w:bCs/>
        </w:rPr>
        <w:t xml:space="preserve"> </w:t>
      </w:r>
      <w:r w:rsidR="009D2B9F">
        <w:t>sought comments on the following proposed lot sizes:</w:t>
      </w:r>
    </w:p>
    <w:p w14:paraId="6A8CEE78" w14:textId="2DA43E4A" w:rsidR="009D2B9F" w:rsidRDefault="009D2B9F" w:rsidP="00D1648D">
      <w:pPr>
        <w:pStyle w:val="Bulletlevel1"/>
      </w:pPr>
      <w:r>
        <w:t>generic lots – 5 MHz</w:t>
      </w:r>
    </w:p>
    <w:p w14:paraId="3BA56D9A" w14:textId="0D7AF251" w:rsidR="009D2B9F" w:rsidRDefault="009D2B9F" w:rsidP="00D1648D">
      <w:pPr>
        <w:pStyle w:val="Bulletlevel1last"/>
      </w:pPr>
      <w:r>
        <w:t>leftover lots – 2.5 MHz.</w:t>
      </w:r>
    </w:p>
    <w:p w14:paraId="085798FF" w14:textId="77777777" w:rsidR="0091696C" w:rsidRDefault="009D2B9F" w:rsidP="00D1648D">
      <w:pPr>
        <w:pStyle w:val="Heading4"/>
        <w:keepNext/>
        <w:keepLines/>
      </w:pPr>
      <w:r w:rsidRPr="0091696C">
        <w:lastRenderedPageBreak/>
        <w:t>Geographic lot configuration</w:t>
      </w:r>
    </w:p>
    <w:p w14:paraId="546A7806" w14:textId="6A598BDD" w:rsidR="009D2B9F" w:rsidRDefault="009D2B9F" w:rsidP="00D1648D">
      <w:pPr>
        <w:pStyle w:val="Paragraphbeforelist"/>
        <w:keepNext/>
        <w:keepLines/>
      </w:pPr>
      <w:r>
        <w:t>We sought views on our proposal to:</w:t>
      </w:r>
    </w:p>
    <w:p w14:paraId="138B582C" w14:textId="6893CDE6" w:rsidR="009D2B9F" w:rsidRDefault="009D2B9F" w:rsidP="00D1648D">
      <w:pPr>
        <w:pStyle w:val="Bulletlevel1"/>
        <w:keepNext/>
        <w:keepLines/>
      </w:pPr>
      <w:r>
        <w:t xml:space="preserve">Disaggregate the </w:t>
      </w:r>
      <w:r w:rsidR="005A0880">
        <w:t>r</w:t>
      </w:r>
      <w:r>
        <w:t>ural Australia area in both the 3.4 GHz and 3.7 GHz bands according to the boundaries of existing 3.6 GHz band spectrum licences (3.6 GHz regional areas).</w:t>
      </w:r>
    </w:p>
    <w:p w14:paraId="63C2493A" w14:textId="7E59C629" w:rsidR="009D2B9F" w:rsidRDefault="009D2B9F" w:rsidP="00D1648D">
      <w:pPr>
        <w:pStyle w:val="Bulletlevel1"/>
      </w:pPr>
      <w:r>
        <w:t>Configure the regional areas in 3700–3800 MHz as follows:</w:t>
      </w:r>
    </w:p>
    <w:p w14:paraId="2F802D95" w14:textId="4F57F537" w:rsidR="009D2B9F" w:rsidRDefault="009D2B9F" w:rsidP="00D1648D">
      <w:pPr>
        <w:pStyle w:val="Bulletlevel2"/>
      </w:pPr>
      <w:r>
        <w:t>3700–3750 MHz: aligned with 3.6 GHz regional areas.</w:t>
      </w:r>
    </w:p>
    <w:p w14:paraId="63617C1A" w14:textId="3ED91CF1" w:rsidR="009D2B9F" w:rsidRDefault="009D2B9F" w:rsidP="00D1648D">
      <w:pPr>
        <w:pStyle w:val="Bulletlevel2"/>
      </w:pPr>
      <w:r>
        <w:t>3750–3800 MHz:</w:t>
      </w:r>
    </w:p>
    <w:p w14:paraId="2DE2DC85" w14:textId="29DC69A7" w:rsidR="009D2B9F" w:rsidRDefault="009D2B9F" w:rsidP="00D1648D">
      <w:pPr>
        <w:pStyle w:val="Bulletlevel2"/>
        <w:tabs>
          <w:tab w:val="clear" w:pos="845"/>
          <w:tab w:val="num" w:pos="1118"/>
        </w:tabs>
        <w:ind w:left="863"/>
      </w:pPr>
      <w:r>
        <w:t>Queensland and Victoria: Regional Area 2 (RA2) + Major Regional Centres 1 (MRC1)</w:t>
      </w:r>
    </w:p>
    <w:p w14:paraId="7332A372" w14:textId="4A180CCB" w:rsidR="009D2B9F" w:rsidRDefault="009D2B9F" w:rsidP="00D1648D">
      <w:pPr>
        <w:pStyle w:val="Bulletlevel2"/>
        <w:tabs>
          <w:tab w:val="clear" w:pos="845"/>
          <w:tab w:val="num" w:pos="1118"/>
        </w:tabs>
        <w:ind w:left="863"/>
      </w:pPr>
      <w:r>
        <w:t>Other regional areas: RA2.</w:t>
      </w:r>
    </w:p>
    <w:p w14:paraId="78B5310A" w14:textId="5B169EDC" w:rsidR="009D2B9F" w:rsidRDefault="009D2B9F" w:rsidP="00D1648D">
      <w:pPr>
        <w:pStyle w:val="Bulletlevel1"/>
      </w:pPr>
      <w:r>
        <w:t>Configure the metropolitan areas as independent products.</w:t>
      </w:r>
    </w:p>
    <w:p w14:paraId="5A274ABC" w14:textId="63639505" w:rsidR="009D2B9F" w:rsidRDefault="009D2B9F" w:rsidP="00D1648D">
      <w:pPr>
        <w:pStyle w:val="Bulletlevel1"/>
      </w:pPr>
      <w:r>
        <w:t xml:space="preserve">Aggregate the </w:t>
      </w:r>
      <w:r w:rsidR="005A0880">
        <w:t>r</w:t>
      </w:r>
      <w:r>
        <w:t xml:space="preserve">egional WA south and </w:t>
      </w:r>
      <w:r w:rsidR="005A0880">
        <w:t>r</w:t>
      </w:r>
      <w:r>
        <w:t>egional WA central areas in 3475–3510 MHz and 3700–3800 MHz.</w:t>
      </w:r>
    </w:p>
    <w:p w14:paraId="306B031D" w14:textId="2809FF29" w:rsidR="009D2B9F" w:rsidRDefault="009D2B9F" w:rsidP="00D1648D">
      <w:pPr>
        <w:pStyle w:val="Bulletlevel1"/>
      </w:pPr>
      <w:r>
        <w:t>Aggregate Tamworth with surrounding areas as follows:</w:t>
      </w:r>
    </w:p>
    <w:p w14:paraId="146329D5" w14:textId="25AF92EF" w:rsidR="009D2B9F" w:rsidRDefault="009D2B9F" w:rsidP="00D1648D">
      <w:pPr>
        <w:pStyle w:val="Bulletlevel2"/>
      </w:pPr>
      <w:r>
        <w:t xml:space="preserve">3400–3575 MHz: aggregate with </w:t>
      </w:r>
      <w:r w:rsidR="005A0880">
        <w:t>r</w:t>
      </w:r>
      <w:r>
        <w:t>egional NSW south and Quirindi East.</w:t>
      </w:r>
    </w:p>
    <w:p w14:paraId="3B488FFE" w14:textId="0EDD1868" w:rsidR="009D2B9F" w:rsidRDefault="009D2B9F" w:rsidP="00D1648D">
      <w:pPr>
        <w:pStyle w:val="Bulletlevel2"/>
      </w:pPr>
      <w:r>
        <w:t>3700–3750 MHz: aggregate with Rural North NSW/South Queensland.</w:t>
      </w:r>
    </w:p>
    <w:p w14:paraId="69C8E547" w14:textId="4B19C6D8" w:rsidR="009D2B9F" w:rsidRDefault="009D2B9F" w:rsidP="00D1648D">
      <w:pPr>
        <w:pStyle w:val="Bulletlevel1last"/>
      </w:pPr>
      <w:r>
        <w:t>These settings were reflected in Schedules 1–4 to the draft marketing plan that accompanied the consultation paper.</w:t>
      </w:r>
    </w:p>
    <w:p w14:paraId="0137F3E6" w14:textId="77777777" w:rsidR="0091696C" w:rsidRDefault="009D2B9F" w:rsidP="00D1648D">
      <w:pPr>
        <w:pStyle w:val="Heading4"/>
      </w:pPr>
      <w:r w:rsidRPr="0091696C">
        <w:t>Product naming</w:t>
      </w:r>
    </w:p>
    <w:p w14:paraId="3A42044A" w14:textId="2E4C9574" w:rsidR="009D2B9F" w:rsidRDefault="0091696C" w:rsidP="0091696C">
      <w:pPr>
        <w:pStyle w:val="Paragraph"/>
      </w:pPr>
      <w:r w:rsidRPr="00D1648D">
        <w:t>We</w:t>
      </w:r>
      <w:r>
        <w:rPr>
          <w:b/>
          <w:bCs/>
        </w:rPr>
        <w:t xml:space="preserve"> </w:t>
      </w:r>
      <w:r w:rsidR="009D2B9F">
        <w:t>sought comments on the proposed naming scheme for products in the auction.</w:t>
      </w:r>
    </w:p>
    <w:p w14:paraId="7C9DC9E6" w14:textId="2FA18F1A" w:rsidR="00F41278" w:rsidRPr="00913A17" w:rsidRDefault="00913A17" w:rsidP="00D1648D">
      <w:pPr>
        <w:pStyle w:val="Heading3"/>
      </w:pPr>
      <w:bookmarkStart w:id="8" w:name="_Toc139280830"/>
      <w:r w:rsidRPr="00913A17">
        <w:t>R</w:t>
      </w:r>
      <w:r w:rsidR="00F41278" w:rsidRPr="00913A17">
        <w:t>esponses to issues for comment</w:t>
      </w:r>
      <w:r w:rsidR="004648D2">
        <w:t xml:space="preserve"> and the ACMA’s views</w:t>
      </w:r>
      <w:bookmarkEnd w:id="8"/>
    </w:p>
    <w:p w14:paraId="1C70B9EA" w14:textId="77777777" w:rsidR="000051B5" w:rsidRPr="009A5E66" w:rsidRDefault="00494A55" w:rsidP="007941F4">
      <w:pPr>
        <w:pStyle w:val="Heading4"/>
        <w:spacing w:before="120"/>
      </w:pPr>
      <w:bookmarkStart w:id="9" w:name="_Hlk137490942"/>
      <w:r w:rsidRPr="00913A17">
        <w:t>Licence</w:t>
      </w:r>
      <w:r w:rsidR="00E17B88" w:rsidRPr="00913A17">
        <w:t xml:space="preserve"> commencement and duration</w:t>
      </w:r>
      <w:r w:rsidR="00E17B88" w:rsidRPr="009A5E66">
        <w:t xml:space="preserve"> </w:t>
      </w:r>
    </w:p>
    <w:p w14:paraId="3A878867" w14:textId="6AF446F0" w:rsidR="00F41278" w:rsidRDefault="00E14A06" w:rsidP="007941F4">
      <w:pPr>
        <w:pStyle w:val="Paragraph"/>
      </w:pPr>
      <w:bookmarkStart w:id="10" w:name="_Hlk137484334"/>
      <w:r>
        <w:t>Two</w:t>
      </w:r>
      <w:r w:rsidR="00275F69" w:rsidRPr="00275F69">
        <w:t xml:space="preserve"> submissions generally supported the ACMA’s preferred view on licence commencement and duration, 3 </w:t>
      </w:r>
      <w:r w:rsidR="009A5E66">
        <w:t>offered</w:t>
      </w:r>
      <w:r w:rsidR="00275F69" w:rsidRPr="00275F69">
        <w:t xml:space="preserve"> partial support and </w:t>
      </w:r>
      <w:r>
        <w:t>2</w:t>
      </w:r>
      <w:r w:rsidRPr="00275F69">
        <w:t xml:space="preserve"> </w:t>
      </w:r>
      <w:r w:rsidR="00275F69" w:rsidRPr="00275F69">
        <w:t xml:space="preserve">did not provide any comment. </w:t>
      </w:r>
    </w:p>
    <w:p w14:paraId="2B9915E2" w14:textId="7878CA4A" w:rsidR="00275F69" w:rsidRPr="00275F69" w:rsidRDefault="00AE2B19" w:rsidP="007941F4">
      <w:pPr>
        <w:pStyle w:val="Paragraphbeforelist"/>
      </w:pPr>
      <w:r>
        <w:t>Views</w:t>
      </w:r>
      <w:r w:rsidR="00CE05CC">
        <w:t xml:space="preserve"> outlined in submissions</w:t>
      </w:r>
      <w:r w:rsidR="00275F69" w:rsidRPr="00275F69">
        <w:t xml:space="preserve"> included:</w:t>
      </w:r>
    </w:p>
    <w:bookmarkEnd w:id="10"/>
    <w:p w14:paraId="2AE94AB5" w14:textId="75F0D746" w:rsidR="00275F69" w:rsidRPr="00275F69" w:rsidRDefault="00F41278" w:rsidP="00086FC4">
      <w:pPr>
        <w:pStyle w:val="Bulletlevel1"/>
        <w:rPr>
          <w:b/>
        </w:rPr>
      </w:pPr>
      <w:r>
        <w:t>A</w:t>
      </w:r>
      <w:r w:rsidR="00275F69" w:rsidRPr="00275F69">
        <w:t xml:space="preserve"> concern that the ‘arbitrary’ 8-week period before commencement would unduly delay bidders from being able to access their spectrum, noting there is no ‘early access’ mechanism being proposed for any spectrum being sold at this auction.</w:t>
      </w:r>
    </w:p>
    <w:p w14:paraId="52E3BFCB" w14:textId="337F8BBF" w:rsidR="00275F69" w:rsidRPr="00275F69" w:rsidRDefault="00F41278" w:rsidP="00086FC4">
      <w:pPr>
        <w:pStyle w:val="Bulletlevel1"/>
        <w:rPr>
          <w:b/>
        </w:rPr>
      </w:pPr>
      <w:r>
        <w:t>B</w:t>
      </w:r>
      <w:r w:rsidR="00275F69" w:rsidRPr="00275F69">
        <w:t>oth</w:t>
      </w:r>
      <w:r w:rsidR="000B2765">
        <w:t xml:space="preserve"> </w:t>
      </w:r>
      <w:r w:rsidR="00275F69" w:rsidRPr="00275F69">
        <w:t xml:space="preserve">3.4 GHz licences 3.7 GHz band licences </w:t>
      </w:r>
      <w:r>
        <w:t xml:space="preserve">should </w:t>
      </w:r>
      <w:r w:rsidR="00275F69" w:rsidRPr="00275F69">
        <w:t>be issued as soon as possible after a winning bidder pays its spectrum access charge.</w:t>
      </w:r>
    </w:p>
    <w:p w14:paraId="0641B7E0" w14:textId="2664B5C5" w:rsidR="00275F69" w:rsidRPr="00275F69" w:rsidRDefault="00F41278" w:rsidP="00086FC4">
      <w:pPr>
        <w:pStyle w:val="Bulletlevel1"/>
        <w:rPr>
          <w:b/>
        </w:rPr>
      </w:pPr>
      <w:r>
        <w:t>C</w:t>
      </w:r>
      <w:r w:rsidR="00275F69" w:rsidRPr="00275F69">
        <w:t xml:space="preserve">ommencement </w:t>
      </w:r>
      <w:r>
        <w:t>of</w:t>
      </w:r>
      <w:r w:rsidRPr="00275F69">
        <w:t xml:space="preserve"> </w:t>
      </w:r>
      <w:r w:rsidR="00275F69" w:rsidRPr="00275F69">
        <w:t xml:space="preserve">the 3.7 GHz licences should be a date no later than 4 weeks after publication of auction results, and </w:t>
      </w:r>
      <w:r>
        <w:t xml:space="preserve">the </w:t>
      </w:r>
      <w:r w:rsidR="00275F69" w:rsidRPr="00275F69">
        <w:t>ACMA should invoice successful bidders immediately after the auction. Bidders should be given up to 8 weeks to pay the invoice.</w:t>
      </w:r>
    </w:p>
    <w:p w14:paraId="2237B9C9" w14:textId="009DFE51" w:rsidR="00275F69" w:rsidRPr="00275F69" w:rsidRDefault="00F41278" w:rsidP="00086FC4">
      <w:pPr>
        <w:pStyle w:val="Bulletlevel1"/>
      </w:pPr>
      <w:r>
        <w:t>L</w:t>
      </w:r>
      <w:r w:rsidR="00275F69" w:rsidRPr="00275F69">
        <w:t xml:space="preserve">icences in the 3.4 GHz band </w:t>
      </w:r>
      <w:r>
        <w:t xml:space="preserve">should </w:t>
      </w:r>
      <w:r w:rsidR="00275F69" w:rsidRPr="00275F69">
        <w:t>be subject to a mandatory ‘defragmentation process’ once the licences are issued.</w:t>
      </w:r>
    </w:p>
    <w:p w14:paraId="4EDF0A58" w14:textId="4832224C" w:rsidR="00275F69" w:rsidRPr="00275F69" w:rsidRDefault="00F41278" w:rsidP="00086FC4">
      <w:pPr>
        <w:pStyle w:val="Bulletlevel1"/>
        <w:rPr>
          <w:b/>
        </w:rPr>
      </w:pPr>
      <w:r>
        <w:t>T</w:t>
      </w:r>
      <w:r w:rsidR="00275F69" w:rsidRPr="00275F69">
        <w:t>he above defragmentation process should be advised to all licensees before the issue of any licences.</w:t>
      </w:r>
    </w:p>
    <w:p w14:paraId="5D9C9FE5" w14:textId="7B4F9EEC" w:rsidR="00275F69" w:rsidRPr="00275F69" w:rsidRDefault="00F41278" w:rsidP="00086FC4">
      <w:pPr>
        <w:pStyle w:val="Bulletlevel1"/>
      </w:pPr>
      <w:r>
        <w:t>C</w:t>
      </w:r>
      <w:r w:rsidR="00275F69" w:rsidRPr="00275F69">
        <w:t xml:space="preserve">ommon licence commencement dates for 3.4 GHz and 3.7 GHz band licences </w:t>
      </w:r>
      <w:r w:rsidR="00C34174">
        <w:t xml:space="preserve">should </w:t>
      </w:r>
      <w:r w:rsidR="00275F69" w:rsidRPr="00275F69">
        <w:t xml:space="preserve">be implemented, with commencement in mid-April 2024. </w:t>
      </w:r>
      <w:r w:rsidR="00C72951">
        <w:t>The submission asserted</w:t>
      </w:r>
      <w:r w:rsidR="00C72951" w:rsidRPr="00275F69">
        <w:t xml:space="preserve"> </w:t>
      </w:r>
      <w:r w:rsidR="00275F69" w:rsidRPr="00275F69">
        <w:t>that this would sufficiently cover for any potential auction delays.</w:t>
      </w:r>
    </w:p>
    <w:p w14:paraId="5CAEEA6F" w14:textId="3890B421" w:rsidR="00275F69" w:rsidRPr="00275F69" w:rsidRDefault="005F3A71" w:rsidP="00086FC4">
      <w:pPr>
        <w:pStyle w:val="Bulletlevel1"/>
      </w:pPr>
      <w:r>
        <w:t xml:space="preserve">There was </w:t>
      </w:r>
      <w:r w:rsidR="00C34174">
        <w:t>concern that t</w:t>
      </w:r>
      <w:r w:rsidR="00275F69" w:rsidRPr="00275F69">
        <w:t xml:space="preserve">he 8-week period following auction announcement is insufficient for the commencement of 3.7 GHz licences. The reasoning provided is that this period should only commence following the completion of any affiliations assessment, and the issue of final invoices following completion of auction </w:t>
      </w:r>
      <w:r w:rsidR="00275F69" w:rsidRPr="00275F69">
        <w:lastRenderedPageBreak/>
        <w:t>processes. (The ACMA’s proposal was for licences to commence 8 weeks following auction results announcement, not the announcement of the auction commencement.)</w:t>
      </w:r>
    </w:p>
    <w:p w14:paraId="3D6480C9" w14:textId="0CC852C8" w:rsidR="00275F69" w:rsidRPr="00275F69" w:rsidRDefault="00C34174" w:rsidP="00086FC4">
      <w:pPr>
        <w:pStyle w:val="Bulletlevel1"/>
        <w:rPr>
          <w:b/>
        </w:rPr>
      </w:pPr>
      <w:r>
        <w:t>T</w:t>
      </w:r>
      <w:r w:rsidR="00275F69" w:rsidRPr="00275F69">
        <w:t>he licence term for 3.7 GHz licences should not be 20 years</w:t>
      </w:r>
      <w:r>
        <w:t>,</w:t>
      </w:r>
      <w:r w:rsidR="00275F69" w:rsidRPr="00275F69">
        <w:t xml:space="preserve"> with the reasoning that a shorter licence term could provide a ‘reset’ point where the ACMA could force defragmentation of all spectrum licences in the </w:t>
      </w:r>
      <w:r w:rsidR="008253F7">
        <w:t xml:space="preserve">3.4–4.0 </w:t>
      </w:r>
      <w:r w:rsidR="00275F69" w:rsidRPr="00275F69">
        <w:t>GHz band.</w:t>
      </w:r>
    </w:p>
    <w:p w14:paraId="53AD7E67" w14:textId="33E6EC79" w:rsidR="00275F69" w:rsidRPr="00275F69" w:rsidRDefault="00C34174" w:rsidP="00086FC4">
      <w:pPr>
        <w:pStyle w:val="Bulletlevel1"/>
        <w:rPr>
          <w:b/>
        </w:rPr>
      </w:pPr>
      <w:r>
        <w:t>I</w:t>
      </w:r>
      <w:r w:rsidR="00275F69" w:rsidRPr="00275F69">
        <w:t xml:space="preserve">f, by 2030, the band is defragmented and fully optimised, the ACMA </w:t>
      </w:r>
      <w:r>
        <w:t>sh</w:t>
      </w:r>
      <w:r w:rsidR="00275F69" w:rsidRPr="00275F69">
        <w:t>ould undertake a renewal process instead of a ‘reset’ (which we understand to mean a re-allocation of spectrum licences)</w:t>
      </w:r>
      <w:r>
        <w:t>,</w:t>
      </w:r>
      <w:r w:rsidR="00275F69" w:rsidRPr="00275F69">
        <w:t xml:space="preserve"> if it believes that is the best course of action at the time. However, if licensees had not defragmented the band by then, the only ‘realistic option’ to optimise the entire 3.4</w:t>
      </w:r>
      <w:r w:rsidRPr="00275F69">
        <w:t>–</w:t>
      </w:r>
      <w:r w:rsidR="00275F69" w:rsidRPr="00275F69">
        <w:t xml:space="preserve">3.8 GHz band </w:t>
      </w:r>
      <w:r>
        <w:t xml:space="preserve">would be </w:t>
      </w:r>
      <w:r w:rsidR="00275F69" w:rsidRPr="00275F69">
        <w:t xml:space="preserve">through an ACMA-led ‘reset’ of the band. In that case, licence boundaries </w:t>
      </w:r>
      <w:r>
        <w:t>could</w:t>
      </w:r>
      <w:r w:rsidRPr="00275F69">
        <w:t xml:space="preserve"> </w:t>
      </w:r>
      <w:r w:rsidR="00275F69" w:rsidRPr="00275F69">
        <w:t>be ‘modernised’, and licensees would have the opportunity to reorganise holdings to</w:t>
      </w:r>
      <w:r>
        <w:t xml:space="preserve"> be </w:t>
      </w:r>
      <w:r w:rsidRPr="00275F69">
        <w:t>contiguous</w:t>
      </w:r>
      <w:r>
        <w:t xml:space="preserve"> to</w:t>
      </w:r>
      <w:r w:rsidR="00275F69" w:rsidRPr="00275F69">
        <w:t xml:space="preserve"> maximise the utility of the spectrum.</w:t>
      </w:r>
    </w:p>
    <w:p w14:paraId="41D71806" w14:textId="277055B5" w:rsidR="00275F69" w:rsidRPr="00275F69" w:rsidRDefault="00C34174" w:rsidP="00675A83">
      <w:pPr>
        <w:pStyle w:val="Bulletlevel1"/>
      </w:pPr>
      <w:r>
        <w:t>T</w:t>
      </w:r>
      <w:r w:rsidR="00275F69" w:rsidRPr="00275F69">
        <w:t xml:space="preserve">here was </w:t>
      </w:r>
      <w:r>
        <w:t>concern</w:t>
      </w:r>
      <w:r w:rsidR="00275F69" w:rsidRPr="00275F69">
        <w:t xml:space="preserve"> that commercial negotiations will lead to defragmentation, and the ACMA’s draft allocation instruments created unacceptable fragmentation and exposure risk.</w:t>
      </w:r>
    </w:p>
    <w:p w14:paraId="73C17984" w14:textId="38BDE8F4" w:rsidR="00275F69" w:rsidRPr="00275F69" w:rsidRDefault="00C34174" w:rsidP="00675A83">
      <w:pPr>
        <w:pStyle w:val="Bulletlevel1"/>
      </w:pPr>
      <w:r>
        <w:t>E</w:t>
      </w:r>
      <w:r w:rsidR="0022066E">
        <w:t xml:space="preserve">xpiry of licences in </w:t>
      </w:r>
      <w:r w:rsidR="00275F69" w:rsidRPr="00275F69">
        <w:t xml:space="preserve">2030 </w:t>
      </w:r>
      <w:r>
        <w:t>c</w:t>
      </w:r>
      <w:r w:rsidR="00275F69" w:rsidRPr="00275F69">
        <w:t>ould provide an opportunity to re-evaluate the use of the 3.8–4 GHz band and the spectrum in the urban excise areas, and potentially allocate it for WA WBB use.</w:t>
      </w:r>
    </w:p>
    <w:p w14:paraId="4AA7DA50" w14:textId="4B3A8B53" w:rsidR="007318A1" w:rsidRPr="00AF54BB" w:rsidRDefault="00F641D5" w:rsidP="00675A83">
      <w:pPr>
        <w:pStyle w:val="Bulletlevel1last"/>
        <w:rPr>
          <w:b/>
        </w:rPr>
      </w:pPr>
      <w:r>
        <w:t xml:space="preserve">There was concern that </w:t>
      </w:r>
      <w:r w:rsidR="00275F69" w:rsidRPr="00275F69">
        <w:t>a long licence term may result in defragmentation being deferred to 2043.</w:t>
      </w:r>
    </w:p>
    <w:p w14:paraId="2E9F4771" w14:textId="10CBD8AC" w:rsidR="00955B12" w:rsidRPr="00B24265" w:rsidRDefault="00955B12" w:rsidP="00AF54BB">
      <w:pPr>
        <w:pStyle w:val="Heading4"/>
      </w:pPr>
      <w:r w:rsidRPr="00B24265">
        <w:t>ACMA view</w:t>
      </w:r>
      <w:r w:rsidR="00A57546" w:rsidRPr="00B24265">
        <w:t xml:space="preserve"> </w:t>
      </w:r>
    </w:p>
    <w:bookmarkEnd w:id="9"/>
    <w:p w14:paraId="65C53086" w14:textId="398A6FD0" w:rsidR="00F9677E" w:rsidRPr="00F9677E" w:rsidRDefault="009A5E66" w:rsidP="00AF54BB">
      <w:pPr>
        <w:pStyle w:val="Paragraphbeforelist"/>
      </w:pPr>
      <w:r>
        <w:t>When</w:t>
      </w:r>
      <w:r w:rsidR="00F9677E" w:rsidRPr="00F9677E">
        <w:t xml:space="preserve"> reviewing submissions, the ACMA </w:t>
      </w:r>
      <w:r w:rsidRPr="00F9677E">
        <w:t>note</w:t>
      </w:r>
      <w:r>
        <w:t>d</w:t>
      </w:r>
      <w:r w:rsidRPr="00F9677E">
        <w:t xml:space="preserve"> </w:t>
      </w:r>
      <w:r w:rsidR="00F9677E" w:rsidRPr="00F9677E">
        <w:t xml:space="preserve">that, particularly </w:t>
      </w:r>
      <w:r>
        <w:t>regarding</w:t>
      </w:r>
      <w:r w:rsidR="00F9677E" w:rsidRPr="00F9677E">
        <w:t xml:space="preserve"> 3.7 GHz licences commencing 8 weeks after publication of the auction results, we proposed the 8</w:t>
      </w:r>
      <w:r>
        <w:t>-</w:t>
      </w:r>
      <w:r w:rsidR="00F9677E" w:rsidRPr="00F9677E">
        <w:t xml:space="preserve">week delay to licence commencement to ensure that the ACMA has sufficient time to send invoices, and winning bidders have sufficient time to pay those invoices, to maximise the opportunity for all 3.7 GHz licences </w:t>
      </w:r>
      <w:r>
        <w:t>to have</w:t>
      </w:r>
      <w:r w:rsidR="00F9677E" w:rsidRPr="00F9677E">
        <w:t>:</w:t>
      </w:r>
    </w:p>
    <w:p w14:paraId="58E36AF5" w14:textId="0EF04320" w:rsidR="00F9677E" w:rsidRPr="00F9677E" w:rsidRDefault="00F9677E" w:rsidP="00AF54BB">
      <w:pPr>
        <w:pStyle w:val="Bulletlevel1"/>
      </w:pPr>
      <w:r w:rsidRPr="00F9677E">
        <w:t xml:space="preserve">a </w:t>
      </w:r>
      <w:r w:rsidR="00413654" w:rsidRPr="00F9677E">
        <w:t>20-year</w:t>
      </w:r>
      <w:r w:rsidRPr="00F9677E">
        <w:t xml:space="preserve"> period; and</w:t>
      </w:r>
    </w:p>
    <w:p w14:paraId="278B1086" w14:textId="324BDDD2" w:rsidR="00F9677E" w:rsidRDefault="00F9677E" w:rsidP="00AF54BB">
      <w:pPr>
        <w:pStyle w:val="Bulletlevel1last"/>
      </w:pPr>
      <w:r w:rsidRPr="00F9677E">
        <w:t xml:space="preserve">a common expiry date. </w:t>
      </w:r>
    </w:p>
    <w:p w14:paraId="1D059E27" w14:textId="756DA751" w:rsidR="00F9677E" w:rsidRPr="00F9677E" w:rsidRDefault="00F9677E" w:rsidP="00AF54BB">
      <w:pPr>
        <w:pStyle w:val="Paragraph"/>
      </w:pPr>
      <w:r w:rsidRPr="00F9677E">
        <w:t>In contrast, 3.4 GHz licences have an approximate 7-year licence term to align with the expiry dates of existing spectrum licences the 3.4 GHz band. The 3.4 GHz licences will commence immediately due to the greater flexibility in relation to their term (there is no need to maximise the opportunity for the licences to have a 20</w:t>
      </w:r>
      <w:r w:rsidR="009A5E66">
        <w:t>-</w:t>
      </w:r>
      <w:r w:rsidRPr="00F9677E">
        <w:t>year term), and the date of expiry already being known (13 December 2030). The actual term of these licences will depend on when winning bidders pay their spectrum access charges.</w:t>
      </w:r>
    </w:p>
    <w:p w14:paraId="4DCAE982" w14:textId="4648B1DA" w:rsidR="005E69B5" w:rsidRPr="00B60351" w:rsidRDefault="00F9677E" w:rsidP="00AF54BB">
      <w:pPr>
        <w:pStyle w:val="Paragraph"/>
      </w:pPr>
      <w:r w:rsidRPr="00B60351">
        <w:t>As reflected in the marketing plan, the ACMA considers that the different licence durations proposed in the consultation paper strike the right balance between investment certainty and a market environment that supports licence trading. Therefore</w:t>
      </w:r>
      <w:r w:rsidR="009A5E66">
        <w:t>,</w:t>
      </w:r>
      <w:r w:rsidRPr="00B60351">
        <w:t xml:space="preserve"> no change to the relevant sections of the marketing plan have been made. </w:t>
      </w:r>
    </w:p>
    <w:p w14:paraId="7D93DAE5" w14:textId="5DD4A9B0" w:rsidR="005E69B5" w:rsidRDefault="005E69B5" w:rsidP="00AF54BB">
      <w:pPr>
        <w:pStyle w:val="Paragraph"/>
        <w:rPr>
          <w:b/>
          <w:i/>
        </w:rPr>
      </w:pPr>
      <w:r w:rsidRPr="005E69B5">
        <w:t xml:space="preserve">We also consider there should be no change to the ACMA’s preliminary views on licence commencement, and that 3.4 GHz band licences should commence immediately after issue, and 3.7 GHz band licences commence at the later of 8 weeks after the auction results are announced publicly, or the day the licence is issued. </w:t>
      </w:r>
    </w:p>
    <w:p w14:paraId="1A6616A8" w14:textId="7C6D0633" w:rsidR="00E17B88" w:rsidRPr="00B24265" w:rsidRDefault="00494A55" w:rsidP="00773299">
      <w:pPr>
        <w:pStyle w:val="Heading4"/>
        <w:keepNext/>
        <w:keepLines/>
      </w:pPr>
      <w:r w:rsidRPr="00B24265">
        <w:lastRenderedPageBreak/>
        <w:t>Licence</w:t>
      </w:r>
      <w:r w:rsidR="00E17B88" w:rsidRPr="00B24265">
        <w:t xml:space="preserve"> renewal statements</w:t>
      </w:r>
      <w:r w:rsidRPr="00B24265">
        <w:t xml:space="preserve"> </w:t>
      </w:r>
    </w:p>
    <w:p w14:paraId="3F5567B9" w14:textId="2422EE08" w:rsidR="009A5E66" w:rsidRDefault="009A5E66" w:rsidP="00773299">
      <w:pPr>
        <w:pStyle w:val="Paragraph"/>
        <w:keepNext/>
        <w:keepLines/>
      </w:pPr>
      <w:bookmarkStart w:id="11" w:name="_Hlk137538581"/>
      <w:r>
        <w:t>Three</w:t>
      </w:r>
      <w:r w:rsidR="006F55C1" w:rsidRPr="006F55C1">
        <w:t xml:space="preserve"> submissions generally supported the ACMA’s preferred view in relation to licence renewal statements, two </w:t>
      </w:r>
      <w:r>
        <w:t>offered</w:t>
      </w:r>
      <w:r w:rsidR="006F55C1" w:rsidRPr="006F55C1">
        <w:t xml:space="preserve"> partial support and two did not provide any comment. </w:t>
      </w:r>
    </w:p>
    <w:p w14:paraId="031E8296" w14:textId="6C2F95CC" w:rsidR="006F55C1" w:rsidRPr="006F55C1" w:rsidRDefault="004D7D60" w:rsidP="00773299">
      <w:pPr>
        <w:pStyle w:val="Paragraphbeforelist"/>
        <w:keepNext/>
        <w:rPr>
          <w:b/>
        </w:rPr>
      </w:pPr>
      <w:r>
        <w:t>Views</w:t>
      </w:r>
      <w:r w:rsidR="006F55C1" w:rsidRPr="006F55C1">
        <w:t xml:space="preserve"> </w:t>
      </w:r>
      <w:r w:rsidR="009A5E66">
        <w:t>outlined in submissions</w:t>
      </w:r>
      <w:r w:rsidR="006F55C1" w:rsidRPr="006F55C1">
        <w:t xml:space="preserve"> included:</w:t>
      </w:r>
    </w:p>
    <w:bookmarkEnd w:id="11"/>
    <w:p w14:paraId="44847156" w14:textId="0DD61B61" w:rsidR="006F55C1" w:rsidRPr="006F55C1" w:rsidRDefault="00C955C4" w:rsidP="00773299">
      <w:pPr>
        <w:pStyle w:val="Bulletlevel1"/>
      </w:pPr>
      <w:r>
        <w:t>R</w:t>
      </w:r>
      <w:r w:rsidR="006F55C1" w:rsidRPr="006F55C1">
        <w:t>enewal statements for 3.4 GHz band licences need</w:t>
      </w:r>
      <w:r>
        <w:t>ed</w:t>
      </w:r>
      <w:r w:rsidR="006F55C1" w:rsidRPr="006F55C1">
        <w:t xml:space="preserve"> to be ‘stronger’ and ‘more objective’ and the likelihood of renewal and reissue is a material factor in spectrum valuations when the term is as short as 7 years.</w:t>
      </w:r>
    </w:p>
    <w:p w14:paraId="27FCB69B" w14:textId="1127D25D" w:rsidR="006F55C1" w:rsidRPr="006F55C1" w:rsidRDefault="00C955C4" w:rsidP="00773299">
      <w:pPr>
        <w:pStyle w:val="Bulletlevel1"/>
      </w:pPr>
      <w:r>
        <w:t>D</w:t>
      </w:r>
      <w:r w:rsidR="006F55C1" w:rsidRPr="006F55C1">
        <w:t>efragmentation of spectrum licences in the band would only occur if all parties were confident that all of their post-defragmentation licences would be renewed.</w:t>
      </w:r>
    </w:p>
    <w:p w14:paraId="24F611EE" w14:textId="77BF0CEB" w:rsidR="006F55C1" w:rsidRPr="006F55C1" w:rsidRDefault="00C955C4" w:rsidP="00773299">
      <w:pPr>
        <w:pStyle w:val="Bulletlevel1"/>
      </w:pPr>
      <w:r>
        <w:t>R</w:t>
      </w:r>
      <w:r w:rsidR="006F55C1" w:rsidRPr="006F55C1">
        <w:t>enewal statement for 3.4 GHz licences should be ‘more specific’ and contain objective outcomes for defragmentation.</w:t>
      </w:r>
    </w:p>
    <w:p w14:paraId="0F1AA517" w14:textId="26E154D8" w:rsidR="006F55C1" w:rsidRPr="006F55C1" w:rsidRDefault="00C955C4" w:rsidP="00773299">
      <w:pPr>
        <w:pStyle w:val="Bulletlevel1"/>
        <w:rPr>
          <w:b/>
        </w:rPr>
      </w:pPr>
      <w:r>
        <w:t>T</w:t>
      </w:r>
      <w:r w:rsidR="006F55C1" w:rsidRPr="006F55C1">
        <w:t xml:space="preserve">he matters </w:t>
      </w:r>
      <w:r>
        <w:t xml:space="preserve">that </w:t>
      </w:r>
      <w:r w:rsidR="006F55C1" w:rsidRPr="006F55C1">
        <w:t>the ACMA suggested may be relevant to the public interest statement for 3.4 GHz licences were ‘too ambiguous’, as efficient allocation and efficient use are not necessarily co-existent.</w:t>
      </w:r>
    </w:p>
    <w:p w14:paraId="0C3C1DBA" w14:textId="5AA80DC3" w:rsidR="006F55C1" w:rsidRPr="006F55C1" w:rsidRDefault="00C955C4" w:rsidP="00773299">
      <w:pPr>
        <w:pStyle w:val="Bulletlevel1"/>
      </w:pPr>
      <w:r>
        <w:t>S</w:t>
      </w:r>
      <w:r w:rsidR="006F55C1" w:rsidRPr="006F55C1">
        <w:t>pectrum may be efficiently allocated from a technical perspective but remain unused, and this may reward licensees that are using their spectrum but block defragmentation for strategic competitive reasons.</w:t>
      </w:r>
    </w:p>
    <w:p w14:paraId="794D2F26" w14:textId="2D7DE32A" w:rsidR="006F55C1" w:rsidRPr="006F55C1" w:rsidRDefault="00C955C4" w:rsidP="00773299">
      <w:pPr>
        <w:pStyle w:val="Bulletlevel1"/>
      </w:pPr>
      <w:r>
        <w:t>T</w:t>
      </w:r>
      <w:r w:rsidR="006F55C1" w:rsidRPr="006F55C1">
        <w:t>he public interest statement for 3.4 GHz licences should ‘clearly articulate’ and ‘incentivise’ defragmentation of the band prior to 2030.</w:t>
      </w:r>
    </w:p>
    <w:p w14:paraId="2116C90E" w14:textId="604CDBFF" w:rsidR="006F55C1" w:rsidRPr="006F55C1" w:rsidRDefault="00C955C4" w:rsidP="00773299">
      <w:pPr>
        <w:pStyle w:val="Bulletlevel1"/>
      </w:pPr>
      <w:r>
        <w:t>T</w:t>
      </w:r>
      <w:r w:rsidR="006F55C1" w:rsidRPr="006F55C1">
        <w:t xml:space="preserve">here </w:t>
      </w:r>
      <w:r>
        <w:t xml:space="preserve">should </w:t>
      </w:r>
      <w:r w:rsidR="006F55C1" w:rsidRPr="006F55C1">
        <w:t xml:space="preserve">be certainty that renewal considerations will commence 5 years prior to licence expiry and be completed </w:t>
      </w:r>
      <w:r>
        <w:t>2</w:t>
      </w:r>
      <w:r w:rsidRPr="006F55C1">
        <w:t xml:space="preserve"> </w:t>
      </w:r>
      <w:r w:rsidR="006F55C1" w:rsidRPr="006F55C1">
        <w:t>years prior to licence expiry.</w:t>
      </w:r>
    </w:p>
    <w:p w14:paraId="022BE87E" w14:textId="54710AAF" w:rsidR="006F55C1" w:rsidRPr="006F55C1" w:rsidRDefault="00C955C4" w:rsidP="00773299">
      <w:pPr>
        <w:pStyle w:val="Bulletlevel1"/>
        <w:rPr>
          <w:u w:val="single"/>
        </w:rPr>
      </w:pPr>
      <w:r>
        <w:t>I</w:t>
      </w:r>
      <w:r w:rsidR="006F55C1" w:rsidRPr="006F55C1">
        <w:t>ndustry expects renewal discussions to commence 5 years prior to licence expiry in 2025</w:t>
      </w:r>
      <w:r w:rsidR="0091696C">
        <w:t>,</w:t>
      </w:r>
      <w:r w:rsidR="006F55C1" w:rsidRPr="006F55C1">
        <w:t xml:space="preserve"> at the latest</w:t>
      </w:r>
      <w:r w:rsidR="0091696C">
        <w:t>,</w:t>
      </w:r>
      <w:r w:rsidR="006F55C1" w:rsidRPr="006F55C1">
        <w:t xml:space="preserve"> for the existing 3.4 GHz and 3.6 GHz licences. Therefore</w:t>
      </w:r>
      <w:r w:rsidR="0091696C">
        <w:t>,</w:t>
      </w:r>
      <w:r w:rsidR="006F55C1" w:rsidRPr="006F55C1">
        <w:t xml:space="preserve"> the renewal application period should ideally align with existing spectrum licences in the 3.4 GHz band. (Note: The ACMA proposal was intended to align renewal processes for new 3.4 GHz licences issued as a result of this allocation process with the renewal processes for existing 3.4 GHz and 3.6 GHz band licences under the transitional arrangements for the </w:t>
      </w:r>
      <w:r w:rsidR="006F55C1" w:rsidRPr="006F55C1">
        <w:rPr>
          <w:i/>
        </w:rPr>
        <w:t>Radiocommunications Legislation Amendment (Reform and Modernisation) Act 2020</w:t>
      </w:r>
      <w:r w:rsidR="006F55C1" w:rsidRPr="006F55C1">
        <w:t>.)</w:t>
      </w:r>
    </w:p>
    <w:p w14:paraId="6982EB69" w14:textId="0FB3BD36" w:rsidR="006F55C1" w:rsidRPr="006F55C1" w:rsidRDefault="006F55C1" w:rsidP="00773299">
      <w:pPr>
        <w:pStyle w:val="Bulletlevel1"/>
      </w:pPr>
      <w:r w:rsidRPr="006F55C1">
        <w:t>3.7 GHz licensees should not be excluded from any associated defragmentation discussions in the adjacent 3.6 GHz licence areas.</w:t>
      </w:r>
    </w:p>
    <w:p w14:paraId="5E8DF97B" w14:textId="0F8E43BC" w:rsidR="006F55C1" w:rsidRPr="006F55C1" w:rsidRDefault="006F55C1" w:rsidP="00773299">
      <w:pPr>
        <w:pStyle w:val="Bulletlevel1last"/>
      </w:pPr>
      <w:r w:rsidRPr="006F55C1">
        <w:t xml:space="preserve">3.7 GHz licences should have a common expiry date with 3.4 GHz licences to facilitate secondary trading to assist defragmentation. 3.7 GHz licences should </w:t>
      </w:r>
      <w:r w:rsidR="0091696C">
        <w:t xml:space="preserve">also </w:t>
      </w:r>
      <w:r w:rsidRPr="006F55C1">
        <w:t>have licence renewal statements consistent with the 3.4 GHz licences</w:t>
      </w:r>
      <w:r w:rsidR="0091696C">
        <w:t xml:space="preserve">, </w:t>
      </w:r>
      <w:r w:rsidR="0091696C" w:rsidRPr="006F55C1">
        <w:t>for the same reason</w:t>
      </w:r>
      <w:r w:rsidRPr="006F55C1">
        <w:t xml:space="preserve">. </w:t>
      </w:r>
    </w:p>
    <w:p w14:paraId="1EC72DA7" w14:textId="77777777" w:rsidR="00A57546" w:rsidRPr="00B24265" w:rsidRDefault="00A57546" w:rsidP="007D5D98">
      <w:pPr>
        <w:pStyle w:val="Heading4"/>
      </w:pPr>
      <w:r w:rsidRPr="00B24265">
        <w:t>ACMA view</w:t>
      </w:r>
    </w:p>
    <w:p w14:paraId="3E3E33ED" w14:textId="5070C394" w:rsidR="000C6028" w:rsidRDefault="000C6028" w:rsidP="00D14CB9">
      <w:pPr>
        <w:rPr>
          <w:rFonts w:cs="Arial"/>
        </w:rPr>
      </w:pPr>
      <w:r w:rsidRPr="00505346">
        <w:rPr>
          <w:rFonts w:cs="Arial"/>
        </w:rPr>
        <w:t xml:space="preserve">Under section 65A of the Act, a spectrum licence must include a renewal statement. The ACMA has discretion to determine whether the statement provides that the licence cannot be renewed, that the licence may be renewed at the discretion of the ACMA, or that the licence may be renewed at the discretion of the ACMA so long as the circumstances specified in the statement exist. In our consultation paper, the ACMA proposed that for both 3.4 GHz and 3.7 GHz licences, the renewal statement indicate that the spectrum licences may be renewed at the ACMA’s discretion, and that, for 3.4 GHz licences, the statement also include a public interest statement. </w:t>
      </w:r>
    </w:p>
    <w:p w14:paraId="48F6C5C5" w14:textId="77777777" w:rsidR="00CD6935" w:rsidRPr="00505346" w:rsidRDefault="00CD6935" w:rsidP="00CD6935">
      <w:pPr>
        <w:rPr>
          <w:rFonts w:cs="Arial"/>
        </w:rPr>
      </w:pPr>
      <w:r w:rsidRPr="00505346">
        <w:rPr>
          <w:rFonts w:cs="Arial"/>
        </w:rPr>
        <w:t xml:space="preserve">For 3.4 GHz licences, we consider that renewal statements should provide for a renewal process that is aligned, to the extent possible, with the renewal process for existing licences in the 3.4 GHz band. The existing licences in the 3.4 GHz band do not have renewal statements, and their renewal process is set out in various provisions of the Act. The renewal statements for the 3.4 GHz band in the marketing </w:t>
      </w:r>
      <w:r w:rsidRPr="00505346">
        <w:rPr>
          <w:rFonts w:cs="Arial"/>
        </w:rPr>
        <w:lastRenderedPageBreak/>
        <w:t>plan reflect, to the extent possible, those processes set out in the Act. For this reason, the ACMA has decided not to include a renewal statement in the 3.4 GHz band licences that the licence may be renewed so long as circumstances specified in the statement exist, where those circumstances relate to the defragmentation of the 3.4 GHz band. Given the existing 3.4 GHz licences do not contain such a statement, the inclusion of such a statement in new 3.4 GHz licences would cause difficulties in relation to the renewal of licences in the band.</w:t>
      </w:r>
    </w:p>
    <w:p w14:paraId="15F46171" w14:textId="11BEB6C1" w:rsidR="00D14CB9" w:rsidRPr="00D14CB9" w:rsidRDefault="00CD6935" w:rsidP="00D14CB9">
      <w:pPr>
        <w:rPr>
          <w:rFonts w:cs="Arial"/>
        </w:rPr>
      </w:pPr>
      <w:r w:rsidRPr="00505346">
        <w:rPr>
          <w:rFonts w:cs="Arial"/>
        </w:rPr>
        <w:t>Instead, the public interest statement for the 3.4 GHz band licences is intended to reflect</w:t>
      </w:r>
      <w:r w:rsidRPr="00505346" w:rsidDel="00DA2675">
        <w:rPr>
          <w:rFonts w:cs="Arial"/>
        </w:rPr>
        <w:t xml:space="preserve"> that</w:t>
      </w:r>
      <w:r w:rsidRPr="00505346">
        <w:rPr>
          <w:rFonts w:cs="Arial"/>
        </w:rPr>
        <w:t>,</w:t>
      </w:r>
      <w:r>
        <w:rPr>
          <w:rFonts w:cs="Arial"/>
        </w:rPr>
        <w:t xml:space="preserve"> </w:t>
      </w:r>
      <w:r w:rsidR="00E41E34">
        <w:rPr>
          <w:rFonts w:cs="Arial"/>
        </w:rPr>
        <w:t xml:space="preserve">when </w:t>
      </w:r>
      <w:r w:rsidR="00E41E34" w:rsidRPr="00FF1636">
        <w:rPr>
          <w:rFonts w:cs="Arial"/>
        </w:rPr>
        <w:t xml:space="preserve">the ACMA </w:t>
      </w:r>
      <w:r w:rsidR="00E41E34">
        <w:rPr>
          <w:rFonts w:cs="Arial"/>
        </w:rPr>
        <w:t>has regard to</w:t>
      </w:r>
      <w:r w:rsidR="00E41E34" w:rsidRPr="00FF1636">
        <w:rPr>
          <w:rFonts w:cs="Arial"/>
        </w:rPr>
        <w:t xml:space="preserve"> the object of the </w:t>
      </w:r>
      <w:r w:rsidR="00EE1EA9" w:rsidRPr="00C60907">
        <w:t xml:space="preserve">Radiocommunications </w:t>
      </w:r>
      <w:r w:rsidR="00E41E34" w:rsidRPr="00FF1636">
        <w:rPr>
          <w:rFonts w:cs="Arial"/>
        </w:rPr>
        <w:t xml:space="preserve">Act, particularly in relation </w:t>
      </w:r>
      <w:r w:rsidR="00E41E34">
        <w:rPr>
          <w:rFonts w:cs="Arial"/>
        </w:rPr>
        <w:t xml:space="preserve">to facilitating efficient planning, allocation and use of the spectrum, </w:t>
      </w:r>
      <w:r w:rsidR="00C3279C">
        <w:rPr>
          <w:rFonts w:cs="Arial"/>
        </w:rPr>
        <w:t xml:space="preserve">the ACMA </w:t>
      </w:r>
      <w:r w:rsidR="00C3279C" w:rsidRPr="00505346">
        <w:rPr>
          <w:rFonts w:cs="Arial"/>
        </w:rPr>
        <w:t>ma</w:t>
      </w:r>
      <w:r w:rsidR="001556E2">
        <w:rPr>
          <w:rFonts w:cs="Arial"/>
        </w:rPr>
        <w:t>y</w:t>
      </w:r>
      <w:r w:rsidR="00C3279C">
        <w:rPr>
          <w:rFonts w:cs="Arial"/>
        </w:rPr>
        <w:t xml:space="preserve"> consider the extent of fragmentation of licences across a band</w:t>
      </w:r>
      <w:r w:rsidR="00C3279C" w:rsidRPr="00505346">
        <w:rPr>
          <w:rFonts w:cs="Arial"/>
        </w:rPr>
        <w:t xml:space="preserve">, among other things. </w:t>
      </w:r>
    </w:p>
    <w:p w14:paraId="62E10A8A" w14:textId="7565D018" w:rsidR="00D14CB9" w:rsidRPr="00D14CB9" w:rsidRDefault="00FD55E7" w:rsidP="00D14CB9">
      <w:pPr>
        <w:rPr>
          <w:rFonts w:cs="Arial"/>
        </w:rPr>
      </w:pPr>
      <w:r>
        <w:rPr>
          <w:rFonts w:cs="Arial"/>
        </w:rPr>
        <w:t xml:space="preserve">The ACMA acknowledges industry interest regarding defragmentation of the 3.4 GHz band. However, it is not possible to predict all matters that may be relevant to a future decision </w:t>
      </w:r>
      <w:r w:rsidR="00FD4861">
        <w:rPr>
          <w:rFonts w:cs="Arial"/>
        </w:rPr>
        <w:t>on whether renewal of a particular licence is in the public interest. Given this, the ACMA does not consider it is appropriate to predetermine a set of necessary circumstances for the exercise of our future discretion. We consider the public interest statement in the marketing plan will preserve the ACMA’s future discretion to consider a range of public interest factors when dealing with expiring spectrum licences, including the extent of fragmentation in the 3.4 GHz band.</w:t>
      </w:r>
    </w:p>
    <w:p w14:paraId="6E5E447E" w14:textId="56FB0CC7" w:rsidR="00D14CB9" w:rsidRPr="00D14CB9" w:rsidRDefault="00D14CB9" w:rsidP="00974C24">
      <w:pPr>
        <w:pStyle w:val="Paragraph"/>
      </w:pPr>
      <w:r w:rsidRPr="00D14CB9">
        <w:t xml:space="preserve">The ACMA further notes that for consideration of a licence renewal for more than 10 years, under section 77C(5) of the </w:t>
      </w:r>
      <w:r w:rsidR="00EE1EA9" w:rsidRPr="00C60907">
        <w:t xml:space="preserve">Radiocommunications </w:t>
      </w:r>
      <w:r w:rsidRPr="00D14CB9">
        <w:t>Act</w:t>
      </w:r>
      <w:r w:rsidR="005068A5">
        <w:t>,</w:t>
      </w:r>
      <w:r w:rsidRPr="00D14CB9">
        <w:t xml:space="preserve"> the ACMA must be satisfied it is in the public interest to do so, regardless of whether there is a public interest statement included in the licence. </w:t>
      </w:r>
    </w:p>
    <w:p w14:paraId="26F67166" w14:textId="51B45890" w:rsidR="00A57546" w:rsidRDefault="001A7780" w:rsidP="00974C24">
      <w:pPr>
        <w:pStyle w:val="Paragraph"/>
      </w:pPr>
      <w:r>
        <w:t>Given that</w:t>
      </w:r>
      <w:r w:rsidRPr="001A7780">
        <w:t xml:space="preserve"> </w:t>
      </w:r>
      <w:r w:rsidR="00D14CB9" w:rsidRPr="001A7780">
        <w:t xml:space="preserve">the ACMA’s legislative requirements under the </w:t>
      </w:r>
      <w:r w:rsidR="00EE1EA9" w:rsidRPr="001A7780">
        <w:t xml:space="preserve">Radiocommunications </w:t>
      </w:r>
      <w:r w:rsidR="00D14CB9" w:rsidRPr="001A7780">
        <w:t xml:space="preserve">Act </w:t>
      </w:r>
      <w:r>
        <w:t xml:space="preserve">are </w:t>
      </w:r>
      <w:r w:rsidR="00D14CB9" w:rsidRPr="001A7780">
        <w:t>to consider the public interest for a renewal of over 10 years, regardless of whether there is a public interest statement included in a licence, the ACMA considers that it is appropriate not to include a public interest statement on 3.7 GHz licences.</w:t>
      </w:r>
      <w:r w:rsidR="00D14CB9" w:rsidRPr="00D14CB9">
        <w:t xml:space="preserve"> </w:t>
      </w:r>
    </w:p>
    <w:p w14:paraId="1F1E7790" w14:textId="2A6EF5AC" w:rsidR="00E17B88" w:rsidRDefault="009A2BA8" w:rsidP="00BA04C0">
      <w:pPr>
        <w:pStyle w:val="Heading4"/>
        <w:rPr>
          <w:b w:val="0"/>
        </w:rPr>
      </w:pPr>
      <w:r w:rsidRPr="00BA04C0">
        <w:t>Frequency</w:t>
      </w:r>
      <w:r w:rsidR="00E17B88" w:rsidRPr="00FF1636">
        <w:rPr>
          <w:b w:val="0"/>
        </w:rPr>
        <w:t xml:space="preserve"> </w:t>
      </w:r>
      <w:r w:rsidR="00E17B88" w:rsidRPr="004F6782">
        <w:t>lot configuration</w:t>
      </w:r>
    </w:p>
    <w:p w14:paraId="24C7B65F" w14:textId="6B450646" w:rsidR="001F4EFC" w:rsidRPr="001F4EFC" w:rsidRDefault="005068A5" w:rsidP="00974C24">
      <w:pPr>
        <w:pStyle w:val="Paragraphbeforelist"/>
        <w:rPr>
          <w:b/>
        </w:rPr>
      </w:pPr>
      <w:bookmarkStart w:id="12" w:name="_Hlk137541347"/>
      <w:r>
        <w:t>Four</w:t>
      </w:r>
      <w:r w:rsidR="001F4EFC" w:rsidRPr="001F4EFC">
        <w:t xml:space="preserve"> submissions generally supported the ACMA’s preferred view </w:t>
      </w:r>
      <w:r>
        <w:t>on</w:t>
      </w:r>
      <w:r w:rsidR="001F4EFC" w:rsidRPr="001F4EFC">
        <w:t xml:space="preserve"> frequency lot configurations</w:t>
      </w:r>
      <w:r>
        <w:t>,</w:t>
      </w:r>
      <w:r w:rsidR="001F4EFC" w:rsidRPr="001F4EFC">
        <w:t xml:space="preserve"> while 3 did not provide any comment. Submission comments or concerns included:</w:t>
      </w:r>
    </w:p>
    <w:bookmarkEnd w:id="12"/>
    <w:p w14:paraId="1CAC2511" w14:textId="5D94D791" w:rsidR="001F4EFC" w:rsidRPr="001F4EFC" w:rsidRDefault="004648D2" w:rsidP="00974C24">
      <w:pPr>
        <w:pStyle w:val="Bulletlevel1"/>
      </w:pPr>
      <w:r>
        <w:t>O</w:t>
      </w:r>
      <w:r w:rsidR="001F4EFC" w:rsidRPr="001F4EFC">
        <w:t xml:space="preserve">ne </w:t>
      </w:r>
      <w:r w:rsidR="00C72951" w:rsidRPr="001F4EFC">
        <w:t>submi</w:t>
      </w:r>
      <w:r w:rsidR="00C72951">
        <w:t xml:space="preserve">ssion </w:t>
      </w:r>
      <w:r w:rsidR="001F4EFC" w:rsidRPr="001F4EFC">
        <w:t xml:space="preserve">stated that </w:t>
      </w:r>
      <w:r w:rsidR="00C72951">
        <w:t xml:space="preserve">their </w:t>
      </w:r>
      <w:r w:rsidR="001F4EFC" w:rsidRPr="001F4EFC">
        <w:t xml:space="preserve">first preference was for 10 MHz lots. However, </w:t>
      </w:r>
      <w:r>
        <w:t>they</w:t>
      </w:r>
      <w:r w:rsidRPr="001F4EFC">
        <w:t xml:space="preserve"> </w:t>
      </w:r>
      <w:r w:rsidR="001F4EFC" w:rsidRPr="001F4EFC">
        <w:t xml:space="preserve">also accepted 5 MHz lots </w:t>
      </w:r>
      <w:r w:rsidR="005068A5">
        <w:t>if</w:t>
      </w:r>
      <w:r w:rsidR="001F4EFC" w:rsidRPr="001F4EFC">
        <w:t xml:space="preserve"> the auction rules included an ‘minimum spectrum requirement’ (MSR)</w:t>
      </w:r>
      <w:r w:rsidR="008A5F13" w:rsidRPr="005068A5">
        <w:rPr>
          <w:rStyle w:val="FootnoteReference"/>
          <w:rFonts w:ascii="Arial" w:hAnsi="Arial"/>
        </w:rPr>
        <w:footnoteReference w:id="2"/>
      </w:r>
      <w:r w:rsidR="001F4EFC" w:rsidRPr="001F4EFC">
        <w:t xml:space="preserve"> of 2 lots (which would ensure a bidder did not get stranded with one 5 MHz lot). </w:t>
      </w:r>
    </w:p>
    <w:p w14:paraId="1316CCC1" w14:textId="321EADDE" w:rsidR="001F4EFC" w:rsidRPr="001F4EFC" w:rsidRDefault="004648D2" w:rsidP="00974C24">
      <w:pPr>
        <w:pStyle w:val="Bulletlevel1"/>
      </w:pPr>
      <w:r>
        <w:t>A</w:t>
      </w:r>
      <w:r w:rsidR="001F4EFC" w:rsidRPr="001F4EFC">
        <w:t>nother submission supported the ACMA’s proposal to offer generic lots of 5 MHz, with leftover lots of 2.5 MHz in MRC1 and Major Regional Centres 2 (MRC2).</w:t>
      </w:r>
    </w:p>
    <w:p w14:paraId="6CB9B7D7" w14:textId="5E00EF78" w:rsidR="001F4EFC" w:rsidRPr="001F4EFC" w:rsidRDefault="004648D2" w:rsidP="00974C24">
      <w:pPr>
        <w:pStyle w:val="Bulletlevel1last"/>
      </w:pPr>
      <w:r>
        <w:t>T</w:t>
      </w:r>
      <w:r w:rsidR="001F4EFC" w:rsidRPr="001F4EFC">
        <w:t>hat a lot size of 5 MHz has the advantage of enabling existing licensees with holdings that are not multiples of 10 MHz to potentially ‘round up’ their holdings and that while some bidders may require a minimum of 10 MHz, this may be addressed through an MSR.</w:t>
      </w:r>
    </w:p>
    <w:p w14:paraId="6106E94C" w14:textId="2E25FF08" w:rsidR="00E05F4E" w:rsidRPr="00B24265" w:rsidRDefault="00B274DA" w:rsidP="00BA11D0">
      <w:pPr>
        <w:pStyle w:val="Heading4"/>
        <w:keepNext/>
        <w:keepLines/>
      </w:pPr>
      <w:r w:rsidRPr="00B24265">
        <w:lastRenderedPageBreak/>
        <w:t>ACMA view</w:t>
      </w:r>
    </w:p>
    <w:p w14:paraId="620FFFF7" w14:textId="330EC676" w:rsidR="00FA6E82" w:rsidRPr="00FA6E82" w:rsidRDefault="00FA6E82" w:rsidP="00BA11D0">
      <w:pPr>
        <w:keepNext/>
        <w:keepLines/>
        <w:rPr>
          <w:rFonts w:cs="Arial"/>
        </w:rPr>
      </w:pPr>
      <w:r w:rsidRPr="00FA6E82">
        <w:rPr>
          <w:rFonts w:cs="Arial"/>
        </w:rPr>
        <w:t xml:space="preserve">After considering consultation submissions and current </w:t>
      </w:r>
      <w:r w:rsidR="00B879B7">
        <w:rPr>
          <w:rFonts w:cs="Arial"/>
        </w:rPr>
        <w:t>technical operational trends</w:t>
      </w:r>
      <w:r w:rsidRPr="00FA6E82">
        <w:rPr>
          <w:rFonts w:cs="Arial"/>
        </w:rPr>
        <w:t xml:space="preserve">, the ACMA notes that 10 MHz lots would be the optimal configuration to enable the deployments of 5G technologies. However, given the nature of existing licences in the 3.4 GHz and 3.6 GHz bands, we understand that some potential bidders may seek to supplement their existing licences to obtain contiguous licences consistent with the </w:t>
      </w:r>
      <w:r w:rsidR="004648D2" w:rsidRPr="00FA6E82">
        <w:rPr>
          <w:rFonts w:cs="Arial"/>
        </w:rPr>
        <w:t>10</w:t>
      </w:r>
      <w:r w:rsidR="004648D2">
        <w:rPr>
          <w:rFonts w:cs="Arial"/>
        </w:rPr>
        <w:t> </w:t>
      </w:r>
      <w:r w:rsidRPr="00FA6E82">
        <w:rPr>
          <w:rFonts w:cs="Arial"/>
        </w:rPr>
        <w:t xml:space="preserve">MHz-based configuration. </w:t>
      </w:r>
    </w:p>
    <w:p w14:paraId="1ADB8C43" w14:textId="58E06D7D" w:rsidR="00FA6E82" w:rsidRPr="00FA6E82" w:rsidRDefault="00FA6E82" w:rsidP="00FA6E82">
      <w:pPr>
        <w:rPr>
          <w:rFonts w:cs="Arial"/>
        </w:rPr>
      </w:pPr>
      <w:r w:rsidRPr="00FA6E82">
        <w:rPr>
          <w:rFonts w:cs="Arial"/>
        </w:rPr>
        <w:t>To mitigate the risk that a bidder will acquire an amount of spectrum that is unusable due to the technology standards (</w:t>
      </w:r>
      <w:r w:rsidR="003E4E2C">
        <w:rPr>
          <w:rFonts w:cs="Arial"/>
        </w:rPr>
        <w:t>that is,</w:t>
      </w:r>
      <w:r w:rsidRPr="00FA6E82">
        <w:rPr>
          <w:rFonts w:cs="Arial"/>
        </w:rPr>
        <w:t xml:space="preserve"> less than 10 MHz of spectrum), we have implemented the MSR feature used in previous auctions.</w:t>
      </w:r>
    </w:p>
    <w:p w14:paraId="73A09E89" w14:textId="77777777" w:rsidR="00FA6E82" w:rsidRPr="00FA6E82" w:rsidRDefault="00FA6E82" w:rsidP="00974C24">
      <w:pPr>
        <w:pStyle w:val="Paragraph"/>
      </w:pPr>
      <w:r w:rsidRPr="00FA6E82">
        <w:t xml:space="preserve">Therefore, the ACMA considers a 5 MHz lot size is appropriate to address a range of demand from potential bidders while ensuring that bidders can acquire usable amounts of spectrum. The ACMA has not made changes to the proposed 5 MHz generalised lot configuration and the 2.5 MHz leftover lot configuration. </w:t>
      </w:r>
    </w:p>
    <w:p w14:paraId="17C17AEB" w14:textId="221F1D37" w:rsidR="00E17B88" w:rsidRPr="00740292" w:rsidRDefault="00055A60" w:rsidP="00974C24">
      <w:pPr>
        <w:pStyle w:val="Heading4"/>
        <w:keepNext/>
      </w:pPr>
      <w:r w:rsidRPr="004B2494">
        <w:t xml:space="preserve">Geographic </w:t>
      </w:r>
      <w:r w:rsidRPr="004648D2">
        <w:t>lot</w:t>
      </w:r>
      <w:r w:rsidRPr="004B2494">
        <w:t xml:space="preserve"> </w:t>
      </w:r>
      <w:r w:rsidR="00461296" w:rsidRPr="00740292">
        <w:t>configuration</w:t>
      </w:r>
    </w:p>
    <w:p w14:paraId="0E20AD09" w14:textId="7A46F343" w:rsidR="004648D2" w:rsidRDefault="004648D2" w:rsidP="004648D2">
      <w:pPr>
        <w:pStyle w:val="Paragraph"/>
      </w:pPr>
      <w:bookmarkStart w:id="13" w:name="_Hlk137543104"/>
      <w:r>
        <w:t>Three</w:t>
      </w:r>
      <w:r w:rsidRPr="00DC29B4">
        <w:t xml:space="preserve"> </w:t>
      </w:r>
      <w:r w:rsidR="00DC29B4" w:rsidRPr="00DC29B4">
        <w:t xml:space="preserve">submissions generally supported the ACMA’s preferred view </w:t>
      </w:r>
      <w:r>
        <w:t>for</w:t>
      </w:r>
      <w:r w:rsidR="00DC29B4" w:rsidRPr="00DC29B4">
        <w:t xml:space="preserve"> geographic lot configuration, </w:t>
      </w:r>
      <w:r>
        <w:t>one</w:t>
      </w:r>
      <w:r w:rsidR="00DC29B4" w:rsidRPr="00DC29B4">
        <w:t xml:space="preserve"> did not support the ACMA’s proposal in relation to rural areas while 3 did not provide comment. </w:t>
      </w:r>
    </w:p>
    <w:p w14:paraId="7CBF19B8" w14:textId="3C5AF659" w:rsidR="00DC29B4" w:rsidRPr="00DC29B4" w:rsidRDefault="00AE2B19" w:rsidP="00954BE5">
      <w:pPr>
        <w:pStyle w:val="Paragraphbeforelist"/>
        <w:rPr>
          <w:b/>
        </w:rPr>
      </w:pPr>
      <w:r>
        <w:t>Views</w:t>
      </w:r>
      <w:r w:rsidR="00DC29B4" w:rsidRPr="00DC29B4">
        <w:t xml:space="preserve"> </w:t>
      </w:r>
      <w:r w:rsidR="000A662D">
        <w:t xml:space="preserve">outlined in submissions </w:t>
      </w:r>
      <w:r w:rsidR="00DC29B4" w:rsidRPr="00DC29B4">
        <w:t>included:</w:t>
      </w:r>
    </w:p>
    <w:bookmarkEnd w:id="13"/>
    <w:p w14:paraId="4A4AB2FC" w14:textId="28354901" w:rsidR="00DC29B4" w:rsidRPr="00DC29B4" w:rsidRDefault="006D679E" w:rsidP="00954BE5">
      <w:pPr>
        <w:pStyle w:val="Bulletlevel1"/>
      </w:pPr>
      <w:r>
        <w:t>A</w:t>
      </w:r>
      <w:r w:rsidR="00DC29B4" w:rsidRPr="00DC29B4">
        <w:t xml:space="preserve"> preference </w:t>
      </w:r>
      <w:r w:rsidR="00A41EEC">
        <w:t xml:space="preserve">was </w:t>
      </w:r>
      <w:r w:rsidR="00DC29B4" w:rsidRPr="00DC29B4">
        <w:t>expressed in one submission that the geographic boundaries of existing licences in the 3.6 GHz band be used for the configuration of the rest of the band, as it would deliver greater alignment across licences and would support potential future band defragmentation.</w:t>
      </w:r>
    </w:p>
    <w:p w14:paraId="2EC1533A" w14:textId="2DAFD58A" w:rsidR="00DC29B4" w:rsidRPr="00DC29B4" w:rsidRDefault="006D679E" w:rsidP="00954BE5">
      <w:pPr>
        <w:pStyle w:val="Bulletlevel1"/>
      </w:pPr>
      <w:r>
        <w:t>T</w:t>
      </w:r>
      <w:r w:rsidR="00DC29B4" w:rsidRPr="00DC29B4">
        <w:t xml:space="preserve">here is an exposure risk associated with the geographic divide, for example, in metropolitan Sydney and </w:t>
      </w:r>
      <w:r>
        <w:t>r</w:t>
      </w:r>
      <w:r w:rsidR="00DC29B4" w:rsidRPr="00DC29B4">
        <w:t xml:space="preserve">egional NSW. This submission suggested that spectrum in </w:t>
      </w:r>
      <w:r>
        <w:t>r</w:t>
      </w:r>
      <w:r w:rsidR="00DC29B4" w:rsidRPr="00DC29B4">
        <w:t>egional NSW areas had limited economic value and ultimately may not be used by a winning bidder if the bidder did not also win spectrum in the Sydney area.</w:t>
      </w:r>
    </w:p>
    <w:p w14:paraId="49A29E34" w14:textId="490A2E18" w:rsidR="00DC29B4" w:rsidRPr="00DC29B4" w:rsidRDefault="00DC29B4" w:rsidP="00954BE5">
      <w:pPr>
        <w:pStyle w:val="Bulletlevel1"/>
      </w:pPr>
      <w:r w:rsidRPr="00DC29B4">
        <w:t xml:space="preserve">For </w:t>
      </w:r>
      <w:r w:rsidR="006D679E">
        <w:t>‘r</w:t>
      </w:r>
      <w:r w:rsidRPr="00DC29B4">
        <w:t>ural Australia</w:t>
      </w:r>
      <w:r w:rsidR="006D679E">
        <w:t>’</w:t>
      </w:r>
      <w:r w:rsidRPr="00DC29B4">
        <w:t>, one submission expressed a preference for Option B</w:t>
      </w:r>
      <w:r w:rsidR="006D679E">
        <w:t xml:space="preserve">, which </w:t>
      </w:r>
      <w:r w:rsidRPr="00DC29B4">
        <w:t xml:space="preserve">proposed that 3.4 GHz licences to be allocated should be aligned with the boundaries of existing licences in the 3.4 GHz band. The </w:t>
      </w:r>
      <w:r w:rsidR="00C72951" w:rsidRPr="00DC29B4">
        <w:t>submi</w:t>
      </w:r>
      <w:r w:rsidR="00C72951">
        <w:t>ssion</w:t>
      </w:r>
      <w:r w:rsidR="00C72951" w:rsidRPr="00DC29B4">
        <w:t xml:space="preserve"> </w:t>
      </w:r>
      <w:r w:rsidR="00C72951">
        <w:t>asserted</w:t>
      </w:r>
      <w:r w:rsidR="00C72951" w:rsidRPr="00DC29B4">
        <w:t xml:space="preserve"> </w:t>
      </w:r>
      <w:r w:rsidRPr="00DC29B4">
        <w:t>that Option B would:</w:t>
      </w:r>
    </w:p>
    <w:p w14:paraId="7E9C0B53" w14:textId="6C1D4A10" w:rsidR="00DC29B4" w:rsidRPr="00DC29B4" w:rsidRDefault="00DC29B4" w:rsidP="00954BE5">
      <w:pPr>
        <w:pStyle w:val="Bulletlevel2"/>
      </w:pPr>
      <w:r w:rsidRPr="00DC29B4">
        <w:t>support defragmentation</w:t>
      </w:r>
    </w:p>
    <w:p w14:paraId="436B7892" w14:textId="3AAF3270" w:rsidR="00DC29B4" w:rsidRPr="00DC29B4" w:rsidRDefault="00B669E5" w:rsidP="00954BE5">
      <w:pPr>
        <w:pStyle w:val="Bulletlevel2"/>
      </w:pPr>
      <w:r w:rsidRPr="00DC29B4">
        <w:t>maximise</w:t>
      </w:r>
      <w:r w:rsidR="00DC29B4" w:rsidRPr="00DC29B4">
        <w:t xml:space="preserve"> efficiency by enabling contiguous holdings across a wide geographic area</w:t>
      </w:r>
    </w:p>
    <w:p w14:paraId="0CFD57FA" w14:textId="77777777" w:rsidR="00DC29B4" w:rsidRPr="00DC29B4" w:rsidRDefault="00DC29B4" w:rsidP="00954BE5">
      <w:pPr>
        <w:pStyle w:val="Bulletlevel2last"/>
      </w:pPr>
      <w:r w:rsidRPr="00DC29B4">
        <w:t>minimise complexity for potential bidders.</w:t>
      </w:r>
    </w:p>
    <w:p w14:paraId="1CE529F5" w14:textId="6DAFBAD3" w:rsidR="00C22A57" w:rsidRDefault="00C22A57" w:rsidP="00107F28">
      <w:pPr>
        <w:pStyle w:val="Heading4"/>
      </w:pPr>
      <w:r w:rsidRPr="00C22A57">
        <w:t xml:space="preserve">ACMA </w:t>
      </w:r>
      <w:r>
        <w:t>view</w:t>
      </w:r>
    </w:p>
    <w:p w14:paraId="40BF4B27" w14:textId="630BCD88" w:rsidR="00880D12" w:rsidRPr="00880D12" w:rsidRDefault="00880D12" w:rsidP="00BC1315">
      <w:pPr>
        <w:pStyle w:val="Paragraphbeforelist"/>
      </w:pPr>
      <w:r w:rsidRPr="00880D12">
        <w:t>In the consultation paper, the ACMA proposed that the products should be geographically divided</w:t>
      </w:r>
      <w:r w:rsidR="006D679E">
        <w:t xml:space="preserve"> as follows</w:t>
      </w:r>
      <w:r w:rsidRPr="00880D12">
        <w:t>:</w:t>
      </w:r>
    </w:p>
    <w:p w14:paraId="05B2F189" w14:textId="56D8B345" w:rsidR="00880D12" w:rsidRPr="00880D12" w:rsidRDefault="006D679E" w:rsidP="00BC1315">
      <w:pPr>
        <w:pStyle w:val="Bulletlevel1"/>
      </w:pPr>
      <w:r>
        <w:t>m</w:t>
      </w:r>
      <w:r w:rsidR="00880D12" w:rsidRPr="00880D12">
        <w:t>etropolitan areas should be separate products rather than one nationwide metropolitan product</w:t>
      </w:r>
    </w:p>
    <w:p w14:paraId="3CE8CA7E" w14:textId="5262483D" w:rsidR="00880D12" w:rsidRPr="00880D12" w:rsidRDefault="006D679E" w:rsidP="00BC1315">
      <w:pPr>
        <w:pStyle w:val="Bulletlevel1"/>
      </w:pPr>
      <w:r>
        <w:t>t</w:t>
      </w:r>
      <w:r w:rsidR="00880D12" w:rsidRPr="00880D12">
        <w:t xml:space="preserve">he boundaries of regional areas should be aligned with the boundaries of existing licences in regional areas in the 3.6 GHz band as much as possible (shown in Figure 1A) </w:t>
      </w:r>
    </w:p>
    <w:p w14:paraId="49AD26AE" w14:textId="2E46E632" w:rsidR="00880D12" w:rsidRPr="00880D12" w:rsidRDefault="006D679E" w:rsidP="00BC1315">
      <w:pPr>
        <w:pStyle w:val="Bulletlevel1last"/>
      </w:pPr>
      <w:r>
        <w:t>f</w:t>
      </w:r>
      <w:r w:rsidR="00880D12" w:rsidRPr="00880D12">
        <w:t>or the 3.75</w:t>
      </w:r>
      <w:r>
        <w:t>–</w:t>
      </w:r>
      <w:r w:rsidR="00880D12" w:rsidRPr="00880D12">
        <w:t xml:space="preserve">3.8 GHz frequency range, each regional area surrounding each metropolitan area should be configured as one regional product (rather than two or more regional products) (shown in Figure 1B).  </w:t>
      </w:r>
    </w:p>
    <w:tbl>
      <w:tblPr>
        <w:tblStyle w:val="TableGrid2"/>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782"/>
      </w:tblGrid>
      <w:tr w:rsidR="00880D12" w:rsidRPr="00880D12" w14:paraId="6A6B4B08" w14:textId="77777777">
        <w:tc>
          <w:tcPr>
            <w:tcW w:w="5245" w:type="dxa"/>
          </w:tcPr>
          <w:p w14:paraId="12B1B210" w14:textId="77777777" w:rsidR="00880D12" w:rsidRPr="00880D12" w:rsidRDefault="00880D12" w:rsidP="00880D12">
            <w:pPr>
              <w:keepNext/>
              <w:rPr>
                <w:rFonts w:cs="Arial"/>
                <w:i/>
              </w:rPr>
            </w:pPr>
            <w:r w:rsidRPr="00880D12">
              <w:rPr>
                <w:rFonts w:cs="Arial"/>
                <w:i/>
              </w:rPr>
              <w:lastRenderedPageBreak/>
              <w:t>Figure 1A: 3.6 GHz band licence boundaries</w:t>
            </w:r>
          </w:p>
          <w:p w14:paraId="4608C2EA" w14:textId="77777777" w:rsidR="00880D12" w:rsidRPr="00880D12" w:rsidRDefault="00880D12" w:rsidP="00880D12">
            <w:pPr>
              <w:rPr>
                <w:rFonts w:cs="Arial"/>
                <w:i/>
              </w:rPr>
            </w:pPr>
            <w:r w:rsidRPr="00880D12">
              <w:rPr>
                <w:rFonts w:cs="Arial"/>
                <w:noProof/>
              </w:rPr>
              <w:drawing>
                <wp:inline distT="0" distB="0" distL="0" distR="0" wp14:anchorId="276479B4" wp14:editId="549DA7DC">
                  <wp:extent cx="3152775" cy="2676405"/>
                  <wp:effectExtent l="0" t="0" r="0" b="0"/>
                  <wp:docPr id="3" name="Picture 3" descr="Figure 7: Rural Australia option (c) – 3.6 GHz region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5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id="{66EE3F1F-49EE-4170-94E1-6A9E8653B6C4}"/>
                              </a:ext>
                            </a:extLst>
                          </a:blip>
                          <a:srcRect r="1272"/>
                          <a:stretch>
                            <a:fillRect/>
                          </a:stretch>
                        </pic:blipFill>
                        <pic:spPr>
                          <a:xfrm>
                            <a:off x="0" y="0"/>
                            <a:ext cx="3152775" cy="2676405"/>
                          </a:xfrm>
                          <a:prstGeom prst="rect">
                            <a:avLst/>
                          </a:prstGeom>
                        </pic:spPr>
                      </pic:pic>
                    </a:graphicData>
                  </a:graphic>
                </wp:inline>
              </w:drawing>
            </w:r>
          </w:p>
        </w:tc>
        <w:tc>
          <w:tcPr>
            <w:tcW w:w="4782" w:type="dxa"/>
          </w:tcPr>
          <w:p w14:paraId="592A6033" w14:textId="77777777" w:rsidR="00880D12" w:rsidRPr="00880D12" w:rsidRDefault="00880D12" w:rsidP="00880D12">
            <w:pPr>
              <w:rPr>
                <w:rFonts w:cs="Arial"/>
                <w:i/>
              </w:rPr>
            </w:pPr>
            <w:r w:rsidRPr="00880D12">
              <w:rPr>
                <w:rFonts w:cs="Arial"/>
                <w:i/>
              </w:rPr>
              <w:t>Figure 1B: Proposed 3.75 GHz upwards licence boundaries</w:t>
            </w:r>
          </w:p>
          <w:p w14:paraId="49B97286" w14:textId="77777777" w:rsidR="00880D12" w:rsidRPr="00880D12" w:rsidRDefault="00880D12" w:rsidP="00880D12">
            <w:pPr>
              <w:rPr>
                <w:rFonts w:cs="Arial"/>
                <w:i/>
              </w:rPr>
            </w:pPr>
            <w:r w:rsidRPr="00880D12">
              <w:rPr>
                <w:rFonts w:cs="Arial"/>
                <w:noProof/>
              </w:rPr>
              <w:drawing>
                <wp:inline distT="0" distB="0" distL="0" distR="0" wp14:anchorId="3F3D88F9" wp14:editId="455692DE">
                  <wp:extent cx="2838094" cy="2536825"/>
                  <wp:effectExtent l="0" t="0" r="635" b="0"/>
                  <wp:docPr id="4" name="Picture 4" descr="Figure 1B: Proposed 3.75 GHz upwards licence bound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B: Proposed 3.75 GHz upwards licence boundaries"/>
                          <pic:cNvPicPr/>
                        </pic:nvPicPr>
                        <pic:blipFill rotWithShape="1">
                          <a:blip r:embed="rId52"/>
                          <a:srcRect t="4994"/>
                          <a:stretch/>
                        </pic:blipFill>
                        <pic:spPr bwMode="auto">
                          <a:xfrm>
                            <a:off x="0" y="0"/>
                            <a:ext cx="2845462" cy="2543411"/>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2A4F45" w14:textId="69E04BD9" w:rsidR="00880D12" w:rsidRPr="00880D12" w:rsidRDefault="00880D12" w:rsidP="00F92FBC">
      <w:pPr>
        <w:spacing w:before="240"/>
        <w:rPr>
          <w:rFonts w:cs="Arial"/>
        </w:rPr>
      </w:pPr>
      <w:r w:rsidRPr="00880D12">
        <w:rPr>
          <w:rFonts w:cs="Arial"/>
        </w:rPr>
        <w:t xml:space="preserve">After considering consultation submissions, the ACMA acknowledges that aligning spectrum licence boundaries with existing licences in the 3.4 GHz band may </w:t>
      </w:r>
      <w:r w:rsidR="005F0ED6">
        <w:rPr>
          <w:rFonts w:cs="Arial"/>
        </w:rPr>
        <w:t xml:space="preserve">facilitate </w:t>
      </w:r>
      <w:r w:rsidRPr="00880D12">
        <w:rPr>
          <w:rFonts w:cs="Arial"/>
        </w:rPr>
        <w:t>trading to defragment 3.4 GHz band licences. However, the ACMA considers that the resulting large regional lots may not adequately address regionally</w:t>
      </w:r>
      <w:r w:rsidR="006D679E">
        <w:rPr>
          <w:rFonts w:cs="Arial"/>
        </w:rPr>
        <w:t xml:space="preserve"> </w:t>
      </w:r>
      <w:r w:rsidRPr="00880D12">
        <w:rPr>
          <w:rFonts w:cs="Arial"/>
        </w:rPr>
        <w:t>focused demand for spectrum from potential bidders across regional Australia. The ACMA also notes that the large regional lots may result in an unfair or counter</w:t>
      </w:r>
      <w:r w:rsidR="006D679E">
        <w:rPr>
          <w:rFonts w:cs="Arial"/>
        </w:rPr>
        <w:t>-</w:t>
      </w:r>
      <w:r w:rsidRPr="00880D12">
        <w:rPr>
          <w:rFonts w:cs="Arial"/>
        </w:rPr>
        <w:t>intuitive application of allocation limits.</w:t>
      </w:r>
      <w:r w:rsidR="00533211">
        <w:rPr>
          <w:rFonts w:cs="Arial"/>
        </w:rPr>
        <w:t xml:space="preserve">  On that basis, the ACMA has retained </w:t>
      </w:r>
      <w:r w:rsidR="00263410">
        <w:rPr>
          <w:rFonts w:cs="Arial"/>
        </w:rPr>
        <w:t xml:space="preserve">the regional lot alignment with </w:t>
      </w:r>
      <w:r w:rsidR="00263410" w:rsidRPr="00263410">
        <w:rPr>
          <w:rFonts w:cs="Arial"/>
        </w:rPr>
        <w:t>the boundaries of existing licences in regional areas in the 3.6 GHz band as much as possible</w:t>
      </w:r>
      <w:r w:rsidR="006D679E">
        <w:rPr>
          <w:rFonts w:cs="Arial"/>
        </w:rPr>
        <w:t>.</w:t>
      </w:r>
    </w:p>
    <w:p w14:paraId="3F511EE1" w14:textId="6E160B68" w:rsidR="002F3DA1" w:rsidRPr="006D679E" w:rsidRDefault="006F675E" w:rsidP="006D679E">
      <w:pPr>
        <w:pStyle w:val="Heading4"/>
      </w:pPr>
      <w:r w:rsidRPr="006D679E">
        <w:t>Product naming</w:t>
      </w:r>
      <w:r w:rsidR="000C56CE" w:rsidRPr="006D679E">
        <w:t xml:space="preserve"> and</w:t>
      </w:r>
      <w:r w:rsidRPr="006D679E">
        <w:t xml:space="preserve"> metropolitan/regional </w:t>
      </w:r>
      <w:r w:rsidR="00484CA4" w:rsidRPr="006D679E">
        <w:t>classification</w:t>
      </w:r>
      <w:r w:rsidRPr="006D679E">
        <w:t xml:space="preserve"> </w:t>
      </w:r>
    </w:p>
    <w:p w14:paraId="4146B40A" w14:textId="2FDC2235" w:rsidR="009B0491" w:rsidRDefault="006D679E" w:rsidP="00F92FBC">
      <w:pPr>
        <w:pStyle w:val="Paragraph"/>
      </w:pPr>
      <w:r>
        <w:t>Two</w:t>
      </w:r>
      <w:r w:rsidR="002E53FA" w:rsidRPr="002E53FA">
        <w:t xml:space="preserve"> submissions generally supported the ACMA’s preferred view </w:t>
      </w:r>
      <w:r w:rsidR="009B0491">
        <w:t xml:space="preserve">for </w:t>
      </w:r>
      <w:r w:rsidR="002E53FA" w:rsidRPr="002E53FA">
        <w:t xml:space="preserve">product naming, </w:t>
      </w:r>
      <w:r w:rsidR="009B0491">
        <w:t>one</w:t>
      </w:r>
      <w:r w:rsidR="002E53FA" w:rsidRPr="002E53FA">
        <w:t xml:space="preserve"> proposed an alternative product order and </w:t>
      </w:r>
      <w:r w:rsidR="009B0491">
        <w:t>four</w:t>
      </w:r>
      <w:r w:rsidR="009B0491" w:rsidRPr="002E53FA">
        <w:t xml:space="preserve"> </w:t>
      </w:r>
      <w:r w:rsidR="002E53FA" w:rsidRPr="002E53FA">
        <w:t xml:space="preserve">did not provide any comment. In relation to the metropolitan/regional classification of products, there was only </w:t>
      </w:r>
      <w:r w:rsidR="009B0491">
        <w:t>one</w:t>
      </w:r>
      <w:r w:rsidR="002E53FA" w:rsidRPr="002E53FA">
        <w:t xml:space="preserve"> suggested change to the ACMA’s preferred view, while </w:t>
      </w:r>
      <w:r w:rsidR="009B0491">
        <w:t>six</w:t>
      </w:r>
      <w:r w:rsidR="002E53FA" w:rsidRPr="002E53FA">
        <w:t xml:space="preserve"> submissions did not provide any comment. </w:t>
      </w:r>
    </w:p>
    <w:p w14:paraId="6DDB898F" w14:textId="5A67D7F6" w:rsidR="002E53FA" w:rsidRPr="002E53FA" w:rsidRDefault="00F92FBC" w:rsidP="00F92FBC">
      <w:pPr>
        <w:pStyle w:val="Paragraphbeforelist"/>
      </w:pPr>
      <w:r>
        <w:t>Views</w:t>
      </w:r>
      <w:r w:rsidR="000A662D">
        <w:t xml:space="preserve"> outlined in submissions</w:t>
      </w:r>
      <w:r w:rsidR="002E53FA" w:rsidRPr="002E53FA">
        <w:t xml:space="preserve"> included:</w:t>
      </w:r>
    </w:p>
    <w:p w14:paraId="1A392D03" w14:textId="14AAD645" w:rsidR="002E53FA" w:rsidRPr="002E53FA" w:rsidRDefault="009B0491" w:rsidP="00F92FBC">
      <w:pPr>
        <w:pStyle w:val="Bulletlevel1"/>
      </w:pPr>
      <w:r>
        <w:t>O</w:t>
      </w:r>
      <w:r w:rsidR="002E53FA" w:rsidRPr="002E53FA">
        <w:t xml:space="preserve">ne submission, while agreeing with the product naming scheme, proposed an alternative product order be used in the auction system. The submission asserted that the current order groups ‘types of region’ together, but are not geographically ordered, and that this will make it harder to use the auction system and creates the potential for bid errors. </w:t>
      </w:r>
    </w:p>
    <w:p w14:paraId="1E807B86" w14:textId="78EAD56D" w:rsidR="002E53FA" w:rsidRPr="002E53FA" w:rsidRDefault="009B0491" w:rsidP="00F92FBC">
      <w:pPr>
        <w:pStyle w:val="Bulletlevel1last"/>
      </w:pPr>
      <w:r>
        <w:t>A</w:t>
      </w:r>
      <w:r w:rsidR="002E53FA" w:rsidRPr="002E53FA">
        <w:t xml:space="preserve">nother submission, while supporting the proposed naming scheme, did not support the proposal to treat the Hobart product as a metropolitan product. </w:t>
      </w:r>
    </w:p>
    <w:p w14:paraId="6F322995" w14:textId="6F7F4EB5" w:rsidR="00DE3095" w:rsidRPr="00DE3095" w:rsidRDefault="00DE3095" w:rsidP="00F92FBC">
      <w:pPr>
        <w:pStyle w:val="Heading4"/>
      </w:pPr>
      <w:r w:rsidRPr="00DE3095">
        <w:t>ACMA view</w:t>
      </w:r>
    </w:p>
    <w:p w14:paraId="5E187C01" w14:textId="74D1F152" w:rsidR="00370E72" w:rsidRPr="00370E72" w:rsidRDefault="00370E72" w:rsidP="00F92FBC">
      <w:pPr>
        <w:pStyle w:val="Paragraph"/>
      </w:pPr>
      <w:bookmarkStart w:id="14" w:name="_Hlk137737282"/>
      <w:r w:rsidRPr="00370E72">
        <w:t xml:space="preserve">In the consultation paper, the ACMA proposed that products in </w:t>
      </w:r>
      <w:r w:rsidR="009B0491">
        <w:t>the</w:t>
      </w:r>
      <w:r w:rsidRPr="00370E72" w:rsidDel="009B0491">
        <w:t xml:space="preserve"> </w:t>
      </w:r>
      <w:r w:rsidRPr="00370E72">
        <w:t xml:space="preserve">3400–3475 MHz </w:t>
      </w:r>
      <w:r w:rsidR="009B0491" w:rsidRPr="00370E72">
        <w:t xml:space="preserve">frequency range </w:t>
      </w:r>
      <w:r w:rsidRPr="00370E72">
        <w:t xml:space="preserve">have a product name ending with </w:t>
      </w:r>
      <w:r w:rsidR="009B0491">
        <w:t>‘</w:t>
      </w:r>
      <w:r w:rsidRPr="00370E72">
        <w:t>Lower</w:t>
      </w:r>
      <w:r w:rsidR="009B0491">
        <w:t>’</w:t>
      </w:r>
      <w:r w:rsidRPr="00370E72">
        <w:t xml:space="preserve"> and product ID ending in 01, products in </w:t>
      </w:r>
      <w:r w:rsidR="009B0491">
        <w:t xml:space="preserve">the </w:t>
      </w:r>
      <w:r w:rsidRPr="00370E72">
        <w:t xml:space="preserve">3475–3575 MHz </w:t>
      </w:r>
      <w:r w:rsidR="009B0491">
        <w:t xml:space="preserve">range </w:t>
      </w:r>
      <w:r w:rsidRPr="00370E72">
        <w:t xml:space="preserve">have a name ending in </w:t>
      </w:r>
      <w:r w:rsidR="009B0491">
        <w:t>‘</w:t>
      </w:r>
      <w:r w:rsidRPr="00370E72">
        <w:t>Middle</w:t>
      </w:r>
      <w:r w:rsidR="009B0491">
        <w:t>’</w:t>
      </w:r>
      <w:r w:rsidRPr="00370E72">
        <w:t xml:space="preserve"> with a product ID ending in 02, and products in </w:t>
      </w:r>
      <w:r w:rsidR="009B0491">
        <w:t xml:space="preserve">the </w:t>
      </w:r>
      <w:r w:rsidRPr="00370E72">
        <w:t xml:space="preserve">3700–3800 MHz </w:t>
      </w:r>
      <w:r w:rsidR="009B0491">
        <w:t xml:space="preserve">range </w:t>
      </w:r>
      <w:r w:rsidRPr="00370E72">
        <w:t xml:space="preserve">have a name ending in </w:t>
      </w:r>
      <w:r w:rsidR="009B0491">
        <w:t>‘</w:t>
      </w:r>
      <w:r w:rsidRPr="00370E72">
        <w:t>Upper</w:t>
      </w:r>
      <w:r w:rsidR="009B0491">
        <w:t>’</w:t>
      </w:r>
      <w:r w:rsidRPr="00370E72">
        <w:t xml:space="preserve"> with a product ID ending in 03.</w:t>
      </w:r>
    </w:p>
    <w:p w14:paraId="6C5A2DB1" w14:textId="77777777" w:rsidR="00370E72" w:rsidRPr="00370E72" w:rsidRDefault="00370E72" w:rsidP="00107F28">
      <w:pPr>
        <w:pStyle w:val="Paragraph"/>
      </w:pPr>
      <w:r w:rsidRPr="00370E72">
        <w:t xml:space="preserve">The ACMA also proposed to define the metropolitan products to be those that related to Adelaide, Brisbane, Canberra, Hobart, Melbourne, Perth and Sydney. Regional </w:t>
      </w:r>
      <w:r w:rsidRPr="00370E72">
        <w:lastRenderedPageBreak/>
        <w:t xml:space="preserve">products related to all other areas in which spectrum would be available through the allocation process. </w:t>
      </w:r>
    </w:p>
    <w:p w14:paraId="5A97DEC1" w14:textId="77777777" w:rsidR="00370E72" w:rsidRPr="00370E72" w:rsidRDefault="00370E72" w:rsidP="00370E72">
      <w:pPr>
        <w:rPr>
          <w:rFonts w:cs="Arial"/>
        </w:rPr>
      </w:pPr>
      <w:r w:rsidRPr="00370E72">
        <w:rPr>
          <w:rFonts w:cs="Arial"/>
        </w:rPr>
        <w:t xml:space="preserve">The ACMA acknowledges that the optimal product order may differ between bidders depending their specific demand (for example, one bidder may wish to acquire spectrum on a geographic basis, another bidder may only want in spectrum in major regional centres while another bidder may only seek to acquire metropolitan area spectrum). However, there are various filtering functions available in the auction system, including a search function that will enable bidders to look up the specific product they wish to express demand for in any given round. </w:t>
      </w:r>
    </w:p>
    <w:p w14:paraId="6485264A" w14:textId="649E5B2D" w:rsidR="000F1DBC" w:rsidRPr="009B0491" w:rsidRDefault="0042331B" w:rsidP="00107F28">
      <w:pPr>
        <w:pStyle w:val="Heading2"/>
      </w:pPr>
      <w:bookmarkStart w:id="15" w:name="_Toc139280831"/>
      <w:bookmarkEnd w:id="14"/>
      <w:r w:rsidRPr="009B0491">
        <w:t xml:space="preserve">Allocation </w:t>
      </w:r>
      <w:r w:rsidR="009B0491" w:rsidRPr="009B0491">
        <w:t>d</w:t>
      </w:r>
      <w:r w:rsidRPr="009B0491">
        <w:t>etermination</w:t>
      </w:r>
      <w:bookmarkEnd w:id="15"/>
    </w:p>
    <w:p w14:paraId="5849417F" w14:textId="090C0849" w:rsidR="009B0491" w:rsidRDefault="009B0491" w:rsidP="009B0491">
      <w:pPr>
        <w:pStyle w:val="Heading3"/>
      </w:pPr>
      <w:bookmarkStart w:id="16" w:name="_Toc139280832"/>
      <w:r>
        <w:t>Issues for comment</w:t>
      </w:r>
      <w:bookmarkEnd w:id="16"/>
    </w:p>
    <w:p w14:paraId="51BCFBFC" w14:textId="77777777" w:rsidR="009B0491" w:rsidRDefault="009B0491" w:rsidP="00107F28">
      <w:pPr>
        <w:pStyle w:val="Heading4"/>
        <w:spacing w:before="120"/>
      </w:pPr>
      <w:r w:rsidRPr="005B0768">
        <w:t>Sequencing</w:t>
      </w:r>
    </w:p>
    <w:p w14:paraId="1244CD5B" w14:textId="1863D613" w:rsidR="009B0491" w:rsidRPr="005B0768" w:rsidRDefault="009B0491" w:rsidP="00107F28">
      <w:pPr>
        <w:pStyle w:val="Paragraph"/>
      </w:pPr>
      <w:r>
        <w:t xml:space="preserve">We </w:t>
      </w:r>
      <w:r w:rsidRPr="005B0768">
        <w:t>sought comments on our proposal to sequentially allocate the 3.4/3.7 GHz bands spectrum. We proposed to auction the 3.7 GHz band first, followed by the auction of 3.4 GHz band spectrum, with a minimum period of 5 working days between auctions.</w:t>
      </w:r>
    </w:p>
    <w:p w14:paraId="098A6F89" w14:textId="77777777" w:rsidR="009B0491" w:rsidRDefault="009B0491" w:rsidP="00107F28">
      <w:pPr>
        <w:pStyle w:val="Heading4"/>
      </w:pPr>
      <w:r w:rsidRPr="005B0768">
        <w:t>Commencement of auctions and power to delay the 3.7 GHz auction</w:t>
      </w:r>
    </w:p>
    <w:p w14:paraId="7486D6A6" w14:textId="46E5ACB5" w:rsidR="009B0491" w:rsidRPr="005B0768" w:rsidRDefault="009B0491" w:rsidP="00107F28">
      <w:pPr>
        <w:pStyle w:val="Paragraph"/>
      </w:pPr>
      <w:r>
        <w:t xml:space="preserve">We </w:t>
      </w:r>
      <w:r w:rsidRPr="005B0768">
        <w:t>sought comments on a proposal to include a power for the ACMA to vary the start date and time of the 3.7 GHz band auction.</w:t>
      </w:r>
    </w:p>
    <w:p w14:paraId="04B2D0EC" w14:textId="77777777" w:rsidR="00471F41" w:rsidRDefault="009B0491" w:rsidP="00107F28">
      <w:pPr>
        <w:pStyle w:val="Heading4"/>
        <w:keepNext/>
        <w:keepLines/>
      </w:pPr>
      <w:r w:rsidRPr="005B0768">
        <w:t>Auction stages and rounds</w:t>
      </w:r>
    </w:p>
    <w:p w14:paraId="73E5A027" w14:textId="6D01DA32" w:rsidR="009B0491" w:rsidRPr="005B0768" w:rsidRDefault="00471F41" w:rsidP="00107F28">
      <w:pPr>
        <w:pStyle w:val="Paragraphbeforelist"/>
        <w:keepNext/>
        <w:keepLines/>
      </w:pPr>
      <w:r>
        <w:t xml:space="preserve">We </w:t>
      </w:r>
      <w:r w:rsidR="009B0491" w:rsidRPr="005B0768">
        <w:t>sought comments on our proposal to:</w:t>
      </w:r>
    </w:p>
    <w:p w14:paraId="4B3DF021" w14:textId="77777777" w:rsidR="009B0491" w:rsidRPr="005B0768" w:rsidRDefault="009B0491" w:rsidP="00107F28">
      <w:pPr>
        <w:pStyle w:val="Bulletlevel1"/>
        <w:keepNext/>
        <w:keepLines/>
      </w:pPr>
      <w:r w:rsidRPr="005B0768">
        <w:t>include a pre-bidding round in the primary stages of each auction, during which bidders must specify their start demand and may adopt the MSR for each product in the relevant band</w:t>
      </w:r>
    </w:p>
    <w:p w14:paraId="717D125C" w14:textId="4EA40E53" w:rsidR="009B0491" w:rsidRPr="00471F41" w:rsidRDefault="009B0491" w:rsidP="00107F28">
      <w:pPr>
        <w:pStyle w:val="Bulletlevel1last"/>
      </w:pPr>
      <w:r w:rsidRPr="005B0768">
        <w:t>include a pre-bidding round in the secondary stages of the auction, during which bidders must confirm their interest in the available lots (if any).</w:t>
      </w:r>
    </w:p>
    <w:p w14:paraId="4C7863D4" w14:textId="77777777" w:rsidR="00471F41" w:rsidRDefault="009B0491" w:rsidP="00107F28">
      <w:pPr>
        <w:pStyle w:val="Heading4"/>
      </w:pPr>
      <w:r w:rsidRPr="005B0768">
        <w:t>Allocation of leftover lots</w:t>
      </w:r>
    </w:p>
    <w:p w14:paraId="6636410A" w14:textId="7EF2BC2E" w:rsidR="009B0491" w:rsidRPr="005B0768" w:rsidRDefault="00471F41" w:rsidP="00107F28">
      <w:pPr>
        <w:pStyle w:val="Paragraphbeforelist"/>
      </w:pPr>
      <w:r>
        <w:t xml:space="preserve">We </w:t>
      </w:r>
      <w:r w:rsidR="009B0491" w:rsidRPr="005B0768">
        <w:t>sought comments on our proposal to:</w:t>
      </w:r>
    </w:p>
    <w:p w14:paraId="4A6A12F2" w14:textId="67677A02" w:rsidR="009B0491" w:rsidRPr="005B0768" w:rsidRDefault="009B0491" w:rsidP="00107F28">
      <w:pPr>
        <w:pStyle w:val="Bulletlevel1"/>
      </w:pPr>
      <w:r w:rsidRPr="005B0768">
        <w:t xml:space="preserve">directly allocate each leftover lot (of 2.5 MHz, see also </w:t>
      </w:r>
      <w:r w:rsidRPr="00107F28">
        <w:rPr>
          <w:i/>
          <w:iCs/>
        </w:rPr>
        <w:t>Frequency lot configuration)</w:t>
      </w:r>
      <w:r w:rsidRPr="005B0768">
        <w:t xml:space="preserve"> to an</w:t>
      </w:r>
      <w:r w:rsidR="00471F41">
        <w:t xml:space="preserve"> ‘</w:t>
      </w:r>
      <w:r w:rsidRPr="005B0768">
        <w:t>eligible recipient’ that applies for it, for a set price, before the 3.7 GHz auction</w:t>
      </w:r>
    </w:p>
    <w:p w14:paraId="6FCA9554" w14:textId="764F8EA1" w:rsidR="009B0491" w:rsidRPr="00D765C0" w:rsidRDefault="009B0491" w:rsidP="00107F28">
      <w:pPr>
        <w:pStyle w:val="Bulletlevel1last"/>
      </w:pPr>
      <w:r w:rsidRPr="00D765C0">
        <w:t xml:space="preserve">allocate any leftover lots </w:t>
      </w:r>
      <w:r w:rsidR="00D765C0">
        <w:t>(</w:t>
      </w:r>
      <w:r w:rsidRPr="00D765C0">
        <w:t>not allocated an eligible recipient</w:t>
      </w:r>
      <w:r w:rsidR="00D765C0">
        <w:t>)</w:t>
      </w:r>
      <w:r w:rsidRPr="00D765C0">
        <w:t xml:space="preserve"> to the winner of a lot that is assigned the frequency range adjacent to the leftover lot in the assignment stage of the 3.4 GHz band auction.</w:t>
      </w:r>
    </w:p>
    <w:p w14:paraId="61DB8553" w14:textId="77777777" w:rsidR="00471F41" w:rsidRDefault="009B0491" w:rsidP="00107F28">
      <w:pPr>
        <w:pStyle w:val="Heading4"/>
      </w:pPr>
      <w:r w:rsidRPr="005B0768">
        <w:t>Auction announcements</w:t>
      </w:r>
    </w:p>
    <w:p w14:paraId="49CFA104" w14:textId="209ED5EF" w:rsidR="009B0491" w:rsidRPr="005B0768" w:rsidRDefault="00471F41" w:rsidP="00107F28">
      <w:pPr>
        <w:pStyle w:val="Paragraphbeforelist"/>
      </w:pPr>
      <w:r>
        <w:t xml:space="preserve">We </w:t>
      </w:r>
      <w:r w:rsidR="009B0491" w:rsidRPr="005B0768">
        <w:t>sought comments on the proposal to publish the following information at the following times:</w:t>
      </w:r>
    </w:p>
    <w:p w14:paraId="3D60E6B4" w14:textId="77777777" w:rsidR="009B0491" w:rsidRPr="005B0768" w:rsidRDefault="009B0491" w:rsidP="00107F28">
      <w:pPr>
        <w:pStyle w:val="Bulletlevel1"/>
      </w:pPr>
      <w:r w:rsidRPr="005B0768">
        <w:t>after the eligibility deadline, the names of all registered bidders</w:t>
      </w:r>
    </w:p>
    <w:p w14:paraId="3418A4C2" w14:textId="17A07BBF" w:rsidR="009B0491" w:rsidRPr="00471F41" w:rsidRDefault="009B0491" w:rsidP="00107F28">
      <w:pPr>
        <w:pStyle w:val="Bulletlevel1last"/>
      </w:pPr>
      <w:r w:rsidRPr="005B0768">
        <w:t>after the end of the auction, the results of the auction including the names of unsuccessful bidders.</w:t>
      </w:r>
    </w:p>
    <w:p w14:paraId="66CBA7D6" w14:textId="77777777" w:rsidR="00471F41" w:rsidRDefault="009B0491" w:rsidP="00107F28">
      <w:pPr>
        <w:pStyle w:val="Heading4"/>
      </w:pPr>
      <w:r w:rsidRPr="000F395B">
        <w:t>Minimum spectrum requirement</w:t>
      </w:r>
    </w:p>
    <w:p w14:paraId="30756B1D" w14:textId="0A581220" w:rsidR="009B0491" w:rsidRDefault="00471F41" w:rsidP="00107F28">
      <w:pPr>
        <w:pStyle w:val="Paragraphbeforelist"/>
        <w:rPr>
          <w:rFonts w:eastAsia="Times New Roman" w:cs="Times New Roman"/>
        </w:rPr>
      </w:pPr>
      <w:r w:rsidRPr="00107F28">
        <w:rPr>
          <w:bCs/>
        </w:rPr>
        <w:t>We</w:t>
      </w:r>
      <w:r>
        <w:rPr>
          <w:b/>
        </w:rPr>
        <w:t xml:space="preserve"> </w:t>
      </w:r>
      <w:r w:rsidR="009B0491">
        <w:t>sought comments on our proposal to:</w:t>
      </w:r>
      <w:r w:rsidR="009B0491" w:rsidRPr="000F395B">
        <w:rPr>
          <w:rFonts w:eastAsia="Times New Roman" w:cs="Times New Roman"/>
        </w:rPr>
        <w:t xml:space="preserve"> </w:t>
      </w:r>
    </w:p>
    <w:p w14:paraId="0B6A0A6B" w14:textId="4095B2BB" w:rsidR="009B0491" w:rsidRPr="00D765C0" w:rsidRDefault="009B0491" w:rsidP="00107F28">
      <w:pPr>
        <w:pStyle w:val="Bulletlevel1"/>
      </w:pPr>
      <w:r w:rsidRPr="000F395B">
        <w:t>apply a MSR of 2 lots for each product in the 3.4/3.7 GHz bands auction.</w:t>
      </w:r>
      <w:r>
        <w:t xml:space="preserve"> </w:t>
      </w:r>
    </w:p>
    <w:p w14:paraId="2829DD7F" w14:textId="77777777" w:rsidR="00D765C0" w:rsidRDefault="009B0491" w:rsidP="00107F28">
      <w:pPr>
        <w:pStyle w:val="Heading4"/>
      </w:pPr>
      <w:r w:rsidRPr="00070977">
        <w:t>Information policy</w:t>
      </w:r>
    </w:p>
    <w:p w14:paraId="7E1E5BCC" w14:textId="39A149B4" w:rsidR="009B0491" w:rsidRDefault="00D765C0" w:rsidP="00107F28">
      <w:pPr>
        <w:pStyle w:val="Paragraphbeforelist"/>
      </w:pPr>
      <w:r w:rsidRPr="00107F28">
        <w:rPr>
          <w:bCs/>
        </w:rPr>
        <w:t>We</w:t>
      </w:r>
      <w:r>
        <w:rPr>
          <w:b/>
        </w:rPr>
        <w:t xml:space="preserve"> </w:t>
      </w:r>
      <w:r w:rsidR="009B0491">
        <w:t>sought</w:t>
      </w:r>
      <w:r w:rsidR="009B0491" w:rsidRPr="00070977">
        <w:t xml:space="preserve"> comments on our proposal to</w:t>
      </w:r>
      <w:r w:rsidR="009B0491">
        <w:t>:</w:t>
      </w:r>
    </w:p>
    <w:p w14:paraId="43614578" w14:textId="39CD5E3B" w:rsidR="009B0491" w:rsidRPr="00D765C0" w:rsidRDefault="009B0491" w:rsidP="00107F28">
      <w:pPr>
        <w:pStyle w:val="Bulletlevel1"/>
      </w:pPr>
      <w:r w:rsidRPr="00070977">
        <w:t xml:space="preserve">provide exact excess demand information to bidders at the end of each clock </w:t>
      </w:r>
      <w:r>
        <w:t xml:space="preserve">  </w:t>
      </w:r>
      <w:r w:rsidRPr="00070977">
        <w:t>round in the primary stages of the auction.</w:t>
      </w:r>
    </w:p>
    <w:p w14:paraId="06E0DC63" w14:textId="77777777" w:rsidR="00D765C0" w:rsidRDefault="009B0491" w:rsidP="00107F28">
      <w:pPr>
        <w:pStyle w:val="Heading4"/>
      </w:pPr>
      <w:r w:rsidRPr="000215DD">
        <w:lastRenderedPageBreak/>
        <w:t>Assignment stage settings</w:t>
      </w:r>
    </w:p>
    <w:p w14:paraId="05B2F486" w14:textId="56A32CC8" w:rsidR="009B0491" w:rsidRDefault="00D765C0" w:rsidP="00D765C0">
      <w:pPr>
        <w:pStyle w:val="Paragraphbeforelist"/>
      </w:pPr>
      <w:r w:rsidRPr="00107F28">
        <w:t>We</w:t>
      </w:r>
      <w:r>
        <w:rPr>
          <w:b/>
        </w:rPr>
        <w:t xml:space="preserve"> </w:t>
      </w:r>
      <w:r w:rsidR="009B0491">
        <w:t>sought</w:t>
      </w:r>
      <w:r w:rsidR="009B0491" w:rsidRPr="000215DD">
        <w:t xml:space="preserve"> comments on our proposal </w:t>
      </w:r>
      <w:r w:rsidR="009B0491" w:rsidRPr="00D765C0">
        <w:t>that</w:t>
      </w:r>
      <w:r w:rsidR="009B0491">
        <w:t>:</w:t>
      </w:r>
    </w:p>
    <w:p w14:paraId="4CF9E739" w14:textId="2A678AC7" w:rsidR="00DA7F09" w:rsidRPr="00D765C0" w:rsidRDefault="00DA7F09" w:rsidP="00107F28">
      <w:pPr>
        <w:pStyle w:val="Bulletlevel1"/>
        <w:spacing w:after="240"/>
      </w:pPr>
      <w:r w:rsidRPr="00D765C0">
        <w:t>the frequency range of any unsold lots be contiguous and be determined based on the assignment bids, rather than pre-assigned.</w:t>
      </w:r>
    </w:p>
    <w:p w14:paraId="6C559E5F" w14:textId="77777777" w:rsidR="00D765C0" w:rsidRPr="00913A17" w:rsidRDefault="00D765C0" w:rsidP="00D765C0">
      <w:pPr>
        <w:pStyle w:val="Heading3"/>
      </w:pPr>
      <w:bookmarkStart w:id="17" w:name="_Toc139280833"/>
      <w:r w:rsidRPr="00913A17">
        <w:t>Responses to issues for comment</w:t>
      </w:r>
      <w:r>
        <w:t xml:space="preserve"> and the ACMA’s views</w:t>
      </w:r>
      <w:bookmarkEnd w:id="17"/>
    </w:p>
    <w:p w14:paraId="42101A42" w14:textId="19AD6AB7" w:rsidR="00D74B67" w:rsidRPr="00FF1636" w:rsidRDefault="0008138E" w:rsidP="00107F28">
      <w:pPr>
        <w:pStyle w:val="Paragraph"/>
      </w:pPr>
      <w:r w:rsidRPr="00FF1636">
        <w:t>Submission</w:t>
      </w:r>
      <w:r w:rsidR="00DA7F09">
        <w:t>s</w:t>
      </w:r>
      <w:r w:rsidRPr="00FF1636">
        <w:t xml:space="preserve"> to the allocation determination </w:t>
      </w:r>
      <w:r w:rsidR="00DA7F09">
        <w:t xml:space="preserve">consultation </w:t>
      </w:r>
      <w:r w:rsidRPr="00FF1636">
        <w:t xml:space="preserve">were generally supportive </w:t>
      </w:r>
      <w:r w:rsidR="009E0F41">
        <w:t>however</w:t>
      </w:r>
      <w:r w:rsidR="00DC35B6">
        <w:t>, some</w:t>
      </w:r>
      <w:r w:rsidRPr="00FF1636">
        <w:t xml:space="preserve"> stakeholders </w:t>
      </w:r>
      <w:r w:rsidR="00DC35B6">
        <w:t>provide</w:t>
      </w:r>
      <w:r w:rsidR="00DA7F09">
        <w:t>d</w:t>
      </w:r>
      <w:r w:rsidR="00DC35B6">
        <w:t xml:space="preserve"> alternative</w:t>
      </w:r>
      <w:r w:rsidR="003E3431" w:rsidRPr="00FF1636">
        <w:t xml:space="preserve"> </w:t>
      </w:r>
      <w:r w:rsidR="00DC35B6">
        <w:t xml:space="preserve">views </w:t>
      </w:r>
      <w:r w:rsidR="003E3431" w:rsidRPr="00FF1636">
        <w:t xml:space="preserve">to </w:t>
      </w:r>
      <w:r w:rsidR="0034152D">
        <w:t>the ACMA’s preferred approach</w:t>
      </w:r>
      <w:r w:rsidR="00DF2BDE" w:rsidRPr="00FF1636">
        <w:t xml:space="preserve">. </w:t>
      </w:r>
    </w:p>
    <w:p w14:paraId="56AE01DA" w14:textId="20EBE22B" w:rsidR="00360CEE" w:rsidRPr="00DA7F09" w:rsidRDefault="008D160E" w:rsidP="00DA7F09">
      <w:pPr>
        <w:pStyle w:val="Heading4"/>
      </w:pPr>
      <w:r w:rsidRPr="00DA7F09">
        <w:t>Sequencing of auctions</w:t>
      </w:r>
    </w:p>
    <w:p w14:paraId="76E1906D" w14:textId="09083C5C" w:rsidR="00DA7F09" w:rsidRDefault="00DA7F09" w:rsidP="00DA7F09">
      <w:pPr>
        <w:pStyle w:val="Paragraph"/>
      </w:pPr>
      <w:bookmarkStart w:id="18" w:name="_Hlk137546692"/>
      <w:r>
        <w:t>Four</w:t>
      </w:r>
      <w:r w:rsidRPr="00BD1987">
        <w:t xml:space="preserve"> </w:t>
      </w:r>
      <w:r w:rsidR="00BD1987" w:rsidRPr="00BD1987">
        <w:t xml:space="preserve">submissions generally supported the ACMA’s preferred view </w:t>
      </w:r>
      <w:r>
        <w:t>about</w:t>
      </w:r>
      <w:r w:rsidR="00BD1987" w:rsidRPr="00BD1987">
        <w:t xml:space="preserve"> the sequencing of auctions</w:t>
      </w:r>
      <w:r>
        <w:t>, 3</w:t>
      </w:r>
      <w:r w:rsidR="00BD1987" w:rsidRPr="00BD1987">
        <w:t xml:space="preserve"> </w:t>
      </w:r>
      <w:r>
        <w:t xml:space="preserve">submissions </w:t>
      </w:r>
      <w:r w:rsidR="00BD1987" w:rsidRPr="00BD1987">
        <w:t xml:space="preserve">proposed 3 separate auctions to allocate the </w:t>
      </w:r>
      <w:r>
        <w:t>2</w:t>
      </w:r>
      <w:r w:rsidRPr="00BD1987">
        <w:t xml:space="preserve"> </w:t>
      </w:r>
      <w:r w:rsidR="00BD1987" w:rsidRPr="00BD1987">
        <w:t>bands</w:t>
      </w:r>
      <w:r>
        <w:t xml:space="preserve"> and</w:t>
      </w:r>
      <w:r w:rsidR="00BD1987" w:rsidRPr="00BD1987">
        <w:t xml:space="preserve"> 3 submissions did not provide comment on auction sequencing. </w:t>
      </w:r>
    </w:p>
    <w:p w14:paraId="4DD42948" w14:textId="7F482220" w:rsidR="00BD1987" w:rsidRPr="00BD1987" w:rsidRDefault="00AE2B19" w:rsidP="00107F28">
      <w:pPr>
        <w:pStyle w:val="Paragraphbeforelist"/>
        <w:rPr>
          <w:b/>
        </w:rPr>
      </w:pPr>
      <w:r>
        <w:t>Views</w:t>
      </w:r>
      <w:r w:rsidR="000A662D">
        <w:t xml:space="preserve"> outlined in submissions</w:t>
      </w:r>
      <w:r w:rsidR="00BD1987" w:rsidRPr="00BD1987">
        <w:t xml:space="preserve"> included:</w:t>
      </w:r>
      <w:bookmarkEnd w:id="18"/>
    </w:p>
    <w:p w14:paraId="5F408699" w14:textId="34E9AF81" w:rsidR="00BD1987" w:rsidRPr="00BD1987" w:rsidRDefault="00A41EEC" w:rsidP="00107F28">
      <w:pPr>
        <w:pStyle w:val="Bulletlevel1"/>
      </w:pPr>
      <w:r w:rsidRPr="00BD1987">
        <w:t xml:space="preserve">One submission stated that </w:t>
      </w:r>
      <w:r>
        <w:t>t</w:t>
      </w:r>
      <w:r w:rsidR="00BD1987" w:rsidRPr="00BD1987">
        <w:t xml:space="preserve">he ACMA should take action to help bidders manage the strategic risk of making a one-way switch of demand from the 3.7 GHz band to the 3.4 GHz band. </w:t>
      </w:r>
    </w:p>
    <w:p w14:paraId="49787472" w14:textId="34D52940" w:rsidR="00BD1987" w:rsidRPr="00BD1987" w:rsidRDefault="00BD1987" w:rsidP="00107F28">
      <w:pPr>
        <w:pStyle w:val="Bulletlevel1"/>
      </w:pPr>
      <w:bookmarkStart w:id="19" w:name="_Hlk139279417"/>
      <w:r w:rsidRPr="00BD1987">
        <w:t xml:space="preserve">One submission stated that </w:t>
      </w:r>
      <w:bookmarkEnd w:id="19"/>
      <w:r w:rsidRPr="00BD1987">
        <w:t>a fixed 5</w:t>
      </w:r>
      <w:r w:rsidR="000024FC">
        <w:t xml:space="preserve"> </w:t>
      </w:r>
      <w:r w:rsidRPr="00BD1987">
        <w:t>working</w:t>
      </w:r>
      <w:r w:rsidR="000024FC">
        <w:t xml:space="preserve"> </w:t>
      </w:r>
      <w:r w:rsidRPr="00BD1987">
        <w:t>day</w:t>
      </w:r>
      <w:r w:rsidR="00DA7F09">
        <w:t>s</w:t>
      </w:r>
      <w:r w:rsidR="000024FC">
        <w:t>’</w:t>
      </w:r>
      <w:r w:rsidRPr="00BD1987">
        <w:t xml:space="preserve"> recess between the auctions was unnecessary and that a recess of </w:t>
      </w:r>
      <w:r w:rsidR="00DA7F09">
        <w:t xml:space="preserve">one to </w:t>
      </w:r>
      <w:r w:rsidRPr="00BD1987">
        <w:t xml:space="preserve">2 days between the auctions should be enough for bidders and the ACMA to prepare for the 3.4 GHz band auction. The submission asserted that it is inconvenient and wasteful to have unduly long pauses between auctions. </w:t>
      </w:r>
      <w:r w:rsidR="00DA7F09" w:rsidRPr="00BD1987">
        <w:t>Th</w:t>
      </w:r>
      <w:r w:rsidR="00DA7F09">
        <w:t>at</w:t>
      </w:r>
      <w:r w:rsidR="00DA7F09" w:rsidRPr="00BD1987">
        <w:t xml:space="preserve"> </w:t>
      </w:r>
      <w:r w:rsidRPr="00BD1987">
        <w:t>submission state</w:t>
      </w:r>
      <w:r w:rsidR="00DA7F09">
        <w:t>d</w:t>
      </w:r>
      <w:r w:rsidRPr="00BD1987">
        <w:t xml:space="preserve"> that the recess should be ‘not more than 5 working days’, and the ACMA could commence the 3.4 GHz auction earlier with the consent of all bidders.</w:t>
      </w:r>
    </w:p>
    <w:p w14:paraId="2D182397" w14:textId="7D004B08" w:rsidR="00BD1987" w:rsidRPr="00BD1987" w:rsidRDefault="00BD1987" w:rsidP="00107F28">
      <w:pPr>
        <w:pStyle w:val="Bulletlevel1"/>
      </w:pPr>
      <w:r w:rsidRPr="00BD1987">
        <w:t>Another submission stated that each bidder should be provided with 10</w:t>
      </w:r>
      <w:r w:rsidR="000024FC">
        <w:t xml:space="preserve"> </w:t>
      </w:r>
      <w:r w:rsidRPr="00BD1987">
        <w:t>working days’ notice before the start of each auction, rather than the 5</w:t>
      </w:r>
      <w:r w:rsidR="000024FC">
        <w:t xml:space="preserve"> </w:t>
      </w:r>
      <w:r w:rsidRPr="00BD1987">
        <w:t>working</w:t>
      </w:r>
      <w:r w:rsidR="000024FC">
        <w:t xml:space="preserve"> </w:t>
      </w:r>
      <w:r w:rsidRPr="00BD1987">
        <w:t>days proposed, asserting that 5 working days is not enough to ensure auction participants have enough certainty to prepare for the second auction.</w:t>
      </w:r>
    </w:p>
    <w:p w14:paraId="121A1A18" w14:textId="0DBAAF86" w:rsidR="00BD1987" w:rsidRPr="00BD1987" w:rsidRDefault="00BD1987" w:rsidP="00107F28">
      <w:pPr>
        <w:pStyle w:val="Bulletlevel1"/>
      </w:pPr>
      <w:r w:rsidRPr="00BD1987">
        <w:t xml:space="preserve">A concern was raised in one submission about the ACMA </w:t>
      </w:r>
      <w:r w:rsidRPr="001A7780">
        <w:t>providing only ‘at least 3 working days’ notice</w:t>
      </w:r>
      <w:r w:rsidRPr="00BD1987">
        <w:t xml:space="preserve"> of the calculation of the ‘unused allocation limit’ and eligibility points for each bidder in the 3.4 GHz band auction. These concepts affect what a bidder may be able to bid on during the 3.4 GHz band auction, and may be affected by the results of the 3.7 GHz auction. </w:t>
      </w:r>
    </w:p>
    <w:p w14:paraId="0E67D414" w14:textId="7A23B612" w:rsidR="00BD1987" w:rsidRPr="00BD1987" w:rsidRDefault="00BD1987" w:rsidP="00107F28">
      <w:pPr>
        <w:pStyle w:val="Bulletlevel1"/>
      </w:pPr>
      <w:r w:rsidRPr="00BD1987">
        <w:t xml:space="preserve">One submission suggested that the ACMA auction 3.7 GHz licences in metropolitan areas as a first and discrete phase of the auction, followed by 3.7 GHz licences in regional areas and then 3.4 GHz licences in a third phase. It stated that allocating both regional and metropolitan products for the 3.7 GHz band in the same primary stage could lead to inefficient outcomes. The submission said that regional products should be considered </w:t>
      </w:r>
      <w:r w:rsidR="000024FC" w:rsidRPr="00BD1987">
        <w:t>complement</w:t>
      </w:r>
      <w:r w:rsidR="000024FC">
        <w:t>ary</w:t>
      </w:r>
      <w:r w:rsidR="000024FC" w:rsidRPr="00BD1987">
        <w:t xml:space="preserve"> </w:t>
      </w:r>
      <w:r w:rsidRPr="00BD1987">
        <w:t xml:space="preserve">to the metropolitan products, and the auction rules should be designed to reflect this. The submission further stated that a bidder could bid on lots for both Sydney and Regional Sydney (which borders Sydney), but only be allocated lots for </w:t>
      </w:r>
      <w:r w:rsidRPr="001A7780">
        <w:rPr>
          <w:rFonts w:cs="MS Mincho"/>
        </w:rPr>
        <w:t>Regional</w:t>
      </w:r>
      <w:r w:rsidRPr="00BD1987">
        <w:t xml:space="preserve"> NSW. Without the complementary Sydney lots, the submission stated that the Regional NSW lots would have limited economic value and ultimately may not be used. The submission stated that sequencing the 3.7 GHz metropolitan products before the 3.7 GHz regional products would eliminate this exposure risk.</w:t>
      </w:r>
    </w:p>
    <w:p w14:paraId="403FB013" w14:textId="38843B02" w:rsidR="00BD1987" w:rsidRPr="00BD1987" w:rsidRDefault="00BD1987" w:rsidP="00107F28">
      <w:pPr>
        <w:pStyle w:val="Bulletlevel1last"/>
      </w:pPr>
      <w:r w:rsidRPr="00BD1987">
        <w:t xml:space="preserve">One submission stated that </w:t>
      </w:r>
      <w:r w:rsidR="000024FC">
        <w:t>2</w:t>
      </w:r>
      <w:r w:rsidR="000024FC" w:rsidRPr="00BD1987">
        <w:t xml:space="preserve"> </w:t>
      </w:r>
      <w:r w:rsidRPr="00BD1987">
        <w:t>mock auctions should be held, one before each auction. (The ACMA propose</w:t>
      </w:r>
      <w:r w:rsidR="000024FC">
        <w:t>d</w:t>
      </w:r>
      <w:r w:rsidRPr="00BD1987">
        <w:t xml:space="preserve"> to conduct a mock auction only at the start of the allocation process</w:t>
      </w:r>
      <w:r w:rsidR="00C31A0A">
        <w:t>)</w:t>
      </w:r>
      <w:r w:rsidRPr="00BD1987">
        <w:t>.</w:t>
      </w:r>
    </w:p>
    <w:p w14:paraId="61453D35" w14:textId="1CC76ACA" w:rsidR="0016604D" w:rsidRDefault="00635F01" w:rsidP="00A11D20">
      <w:pPr>
        <w:pStyle w:val="Heading4"/>
        <w:keepNext/>
        <w:keepLines/>
      </w:pPr>
      <w:r w:rsidRPr="00635F01">
        <w:lastRenderedPageBreak/>
        <w:t>ACMA view</w:t>
      </w:r>
    </w:p>
    <w:p w14:paraId="7676C5F6" w14:textId="5AC4231D" w:rsidR="001E7C40" w:rsidRPr="001E7C40" w:rsidRDefault="001E7C40" w:rsidP="00A11D20">
      <w:pPr>
        <w:keepNext/>
        <w:keepLines/>
        <w:rPr>
          <w:rFonts w:cs="Arial"/>
        </w:rPr>
      </w:pPr>
      <w:r w:rsidRPr="001E7C40">
        <w:rPr>
          <w:rFonts w:cs="Arial"/>
        </w:rPr>
        <w:t xml:space="preserve">We acknowledge that sequencing the 3.7 GHz band auction as </w:t>
      </w:r>
      <w:r w:rsidR="000024FC">
        <w:rPr>
          <w:rFonts w:cs="Arial"/>
        </w:rPr>
        <w:t>2</w:t>
      </w:r>
      <w:r w:rsidR="000024FC" w:rsidRPr="001E7C40">
        <w:rPr>
          <w:rFonts w:cs="Arial"/>
        </w:rPr>
        <w:t xml:space="preserve"> </w:t>
      </w:r>
      <w:r w:rsidRPr="001E7C40">
        <w:rPr>
          <w:rFonts w:cs="Arial"/>
        </w:rPr>
        <w:t xml:space="preserve">auctions, one for metropolitan products followed by one for regional products, would alleviate a potential exposure risk for bidders, but we have concerns over alternative risks it would generate. </w:t>
      </w:r>
    </w:p>
    <w:p w14:paraId="45956A13" w14:textId="016EC73C" w:rsidR="001E7C40" w:rsidRPr="001E7C40" w:rsidRDefault="001E7C40" w:rsidP="001E7C40">
      <w:pPr>
        <w:rPr>
          <w:sz w:val="16"/>
          <w:szCs w:val="16"/>
        </w:rPr>
      </w:pPr>
      <w:r w:rsidRPr="001E7C40">
        <w:rPr>
          <w:rFonts w:cs="Arial"/>
        </w:rPr>
        <w:t xml:space="preserve">We consider that implementing 2 sequenced auctions for the 3.7 GHz band has the potential to create an exposure risk for bidders with different complementarities, such as a bidder winning lots of metropolitan products but failing to win lots of regional products, despite the bidder’s value for metropolitan products being dependent on obtaining surrounding regional products. The more relaxed allocation limits of 160 MHz in relation to regional products should also help mitigate exposure risk by increasing excess demand for regional products, which may make it easier for a bidder to reduce demand to zero if </w:t>
      </w:r>
      <w:r w:rsidR="00B4580E">
        <w:rPr>
          <w:rFonts w:cs="Arial"/>
        </w:rPr>
        <w:t>they were</w:t>
      </w:r>
      <w:r w:rsidR="00B4580E" w:rsidRPr="001E7C40">
        <w:rPr>
          <w:rFonts w:cs="Arial"/>
        </w:rPr>
        <w:t xml:space="preserve"> </w:t>
      </w:r>
      <w:r w:rsidRPr="001E7C40">
        <w:rPr>
          <w:rFonts w:cs="Arial"/>
        </w:rPr>
        <w:t xml:space="preserve">concerned about not winning lots of metropolitan products. In addition, we note that running 2 sequential auctions is already more burdensome for the ACMA and participating bidders than previous allocation processes, so adding a third auction </w:t>
      </w:r>
      <w:r w:rsidR="00B4580E">
        <w:rPr>
          <w:rFonts w:cs="Arial"/>
        </w:rPr>
        <w:t>would</w:t>
      </w:r>
      <w:r w:rsidR="00B4580E" w:rsidRPr="001E7C40">
        <w:rPr>
          <w:rFonts w:cs="Arial"/>
        </w:rPr>
        <w:t xml:space="preserve"> </w:t>
      </w:r>
      <w:r w:rsidRPr="001E7C40">
        <w:rPr>
          <w:rFonts w:cs="Arial"/>
        </w:rPr>
        <w:t>further increase the time required to allocate the spectrum and impact resourcing and costs to the ACMA and bidders.</w:t>
      </w:r>
      <w:r w:rsidRPr="001E7C40" w:rsidDel="00E37242">
        <w:rPr>
          <w:sz w:val="16"/>
          <w:szCs w:val="16"/>
        </w:rPr>
        <w:t xml:space="preserve"> </w:t>
      </w:r>
    </w:p>
    <w:p w14:paraId="1013308C" w14:textId="0CB95462" w:rsidR="001E7C40" w:rsidRPr="001E7C40" w:rsidRDefault="001E7C40" w:rsidP="00A11D20">
      <w:pPr>
        <w:pStyle w:val="Paragraph"/>
      </w:pPr>
      <w:r w:rsidRPr="001E7C40">
        <w:t xml:space="preserve">Regarding the request to reduce the recess between auctions to less than 5 days, we do not consider this to be appropriate. Following the conclusion of the 3.7 GHz band auction, we will need to re-calculate the unused allocation limits of bidders to take into consideration the winnings from the 3.7 GHz auction, and ensure the new 3.4 GHz auction is configured accurately. This is a critical process. In addition, if there are parties </w:t>
      </w:r>
      <w:r w:rsidR="00B4580E">
        <w:t>that</w:t>
      </w:r>
      <w:r w:rsidR="00B4580E" w:rsidRPr="001E7C40">
        <w:t xml:space="preserve"> </w:t>
      </w:r>
      <w:r w:rsidRPr="001E7C40">
        <w:t xml:space="preserve">are only interested in participating in the 3.4 GHz auction, they </w:t>
      </w:r>
      <w:r w:rsidR="00B4580E">
        <w:t>would</w:t>
      </w:r>
      <w:r w:rsidR="00B4580E" w:rsidRPr="001E7C40">
        <w:t xml:space="preserve"> </w:t>
      </w:r>
      <w:r w:rsidRPr="001E7C40">
        <w:t>need a suitable amount of warning to form their bid teams before the auction commences.</w:t>
      </w:r>
    </w:p>
    <w:p w14:paraId="07D83D40" w14:textId="220454CA" w:rsidR="00575409" w:rsidRPr="001E7C40" w:rsidRDefault="00575409" w:rsidP="00A11D20">
      <w:pPr>
        <w:pStyle w:val="Paragraph"/>
      </w:pPr>
      <w:r>
        <w:t xml:space="preserve">Regarding the concern expressed in </w:t>
      </w:r>
      <w:r w:rsidR="003276A0">
        <w:t xml:space="preserve">a </w:t>
      </w:r>
      <w:r>
        <w:t>submission</w:t>
      </w:r>
      <w:r w:rsidR="003276A0">
        <w:t xml:space="preserve"> about</w:t>
      </w:r>
      <w:r w:rsidR="003276A0" w:rsidRPr="003276A0">
        <w:t xml:space="preserve"> </w:t>
      </w:r>
      <w:r w:rsidR="003276A0" w:rsidRPr="00FF78AC">
        <w:t xml:space="preserve">the ACMA providing only ‘at least 3 working days’ notice of the calculation of the </w:t>
      </w:r>
      <w:r w:rsidR="003276A0" w:rsidRPr="00BD1987">
        <w:t>‘unused allocation limit’ and eligibility points for each bidder in the 3.4 GHz band auction</w:t>
      </w:r>
      <w:r w:rsidR="009312CE">
        <w:t xml:space="preserve">, we consider that each bidder will know at the end of the </w:t>
      </w:r>
      <w:r w:rsidR="006C0259">
        <w:t>primary stage and secondary stage how many lots of each product they have won in the 3.7 GHz auction and</w:t>
      </w:r>
      <w:r w:rsidR="00B4580E">
        <w:t>,</w:t>
      </w:r>
      <w:r w:rsidR="006C0259">
        <w:t xml:space="preserve"> therefore</w:t>
      </w:r>
      <w:r w:rsidR="00B4580E">
        <w:t>,</w:t>
      </w:r>
      <w:r w:rsidR="006C0259">
        <w:t xml:space="preserve"> can relatively easily calculate their unused allocation limit and eligibility points for the 3.4 GHz auction.</w:t>
      </w:r>
    </w:p>
    <w:p w14:paraId="4B3A35F0" w14:textId="622BC2B0" w:rsidR="001E7C40" w:rsidRPr="001E7C40" w:rsidRDefault="00E85FFE" w:rsidP="00A11D20">
      <w:pPr>
        <w:pStyle w:val="Paragraph"/>
        <w:rPr>
          <w:b/>
        </w:rPr>
      </w:pPr>
      <w:r>
        <w:t>On balance</w:t>
      </w:r>
      <w:r w:rsidR="00B4580E">
        <w:t>,</w:t>
      </w:r>
      <w:r>
        <w:t xml:space="preserve"> and having considered </w:t>
      </w:r>
      <w:r w:rsidR="00E8069C">
        <w:t xml:space="preserve">the benefits and risks of different proposals, the ACMA does not propose </w:t>
      </w:r>
      <w:r w:rsidR="001E7C40" w:rsidRPr="001E7C40">
        <w:t xml:space="preserve">to change the proposed auction sequencing. </w:t>
      </w:r>
    </w:p>
    <w:p w14:paraId="3C15B099" w14:textId="37402829" w:rsidR="00C14AA3" w:rsidRPr="00B4580E" w:rsidRDefault="008D160E" w:rsidP="00B4580E">
      <w:pPr>
        <w:pStyle w:val="Heading4"/>
      </w:pPr>
      <w:r w:rsidRPr="00B4580E">
        <w:t>Commencement of auction</w:t>
      </w:r>
      <w:r w:rsidR="001E7C40" w:rsidRPr="00B4580E">
        <w:t>s</w:t>
      </w:r>
      <w:r w:rsidRPr="00B4580E">
        <w:t xml:space="preserve"> </w:t>
      </w:r>
      <w:r w:rsidR="00BB6863" w:rsidRPr="00B4580E">
        <w:t>and power to delay the</w:t>
      </w:r>
      <w:r w:rsidR="00F707B7" w:rsidRPr="00B4580E">
        <w:t xml:space="preserve"> 3.7 GHz</w:t>
      </w:r>
      <w:r w:rsidR="00BB6863" w:rsidRPr="00B4580E">
        <w:t xml:space="preserve"> auction</w:t>
      </w:r>
    </w:p>
    <w:p w14:paraId="33C77C39" w14:textId="079F5FD0" w:rsidR="00B4580E" w:rsidRDefault="00B4580E" w:rsidP="00A11D20">
      <w:pPr>
        <w:pStyle w:val="Paragraph"/>
      </w:pPr>
      <w:bookmarkStart w:id="20" w:name="_Hlk137548864"/>
      <w:r>
        <w:t>Two</w:t>
      </w:r>
      <w:r w:rsidR="00A50666" w:rsidRPr="004D48E3">
        <w:t xml:space="preserve"> submission</w:t>
      </w:r>
      <w:r w:rsidR="00A50666">
        <w:t xml:space="preserve">s generally supported the ACMA’s preferred view </w:t>
      </w:r>
      <w:r>
        <w:t>for</w:t>
      </w:r>
      <w:r w:rsidR="00A50666">
        <w:t xml:space="preserve"> an estimated October 2023 auction commencement. While another 2 submission</w:t>
      </w:r>
      <w:r w:rsidR="00F71451">
        <w:t>s</w:t>
      </w:r>
      <w:r w:rsidR="00A50666">
        <w:t xml:space="preserve"> generally supported the auction commencement date, they did not agree with the proposal to give the ACMA the power to delay the start of the 3.7 GHz auction. </w:t>
      </w:r>
      <w:r>
        <w:t>Three</w:t>
      </w:r>
      <w:r w:rsidR="00A50666">
        <w:t xml:space="preserve"> </w:t>
      </w:r>
      <w:r>
        <w:t xml:space="preserve">submissions </w:t>
      </w:r>
      <w:r w:rsidR="00A50666">
        <w:t xml:space="preserve">did not provide comment. </w:t>
      </w:r>
    </w:p>
    <w:p w14:paraId="2D0279F2" w14:textId="556413B3" w:rsidR="00A50666" w:rsidRPr="002E47D7" w:rsidRDefault="00AE2B19" w:rsidP="00A11D20">
      <w:pPr>
        <w:pStyle w:val="Paragraphbeforelist"/>
      </w:pPr>
      <w:r>
        <w:t>Views</w:t>
      </w:r>
      <w:r w:rsidR="000A662D">
        <w:t xml:space="preserve"> outlined in submissions</w:t>
      </w:r>
      <w:r w:rsidR="00A50666">
        <w:t xml:space="preserve"> included:</w:t>
      </w:r>
      <w:bookmarkEnd w:id="20"/>
    </w:p>
    <w:p w14:paraId="7ED12D40" w14:textId="064B8B22" w:rsidR="000A03CC" w:rsidRPr="000A03CC" w:rsidRDefault="000A03CC" w:rsidP="00A11D20">
      <w:pPr>
        <w:pStyle w:val="Bulletlevel1"/>
      </w:pPr>
      <w:r w:rsidRPr="000A03CC">
        <w:t xml:space="preserve">One submission did not support giving the ACMA the power to delay the 3.7 GHz auction by at least 10 working days, stating that the delay should be ‘the minimum time necessary’ to address the issue </w:t>
      </w:r>
      <w:r w:rsidR="00B4580E">
        <w:t>so</w:t>
      </w:r>
      <w:r w:rsidR="00B4580E" w:rsidRPr="000A03CC">
        <w:t xml:space="preserve"> </w:t>
      </w:r>
      <w:r w:rsidRPr="000A03CC">
        <w:t>that the ACMA can proceed with confidence in running the auction. It proposed the drafting to be ‘not more than 10 working days’</w:t>
      </w:r>
      <w:r w:rsidR="00B4580E">
        <w:t>,</w:t>
      </w:r>
      <w:r w:rsidRPr="000A03CC">
        <w:t xml:space="preserve"> with </w:t>
      </w:r>
      <w:r w:rsidR="00B4580E">
        <w:t>an</w:t>
      </w:r>
      <w:r w:rsidR="00B4580E" w:rsidRPr="000A03CC">
        <w:t xml:space="preserve"> </w:t>
      </w:r>
      <w:r w:rsidRPr="000A03CC">
        <w:t>allowance for additional delay to address serious or unexpected circumstances. The submission acknowledged that circumstances may arise where more time is needed to ‘ensure the integrity of the auction’.</w:t>
      </w:r>
    </w:p>
    <w:p w14:paraId="39C1E2E4" w14:textId="4DA8A891" w:rsidR="000A03CC" w:rsidRPr="000A03CC" w:rsidRDefault="000A03CC" w:rsidP="00A11D20">
      <w:pPr>
        <w:pStyle w:val="Bulletlevel1last"/>
      </w:pPr>
      <w:r w:rsidRPr="000A03CC">
        <w:t>Another submission did not support the proposal to include a power for the ACMA to vary the commencement of the 3.7 GHz band with 2 working days’ notice</w:t>
      </w:r>
      <w:r w:rsidR="00B4580E">
        <w:t xml:space="preserve">, </w:t>
      </w:r>
      <w:r w:rsidR="00B4580E">
        <w:lastRenderedPageBreak/>
        <w:t xml:space="preserve">claiming </w:t>
      </w:r>
      <w:r w:rsidRPr="000A03CC">
        <w:t>that this would undermine the allocation process. The submission further stated that this would undermine bidder preparation activities</w:t>
      </w:r>
      <w:r w:rsidR="00B4580E">
        <w:t>,</w:t>
      </w:r>
      <w:r w:rsidRPr="000A03CC">
        <w:t xml:space="preserve"> including planning and </w:t>
      </w:r>
      <w:r w:rsidR="00B4580E" w:rsidRPr="000A03CC">
        <w:t>resourc</w:t>
      </w:r>
      <w:r w:rsidR="00B4580E">
        <w:t>ing</w:t>
      </w:r>
      <w:r w:rsidR="00B4580E" w:rsidRPr="000A03CC">
        <w:t xml:space="preserve"> </w:t>
      </w:r>
      <w:r w:rsidRPr="000A03CC">
        <w:t>requirements, as well as internal governance processes, which are not able to accommodate last minute changes to auction scheduling.</w:t>
      </w:r>
    </w:p>
    <w:p w14:paraId="1B09D73A" w14:textId="0174D717" w:rsidR="00A3421E" w:rsidRDefault="00E722D1" w:rsidP="00A11D20">
      <w:pPr>
        <w:pStyle w:val="Heading4"/>
      </w:pPr>
      <w:r w:rsidRPr="00E722D1">
        <w:t>ACMA view</w:t>
      </w:r>
    </w:p>
    <w:p w14:paraId="633B9E46" w14:textId="77777777" w:rsidR="0093154C" w:rsidRPr="0093154C" w:rsidRDefault="0093154C" w:rsidP="00A11D20">
      <w:pPr>
        <w:pStyle w:val="Paragraph"/>
      </w:pPr>
      <w:r w:rsidRPr="0093154C">
        <w:t xml:space="preserve">Upon reviewing the submissions, the ACMA has not changed the estimated auction commencement or removed the power to delay the 3.7 GHz auction from the allocation determination. </w:t>
      </w:r>
    </w:p>
    <w:p w14:paraId="0133D0E7" w14:textId="33860DB2" w:rsidR="0093154C" w:rsidRPr="0093154C" w:rsidRDefault="00B4580E" w:rsidP="00A11D20">
      <w:pPr>
        <w:pStyle w:val="Paragraph"/>
      </w:pPr>
      <w:r>
        <w:t>G</w:t>
      </w:r>
      <w:r w:rsidR="0093154C" w:rsidRPr="0093154C">
        <w:t xml:space="preserve">iven the ACMA has a new auction system, we consider </w:t>
      </w:r>
      <w:r>
        <w:t xml:space="preserve">that </w:t>
      </w:r>
      <w:r w:rsidR="0093154C" w:rsidRPr="0093154C">
        <w:t xml:space="preserve">the </w:t>
      </w:r>
      <w:r>
        <w:t xml:space="preserve">power to delay the </w:t>
      </w:r>
      <w:r w:rsidR="0093154C" w:rsidRPr="0093154C">
        <w:t xml:space="preserve">auction </w:t>
      </w:r>
      <w:r>
        <w:t>is</w:t>
      </w:r>
      <w:r w:rsidR="0093154C" w:rsidRPr="0093154C">
        <w:t xml:space="preserve"> necessary to respond to any auction system issues that arise shortly before the 3.7 GHz auction. The power </w:t>
      </w:r>
      <w:r>
        <w:t xml:space="preserve">can </w:t>
      </w:r>
      <w:r w:rsidR="0093154C" w:rsidRPr="0093154C">
        <w:t xml:space="preserve">also be used if a delay is required for any other reason. </w:t>
      </w:r>
    </w:p>
    <w:p w14:paraId="3BE1EFDB" w14:textId="59506625" w:rsidR="0093154C" w:rsidRPr="0093154C" w:rsidRDefault="0093154C" w:rsidP="00A11D20">
      <w:pPr>
        <w:pStyle w:val="Paragraph"/>
      </w:pPr>
      <w:r w:rsidRPr="0093154C">
        <w:t xml:space="preserve">The ACMA is unable to predict how long it will take to resolve an issue that may arise, making </w:t>
      </w:r>
      <w:r w:rsidR="00DB25BB">
        <w:t xml:space="preserve">it not feasible to provide </w:t>
      </w:r>
      <w:r w:rsidRPr="0093154C">
        <w:t xml:space="preserve">a maximum timeframe to resolve unknown issues. A minimum </w:t>
      </w:r>
      <w:r w:rsidR="00DB25BB" w:rsidRPr="0093154C">
        <w:t>10-day</w:t>
      </w:r>
      <w:r w:rsidRPr="0093154C">
        <w:t xml:space="preserve"> delay will provide certainty to stakeholders that we will not reschedule the 3.7 GHz auction to commence too quickly, as it is our view that bidders will require some notice to bring together their auction teams</w:t>
      </w:r>
      <w:r w:rsidR="00DB25BB">
        <w:t>,</w:t>
      </w:r>
      <w:r w:rsidRPr="0093154C">
        <w:t xml:space="preserve"> following a delay. The delay will also give the ACMA time to assess and resolve any issues ahead of the 3.</w:t>
      </w:r>
      <w:r w:rsidR="00DB25BB" w:rsidRPr="0093154C">
        <w:t>7</w:t>
      </w:r>
      <w:r w:rsidR="00DB25BB">
        <w:t> </w:t>
      </w:r>
      <w:r w:rsidRPr="0093154C">
        <w:t xml:space="preserve">GHz auction commencing. </w:t>
      </w:r>
    </w:p>
    <w:p w14:paraId="5AF74B5E" w14:textId="51CCCF7C" w:rsidR="00C14AA3" w:rsidRPr="00DB25BB" w:rsidRDefault="008D160E" w:rsidP="00A11D20">
      <w:pPr>
        <w:pStyle w:val="Heading4"/>
        <w:keepNext/>
      </w:pPr>
      <w:r w:rsidRPr="00DB25BB">
        <w:t>Auction</w:t>
      </w:r>
      <w:r w:rsidR="00C14AA3" w:rsidRPr="00DB25BB">
        <w:t xml:space="preserve"> stages and rounds</w:t>
      </w:r>
      <w:r w:rsidRPr="00DB25BB">
        <w:t xml:space="preserve"> </w:t>
      </w:r>
      <w:r w:rsidR="00EC2D11" w:rsidRPr="00DB25BB">
        <w:tab/>
      </w:r>
    </w:p>
    <w:p w14:paraId="1A053236" w14:textId="0C8B679A" w:rsidR="0000196C" w:rsidRDefault="00DB25BB" w:rsidP="00A11D20">
      <w:pPr>
        <w:pStyle w:val="Paragraph"/>
        <w:rPr>
          <w:b/>
        </w:rPr>
      </w:pPr>
      <w:r>
        <w:t>Three</w:t>
      </w:r>
      <w:r w:rsidR="0000196C" w:rsidRPr="004D48E3">
        <w:t xml:space="preserve"> submission</w:t>
      </w:r>
      <w:r w:rsidR="0000196C">
        <w:t xml:space="preserve">s generally supported the ACMA’s preferred view </w:t>
      </w:r>
      <w:r>
        <w:t>about</w:t>
      </w:r>
      <w:r w:rsidR="0000196C">
        <w:t xml:space="preserve"> the </w:t>
      </w:r>
      <w:r w:rsidR="00F05FFD">
        <w:t>a</w:t>
      </w:r>
      <w:r w:rsidR="00F27306">
        <w:t>uction stages and rounds</w:t>
      </w:r>
      <w:r>
        <w:t>,</w:t>
      </w:r>
      <w:r w:rsidR="0000196C">
        <w:t xml:space="preserve"> while </w:t>
      </w:r>
      <w:r>
        <w:t xml:space="preserve">four </w:t>
      </w:r>
      <w:r w:rsidR="0000196C">
        <w:t xml:space="preserve">did not provide comment. </w:t>
      </w:r>
    </w:p>
    <w:p w14:paraId="79D1540A" w14:textId="5B1223BC" w:rsidR="00C316A1" w:rsidRDefault="00A3359F" w:rsidP="00A11D20">
      <w:pPr>
        <w:pStyle w:val="Heading4"/>
      </w:pPr>
      <w:r w:rsidRPr="00A3359F">
        <w:t xml:space="preserve">ACMA </w:t>
      </w:r>
      <w:r w:rsidR="00DB25BB">
        <w:t>v</w:t>
      </w:r>
      <w:r w:rsidRPr="00A3359F">
        <w:t>iew</w:t>
      </w:r>
    </w:p>
    <w:p w14:paraId="582C9B08" w14:textId="1302CD1B" w:rsidR="0011650D" w:rsidRPr="0011650D" w:rsidRDefault="0011650D" w:rsidP="00A11D20">
      <w:pPr>
        <w:pStyle w:val="Paragraph"/>
        <w:rPr>
          <w:sz w:val="18"/>
          <w:szCs w:val="18"/>
        </w:rPr>
      </w:pPr>
      <w:r w:rsidRPr="0011650D">
        <w:t>Upon reviewing submission</w:t>
      </w:r>
      <w:r w:rsidR="0022532F">
        <w:t>s</w:t>
      </w:r>
      <w:r w:rsidRPr="0011650D">
        <w:t>, the ACMA notes that stakeholders were generally supportive of the proposed auction stages and rounds</w:t>
      </w:r>
      <w:r w:rsidR="00DB25BB">
        <w:t>,</w:t>
      </w:r>
      <w:r w:rsidRPr="0011650D">
        <w:t xml:space="preserve"> and </w:t>
      </w:r>
      <w:r w:rsidR="00DB25BB" w:rsidRPr="0011650D">
        <w:t>consider</w:t>
      </w:r>
      <w:r w:rsidR="00DB25BB">
        <w:t>s</w:t>
      </w:r>
      <w:r w:rsidR="00DB25BB" w:rsidRPr="0011650D">
        <w:t xml:space="preserve"> </w:t>
      </w:r>
      <w:r w:rsidRPr="0011650D">
        <w:t xml:space="preserve">that no change to the allocation determination </w:t>
      </w:r>
      <w:r w:rsidR="00DB25BB">
        <w:t>is</w:t>
      </w:r>
      <w:r w:rsidR="00DB25BB" w:rsidRPr="0011650D">
        <w:t xml:space="preserve"> </w:t>
      </w:r>
      <w:r w:rsidRPr="0011650D">
        <w:t xml:space="preserve">required. </w:t>
      </w:r>
    </w:p>
    <w:p w14:paraId="0ED248F7" w14:textId="2A8A8DF4" w:rsidR="00B36D4C" w:rsidRDefault="008D160E" w:rsidP="00B36D4C">
      <w:pPr>
        <w:pStyle w:val="Heading4"/>
      </w:pPr>
      <w:r w:rsidRPr="001066BE">
        <w:t>Allocation of leftover lot</w:t>
      </w:r>
      <w:r w:rsidR="00B36D4C">
        <w:t>s</w:t>
      </w:r>
    </w:p>
    <w:p w14:paraId="4A2CAD92" w14:textId="2489C2CB" w:rsidR="00DB25BB" w:rsidRDefault="00DB25BB" w:rsidP="00A11D20">
      <w:pPr>
        <w:pStyle w:val="Paragraph"/>
      </w:pPr>
      <w:r>
        <w:t>Three</w:t>
      </w:r>
      <w:r w:rsidR="0039799B" w:rsidRPr="0039799B">
        <w:t xml:space="preserve"> submissions generally supported the ACMA’s preferred view </w:t>
      </w:r>
      <w:r>
        <w:t xml:space="preserve">about </w:t>
      </w:r>
      <w:r w:rsidR="0039799B" w:rsidRPr="0039799B">
        <w:t>the allocation of left-over lots</w:t>
      </w:r>
      <w:r>
        <w:t>,</w:t>
      </w:r>
      <w:r w:rsidR="0039799B" w:rsidRPr="0039799B">
        <w:t xml:space="preserve"> while </w:t>
      </w:r>
      <w:r>
        <w:t>four</w:t>
      </w:r>
      <w:r w:rsidRPr="0039799B">
        <w:t xml:space="preserve"> </w:t>
      </w:r>
      <w:r w:rsidR="0039799B" w:rsidRPr="0039799B">
        <w:t xml:space="preserve">did not provide comment. </w:t>
      </w:r>
    </w:p>
    <w:p w14:paraId="56C7025E" w14:textId="08CF6331" w:rsidR="0039799B" w:rsidRPr="0039799B" w:rsidRDefault="00AE2B19" w:rsidP="00A11D20">
      <w:pPr>
        <w:pStyle w:val="Paragraphbeforelist"/>
        <w:rPr>
          <w:b/>
        </w:rPr>
      </w:pPr>
      <w:r>
        <w:t>Views</w:t>
      </w:r>
      <w:r w:rsidR="0039799B" w:rsidRPr="0039799B">
        <w:t xml:space="preserve"> </w:t>
      </w:r>
      <w:r w:rsidR="000A662D">
        <w:t xml:space="preserve">outlined in submissions </w:t>
      </w:r>
      <w:r w:rsidR="0039799B" w:rsidRPr="0039799B">
        <w:t>included:</w:t>
      </w:r>
    </w:p>
    <w:p w14:paraId="2BB2AC29" w14:textId="31F83610" w:rsidR="0039799B" w:rsidRPr="0039799B" w:rsidRDefault="0039799B" w:rsidP="00A11D20">
      <w:pPr>
        <w:pStyle w:val="Bulletlevel1"/>
      </w:pPr>
      <w:r w:rsidRPr="0039799B">
        <w:t>One submission supported direct allocation in the first instance to the licensee of an already existing frequency-adjacent spectrum licence, stating that that if the leftover lot were not taken up as a direct allocation, an assignment stage allocation should be the fallback where the leftover lot is automatically allocated to the person who is allocated the adjoining lot.</w:t>
      </w:r>
    </w:p>
    <w:p w14:paraId="00837CD6" w14:textId="77777777" w:rsidR="0039799B" w:rsidRPr="0039799B" w:rsidRDefault="0039799B" w:rsidP="00A11D20">
      <w:pPr>
        <w:pStyle w:val="Bulletlevel1"/>
      </w:pPr>
      <w:r w:rsidRPr="0039799B">
        <w:t>The submission also proposed that the price of the leftover lots should be the starting price for the adjacent 3.4 GHz lots, expressed in $/MHz/pop. It further stated that all bidders would need to be informed prior to the pre-bidding stage of the primary stage of the 3.4 GHz auction which leftover lots, if any, were not directly allocated so that this can be taken into account in bidding decisions.</w:t>
      </w:r>
    </w:p>
    <w:p w14:paraId="76004C8D" w14:textId="21B784FC" w:rsidR="009B3B8E" w:rsidRPr="002347A0" w:rsidRDefault="0039799B" w:rsidP="00A11D20">
      <w:pPr>
        <w:pStyle w:val="Bulletlevel1last"/>
        <w:rPr>
          <w:szCs w:val="20"/>
        </w:rPr>
      </w:pPr>
      <w:r w:rsidRPr="0039799B">
        <w:t xml:space="preserve">Another submission, while supporting the ACMA’s preferred option for leftover lots to be available for direct allocation at a set price to the existing adjacent licensee before the 3.7 GHz auction commences, stated that given the limited utility of these lots on their own, </w:t>
      </w:r>
      <w:r w:rsidR="002347A0">
        <w:t>they</w:t>
      </w:r>
      <w:r w:rsidR="002347A0" w:rsidRPr="0039799B">
        <w:t xml:space="preserve"> </w:t>
      </w:r>
      <w:r w:rsidRPr="0039799B">
        <w:t xml:space="preserve">expect the price set by the ACMA for these lots to be low. In particular, </w:t>
      </w:r>
      <w:r w:rsidR="002347A0">
        <w:t xml:space="preserve">they noted that </w:t>
      </w:r>
      <w:r w:rsidRPr="0039799B">
        <w:t>given internationally harmonised channel bandwidths are typically in multiples of 5 or 10 MHz, the price for these 2.5 MHz lots should be lower than the starting price for the 5 MHz lots.</w:t>
      </w:r>
    </w:p>
    <w:p w14:paraId="1F81918D" w14:textId="3A06B7B6" w:rsidR="00040CF0" w:rsidRDefault="00040CF0" w:rsidP="00A11D20">
      <w:pPr>
        <w:pStyle w:val="Heading4"/>
        <w:keepNext/>
      </w:pPr>
      <w:r w:rsidRPr="002138B4">
        <w:lastRenderedPageBreak/>
        <w:t>ACMA view</w:t>
      </w:r>
    </w:p>
    <w:p w14:paraId="6810050F" w14:textId="78027E76" w:rsidR="00524FEA" w:rsidRPr="00FF78AC" w:rsidRDefault="00524FEA" w:rsidP="002347A0">
      <w:pPr>
        <w:pStyle w:val="Paragraph"/>
        <w:rPr>
          <w:b/>
          <w:szCs w:val="20"/>
        </w:rPr>
      </w:pPr>
      <w:r>
        <w:t>N</w:t>
      </w:r>
      <w:r w:rsidRPr="00FF1636">
        <w:t>ot</w:t>
      </w:r>
      <w:r>
        <w:t>ing</w:t>
      </w:r>
      <w:r w:rsidRPr="00FF1636">
        <w:t xml:space="preserve"> that </w:t>
      </w:r>
      <w:r w:rsidRPr="002347A0">
        <w:t>submissions</w:t>
      </w:r>
      <w:r w:rsidRPr="00FF1636">
        <w:t xml:space="preserve"> were broadly supportive</w:t>
      </w:r>
      <w:r>
        <w:t>,</w:t>
      </w:r>
      <w:r w:rsidRPr="00FF1636">
        <w:t xml:space="preserve"> </w:t>
      </w:r>
      <w:r w:rsidR="005F76DD">
        <w:t>no change was made to the exposure draft of the allocation determination</w:t>
      </w:r>
      <w:r w:rsidRPr="00FF1636">
        <w:t xml:space="preserve">. </w:t>
      </w:r>
    </w:p>
    <w:p w14:paraId="32D955AC" w14:textId="1BC0C797" w:rsidR="00A714E4" w:rsidRPr="00CD2DAD" w:rsidRDefault="00A714E4" w:rsidP="002347A0">
      <w:pPr>
        <w:pStyle w:val="Heading3"/>
        <w:rPr>
          <w:szCs w:val="20"/>
        </w:rPr>
      </w:pPr>
      <w:bookmarkStart w:id="21" w:name="_Toc139280834"/>
      <w:r w:rsidRPr="001066BE">
        <w:t>Other matters</w:t>
      </w:r>
      <w:bookmarkEnd w:id="21"/>
      <w:r w:rsidRPr="001066BE">
        <w:t xml:space="preserve"> </w:t>
      </w:r>
    </w:p>
    <w:p w14:paraId="6EDF3966" w14:textId="087B87BF" w:rsidR="00DB0992" w:rsidRPr="00DB0992" w:rsidRDefault="00DB0992" w:rsidP="00581075">
      <w:pPr>
        <w:pStyle w:val="Paragraph"/>
      </w:pPr>
      <w:r w:rsidRPr="00DB0992">
        <w:t>Stakeholders also commented on other relevant matters</w:t>
      </w:r>
      <w:r w:rsidR="002347A0">
        <w:t>,</w:t>
      </w:r>
      <w:r w:rsidRPr="00DB0992">
        <w:t xml:space="preserve"> which include the MSR, information policy, </w:t>
      </w:r>
      <w:r w:rsidRPr="002347A0">
        <w:t>assignment</w:t>
      </w:r>
      <w:r w:rsidRPr="00DB0992">
        <w:t xml:space="preserve"> stage settings, application and registration process, variation of prices and payment terms</w:t>
      </w:r>
      <w:r w:rsidR="002347A0">
        <w:t>. Discussion of these matters follows.</w:t>
      </w:r>
    </w:p>
    <w:p w14:paraId="4EF7E0EC" w14:textId="107ED4FD" w:rsidR="00665705" w:rsidRPr="002347A0" w:rsidRDefault="00DB0992" w:rsidP="00581075">
      <w:pPr>
        <w:pStyle w:val="Heading4"/>
      </w:pPr>
      <w:r w:rsidRPr="002347A0">
        <w:t>MSR</w:t>
      </w:r>
    </w:p>
    <w:p w14:paraId="1D7545CD" w14:textId="791E5AFA" w:rsidR="002347A0" w:rsidRDefault="002347A0" w:rsidP="00581075">
      <w:pPr>
        <w:pStyle w:val="Paragraph"/>
      </w:pPr>
      <w:bookmarkStart w:id="22" w:name="_Hlk137549632"/>
      <w:r>
        <w:t>Three</w:t>
      </w:r>
      <w:r w:rsidR="002E0D3D" w:rsidRPr="002E0D3D">
        <w:t xml:space="preserve"> submissions generally supported the ACMA’s preferred view </w:t>
      </w:r>
      <w:r>
        <w:t>about</w:t>
      </w:r>
      <w:r w:rsidR="002E0D3D" w:rsidRPr="002E0D3D">
        <w:t xml:space="preserve"> the implementation of a MSR</w:t>
      </w:r>
      <w:r>
        <w:t>,</w:t>
      </w:r>
      <w:r w:rsidR="002E0D3D" w:rsidRPr="002E0D3D">
        <w:t xml:space="preserve"> although one of these suggested more flexibility for how an MSR is defined by a bidder. </w:t>
      </w:r>
      <w:r>
        <w:t>Four</w:t>
      </w:r>
      <w:r w:rsidRPr="002E0D3D">
        <w:t xml:space="preserve"> </w:t>
      </w:r>
      <w:r w:rsidR="002E0D3D" w:rsidRPr="002E0D3D">
        <w:t xml:space="preserve">submissions did not provide comment. </w:t>
      </w:r>
    </w:p>
    <w:p w14:paraId="2A5409CC" w14:textId="2980AEA7" w:rsidR="002E0D3D" w:rsidRPr="002E0D3D" w:rsidRDefault="00AE2B19" w:rsidP="00581075">
      <w:pPr>
        <w:pStyle w:val="Paragraphbeforelist"/>
      </w:pPr>
      <w:r>
        <w:t>Views</w:t>
      </w:r>
      <w:r w:rsidR="000A662D">
        <w:t xml:space="preserve"> outlined in submissions</w:t>
      </w:r>
      <w:r w:rsidR="002E0D3D" w:rsidRPr="002E0D3D">
        <w:t xml:space="preserve"> included:</w:t>
      </w:r>
    </w:p>
    <w:bookmarkEnd w:id="22"/>
    <w:p w14:paraId="478F7E15" w14:textId="4D7A25B1" w:rsidR="002E0D3D" w:rsidRPr="009D627E" w:rsidRDefault="002E0D3D" w:rsidP="00581075">
      <w:pPr>
        <w:pStyle w:val="Bulletlevel1"/>
        <w:rPr>
          <w:szCs w:val="20"/>
        </w:rPr>
      </w:pPr>
      <w:r w:rsidRPr="002E0D3D">
        <w:t xml:space="preserve">One submission proposed an approach to the use of an MSR within the bidding system where bidders could set how excess demand should be dealt with. The submission cited an example where, if a bidder was to make an increase bid for </w:t>
      </w:r>
      <w:r w:rsidR="002347A0" w:rsidRPr="002E0D3D">
        <w:t>20</w:t>
      </w:r>
      <w:r w:rsidR="002347A0">
        <w:t> </w:t>
      </w:r>
      <w:r w:rsidRPr="002E0D3D">
        <w:t>MHz (</w:t>
      </w:r>
      <w:r w:rsidR="002347A0">
        <w:t xml:space="preserve">that is, </w:t>
      </w:r>
      <w:r w:rsidRPr="002E0D3D">
        <w:t>4 lots), they could specify that if the bid was not applied in full, then the bid should be taken to be a bid for, say, 10 MHz (2 lots), and not 15 MHz (3 lots). The submission asserted that such arrangements would facilitate bidder certainty and spectrum efficiency would be increased because bidders would not be left with unviable lot combinations.</w:t>
      </w:r>
    </w:p>
    <w:p w14:paraId="6E680B60" w14:textId="1169AB66" w:rsidR="00CF06FD" w:rsidRPr="00CF06FD" w:rsidRDefault="00CF06FD" w:rsidP="00581075">
      <w:pPr>
        <w:pStyle w:val="Heading4"/>
      </w:pPr>
      <w:r w:rsidRPr="00CF06FD">
        <w:t>ACMA view</w:t>
      </w:r>
    </w:p>
    <w:p w14:paraId="637E7A1C" w14:textId="77777777" w:rsidR="0012578F" w:rsidRPr="0012578F" w:rsidRDefault="0012578F" w:rsidP="0012578F">
      <w:pPr>
        <w:rPr>
          <w:rFonts w:cs="Arial"/>
          <w:highlight w:val="yellow"/>
        </w:rPr>
      </w:pPr>
      <w:r w:rsidRPr="0012578F">
        <w:rPr>
          <w:rFonts w:cs="Arial"/>
        </w:rPr>
        <w:t xml:space="preserve">The proposal outlined above would (in addition to increasing the risk of unsold lots due to each bidder’s ability to determine how its bid should be partially applied if it cannot be applied in full) allow bidders to drive up the price of spectrum and withdraw with reduced commitment, thereby strategically disadvantaging other bidders. </w:t>
      </w:r>
    </w:p>
    <w:p w14:paraId="061F626F" w14:textId="1847D78E" w:rsidR="0012578F" w:rsidRPr="0012578F" w:rsidRDefault="0012578F" w:rsidP="0012578F">
      <w:pPr>
        <w:rPr>
          <w:rFonts w:cs="Arial"/>
        </w:rPr>
      </w:pPr>
      <w:r w:rsidRPr="0012578F">
        <w:rPr>
          <w:rFonts w:cs="Arial"/>
        </w:rPr>
        <w:t xml:space="preserve">The ACMA notes that the bid processing algorithm in the allocation determination has been successfully used in previous </w:t>
      </w:r>
      <w:r w:rsidR="009D627E">
        <w:rPr>
          <w:rFonts w:cs="Arial"/>
        </w:rPr>
        <w:t>2</w:t>
      </w:r>
      <w:r w:rsidRPr="0012578F">
        <w:rPr>
          <w:rFonts w:cs="Arial"/>
        </w:rPr>
        <w:t xml:space="preserve">-stage generic lots auctions and is recommended by our auction system provider. We consider the bid processing algorithm is easy for interested stakeholders to understand and generates the fairest and most intuitive outcome. </w:t>
      </w:r>
    </w:p>
    <w:p w14:paraId="7D100321" w14:textId="0208B5AC" w:rsidR="0012578F" w:rsidRPr="0012578F" w:rsidRDefault="0012578F" w:rsidP="0012578F">
      <w:pPr>
        <w:rPr>
          <w:rFonts w:cs="Arial"/>
        </w:rPr>
      </w:pPr>
      <w:r w:rsidRPr="0012578F">
        <w:rPr>
          <w:rFonts w:cs="Arial"/>
        </w:rPr>
        <w:t xml:space="preserve">On this basis, the ACMA considers that </w:t>
      </w:r>
      <w:r w:rsidR="00091378">
        <w:rPr>
          <w:rFonts w:cs="Arial"/>
        </w:rPr>
        <w:t>an MSR of 2 is appropriate</w:t>
      </w:r>
      <w:r w:rsidRPr="0012578F">
        <w:rPr>
          <w:rFonts w:cs="Arial"/>
        </w:rPr>
        <w:t xml:space="preserve">. </w:t>
      </w:r>
    </w:p>
    <w:p w14:paraId="2F6109C0" w14:textId="77777777" w:rsidR="00AF4945" w:rsidRPr="00581075" w:rsidRDefault="008D160E" w:rsidP="00581075">
      <w:pPr>
        <w:pStyle w:val="Heading4"/>
      </w:pPr>
      <w:r w:rsidRPr="009D627E">
        <w:t>Information policy</w:t>
      </w:r>
    </w:p>
    <w:p w14:paraId="0876815B" w14:textId="115807E3" w:rsidR="009D627E" w:rsidRDefault="009D627E" w:rsidP="00581075">
      <w:pPr>
        <w:pStyle w:val="Paragraph"/>
      </w:pPr>
      <w:bookmarkStart w:id="23" w:name="_Hlk137551613"/>
      <w:r>
        <w:t>Three</w:t>
      </w:r>
      <w:r w:rsidR="00776732" w:rsidRPr="0033271E">
        <w:t xml:space="preserve"> submissions generally supported the ACMA’s preferred view </w:t>
      </w:r>
      <w:r>
        <w:t>about</w:t>
      </w:r>
      <w:r w:rsidR="00776732" w:rsidRPr="0033271E">
        <w:t xml:space="preserve"> the implementation </w:t>
      </w:r>
      <w:r w:rsidR="00DD3C44" w:rsidRPr="0033271E">
        <w:t>of an information policy,</w:t>
      </w:r>
      <w:r w:rsidR="00776732" w:rsidRPr="0033271E">
        <w:t xml:space="preserve"> although one of these suggested </w:t>
      </w:r>
      <w:r w:rsidR="00CF0BE4" w:rsidRPr="0033271E">
        <w:t xml:space="preserve">that </w:t>
      </w:r>
      <w:r w:rsidR="00776732" w:rsidRPr="0033271E">
        <w:t xml:space="preserve">more </w:t>
      </w:r>
      <w:r w:rsidR="00CF0BE4" w:rsidRPr="0033271E">
        <w:t xml:space="preserve">information </w:t>
      </w:r>
      <w:r>
        <w:t>be</w:t>
      </w:r>
      <w:r w:rsidRPr="0033271E">
        <w:t xml:space="preserve"> </w:t>
      </w:r>
      <w:r w:rsidR="00CF0BE4" w:rsidRPr="0033271E">
        <w:t>made available</w:t>
      </w:r>
      <w:r w:rsidR="00776732" w:rsidRPr="0033271E">
        <w:t xml:space="preserve">. </w:t>
      </w:r>
      <w:r>
        <w:t>Four</w:t>
      </w:r>
      <w:r w:rsidR="00776732" w:rsidRPr="0033271E">
        <w:t xml:space="preserve"> submissions did not provide comment.</w:t>
      </w:r>
    </w:p>
    <w:p w14:paraId="748CDD97" w14:textId="35A988EF" w:rsidR="00776732" w:rsidRPr="0033271E" w:rsidRDefault="00AE2B19" w:rsidP="003726BB">
      <w:pPr>
        <w:pStyle w:val="Paragraphbeforelist"/>
      </w:pPr>
      <w:r>
        <w:t>Views</w:t>
      </w:r>
      <w:r w:rsidR="00776732" w:rsidRPr="0033271E">
        <w:t xml:space="preserve"> </w:t>
      </w:r>
      <w:r w:rsidR="000A662D">
        <w:t xml:space="preserve">outlined in submissions </w:t>
      </w:r>
      <w:r w:rsidR="00776732" w:rsidRPr="0033271E">
        <w:t>included:</w:t>
      </w:r>
    </w:p>
    <w:bookmarkEnd w:id="23"/>
    <w:p w14:paraId="70BF54C1" w14:textId="4FD4913E" w:rsidR="00B27744" w:rsidRPr="0033271E" w:rsidRDefault="00243C74" w:rsidP="005D519E">
      <w:pPr>
        <w:pStyle w:val="Bulletlevel1last"/>
      </w:pPr>
      <w:r w:rsidRPr="0033271E">
        <w:t>a detailed proposal</w:t>
      </w:r>
      <w:r w:rsidR="009D627E">
        <w:t xml:space="preserve"> included in one submission</w:t>
      </w:r>
      <w:r w:rsidRPr="0033271E">
        <w:t xml:space="preserve"> for what kin</w:t>
      </w:r>
      <w:r w:rsidR="00F903F6" w:rsidRPr="0033271E">
        <w:t>ds of information should be provided at particular times during the allocation process</w:t>
      </w:r>
      <w:r w:rsidR="003739AF" w:rsidRPr="0033271E">
        <w:t>.</w:t>
      </w:r>
    </w:p>
    <w:p w14:paraId="1A2DD2AE" w14:textId="59020FB2" w:rsidR="00814C44" w:rsidRDefault="00814C44" w:rsidP="00581075">
      <w:pPr>
        <w:pStyle w:val="Heading4"/>
      </w:pPr>
      <w:r w:rsidRPr="004C5F62">
        <w:t>ACMA view</w:t>
      </w:r>
    </w:p>
    <w:p w14:paraId="67424E48" w14:textId="0C9D3077" w:rsidR="004C5F62" w:rsidRDefault="004C5F62" w:rsidP="004C5F62">
      <w:pPr>
        <w:pStyle w:val="Paragraph"/>
      </w:pPr>
      <w:r w:rsidRPr="00FF1636">
        <w:t xml:space="preserve">Upon reviewing the submissions, the ACMA notes general support for our proposal to release exact excess demand information to bidders at the end of each clock </w:t>
      </w:r>
      <w:r w:rsidR="009D627E">
        <w:t xml:space="preserve">round </w:t>
      </w:r>
      <w:r w:rsidRPr="00FF1636">
        <w:t>and we intend</w:t>
      </w:r>
      <w:r w:rsidR="009D627E">
        <w:t xml:space="preserve"> to </w:t>
      </w:r>
      <w:r w:rsidRPr="00FF1636">
        <w:t xml:space="preserve">on maintain this approach. </w:t>
      </w:r>
    </w:p>
    <w:p w14:paraId="14A62329" w14:textId="5CB25FCC" w:rsidR="00F5563A" w:rsidRPr="009D627E" w:rsidRDefault="00F5563A" w:rsidP="009D627E">
      <w:pPr>
        <w:pStyle w:val="Paragraph"/>
      </w:pPr>
      <w:r w:rsidRPr="00F5563A">
        <w:t>In relation to one submission</w:t>
      </w:r>
      <w:r>
        <w:t xml:space="preserve"> mentioned above</w:t>
      </w:r>
      <w:r w:rsidRPr="00F5563A">
        <w:t xml:space="preserve"> that included a detailed proposal for what information should be provided at particular times during the allocation process, the ACMA disagrees with the rationale underlying the proposal, which was that the risk of anti-competitive behaviour is </w:t>
      </w:r>
      <w:r w:rsidRPr="009D627E">
        <w:t>diminished where sequential auctions are conducted.</w:t>
      </w:r>
    </w:p>
    <w:p w14:paraId="145B4D15" w14:textId="0E48643A" w:rsidR="009D627E" w:rsidRPr="009D627E" w:rsidRDefault="004D2DF8" w:rsidP="009D627E">
      <w:pPr>
        <w:pStyle w:val="Paragraph"/>
      </w:pPr>
      <w:r w:rsidRPr="009D627E">
        <w:lastRenderedPageBreak/>
        <w:t>The ACMA did not propose to provide any information about the outcome of the 3.</w:t>
      </w:r>
      <w:r w:rsidR="009D627E" w:rsidRPr="009D627E">
        <w:t>7</w:t>
      </w:r>
      <w:r w:rsidR="009D627E">
        <w:t> </w:t>
      </w:r>
      <w:r w:rsidRPr="009D627E">
        <w:t>GHz auction before the commencement of the 3.4 GHz auction. In response to stakeholder feedback, the ACMA considered the prospect that bidders participating in both the 3.7 GHz auction and the 3.4 GHz auction may have additional information that could be used to formulate</w:t>
      </w:r>
      <w:r w:rsidR="009D627E">
        <w:t xml:space="preserve"> a</w:t>
      </w:r>
      <w:r w:rsidRPr="009D627E">
        <w:t xml:space="preserve"> bid strategy based on their own demand, compared to bidders participating only in the 3.4 GHz auction. The ACMA considers that releasing information about the outcome of the 3.7 GHz auction to all registered bidders ahead of the 3.4 GHz auction is unlikely to increase the risk of strategic behaviour in the 3.4 GHz auction. </w:t>
      </w:r>
    </w:p>
    <w:p w14:paraId="3A30241E" w14:textId="58AD8885" w:rsidR="007C1E1F" w:rsidRPr="004D2DF8" w:rsidRDefault="004D2DF8" w:rsidP="009D627E">
      <w:pPr>
        <w:pStyle w:val="Paragraph"/>
      </w:pPr>
      <w:r w:rsidRPr="009D627E">
        <w:t>Therefore, a change was made in the determination to provide for some information about the outcome of the 3.7 GHz auction to all bidders before t</w:t>
      </w:r>
      <w:r>
        <w:t>he commencement of the 3.4 GHz auction.</w:t>
      </w:r>
    </w:p>
    <w:p w14:paraId="6069F906" w14:textId="391023B1" w:rsidR="00E12B3D" w:rsidRPr="009D627E" w:rsidRDefault="00827257" w:rsidP="00581075">
      <w:pPr>
        <w:pStyle w:val="Heading4"/>
      </w:pPr>
      <w:r w:rsidRPr="009D627E">
        <w:t xml:space="preserve">Assignment stage settings </w:t>
      </w:r>
    </w:p>
    <w:p w14:paraId="79DD9201" w14:textId="65A69827" w:rsidR="009D627E" w:rsidRDefault="009D627E" w:rsidP="000F7B9F">
      <w:pPr>
        <w:rPr>
          <w:rFonts w:cs="Arial"/>
        </w:rPr>
      </w:pPr>
      <w:bookmarkStart w:id="24" w:name="_Hlk137817368"/>
      <w:r>
        <w:rPr>
          <w:rFonts w:cs="Arial"/>
        </w:rPr>
        <w:t>Two</w:t>
      </w:r>
      <w:r w:rsidR="000F7B9F" w:rsidRPr="004D48E3">
        <w:rPr>
          <w:rFonts w:cs="Arial"/>
        </w:rPr>
        <w:t xml:space="preserve"> submission</w:t>
      </w:r>
      <w:r w:rsidR="000F7B9F">
        <w:rPr>
          <w:rFonts w:cs="Arial"/>
        </w:rPr>
        <w:t xml:space="preserve">s generally supported the ACMA’s preferred view </w:t>
      </w:r>
      <w:r>
        <w:rPr>
          <w:rFonts w:cs="Arial"/>
        </w:rPr>
        <w:t>for</w:t>
      </w:r>
      <w:r w:rsidR="000F7B9F">
        <w:rPr>
          <w:rFonts w:cs="Arial"/>
        </w:rPr>
        <w:t xml:space="preserve"> the assignment stage settings, although one of these suggested an alternative to the allocation of unallocated lots. One submission partially supported the ACMAs preferred </w:t>
      </w:r>
      <w:r w:rsidR="00053BD8">
        <w:rPr>
          <w:rFonts w:cs="Arial"/>
        </w:rPr>
        <w:t>view,</w:t>
      </w:r>
      <w:r w:rsidR="000F7B9F">
        <w:rPr>
          <w:rFonts w:cs="Arial"/>
        </w:rPr>
        <w:t xml:space="preserve"> and </w:t>
      </w:r>
      <w:r>
        <w:rPr>
          <w:rFonts w:cs="Arial"/>
        </w:rPr>
        <w:t xml:space="preserve">four </w:t>
      </w:r>
      <w:r w:rsidR="000F7B9F">
        <w:rPr>
          <w:rFonts w:cs="Arial"/>
        </w:rPr>
        <w:t xml:space="preserve">submissions did not provide comment. </w:t>
      </w:r>
    </w:p>
    <w:p w14:paraId="2EE42372" w14:textId="6A9EA1AC" w:rsidR="000F7B9F" w:rsidRDefault="00AE2B19" w:rsidP="00984FF7">
      <w:pPr>
        <w:pStyle w:val="Paragraphbeforelist"/>
      </w:pPr>
      <w:r>
        <w:t>Views</w:t>
      </w:r>
      <w:r w:rsidR="000A662D">
        <w:t xml:space="preserve"> outlined in submissions</w:t>
      </w:r>
      <w:r w:rsidR="000F7B9F">
        <w:t xml:space="preserve"> included:</w:t>
      </w:r>
    </w:p>
    <w:bookmarkEnd w:id="24"/>
    <w:p w14:paraId="0130A030" w14:textId="5F66AA65" w:rsidR="000F7B9F" w:rsidRPr="0083546D" w:rsidRDefault="000F7B9F" w:rsidP="00984FF7">
      <w:pPr>
        <w:pStyle w:val="Bulletlevel1"/>
      </w:pPr>
      <w:r>
        <w:t>One submission</w:t>
      </w:r>
      <w:r w:rsidRPr="0083546D">
        <w:t xml:space="preserve"> propose</w:t>
      </w:r>
      <w:r>
        <w:t>d</w:t>
      </w:r>
      <w:r w:rsidRPr="0083546D">
        <w:t xml:space="preserve"> that where more than one combination of assignment bids meets the </w:t>
      </w:r>
      <w:r>
        <w:t xml:space="preserve">necessary </w:t>
      </w:r>
      <w:r w:rsidRPr="0083546D">
        <w:t xml:space="preserve">criteria </w:t>
      </w:r>
      <w:r>
        <w:t>to constitute the winning combination of bids</w:t>
      </w:r>
      <w:r w:rsidRPr="0083546D">
        <w:t>, instead of a pseudorandom tie</w:t>
      </w:r>
      <w:r w:rsidR="009D627E">
        <w:t>-</w:t>
      </w:r>
      <w:r w:rsidRPr="0083546D">
        <w:t>break process, there should be a ‘first tiebreak method’</w:t>
      </w:r>
      <w:r>
        <w:t xml:space="preserve">. This method would </w:t>
      </w:r>
      <w:r w:rsidR="00097786">
        <w:t xml:space="preserve">use </w:t>
      </w:r>
      <w:r>
        <w:t>a combination that resulted in unallocated lots being located in a particular part of the 3.7 GHz or 3.4 GHz band, as appropriate.</w:t>
      </w:r>
      <w:r w:rsidRPr="0083546D">
        <w:t xml:space="preserve"> </w:t>
      </w:r>
      <w:r>
        <w:t xml:space="preserve">If there were still more than one combination of assignment bids </w:t>
      </w:r>
      <w:r w:rsidRPr="009D627E">
        <w:t>after</w:t>
      </w:r>
      <w:r>
        <w:t xml:space="preserve"> this preference is applied, </w:t>
      </w:r>
      <w:r w:rsidRPr="0083546D">
        <w:t>then</w:t>
      </w:r>
      <w:r w:rsidR="00097786">
        <w:t xml:space="preserve"> </w:t>
      </w:r>
      <w:r w:rsidRPr="0083546D">
        <w:t>the pseudorandom process should be used.</w:t>
      </w:r>
    </w:p>
    <w:p w14:paraId="417E07C3" w14:textId="77C69477" w:rsidR="000F7B9F" w:rsidRPr="0009397F" w:rsidRDefault="000F7B9F" w:rsidP="00984FF7">
      <w:pPr>
        <w:pStyle w:val="Bulletlevel1"/>
      </w:pPr>
      <w:r w:rsidRPr="0009397F">
        <w:t>Th</w:t>
      </w:r>
      <w:r>
        <w:t>is</w:t>
      </w:r>
      <w:r w:rsidRPr="0009397F">
        <w:t xml:space="preserve"> submission </w:t>
      </w:r>
      <w:r>
        <w:t>also</w:t>
      </w:r>
      <w:r w:rsidRPr="0009397F">
        <w:t xml:space="preserve"> </w:t>
      </w:r>
      <w:r>
        <w:t>stated</w:t>
      </w:r>
      <w:r w:rsidRPr="0009397F">
        <w:t xml:space="preserve"> that p</w:t>
      </w:r>
      <w:r w:rsidRPr="0083546D">
        <w:t>roviding bidders only with contiguous assignment options</w:t>
      </w:r>
      <w:r>
        <w:t>,</w:t>
      </w:r>
      <w:r w:rsidRPr="0083546D">
        <w:t xml:space="preserve"> regardless of whether they are </w:t>
      </w:r>
      <w:r>
        <w:t>‘</w:t>
      </w:r>
      <w:r w:rsidRPr="0083546D">
        <w:t>feasible</w:t>
      </w:r>
      <w:r>
        <w:t>’ (</w:t>
      </w:r>
      <w:r w:rsidR="009D627E">
        <w:t>that is,</w:t>
      </w:r>
      <w:r>
        <w:t xml:space="preserve"> could be a winning option for a bidder, taking into account what has been allocated to other bidders),</w:t>
      </w:r>
      <w:r w:rsidRPr="0083546D">
        <w:t xml:space="preserve"> will significant</w:t>
      </w:r>
      <w:r>
        <w:t>ly</w:t>
      </w:r>
      <w:r w:rsidRPr="0083546D">
        <w:t xml:space="preserve"> increase the amount of valuation work that each bidder will need to undertake before the assignment stage for no additional benefit.</w:t>
      </w:r>
      <w:r w:rsidRPr="0009397F">
        <w:t xml:space="preserve"> It proposed that</w:t>
      </w:r>
      <w:r w:rsidRPr="0083546D">
        <w:t xml:space="preserve"> </w:t>
      </w:r>
      <w:r>
        <w:t xml:space="preserve">information about the allocation of lots during the primary and secondary stages of an auction be provided to bidders </w:t>
      </w:r>
      <w:r w:rsidRPr="0083546D">
        <w:t>before the assignment stage.</w:t>
      </w:r>
      <w:r w:rsidRPr="0009397F">
        <w:t xml:space="preserve"> </w:t>
      </w:r>
      <w:r>
        <w:t>Failing</w:t>
      </w:r>
      <w:r w:rsidRPr="0083546D">
        <w:t xml:space="preserve"> that, </w:t>
      </w:r>
      <w:r>
        <w:t>it proposed</w:t>
      </w:r>
      <w:r w:rsidRPr="0083546D">
        <w:t xml:space="preserve"> the same practice in previous auctions, and for only feasible assignment </w:t>
      </w:r>
      <w:r>
        <w:t>options</w:t>
      </w:r>
      <w:r w:rsidRPr="0083546D">
        <w:t xml:space="preserve"> to be offered </w:t>
      </w:r>
      <w:r>
        <w:t xml:space="preserve">to bidders </w:t>
      </w:r>
      <w:r w:rsidRPr="0083546D">
        <w:t>during the assignment stage</w:t>
      </w:r>
      <w:r w:rsidRPr="0009397F">
        <w:t>.</w:t>
      </w:r>
    </w:p>
    <w:p w14:paraId="1AFC91C5" w14:textId="77777777" w:rsidR="000F7B9F" w:rsidRDefault="000F7B9F" w:rsidP="00984FF7">
      <w:pPr>
        <w:pStyle w:val="Bulletlevel1"/>
      </w:pPr>
      <w:r>
        <w:t>Another submission</w:t>
      </w:r>
      <w:r w:rsidRPr="0083546D">
        <w:t xml:space="preserve"> propose</w:t>
      </w:r>
      <w:r>
        <w:t>d</w:t>
      </w:r>
      <w:r w:rsidRPr="0083546D">
        <w:t xml:space="preserve"> that </w:t>
      </w:r>
      <w:r>
        <w:t>unallocated lots of a product should occupy the frequencies at the top of the product’s frequency band.</w:t>
      </w:r>
    </w:p>
    <w:p w14:paraId="6670EDE8" w14:textId="77777777" w:rsidR="000F7B9F" w:rsidRDefault="000F7B9F" w:rsidP="00984FF7">
      <w:pPr>
        <w:pStyle w:val="Bulletlevel1"/>
      </w:pPr>
      <w:r>
        <w:t>Another submission</w:t>
      </w:r>
      <w:r w:rsidRPr="0083546D">
        <w:t xml:space="preserve"> propose</w:t>
      </w:r>
      <w:r>
        <w:t>d</w:t>
      </w:r>
      <w:r w:rsidRPr="0083546D">
        <w:t xml:space="preserve"> that</w:t>
      </w:r>
      <w:r>
        <w:t>,</w:t>
      </w:r>
      <w:r w:rsidRPr="0083546D">
        <w:t xml:space="preserve"> for </w:t>
      </w:r>
      <w:r>
        <w:t xml:space="preserve">the </w:t>
      </w:r>
      <w:r w:rsidRPr="0083546D">
        <w:t>3.7 GHz band, contiguity should be guaranteed</w:t>
      </w:r>
      <w:r>
        <w:t>,</w:t>
      </w:r>
      <w:r w:rsidRPr="0083546D">
        <w:t xml:space="preserve"> where applicable</w:t>
      </w:r>
      <w:r>
        <w:t>,</w:t>
      </w:r>
      <w:r w:rsidRPr="0083546D">
        <w:t xml:space="preserve"> with </w:t>
      </w:r>
      <w:r>
        <w:t>existing</w:t>
      </w:r>
      <w:r w:rsidRPr="0083546D">
        <w:t xml:space="preserve"> 3.6 GHz band </w:t>
      </w:r>
      <w:r>
        <w:t>licences</w:t>
      </w:r>
      <w:r w:rsidRPr="0083546D">
        <w:t xml:space="preserve">. </w:t>
      </w:r>
    </w:p>
    <w:p w14:paraId="1563D817" w14:textId="77777777" w:rsidR="000F7B9F" w:rsidRDefault="000F7B9F" w:rsidP="00984FF7">
      <w:pPr>
        <w:pStyle w:val="Bulletlevel1last"/>
      </w:pPr>
      <w:r>
        <w:t xml:space="preserve">Another submission </w:t>
      </w:r>
      <w:r w:rsidRPr="0083546D">
        <w:t>recommend</w:t>
      </w:r>
      <w:r>
        <w:t xml:space="preserve">ed a change to the pricing formula, </w:t>
      </w:r>
      <w:r w:rsidRPr="0083546D">
        <w:t>a</w:t>
      </w:r>
      <w:r>
        <w:t>sserting that</w:t>
      </w:r>
      <w:r w:rsidRPr="0083546D">
        <w:t xml:space="preserve"> </w:t>
      </w:r>
      <w:r>
        <w:t>would be</w:t>
      </w:r>
      <w:r w:rsidRPr="0083546D">
        <w:t xml:space="preserve"> simpler and </w:t>
      </w:r>
      <w:r>
        <w:t xml:space="preserve">would </w:t>
      </w:r>
      <w:r w:rsidRPr="0083546D">
        <w:t>yield the same benefits in terms of encouraging bidders to reveal their genuine valuatio</w:t>
      </w:r>
      <w:r>
        <w:t>n</w:t>
      </w:r>
      <w:r w:rsidRPr="0083546D">
        <w:t>.</w:t>
      </w:r>
    </w:p>
    <w:p w14:paraId="2B97EF9E" w14:textId="6538BDCC" w:rsidR="0023388F" w:rsidRDefault="0023388F" w:rsidP="00984FF7">
      <w:pPr>
        <w:pStyle w:val="Heading4"/>
      </w:pPr>
      <w:r w:rsidRPr="00DD370D">
        <w:t xml:space="preserve">ACMA </w:t>
      </w:r>
      <w:r w:rsidR="00DD370D" w:rsidRPr="00DD370D">
        <w:t>view</w:t>
      </w:r>
    </w:p>
    <w:p w14:paraId="391EAC9C" w14:textId="659B7037" w:rsidR="00D75EE4" w:rsidRPr="00FF1636" w:rsidRDefault="00D75EE4" w:rsidP="00D75EE4">
      <w:pPr>
        <w:pStyle w:val="Paragraph"/>
      </w:pPr>
      <w:r>
        <w:t>In relation to the proposal for a ‘first tiebreak method’, t</w:t>
      </w:r>
      <w:r w:rsidRPr="00FF1636">
        <w:t xml:space="preserve">he ACMA consider that </w:t>
      </w:r>
      <w:r>
        <w:t xml:space="preserve">it is </w:t>
      </w:r>
      <w:r w:rsidRPr="00FF1636">
        <w:t xml:space="preserve">unlikely to </w:t>
      </w:r>
      <w:r>
        <w:t>be required</w:t>
      </w:r>
      <w:r w:rsidRPr="00FF1636">
        <w:t xml:space="preserve">. Additionally, the proposal would disadvantage a bidder who expresses an interest in the spectrum </w:t>
      </w:r>
      <w:r>
        <w:t>in the part of the band where the tie</w:t>
      </w:r>
      <w:r w:rsidR="00CD1D30">
        <w:t>-</w:t>
      </w:r>
      <w:r>
        <w:t>break method prefers the unallocated lots to be located</w:t>
      </w:r>
      <w:r w:rsidRPr="00FF1636">
        <w:t xml:space="preserve">. Therefore, no change </w:t>
      </w:r>
      <w:r>
        <w:t xml:space="preserve">was made </w:t>
      </w:r>
      <w:r w:rsidRPr="00FF1636">
        <w:t xml:space="preserve">to the allocation determination. </w:t>
      </w:r>
    </w:p>
    <w:p w14:paraId="68D0B396" w14:textId="0A976D11" w:rsidR="00D75EE4" w:rsidRPr="00FF1636" w:rsidRDefault="00D75EE4" w:rsidP="00D75EE4">
      <w:pPr>
        <w:pStyle w:val="Paragraph"/>
      </w:pPr>
      <w:r>
        <w:t xml:space="preserve">In relation to providing bidders </w:t>
      </w:r>
      <w:r w:rsidR="00CD1D30">
        <w:t xml:space="preserve">with </w:t>
      </w:r>
      <w:r>
        <w:t>only the</w:t>
      </w:r>
      <w:r w:rsidRPr="00FF1636">
        <w:t xml:space="preserve"> feasible assignment options</w:t>
      </w:r>
      <w:r>
        <w:t xml:space="preserve">, auctions </w:t>
      </w:r>
      <w:r w:rsidR="007B6429">
        <w:t xml:space="preserve">in </w:t>
      </w:r>
      <w:r w:rsidR="007B6429" w:rsidRPr="00FF1636">
        <w:t>Canada</w:t>
      </w:r>
      <w:r w:rsidRPr="00FF1636">
        <w:t xml:space="preserve"> and the US </w:t>
      </w:r>
      <w:r>
        <w:t>involve the provision of</w:t>
      </w:r>
      <w:r w:rsidRPr="00FF1636">
        <w:t xml:space="preserve"> all contiguous frequency range options</w:t>
      </w:r>
      <w:r>
        <w:t>,</w:t>
      </w:r>
      <w:r w:rsidRPr="00FF1636">
        <w:t xml:space="preserve"> rather than only winnable </w:t>
      </w:r>
      <w:r>
        <w:t xml:space="preserve">or feasible </w:t>
      </w:r>
      <w:r w:rsidRPr="00FF1636">
        <w:t xml:space="preserve">options. This is because showing only </w:t>
      </w:r>
      <w:r>
        <w:t>feasible</w:t>
      </w:r>
      <w:r w:rsidRPr="00FF1636">
        <w:t xml:space="preserve"> </w:t>
      </w:r>
      <w:r w:rsidRPr="00FF1636">
        <w:lastRenderedPageBreak/>
        <w:t xml:space="preserve">options reveals information about the </w:t>
      </w:r>
      <w:r>
        <w:t>lots allocated to</w:t>
      </w:r>
      <w:r w:rsidRPr="00FF1636">
        <w:t xml:space="preserve"> other </w:t>
      </w:r>
      <w:r>
        <w:t xml:space="preserve">winning </w:t>
      </w:r>
      <w:r w:rsidRPr="00FF1636">
        <w:t>bidders</w:t>
      </w:r>
      <w:r>
        <w:t>,</w:t>
      </w:r>
      <w:r w:rsidRPr="00FF1636">
        <w:t xml:space="preserve"> which can be used by bidders to </w:t>
      </w:r>
      <w:r w:rsidR="00CD1D30">
        <w:t>‘</w:t>
      </w:r>
      <w:r w:rsidRPr="00FF1636">
        <w:t>game</w:t>
      </w:r>
      <w:r w:rsidR="00CD1D30">
        <w:t>’</w:t>
      </w:r>
      <w:r w:rsidRPr="00FF1636">
        <w:t xml:space="preserve"> the assignment stage. We are conscious that showing all contiguous options will impose costs on bidders because they will have to develop bids on option</w:t>
      </w:r>
      <w:r w:rsidR="00CD1D30">
        <w:t>s</w:t>
      </w:r>
      <w:r w:rsidRPr="00FF1636">
        <w:t xml:space="preserve"> that are not feasible. However, given the gaming risk associated with displaying only feasible assignment option</w:t>
      </w:r>
      <w:r w:rsidR="00CD1D30">
        <w:t>s</w:t>
      </w:r>
      <w:r w:rsidRPr="00FF1636">
        <w:t xml:space="preserve">, we consider it is worthwhile to display all contiguous options. On that basis, no change </w:t>
      </w:r>
      <w:r>
        <w:t xml:space="preserve">was made </w:t>
      </w:r>
      <w:r w:rsidRPr="00FF1636">
        <w:t xml:space="preserve">to the allocation determination. </w:t>
      </w:r>
    </w:p>
    <w:p w14:paraId="2986764F" w14:textId="09D8B060" w:rsidR="00D75EE4" w:rsidRPr="00FF1636" w:rsidRDefault="00D75EE4" w:rsidP="00D75EE4">
      <w:pPr>
        <w:pStyle w:val="Paragraph"/>
      </w:pPr>
      <w:r>
        <w:t>In relation to the location of unallocated lots, t</w:t>
      </w:r>
      <w:r w:rsidRPr="00FF1636">
        <w:t xml:space="preserve">he ACMA notes that not </w:t>
      </w:r>
      <w:r>
        <w:t xml:space="preserve">assigning </w:t>
      </w:r>
      <w:r w:rsidR="00CD1D30">
        <w:t xml:space="preserve">frequencies to </w:t>
      </w:r>
      <w:r>
        <w:t xml:space="preserve">those </w:t>
      </w:r>
      <w:r w:rsidRPr="00FF1636">
        <w:t>lots increases flexibility for bidders in the assignment stage to bid for the assignment of spectrum the bidder values most highly. We consider that some bidders may express demand for frequency ranges adjacent to their existing spectrum licen</w:t>
      </w:r>
      <w:r>
        <w:t>ces</w:t>
      </w:r>
      <w:r w:rsidRPr="00FF1636">
        <w:t xml:space="preserve"> in the 3.6 GHz band. Therefore, the relative value of frequency ranges may differ between bidders. We consider that the frequency range </w:t>
      </w:r>
      <w:r>
        <w:t>for</w:t>
      </w:r>
      <w:r w:rsidRPr="00FF1636">
        <w:t xml:space="preserve"> any unallocated lots should be determined by the assignment stage bids, rather than </w:t>
      </w:r>
      <w:r w:rsidR="00CD1D30">
        <w:t xml:space="preserve">be </w:t>
      </w:r>
      <w:r w:rsidRPr="00FF1636">
        <w:t>pre-assigned</w:t>
      </w:r>
      <w:r w:rsidR="00CD1D30">
        <w:t>,</w:t>
      </w:r>
      <w:r w:rsidRPr="00FF1636">
        <w:t xml:space="preserve"> and therefore no change</w:t>
      </w:r>
      <w:r>
        <w:t xml:space="preserve"> has been made</w:t>
      </w:r>
      <w:r w:rsidRPr="00FF1636">
        <w:t xml:space="preserve"> to the allocation determination. </w:t>
      </w:r>
    </w:p>
    <w:p w14:paraId="1D8207E2" w14:textId="58F30CF1" w:rsidR="00D75EE4" w:rsidRPr="00BD162E" w:rsidRDefault="00D75EE4" w:rsidP="00D75EE4">
      <w:pPr>
        <w:pStyle w:val="Paragraph"/>
      </w:pPr>
      <w:r>
        <w:t xml:space="preserve">In relation to guaranteeing </w:t>
      </w:r>
      <w:r w:rsidRPr="00BD162E">
        <w:t xml:space="preserve">contiguity with </w:t>
      </w:r>
      <w:r>
        <w:t>a bidder’s existing licences</w:t>
      </w:r>
      <w:r w:rsidRPr="00BD162E">
        <w:t xml:space="preserve">, we cannot predict the business cases of bidders, and where they may prefer to be allocated spectrum. If </w:t>
      </w:r>
      <w:r>
        <w:t xml:space="preserve">such a rule </w:t>
      </w:r>
      <w:r w:rsidRPr="00BD162E">
        <w:t>was imposed, it may negatively affect</w:t>
      </w:r>
      <w:r>
        <w:t xml:space="preserve"> bidders </w:t>
      </w:r>
      <w:r w:rsidR="00CD1D30">
        <w:t xml:space="preserve">that </w:t>
      </w:r>
      <w:r>
        <w:t>prefer flexibility in determining the frequency location of their holdings</w:t>
      </w:r>
      <w:r w:rsidRPr="00BD162E">
        <w:t xml:space="preserve">. </w:t>
      </w:r>
    </w:p>
    <w:p w14:paraId="20752C64" w14:textId="11199C43" w:rsidR="00D75EE4" w:rsidRPr="00BD162E" w:rsidRDefault="00D75EE4" w:rsidP="00D75EE4">
      <w:pPr>
        <w:pStyle w:val="Paragraph"/>
      </w:pPr>
      <w:r w:rsidRPr="00BD162E">
        <w:t xml:space="preserve">The purpose of the assignment stage is to enable bidders to express their demand for the frequency location of the </w:t>
      </w:r>
      <w:r>
        <w:t>lots allocated during the primary and secondary stages</w:t>
      </w:r>
      <w:r w:rsidRPr="00BD162E">
        <w:t xml:space="preserve">. </w:t>
      </w:r>
      <w:r>
        <w:t xml:space="preserve">The ACMA </w:t>
      </w:r>
      <w:r w:rsidRPr="00BD162E">
        <w:t>consider</w:t>
      </w:r>
      <w:r>
        <w:t>s</w:t>
      </w:r>
      <w:r w:rsidR="00CD1D30">
        <w:t xml:space="preserve"> that</w:t>
      </w:r>
      <w:r w:rsidRPr="00BD162E">
        <w:t xml:space="preserve"> if a bidder values contiguity with existing </w:t>
      </w:r>
      <w:r>
        <w:t xml:space="preserve">licences in the </w:t>
      </w:r>
      <w:r w:rsidRPr="00BD162E">
        <w:t xml:space="preserve">3.6 GHz </w:t>
      </w:r>
      <w:r>
        <w:t>band</w:t>
      </w:r>
      <w:r w:rsidRPr="00BD162E">
        <w:t xml:space="preserve">, then the bidder should </w:t>
      </w:r>
      <w:r>
        <w:t xml:space="preserve">bid </w:t>
      </w:r>
      <w:r w:rsidRPr="00BD162E">
        <w:t>accordingly in the assignment stage.</w:t>
      </w:r>
    </w:p>
    <w:p w14:paraId="03873543" w14:textId="77777777" w:rsidR="00D75EE4" w:rsidRPr="0083546D" w:rsidRDefault="00D75EE4" w:rsidP="00D75EE4">
      <w:pPr>
        <w:pStyle w:val="Paragraph"/>
      </w:pPr>
      <w:r w:rsidRPr="00BD162E">
        <w:t xml:space="preserve">We note that </w:t>
      </w:r>
      <w:r>
        <w:t>this</w:t>
      </w:r>
      <w:r w:rsidRPr="00BD162E">
        <w:t xml:space="preserve"> does introduce the risk that bidders may value spectrum based on fragmenting </w:t>
      </w:r>
      <w:r>
        <w:t>their</w:t>
      </w:r>
      <w:r w:rsidRPr="00BD162E">
        <w:t xml:space="preserve"> competitors</w:t>
      </w:r>
      <w:r>
        <w:t>’ licences. However, this risk is ameliorated by not providing bidders with only the feasible assignment options.</w:t>
      </w:r>
    </w:p>
    <w:p w14:paraId="7512EEEE" w14:textId="7FAF61EA" w:rsidR="00D75EE4" w:rsidRPr="00FF1636" w:rsidRDefault="00D75EE4" w:rsidP="00D75EE4">
      <w:pPr>
        <w:pStyle w:val="Paragraph"/>
      </w:pPr>
      <w:r>
        <w:t>In relation to the pricing formula,</w:t>
      </w:r>
      <w:r w:rsidRPr="00FF1636">
        <w:t xml:space="preserve"> the benefit of the nearest Vickrey core pricing is that it removes counter</w:t>
      </w:r>
      <w:r w:rsidR="00CD1D30">
        <w:t>-</w:t>
      </w:r>
      <w:r w:rsidRPr="00FF1636">
        <w:t xml:space="preserve">intuitive outcomes where coalitions of bidders can potentially pay less than the opportunity cost that they impose. </w:t>
      </w:r>
      <w:r w:rsidR="00CD1D30">
        <w:t>we</w:t>
      </w:r>
      <w:r>
        <w:t xml:space="preserve"> acknowledge that i</w:t>
      </w:r>
      <w:r w:rsidRPr="00FF1636">
        <w:t>t is more complicated to calculate</w:t>
      </w:r>
      <w:r>
        <w:t xml:space="preserve"> than other pricing rules</w:t>
      </w:r>
      <w:r w:rsidRPr="00FF1636">
        <w:t>, often requiring the use of specialise</w:t>
      </w:r>
      <w:r w:rsidR="00CD1D30">
        <w:t>d</w:t>
      </w:r>
      <w:r w:rsidRPr="00FF1636">
        <w:t xml:space="preserve"> software. </w:t>
      </w:r>
      <w:r>
        <w:t>However, w</w:t>
      </w:r>
      <w:r w:rsidRPr="00FF1636">
        <w:t>e consider that the nearest Vickrey</w:t>
      </w:r>
      <w:r>
        <w:t xml:space="preserve"> core</w:t>
      </w:r>
      <w:r w:rsidRPr="00FF1636">
        <w:t xml:space="preserve"> pricing rule should continue to be used in </w:t>
      </w:r>
      <w:r w:rsidR="00D733B6">
        <w:t>these auctions</w:t>
      </w:r>
      <w:r w:rsidRPr="00FF1636">
        <w:t xml:space="preserve">. </w:t>
      </w:r>
    </w:p>
    <w:p w14:paraId="2CE47541" w14:textId="44E4FD38" w:rsidR="00E12B3D" w:rsidRPr="00CD1D30" w:rsidRDefault="00827257" w:rsidP="00984FF7">
      <w:pPr>
        <w:pStyle w:val="Heading4"/>
      </w:pPr>
      <w:r w:rsidRPr="00CD1D30">
        <w:t>Application</w:t>
      </w:r>
      <w:r w:rsidR="008F0706" w:rsidRPr="00CD1D30">
        <w:t xml:space="preserve"> and registration process </w:t>
      </w:r>
    </w:p>
    <w:p w14:paraId="68B008AE" w14:textId="255A9EAB" w:rsidR="00984FF7" w:rsidRDefault="00C2532B" w:rsidP="00984FF7">
      <w:pPr>
        <w:pStyle w:val="Paragraph"/>
      </w:pPr>
      <w:r w:rsidRPr="00C2532B">
        <w:t>All submissions</w:t>
      </w:r>
      <w:r>
        <w:t xml:space="preserve"> received </w:t>
      </w:r>
      <w:r w:rsidR="00CD1D30">
        <w:t>about</w:t>
      </w:r>
      <w:r>
        <w:t xml:space="preserve"> the proposed application and registration </w:t>
      </w:r>
      <w:r w:rsidR="002720CF">
        <w:t xml:space="preserve">process were either generally supportive </w:t>
      </w:r>
      <w:r w:rsidR="00F45579">
        <w:t>of, or silent on, the ACMA’s preferred view.</w:t>
      </w:r>
    </w:p>
    <w:p w14:paraId="1FFFD7DB" w14:textId="2038E944" w:rsidR="00F45579" w:rsidRDefault="00F45579" w:rsidP="00984FF7">
      <w:pPr>
        <w:pStyle w:val="Heading4"/>
      </w:pPr>
      <w:r w:rsidRPr="00F45579">
        <w:t>ACMA view</w:t>
      </w:r>
    </w:p>
    <w:p w14:paraId="64BF9948" w14:textId="26D5F9B9" w:rsidR="00AC3BCF" w:rsidRPr="00CE619D" w:rsidRDefault="00CE619D" w:rsidP="00984FF7">
      <w:pPr>
        <w:pStyle w:val="Paragraph"/>
      </w:pPr>
      <w:r w:rsidRPr="00CE619D">
        <w:t>Submissions were generally supportive of the proposed application and registration process</w:t>
      </w:r>
      <w:r w:rsidR="005C0A7B">
        <w:t xml:space="preserve"> and </w:t>
      </w:r>
      <w:r w:rsidRPr="00CE619D">
        <w:t xml:space="preserve">no change to the allocation determination is </w:t>
      </w:r>
      <w:r w:rsidR="00D01EAE">
        <w:t xml:space="preserve">considered </w:t>
      </w:r>
      <w:r w:rsidRPr="00CE619D">
        <w:t>necessary</w:t>
      </w:r>
      <w:r>
        <w:t>.</w:t>
      </w:r>
    </w:p>
    <w:p w14:paraId="77F436F9" w14:textId="7F4F5DF9" w:rsidR="008F0706" w:rsidRDefault="00827257" w:rsidP="00984FF7">
      <w:pPr>
        <w:pStyle w:val="Heading4"/>
        <w:rPr>
          <w:b w:val="0"/>
          <w:szCs w:val="20"/>
        </w:rPr>
      </w:pPr>
      <w:r w:rsidRPr="004E08CF">
        <w:t xml:space="preserve">Variation of prices </w:t>
      </w:r>
    </w:p>
    <w:p w14:paraId="16EDB6FD" w14:textId="16193D90" w:rsidR="00CD1D30" w:rsidRDefault="00CD1D30" w:rsidP="00D22D5F">
      <w:pPr>
        <w:rPr>
          <w:rFonts w:cs="Arial"/>
        </w:rPr>
      </w:pPr>
      <w:r>
        <w:rPr>
          <w:rFonts w:cs="Arial"/>
        </w:rPr>
        <w:t>One</w:t>
      </w:r>
      <w:r w:rsidRPr="004D48E3">
        <w:rPr>
          <w:rFonts w:cs="Arial"/>
        </w:rPr>
        <w:t xml:space="preserve"> </w:t>
      </w:r>
      <w:r w:rsidR="00D22D5F" w:rsidRPr="004D48E3">
        <w:rPr>
          <w:rFonts w:cs="Arial"/>
        </w:rPr>
        <w:t>submission</w:t>
      </w:r>
      <w:r w:rsidR="00D22D5F">
        <w:rPr>
          <w:rFonts w:cs="Arial"/>
        </w:rPr>
        <w:t xml:space="preserve"> generally supported the ACMA’s preferred view in relation to the </w:t>
      </w:r>
      <w:r w:rsidR="0088640C">
        <w:rPr>
          <w:rFonts w:cs="Arial"/>
        </w:rPr>
        <w:t xml:space="preserve">ACMA’s </w:t>
      </w:r>
      <w:r w:rsidR="007B1E64">
        <w:rPr>
          <w:rFonts w:cs="Arial"/>
        </w:rPr>
        <w:t xml:space="preserve">ability to </w:t>
      </w:r>
      <w:r w:rsidR="00FB58AE">
        <w:rPr>
          <w:rFonts w:cs="Arial"/>
        </w:rPr>
        <w:t>vary starting</w:t>
      </w:r>
      <w:r w:rsidR="00983EAA">
        <w:rPr>
          <w:rFonts w:cs="Arial"/>
        </w:rPr>
        <w:t xml:space="preserve"> prices</w:t>
      </w:r>
      <w:r w:rsidR="00D22D5F">
        <w:rPr>
          <w:rFonts w:cs="Arial"/>
        </w:rPr>
        <w:t xml:space="preserve">, </w:t>
      </w:r>
      <w:r>
        <w:rPr>
          <w:rFonts w:cs="Arial"/>
        </w:rPr>
        <w:t xml:space="preserve">two </w:t>
      </w:r>
      <w:r w:rsidR="00D14581">
        <w:rPr>
          <w:rFonts w:cs="Arial"/>
        </w:rPr>
        <w:t xml:space="preserve">opposed </w:t>
      </w:r>
      <w:r w:rsidR="00DE272F">
        <w:rPr>
          <w:rFonts w:cs="Arial"/>
        </w:rPr>
        <w:t xml:space="preserve">the proposal and </w:t>
      </w:r>
      <w:r>
        <w:rPr>
          <w:rFonts w:cs="Arial"/>
        </w:rPr>
        <w:t>four</w:t>
      </w:r>
      <w:r w:rsidR="00D30753">
        <w:rPr>
          <w:rFonts w:cs="Arial"/>
        </w:rPr>
        <w:t xml:space="preserve"> did not provide comment</w:t>
      </w:r>
      <w:r w:rsidR="00D22D5F">
        <w:rPr>
          <w:rFonts w:cs="Arial"/>
        </w:rPr>
        <w:t xml:space="preserve">. </w:t>
      </w:r>
    </w:p>
    <w:p w14:paraId="29A96C7E" w14:textId="1E4ECF7F" w:rsidR="00D22D5F" w:rsidRPr="00D22D5F" w:rsidRDefault="00AE2B19" w:rsidP="00984FF7">
      <w:pPr>
        <w:pStyle w:val="Paragraphbeforelist"/>
      </w:pPr>
      <w:r>
        <w:t>Views</w:t>
      </w:r>
      <w:r w:rsidR="000A662D">
        <w:t xml:space="preserve"> outlined in submissions</w:t>
      </w:r>
      <w:r w:rsidR="00D22D5F">
        <w:t xml:space="preserve"> included:</w:t>
      </w:r>
    </w:p>
    <w:p w14:paraId="2C44CA73" w14:textId="3727B158" w:rsidR="00F928BC" w:rsidRPr="00BF20D1" w:rsidRDefault="00F928BC" w:rsidP="00984FF7">
      <w:pPr>
        <w:pStyle w:val="Bulletlevel1"/>
      </w:pPr>
      <w:r>
        <w:t>One submission</w:t>
      </w:r>
      <w:r w:rsidRPr="00BF20D1">
        <w:t xml:space="preserve"> d</w:t>
      </w:r>
      <w:r>
        <w:t>id</w:t>
      </w:r>
      <w:r w:rsidRPr="00BF20D1">
        <w:t xml:space="preserve"> not support the ACMA’s power to vary starting prices</w:t>
      </w:r>
      <w:r>
        <w:t>, arguing that t</w:t>
      </w:r>
      <w:r w:rsidRPr="00B43B01">
        <w:t>his</w:t>
      </w:r>
      <w:r w:rsidRPr="00BF20D1">
        <w:t xml:space="preserve"> power creates financial exposure risks for bidders </w:t>
      </w:r>
      <w:r w:rsidR="00CD1D30">
        <w:t>if</w:t>
      </w:r>
      <w:r w:rsidRPr="00BF20D1">
        <w:t xml:space="preserve"> the starting prices increase. </w:t>
      </w:r>
      <w:r>
        <w:t>It state</w:t>
      </w:r>
      <w:r w:rsidR="00CD1D30">
        <w:t>d</w:t>
      </w:r>
      <w:r>
        <w:t xml:space="preserve"> that t</w:t>
      </w:r>
      <w:r w:rsidRPr="00BF20D1">
        <w:t xml:space="preserve">he rigorous corporate governance procedures and </w:t>
      </w:r>
      <w:r>
        <w:t>b</w:t>
      </w:r>
      <w:r w:rsidRPr="00BF20D1">
        <w:t xml:space="preserve">oard </w:t>
      </w:r>
      <w:r w:rsidRPr="00BF20D1">
        <w:lastRenderedPageBreak/>
        <w:t>approvals required to participate in auctions follow a ‘strict calendar cadence’</w:t>
      </w:r>
      <w:r w:rsidR="00CD1D30">
        <w:t>,</w:t>
      </w:r>
      <w:r w:rsidRPr="00BF20D1">
        <w:t xml:space="preserve"> which is incompatible with the ACMA’s power to vary starting price</w:t>
      </w:r>
      <w:r>
        <w:t>s</w:t>
      </w:r>
      <w:r w:rsidRPr="00BF20D1">
        <w:t>.</w:t>
      </w:r>
    </w:p>
    <w:p w14:paraId="66176AF4" w14:textId="300F8ABE" w:rsidR="00F928BC" w:rsidRPr="00FA2588" w:rsidRDefault="00F928BC" w:rsidP="00984FF7">
      <w:pPr>
        <w:pStyle w:val="Bulletlevel1"/>
      </w:pPr>
      <w:r w:rsidRPr="00FA2588">
        <w:t xml:space="preserve">This submission further considered the power to change auction pricing after applications close to be a form of </w:t>
      </w:r>
      <w:r>
        <w:t>‘</w:t>
      </w:r>
      <w:r w:rsidRPr="00FA2588">
        <w:t>market manipulation</w:t>
      </w:r>
      <w:r>
        <w:t>’</w:t>
      </w:r>
      <w:r w:rsidRPr="00FA2588">
        <w:t xml:space="preserve"> based on the ACMA’s discovery of how much demand there is. The </w:t>
      </w:r>
      <w:r w:rsidR="00CD1D30" w:rsidRPr="00FA2588">
        <w:t>submi</w:t>
      </w:r>
      <w:r w:rsidR="00CD1D30">
        <w:t xml:space="preserve">ssion stated </w:t>
      </w:r>
      <w:r w:rsidRPr="00FA2588">
        <w:t xml:space="preserve">that the </w:t>
      </w:r>
      <w:r>
        <w:t>3.4/3.7 GHz bands allocation process</w:t>
      </w:r>
      <w:r w:rsidRPr="00FA2588">
        <w:t xml:space="preserve"> has </w:t>
      </w:r>
      <w:r>
        <w:t xml:space="preserve">already </w:t>
      </w:r>
      <w:r w:rsidRPr="00FA2588">
        <w:t xml:space="preserve">been delayed, and </w:t>
      </w:r>
      <w:r>
        <w:t xml:space="preserve">that </w:t>
      </w:r>
      <w:r w:rsidRPr="00FA2588">
        <w:t xml:space="preserve">there should be no further </w:t>
      </w:r>
      <w:r>
        <w:t>delays</w:t>
      </w:r>
      <w:r w:rsidRPr="00FA2588">
        <w:t>.</w:t>
      </w:r>
    </w:p>
    <w:p w14:paraId="2B6EEFEE" w14:textId="5F4A79F5" w:rsidR="00F928BC" w:rsidRPr="0083546D" w:rsidRDefault="00F928BC" w:rsidP="00984FF7">
      <w:pPr>
        <w:pStyle w:val="Bulletlevel1"/>
      </w:pPr>
      <w:r>
        <w:t>Similarly, another submission</w:t>
      </w:r>
      <w:r w:rsidRPr="0083546D">
        <w:t xml:space="preserve"> d</w:t>
      </w:r>
      <w:r w:rsidRPr="00B45E3E">
        <w:t>id</w:t>
      </w:r>
      <w:r w:rsidRPr="0083546D">
        <w:t xml:space="preserve"> not support the inclusion of the ACMA’s power to vary key auction</w:t>
      </w:r>
      <w:r w:rsidRPr="00B45E3E">
        <w:t xml:space="preserve"> settings</w:t>
      </w:r>
      <w:r w:rsidRPr="0083546D">
        <w:t xml:space="preserve"> such as lot ratings, starting prices and application/registration deadlines, following the publication of the </w:t>
      </w:r>
      <w:r>
        <w:t>applicant information package</w:t>
      </w:r>
      <w:r w:rsidRPr="0083546D">
        <w:t>.</w:t>
      </w:r>
      <w:r w:rsidRPr="00B45E3E">
        <w:t xml:space="preserve"> It asserted that </w:t>
      </w:r>
      <w:r>
        <w:t>t</w:t>
      </w:r>
      <w:r w:rsidRPr="0083546D">
        <w:t>his introduces uncertainty into the process.</w:t>
      </w:r>
    </w:p>
    <w:p w14:paraId="59F73668" w14:textId="7ACCADF7" w:rsidR="00F928BC" w:rsidRPr="0083546D" w:rsidRDefault="00F928BC" w:rsidP="00984FF7">
      <w:pPr>
        <w:pStyle w:val="Bulletlevel1"/>
      </w:pPr>
      <w:r>
        <w:t xml:space="preserve">This submission also stated that </w:t>
      </w:r>
      <w:r w:rsidR="009064AF">
        <w:t>i</w:t>
      </w:r>
      <w:r w:rsidRPr="0083546D">
        <w:t>nternal governance issues</w:t>
      </w:r>
      <w:r>
        <w:t xml:space="preserve"> such as</w:t>
      </w:r>
      <w:r w:rsidRPr="0083546D">
        <w:t xml:space="preserve"> internal executive and board approvals (which may affect eligibility payment</w:t>
      </w:r>
      <w:r>
        <w:t>s</w:t>
      </w:r>
      <w:r w:rsidRPr="0083546D">
        <w:t>) would need to be restarted.</w:t>
      </w:r>
    </w:p>
    <w:p w14:paraId="7BEF0F6A" w14:textId="77777777" w:rsidR="00F928BC" w:rsidRPr="00B43B01" w:rsidRDefault="00F928BC" w:rsidP="00984FF7">
      <w:pPr>
        <w:pStyle w:val="Bulletlevel1"/>
        <w:rPr>
          <w:b/>
        </w:rPr>
      </w:pPr>
      <w:r>
        <w:t xml:space="preserve">This submission said </w:t>
      </w:r>
      <w:r w:rsidRPr="00B74570">
        <w:t>that t</w:t>
      </w:r>
      <w:r w:rsidRPr="0083546D">
        <w:t>he simplest way to ensure that the spectrum is attractive to bidders at the start of an auction process is to ensure that starting prices are sufficiently low to encourage participation.</w:t>
      </w:r>
    </w:p>
    <w:p w14:paraId="1D2F5B55" w14:textId="47358B2A" w:rsidR="00756389" w:rsidRPr="0083546D" w:rsidRDefault="00F928BC" w:rsidP="00984FF7">
      <w:pPr>
        <w:pStyle w:val="Bulletlevel1"/>
      </w:pPr>
      <w:r>
        <w:t>A third submission</w:t>
      </w:r>
      <w:r w:rsidR="00756389" w:rsidRPr="0083546D">
        <w:t xml:space="preserve"> support</w:t>
      </w:r>
      <w:r w:rsidR="00B117AF">
        <w:t>ed</w:t>
      </w:r>
      <w:r w:rsidR="00756389" w:rsidRPr="0083546D">
        <w:t xml:space="preserve"> the ACMA having </w:t>
      </w:r>
      <w:r>
        <w:t>the</w:t>
      </w:r>
      <w:r w:rsidR="00756389" w:rsidRPr="0083546D">
        <w:t xml:space="preserve"> ability to vary prices before the eligibility deadline, as in previous auctions, provided that:</w:t>
      </w:r>
    </w:p>
    <w:p w14:paraId="3CCF8F3D" w14:textId="6C2897F5" w:rsidR="00756389" w:rsidRPr="0083546D" w:rsidRDefault="00756389" w:rsidP="00984FF7">
      <w:pPr>
        <w:pStyle w:val="Bulletlevel2"/>
      </w:pPr>
      <w:r w:rsidRPr="0083546D">
        <w:t>such power can only be used to increase prices in exceptional circumstances that could not have been foreseen at the time starting prices were set</w:t>
      </w:r>
    </w:p>
    <w:p w14:paraId="01B6FC51" w14:textId="77777777" w:rsidR="00004610" w:rsidRDefault="00756389" w:rsidP="00984FF7">
      <w:pPr>
        <w:pStyle w:val="Bulletlevel2last"/>
      </w:pPr>
      <w:r w:rsidRPr="0083546D">
        <w:t>deadlines are appropriately extended to allow applicants an appropriate opportunity to vary or withdraw their application.</w:t>
      </w:r>
    </w:p>
    <w:p w14:paraId="27246BDE" w14:textId="105A07AB" w:rsidR="00674581" w:rsidRDefault="00674581" w:rsidP="00984FF7">
      <w:pPr>
        <w:pStyle w:val="Heading4"/>
      </w:pPr>
      <w:r w:rsidRPr="00674581">
        <w:t>ACMA view</w:t>
      </w:r>
    </w:p>
    <w:p w14:paraId="10F5D5C5" w14:textId="66A0CC4E" w:rsidR="002610BA" w:rsidRPr="00FF1636" w:rsidRDefault="00DA101F" w:rsidP="002610BA">
      <w:pPr>
        <w:pStyle w:val="Paragraph"/>
      </w:pPr>
      <w:r>
        <w:t>While</w:t>
      </w:r>
      <w:r w:rsidR="002610BA" w:rsidRPr="00FF1636">
        <w:t xml:space="preserve"> </w:t>
      </w:r>
      <w:r>
        <w:t xml:space="preserve">2 </w:t>
      </w:r>
      <w:r w:rsidR="002610BA">
        <w:t>submissions</w:t>
      </w:r>
      <w:r w:rsidR="002610BA" w:rsidRPr="00FF1636">
        <w:t xml:space="preserve"> opposed the ability of the ACMA to vary key pricing parameters</w:t>
      </w:r>
      <w:r>
        <w:t>, we</w:t>
      </w:r>
      <w:r w:rsidR="002610BA" w:rsidRPr="00FF1636">
        <w:t xml:space="preserve"> note that the power for the ACMA to change starting prices was </w:t>
      </w:r>
      <w:r w:rsidR="002610BA">
        <w:t xml:space="preserve">first </w:t>
      </w:r>
      <w:r w:rsidR="002610BA" w:rsidRPr="00FF1636">
        <w:t>introduced in the 26 GHz auction</w:t>
      </w:r>
      <w:r w:rsidR="002610BA">
        <w:t xml:space="preserve"> in 2021</w:t>
      </w:r>
      <w:r w:rsidR="002610BA" w:rsidRPr="00FF1636">
        <w:t xml:space="preserve">. So far, this power has never been used. </w:t>
      </w:r>
    </w:p>
    <w:p w14:paraId="4216A967" w14:textId="77777777" w:rsidR="002610BA" w:rsidRPr="00FF1636" w:rsidRDefault="002610BA" w:rsidP="002610BA">
      <w:pPr>
        <w:pStyle w:val="Paragraph"/>
      </w:pPr>
      <w:r w:rsidRPr="00FF1636">
        <w:t xml:space="preserve">The ACMA notes that if </w:t>
      </w:r>
      <w:r>
        <w:t>it</w:t>
      </w:r>
      <w:r w:rsidRPr="00FF1636">
        <w:t xml:space="preserve"> were to remove this power from the allocation determination, the ACMA would have no flexibility to respond to changes in market circumstances after the auction is advertised. The intent of this power is for the </w:t>
      </w:r>
      <w:r>
        <w:t>ACMA</w:t>
      </w:r>
      <w:r w:rsidRPr="00FF1636">
        <w:t xml:space="preserve"> to respond to market changes where the number of applicants is </w:t>
      </w:r>
      <w:r>
        <w:t>different to what was</w:t>
      </w:r>
      <w:r w:rsidRPr="00FF1636">
        <w:t xml:space="preserve"> expected. </w:t>
      </w:r>
    </w:p>
    <w:p w14:paraId="100018B5" w14:textId="7D133F49" w:rsidR="00984FF7" w:rsidRPr="00674581" w:rsidRDefault="002610BA" w:rsidP="002610BA">
      <w:pPr>
        <w:pStyle w:val="Paragraph"/>
        <w:rPr>
          <w:b/>
          <w:szCs w:val="20"/>
        </w:rPr>
      </w:pPr>
      <w:r w:rsidRPr="00FF1636">
        <w:t>The ACM</w:t>
      </w:r>
      <w:r>
        <w:t>A</w:t>
      </w:r>
      <w:r w:rsidRPr="00FF1636">
        <w:t xml:space="preserve"> considers that the power to change starting prices and/or set prices is </w:t>
      </w:r>
      <w:r>
        <w:t xml:space="preserve">an appropriate tool to </w:t>
      </w:r>
      <w:r w:rsidRPr="00FF1636">
        <w:t xml:space="preserve">respond to a major market change after applications open. Therefore, </w:t>
      </w:r>
      <w:r>
        <w:t xml:space="preserve">the ACMA has retained the ability to </w:t>
      </w:r>
      <w:r w:rsidRPr="00FF1636">
        <w:t xml:space="preserve">vary starting prices for the 3.4/3.7 GHz </w:t>
      </w:r>
      <w:r>
        <w:t>bands allocation process</w:t>
      </w:r>
      <w:r w:rsidRPr="00FF1636">
        <w:t xml:space="preserve">. </w:t>
      </w:r>
    </w:p>
    <w:p w14:paraId="42FF0114" w14:textId="261EC80E" w:rsidR="00FD18DD" w:rsidRPr="00984FF7" w:rsidRDefault="00827257" w:rsidP="00DA101F">
      <w:pPr>
        <w:pStyle w:val="Heading4"/>
      </w:pPr>
      <w:r w:rsidRPr="00DA101F">
        <w:t>Payment</w:t>
      </w:r>
      <w:r w:rsidRPr="00984FF7">
        <w:t xml:space="preserve"> </w:t>
      </w:r>
      <w:r w:rsidRPr="00DA101F">
        <w:t>terms</w:t>
      </w:r>
      <w:r w:rsidRPr="00984FF7">
        <w:t xml:space="preserve"> </w:t>
      </w:r>
    </w:p>
    <w:p w14:paraId="4BD43C82" w14:textId="4ED5F4E6" w:rsidR="00DA101F" w:rsidRDefault="00DA101F" w:rsidP="00984FF7">
      <w:pPr>
        <w:pStyle w:val="Paragraph"/>
      </w:pPr>
      <w:r>
        <w:t>One</w:t>
      </w:r>
      <w:r w:rsidR="005342AB" w:rsidRPr="004D48E3">
        <w:t xml:space="preserve"> submission</w:t>
      </w:r>
      <w:r w:rsidR="005342AB">
        <w:t xml:space="preserve"> generally supported the ACMA’s preferred view on licence payment terms, </w:t>
      </w:r>
      <w:r>
        <w:t>one</w:t>
      </w:r>
      <w:r w:rsidR="005342AB">
        <w:t xml:space="preserve"> </w:t>
      </w:r>
      <w:r>
        <w:t>offered</w:t>
      </w:r>
      <w:r w:rsidR="005342AB">
        <w:t xml:space="preserve"> partial support, </w:t>
      </w:r>
      <w:r>
        <w:t>one</w:t>
      </w:r>
      <w:r w:rsidR="005342AB">
        <w:t xml:space="preserve"> did not support the ACMA’s preferred views and </w:t>
      </w:r>
      <w:r>
        <w:t xml:space="preserve">four </w:t>
      </w:r>
      <w:r w:rsidR="005342AB">
        <w:t xml:space="preserve">did not provide any comment. </w:t>
      </w:r>
    </w:p>
    <w:p w14:paraId="43823691" w14:textId="13624FFF" w:rsidR="005342AB" w:rsidRPr="00634200" w:rsidRDefault="00AE2B19" w:rsidP="009E5333">
      <w:pPr>
        <w:pStyle w:val="Paragraphbeforelist"/>
      </w:pPr>
      <w:r>
        <w:t>Views</w:t>
      </w:r>
      <w:r w:rsidR="000A662D">
        <w:t xml:space="preserve"> outlined in submissions </w:t>
      </w:r>
      <w:r w:rsidR="005342AB">
        <w:t>included:</w:t>
      </w:r>
    </w:p>
    <w:p w14:paraId="757423D3" w14:textId="51F81301" w:rsidR="005342AB" w:rsidRPr="00D73539" w:rsidRDefault="005342AB" w:rsidP="009E5333">
      <w:pPr>
        <w:pStyle w:val="Bulletlevel1"/>
      </w:pPr>
      <w:r w:rsidRPr="00D73539">
        <w:t>One submission stated that</w:t>
      </w:r>
      <w:r>
        <w:t xml:space="preserve">, contrary to the ACMA’s preferred upfront payment option, </w:t>
      </w:r>
      <w:r w:rsidRPr="00D73539">
        <w:t xml:space="preserve">the option to elect </w:t>
      </w:r>
      <w:r>
        <w:t xml:space="preserve">to make </w:t>
      </w:r>
      <w:r w:rsidRPr="00D73539">
        <w:t>instalment payments should be reinstated</w:t>
      </w:r>
      <w:r w:rsidR="00DA101F">
        <w:t>,</w:t>
      </w:r>
      <w:r w:rsidRPr="00D73539">
        <w:t xml:space="preserve"> as </w:t>
      </w:r>
      <w:r>
        <w:t>was the case for</w:t>
      </w:r>
      <w:r w:rsidRPr="00D73539">
        <w:t xml:space="preserve"> the 26 GHz auction in 2021. </w:t>
      </w:r>
    </w:p>
    <w:p w14:paraId="038F5CFA" w14:textId="73430F0F" w:rsidR="005342AB" w:rsidRDefault="005342AB" w:rsidP="009E5333">
      <w:pPr>
        <w:pStyle w:val="Bulletlevel1"/>
      </w:pPr>
      <w:r>
        <w:t>This submission further</w:t>
      </w:r>
      <w:r w:rsidRPr="00FE38DA">
        <w:t xml:space="preserve"> propose</w:t>
      </w:r>
      <w:r>
        <w:t>d</w:t>
      </w:r>
      <w:r w:rsidRPr="00FE38DA">
        <w:t xml:space="preserve"> that the instalment payments be structured for equal payments over the licence length</w:t>
      </w:r>
      <w:r w:rsidR="00DA101F">
        <w:t>;</w:t>
      </w:r>
      <w:r w:rsidRPr="00FE38DA">
        <w:t xml:space="preserve"> for example, for 3.4 GHz</w:t>
      </w:r>
      <w:r>
        <w:t xml:space="preserve"> licences</w:t>
      </w:r>
      <w:r w:rsidR="00DA101F">
        <w:t>,</w:t>
      </w:r>
      <w:r>
        <w:t xml:space="preserve"> there</w:t>
      </w:r>
      <w:r w:rsidRPr="00FE38DA">
        <w:t xml:space="preserve"> would be 7 </w:t>
      </w:r>
      <w:r>
        <w:t xml:space="preserve">annual </w:t>
      </w:r>
      <w:r w:rsidRPr="00FE38DA">
        <w:t>instalment payments</w:t>
      </w:r>
      <w:r>
        <w:t xml:space="preserve"> of equal amounts,</w:t>
      </w:r>
      <w:r w:rsidRPr="00FE38DA">
        <w:t xml:space="preserve"> and for the 3.7 GHz </w:t>
      </w:r>
      <w:r>
        <w:t>licences,</w:t>
      </w:r>
      <w:r w:rsidRPr="00FE38DA">
        <w:t xml:space="preserve"> </w:t>
      </w:r>
      <w:r>
        <w:t>there</w:t>
      </w:r>
      <w:r w:rsidRPr="00FE38DA">
        <w:t xml:space="preserve"> would be 20 </w:t>
      </w:r>
      <w:r>
        <w:t xml:space="preserve">annual </w:t>
      </w:r>
      <w:r w:rsidRPr="00FE38DA">
        <w:t xml:space="preserve">instalment payments </w:t>
      </w:r>
      <w:r>
        <w:t>of equal amounts. The submission also suggested the instalments for the 3.7 GHz licences be secured</w:t>
      </w:r>
      <w:r w:rsidRPr="00FE38DA">
        <w:t xml:space="preserve"> by a bank guarantee</w:t>
      </w:r>
      <w:r>
        <w:t>,</w:t>
      </w:r>
      <w:r w:rsidRPr="00FE38DA">
        <w:t xml:space="preserve"> as </w:t>
      </w:r>
      <w:r>
        <w:t>was the case in</w:t>
      </w:r>
      <w:r w:rsidRPr="00FE38DA">
        <w:t xml:space="preserve"> </w:t>
      </w:r>
      <w:r>
        <w:t>the</w:t>
      </w:r>
      <w:r w:rsidRPr="00FE38DA">
        <w:t xml:space="preserve"> 26 GHz auction.</w:t>
      </w:r>
    </w:p>
    <w:p w14:paraId="2DEE9819" w14:textId="77777777" w:rsidR="005342AB" w:rsidRDefault="005342AB" w:rsidP="009E5333">
      <w:pPr>
        <w:pStyle w:val="Bulletlevel1last"/>
      </w:pPr>
      <w:r>
        <w:lastRenderedPageBreak/>
        <w:t xml:space="preserve">A second submission </w:t>
      </w:r>
      <w:r w:rsidRPr="0083546D">
        <w:t>stated that it would be preferable if payment by instalments were available to winning bidders in the auctions</w:t>
      </w:r>
      <w:r>
        <w:t>.</w:t>
      </w:r>
    </w:p>
    <w:p w14:paraId="43D6DB5B" w14:textId="0FF76932" w:rsidR="00DE12D2" w:rsidRPr="00DE12D2" w:rsidRDefault="00DE12D2" w:rsidP="009E5333">
      <w:pPr>
        <w:pStyle w:val="Heading4"/>
      </w:pPr>
      <w:r w:rsidRPr="00DE12D2">
        <w:t>ACMA view</w:t>
      </w:r>
    </w:p>
    <w:p w14:paraId="659BC777" w14:textId="645A4D3A" w:rsidR="004223D9" w:rsidRDefault="004223D9" w:rsidP="004223D9">
      <w:pPr>
        <w:pStyle w:val="Paragraph"/>
      </w:pPr>
      <w:r w:rsidRPr="008C67E6">
        <w:t xml:space="preserve">The Spectrum Pricing Review (available from the website of the Department of Infrastructure, Transport, Regional Development, Communications and the Arts) finalised in 2018, recommended that the ACMA should generally require upfront payments. The ACMA was not persuaded that instalment payments were warranted for these auctions. </w:t>
      </w:r>
      <w:r w:rsidRPr="00FF1636">
        <w:t xml:space="preserve">On balance, the ACMA considers it appropriate that the allocation determination include a single payment of winning prices. This payment would be required prior to licence issue and commencement. </w:t>
      </w:r>
    </w:p>
    <w:p w14:paraId="640137BD" w14:textId="72226BF8" w:rsidR="006A41A5" w:rsidRDefault="006A41A5" w:rsidP="00DA101F">
      <w:pPr>
        <w:pStyle w:val="Heading4"/>
        <w:rPr>
          <w:b w:val="0"/>
        </w:rPr>
      </w:pPr>
      <w:r w:rsidRPr="00013EDA">
        <w:t xml:space="preserve">Publication of bidder </w:t>
      </w:r>
      <w:r w:rsidRPr="00DA101F">
        <w:t>identities</w:t>
      </w:r>
      <w:r w:rsidRPr="00013EDA">
        <w:t xml:space="preserve"> </w:t>
      </w:r>
    </w:p>
    <w:p w14:paraId="5FDAE71C" w14:textId="24ADE100" w:rsidR="00DA101F" w:rsidRDefault="00DA101F" w:rsidP="00DA101F">
      <w:pPr>
        <w:pStyle w:val="Paragraph"/>
      </w:pPr>
      <w:r>
        <w:t>One</w:t>
      </w:r>
      <w:r w:rsidR="00A119FD" w:rsidRPr="004D48E3">
        <w:t xml:space="preserve"> submission</w:t>
      </w:r>
      <w:r w:rsidR="00A119FD">
        <w:t xml:space="preserve"> generally supported the ACMA’s preferred approach to publishing bidder identities after the eligibility deadline (before the 3.7 GHz auction commences)</w:t>
      </w:r>
      <w:r>
        <w:t>,</w:t>
      </w:r>
      <w:r w:rsidR="00A119FD">
        <w:t xml:space="preserve"> </w:t>
      </w:r>
      <w:r>
        <w:t>one</w:t>
      </w:r>
      <w:r w:rsidR="00A119FD">
        <w:t xml:space="preserve"> </w:t>
      </w:r>
      <w:r>
        <w:t>offered</w:t>
      </w:r>
      <w:r w:rsidR="00A119FD">
        <w:t xml:space="preserve"> partial support, </w:t>
      </w:r>
      <w:r>
        <w:t>one</w:t>
      </w:r>
      <w:r w:rsidR="00A119FD">
        <w:t xml:space="preserve"> did not support the ACMA’s preferred </w:t>
      </w:r>
      <w:r w:rsidR="00053BD8">
        <w:t>view,</w:t>
      </w:r>
      <w:r w:rsidR="00A119FD">
        <w:t xml:space="preserve"> and </w:t>
      </w:r>
      <w:r>
        <w:t xml:space="preserve">four submissions </w:t>
      </w:r>
      <w:r w:rsidR="00A119FD">
        <w:t xml:space="preserve">did not provide any comment. </w:t>
      </w:r>
    </w:p>
    <w:p w14:paraId="3776814C" w14:textId="66706BAE" w:rsidR="00A119FD" w:rsidRPr="00634200" w:rsidRDefault="00AE2B19" w:rsidP="009E5333">
      <w:pPr>
        <w:pStyle w:val="Paragraphbeforelist"/>
      </w:pPr>
      <w:r>
        <w:t>Views</w:t>
      </w:r>
      <w:r w:rsidR="000A662D">
        <w:t xml:space="preserve"> outlined in submissions </w:t>
      </w:r>
      <w:r w:rsidR="00A119FD">
        <w:t>included:</w:t>
      </w:r>
    </w:p>
    <w:p w14:paraId="584B240A" w14:textId="2EE13823" w:rsidR="00A119FD" w:rsidRPr="00EF515E" w:rsidRDefault="00A119FD" w:rsidP="009E5333">
      <w:pPr>
        <w:pStyle w:val="Bulletlevel1"/>
      </w:pPr>
      <w:r>
        <w:t>One submission</w:t>
      </w:r>
      <w:r w:rsidRPr="00EF515E">
        <w:t xml:space="preserve"> </w:t>
      </w:r>
      <w:r w:rsidR="000564DC">
        <w:t xml:space="preserve">that </w:t>
      </w:r>
      <w:r>
        <w:t>did</w:t>
      </w:r>
      <w:r w:rsidRPr="00EF515E">
        <w:t xml:space="preserve"> not support the ACMA’s proposal </w:t>
      </w:r>
      <w:r>
        <w:t>stat</w:t>
      </w:r>
      <w:r w:rsidR="000564DC">
        <w:t>ed</w:t>
      </w:r>
      <w:r>
        <w:t xml:space="preserve"> that</w:t>
      </w:r>
      <w:r w:rsidRPr="00C87A1C">
        <w:t xml:space="preserve"> </w:t>
      </w:r>
      <w:r w:rsidR="000564DC">
        <w:t xml:space="preserve">identity </w:t>
      </w:r>
      <w:r>
        <w:t>information should continue to remain private to registered bidders and be subject to confidentiality rules.</w:t>
      </w:r>
    </w:p>
    <w:p w14:paraId="4111FC3A" w14:textId="34844DD5" w:rsidR="007250EB" w:rsidRDefault="00A119FD" w:rsidP="009E5333">
      <w:pPr>
        <w:pStyle w:val="Bulletlevel1last"/>
      </w:pPr>
      <w:r>
        <w:t>The submission</w:t>
      </w:r>
      <w:r w:rsidRPr="00EF515E">
        <w:t xml:space="preserve"> </w:t>
      </w:r>
      <w:r>
        <w:t>also support</w:t>
      </w:r>
      <w:r w:rsidR="000564DC">
        <w:t>ed</w:t>
      </w:r>
      <w:r w:rsidRPr="00EF515E">
        <w:t xml:space="preserve"> all registered bidders </w:t>
      </w:r>
      <w:r>
        <w:t>being</w:t>
      </w:r>
      <w:r w:rsidRPr="00EF515E">
        <w:t xml:space="preserve"> informed</w:t>
      </w:r>
      <w:r>
        <w:t xml:space="preserve">, </w:t>
      </w:r>
      <w:r w:rsidRPr="00EF515E">
        <w:t xml:space="preserve">after the eligibility deadline, </w:t>
      </w:r>
      <w:r w:rsidR="000564DC">
        <w:t>of</w:t>
      </w:r>
      <w:r w:rsidR="000564DC" w:rsidRPr="00EF515E">
        <w:t xml:space="preserve"> </w:t>
      </w:r>
      <w:r w:rsidRPr="00EF515E">
        <w:t xml:space="preserve">all the registered bidders. </w:t>
      </w:r>
      <w:r>
        <w:t>It</w:t>
      </w:r>
      <w:r w:rsidRPr="00EF515E">
        <w:t xml:space="preserve"> recommend</w:t>
      </w:r>
      <w:r>
        <w:t>ed</w:t>
      </w:r>
      <w:r w:rsidRPr="00EF515E">
        <w:t xml:space="preserve"> that applicants should not disclose participation in the 3.4/3.7 GHz bands </w:t>
      </w:r>
      <w:r>
        <w:t>allocation process</w:t>
      </w:r>
      <w:r w:rsidRPr="00EF515E">
        <w:t xml:space="preserve"> without the </w:t>
      </w:r>
      <w:r w:rsidR="000564DC">
        <w:t xml:space="preserve">permission of </w:t>
      </w:r>
      <w:r w:rsidRPr="00EF515E">
        <w:t>other bidders</w:t>
      </w:r>
      <w:r>
        <w:t>.</w:t>
      </w:r>
    </w:p>
    <w:p w14:paraId="03AF6E2C" w14:textId="3CD48C2A" w:rsidR="00E96A18" w:rsidRPr="00E96A18" w:rsidRDefault="00E96A18" w:rsidP="009E5333">
      <w:pPr>
        <w:pStyle w:val="Heading4"/>
      </w:pPr>
      <w:r w:rsidRPr="00E96A18">
        <w:t>ACMA view</w:t>
      </w:r>
    </w:p>
    <w:p w14:paraId="5A676C77" w14:textId="1BAB2660" w:rsidR="003B29D7" w:rsidRDefault="00375022" w:rsidP="000564DC">
      <w:pPr>
        <w:pStyle w:val="Paragraph"/>
      </w:pPr>
      <w:r>
        <w:t xml:space="preserve">As a response to </w:t>
      </w:r>
      <w:r w:rsidRPr="000564DC">
        <w:t>issues</w:t>
      </w:r>
      <w:r>
        <w:t xml:space="preserve"> raised in</w:t>
      </w:r>
      <w:r w:rsidR="00E96A18" w:rsidRPr="00FF1636">
        <w:t xml:space="preserve"> the submissions, the ACMA intends to publish the identities of all bidders after the conclusion of the auction when the results are released. </w:t>
      </w:r>
    </w:p>
    <w:p w14:paraId="0FEBF3F0" w14:textId="77777777" w:rsidR="003B29D7" w:rsidRDefault="003B29D7">
      <w:pPr>
        <w:spacing w:after="0" w:line="240" w:lineRule="auto"/>
        <w:rPr>
          <w:rFonts w:cs="Arial"/>
        </w:rPr>
      </w:pPr>
      <w:r>
        <w:br w:type="page"/>
      </w:r>
    </w:p>
    <w:p w14:paraId="1CCBFDBA" w14:textId="19C25159" w:rsidR="008D26C5" w:rsidRDefault="00D64EF9" w:rsidP="00F605EF">
      <w:pPr>
        <w:pStyle w:val="Heading2"/>
        <w:spacing w:line="276" w:lineRule="auto"/>
      </w:pPr>
      <w:bookmarkStart w:id="25" w:name="_Toc139280835"/>
      <w:r>
        <w:lastRenderedPageBreak/>
        <w:t>A</w:t>
      </w:r>
      <w:r w:rsidR="00F605EF">
        <w:t>llocation limits</w:t>
      </w:r>
      <w:bookmarkEnd w:id="25"/>
    </w:p>
    <w:p w14:paraId="4A036483" w14:textId="2B898B7E" w:rsidR="00023BD8" w:rsidRPr="00D51341" w:rsidRDefault="00023BD8" w:rsidP="00F3267E">
      <w:pPr>
        <w:pStyle w:val="Paragraph"/>
      </w:pPr>
      <w:r w:rsidRPr="00D51341">
        <w:t xml:space="preserve">In accordance with subsection 60(13A) of the </w:t>
      </w:r>
      <w:r w:rsidR="00EE1EA9" w:rsidRPr="00C60907">
        <w:t xml:space="preserve">Radiocommunications </w:t>
      </w:r>
      <w:r w:rsidRPr="00D51341">
        <w:t>Act, the ACMA consulted with the ACCC about whether the allocation determination should impose allocation limits and, if so, the nature of those limits.</w:t>
      </w:r>
      <w:r w:rsidR="0056004D">
        <w:t xml:space="preserve"> </w:t>
      </w:r>
      <w:r w:rsidRPr="00D51341">
        <w:t>The ACCC published its advice to the ACMA on allocation limits in August 2022. Before publishing its advice, the ACCC conducted its own consultation on allocation limits.</w:t>
      </w:r>
    </w:p>
    <w:p w14:paraId="183C43F2" w14:textId="5FBBB1F7" w:rsidR="008B1AC4" w:rsidRDefault="008B1AC4" w:rsidP="008B1AC4">
      <w:pPr>
        <w:pStyle w:val="Paragraph"/>
      </w:pPr>
      <w:r w:rsidRPr="00D51341">
        <w:t>Based on the ACMA’s analysis of 3.4/3.7 GHz bands and the allocation</w:t>
      </w:r>
      <w:r w:rsidR="007C67F5">
        <w:t xml:space="preserve"> objectives</w:t>
      </w:r>
      <w:r w:rsidRPr="00D51341">
        <w:t>, the ACCC’s advice to the ACMA, and the responses to the ACCC’s own consultation, we identified 3 options for the quantum of allocation limits for the purpose of consulting with stakeholders. This approach is consistent with guidance provided by the Office of Impact Analysis.</w:t>
      </w:r>
    </w:p>
    <w:p w14:paraId="60E43AD6" w14:textId="515600E8" w:rsidR="000564DC" w:rsidRPr="00D51341" w:rsidRDefault="000564DC" w:rsidP="00370443">
      <w:pPr>
        <w:pStyle w:val="Heading3"/>
      </w:pPr>
      <w:bookmarkStart w:id="26" w:name="_Toc139280836"/>
      <w:r>
        <w:t>Issues for comment</w:t>
      </w:r>
      <w:bookmarkEnd w:id="26"/>
    </w:p>
    <w:p w14:paraId="3B106658" w14:textId="74AC5A54" w:rsidR="004D3B37" w:rsidRPr="003228F3" w:rsidRDefault="004D3B37" w:rsidP="00370443">
      <w:pPr>
        <w:pStyle w:val="Issueforcomment"/>
        <w:keepNext/>
        <w:keepLines/>
        <w:pBdr>
          <w:top w:val="none" w:sz="0" w:space="0" w:color="auto"/>
          <w:left w:val="none" w:sz="0" w:space="0" w:color="auto"/>
          <w:bottom w:val="none" w:sz="0" w:space="0" w:color="auto"/>
          <w:right w:val="none" w:sz="0" w:space="0" w:color="auto"/>
        </w:pBdr>
        <w:shd w:val="clear" w:color="auto" w:fill="auto"/>
        <w:ind w:right="16"/>
        <w:rPr>
          <w:b w:val="0"/>
          <w:bCs w:val="0"/>
        </w:rPr>
      </w:pPr>
      <w:r w:rsidRPr="004D3B37">
        <w:rPr>
          <w:b w:val="0"/>
          <w:bCs w:val="0"/>
        </w:rPr>
        <w:t>The ACMA sought views on the following proposed options for allocation limits:</w:t>
      </w:r>
    </w:p>
    <w:p w14:paraId="7F330380" w14:textId="02FD3213" w:rsidR="004D3B37" w:rsidRPr="000564DC" w:rsidRDefault="004D3B37" w:rsidP="00370443">
      <w:pPr>
        <w:pStyle w:val="Bulletlevel1"/>
      </w:pPr>
      <w:r w:rsidRPr="000564DC">
        <w:t>Option 1: 140 MHz limit in both metropolitan and regional areas in the cross-band frequency range of 3.4–3.8 GHz</w:t>
      </w:r>
      <w:r w:rsidR="000564DC">
        <w:t>.</w:t>
      </w:r>
    </w:p>
    <w:p w14:paraId="631A34EB" w14:textId="0F94F780" w:rsidR="004D3B37" w:rsidRDefault="004D3B37" w:rsidP="00370443">
      <w:pPr>
        <w:pStyle w:val="Bulletlevel1"/>
      </w:pPr>
      <w:r w:rsidRPr="000564DC">
        <w:t>Option</w:t>
      </w:r>
      <w:r w:rsidRPr="003228F3">
        <w:t xml:space="preserve"> </w:t>
      </w:r>
      <w:r>
        <w:t>2</w:t>
      </w:r>
      <w:r w:rsidRPr="003228F3">
        <w:t>: 140 MHz limit in metropolitan areas and 160 MHz in regional areas in the cross-band frequency range of 3.4</w:t>
      </w:r>
      <w:r>
        <w:t>–</w:t>
      </w:r>
      <w:r w:rsidRPr="003228F3">
        <w:t>3.8 GHz</w:t>
      </w:r>
      <w:r w:rsidR="000564DC">
        <w:t>.</w:t>
      </w:r>
    </w:p>
    <w:p w14:paraId="7F6CF91A" w14:textId="77777777" w:rsidR="004D3B37" w:rsidRPr="003228F3" w:rsidRDefault="004D3B37" w:rsidP="00370443">
      <w:pPr>
        <w:pStyle w:val="Bulletlevel1last"/>
      </w:pPr>
      <w:r>
        <w:t>Option 3: No limits.</w:t>
      </w:r>
    </w:p>
    <w:p w14:paraId="129D6391" w14:textId="77777777" w:rsidR="00400D2B" w:rsidRPr="003228F3" w:rsidRDefault="00400D2B" w:rsidP="0091425D">
      <w:pPr>
        <w:pStyle w:val="Paragraphbeforelist"/>
      </w:pPr>
      <w:r w:rsidRPr="003228F3">
        <w:t>In particular:</w:t>
      </w:r>
    </w:p>
    <w:p w14:paraId="3B0174BD" w14:textId="7907D4E6" w:rsidR="00400D2B" w:rsidRPr="000564DC" w:rsidRDefault="00400D2B" w:rsidP="0091425D">
      <w:pPr>
        <w:pStyle w:val="Bulletlevel1"/>
      </w:pPr>
      <w:r w:rsidRPr="000564DC">
        <w:t xml:space="preserve">We </w:t>
      </w:r>
      <w:r w:rsidR="000F1DBC" w:rsidRPr="000564DC">
        <w:t>sought</w:t>
      </w:r>
      <w:r w:rsidRPr="000564DC">
        <w:t xml:space="preserve"> views on which of the allocation limits options, including the spectrum included in the cross-band frequency range, best achieves our identified objectives for this allocation (</w:t>
      </w:r>
      <w:r w:rsidR="000564DC">
        <w:t>that is</w:t>
      </w:r>
      <w:r w:rsidRPr="000564DC">
        <w:t xml:space="preserve">, </w:t>
      </w:r>
      <w:r w:rsidR="004D3B37" w:rsidRPr="000564DC">
        <w:t xml:space="preserve">by </w:t>
      </w:r>
      <w:r w:rsidRPr="000564DC">
        <w:t xml:space="preserve">facilitating the efficient planning, allocation and use of the spectrum, supporting digital connectivity and investment in regional Australia, and promoting competitive markets). </w:t>
      </w:r>
    </w:p>
    <w:p w14:paraId="41E83FF1" w14:textId="06746EFD" w:rsidR="004D3B37" w:rsidRPr="000564DC" w:rsidRDefault="004D3B37" w:rsidP="0091425D">
      <w:pPr>
        <w:pStyle w:val="Bulletlevel1"/>
      </w:pPr>
      <w:r w:rsidRPr="000564DC">
        <w:t xml:space="preserve">We </w:t>
      </w:r>
      <w:r w:rsidR="000E0A59" w:rsidRPr="000564DC">
        <w:t xml:space="preserve">sought </w:t>
      </w:r>
      <w:r w:rsidRPr="000564DC">
        <w:t>views on how the implementation of an allocation limit at auction may affect likely demand for the 3.4 GHz band and/or 3.7 GHz bands individually and whether demand would differ between the imposition of an allocation limit under Options 1, 2 and 3.</w:t>
      </w:r>
    </w:p>
    <w:p w14:paraId="05E9CCC2" w14:textId="67C8202F" w:rsidR="00400D2B" w:rsidRPr="000564DC" w:rsidRDefault="00400D2B" w:rsidP="0091425D">
      <w:pPr>
        <w:pStyle w:val="Bulletlevel1"/>
      </w:pPr>
      <w:r w:rsidRPr="000564DC">
        <w:t xml:space="preserve">We </w:t>
      </w:r>
      <w:r w:rsidR="000F1DBC" w:rsidRPr="000564DC">
        <w:t>sought</w:t>
      </w:r>
      <w:r w:rsidRPr="000564DC">
        <w:t xml:space="preserve"> views on weighing the different efficiency impacts of auction settings that seek to minimise the risk of unsold lots versus the risk of spectrum monopolisation.</w:t>
      </w:r>
    </w:p>
    <w:p w14:paraId="7560D789" w14:textId="4325FF2E" w:rsidR="00400D2B" w:rsidRPr="000564DC" w:rsidRDefault="00400D2B" w:rsidP="0091425D">
      <w:pPr>
        <w:pStyle w:val="Bulletlevel1"/>
      </w:pPr>
      <w:r w:rsidRPr="000564DC">
        <w:t xml:space="preserve">We </w:t>
      </w:r>
      <w:r w:rsidR="000F1DBC" w:rsidRPr="000564DC">
        <w:t>sought</w:t>
      </w:r>
      <w:r w:rsidRPr="000564DC">
        <w:t xml:space="preserve"> views on the matters relevant to the substitutability of other spectrum with 3.4/3.7 GHz bands, and the appropriate cross-band frequency range to apply to the allocation limits.</w:t>
      </w:r>
    </w:p>
    <w:p w14:paraId="1F39914B" w14:textId="68BE6C1B" w:rsidR="00400D2B" w:rsidRPr="000564DC" w:rsidRDefault="00400D2B" w:rsidP="0091425D">
      <w:pPr>
        <w:pStyle w:val="Bulletlevel1"/>
      </w:pPr>
      <w:r w:rsidRPr="000564DC">
        <w:t xml:space="preserve">We </w:t>
      </w:r>
      <w:r w:rsidR="000F1DBC" w:rsidRPr="000564DC">
        <w:t>sought</w:t>
      </w:r>
      <w:r w:rsidRPr="000564DC">
        <w:t xml:space="preserve"> views on a proposal to auction the 3.7 GHz and 3.4 GHz sequentially and its impact on the appropriate approach to applying allocation limits in the auction, if at all.</w:t>
      </w:r>
    </w:p>
    <w:p w14:paraId="7E879AB9" w14:textId="28BF5B30" w:rsidR="004D3B37" w:rsidRPr="003228F3" w:rsidRDefault="004D3B37" w:rsidP="0091425D">
      <w:pPr>
        <w:pStyle w:val="Bulletlevel1"/>
      </w:pPr>
      <w:r w:rsidRPr="000564DC">
        <w:t xml:space="preserve">We </w:t>
      </w:r>
      <w:r w:rsidR="000E0A59" w:rsidRPr="000564DC">
        <w:t xml:space="preserve">sought </w:t>
      </w:r>
      <w:r w:rsidRPr="000564DC">
        <w:t xml:space="preserve">views on a proposal to apply a metropolitan allocation limit </w:t>
      </w:r>
      <w:r w:rsidRPr="000564DC">
        <w:br/>
        <w:t xml:space="preserve">(140 MHz) to Hobart and </w:t>
      </w:r>
      <w:r w:rsidRPr="00C611A9">
        <w:t>Rural TAS Upper</w:t>
      </w:r>
      <w:r w:rsidRPr="000564DC">
        <w:t xml:space="preserve"> in the 3700–3800 MHz frequency range. We note that for the 3.6 GHz band spectrum licence auction held in 2018, Hobart was included in the ‘Tasmania’ product, which was considered a regional area for the purposes of</w:t>
      </w:r>
      <w:r w:rsidRPr="003228F3">
        <w:t xml:space="preserve"> applying allocation limits in that auction.</w:t>
      </w:r>
    </w:p>
    <w:p w14:paraId="3347990E" w14:textId="7D335EBC" w:rsidR="004D3B37" w:rsidRPr="00F94327" w:rsidRDefault="004D3B37" w:rsidP="0091425D">
      <w:pPr>
        <w:pStyle w:val="Bulletlevel1last"/>
      </w:pPr>
      <w:r w:rsidRPr="003228F3">
        <w:t xml:space="preserve">We </w:t>
      </w:r>
      <w:r w:rsidR="000E0A59">
        <w:t>sought</w:t>
      </w:r>
      <w:r w:rsidRPr="003228F3">
        <w:t xml:space="preserve"> views on the short</w:t>
      </w:r>
      <w:r w:rsidR="00132209">
        <w:t>-</w:t>
      </w:r>
      <w:r w:rsidRPr="003228F3">
        <w:t>, medium</w:t>
      </w:r>
      <w:r w:rsidR="00132209">
        <w:t>-</w:t>
      </w:r>
      <w:r w:rsidRPr="003228F3">
        <w:t xml:space="preserve"> and long-term costs and benefits if Options 1, 2 or 3 </w:t>
      </w:r>
      <w:r w:rsidR="00AC416C">
        <w:t>were</w:t>
      </w:r>
      <w:r w:rsidRPr="003228F3">
        <w:t xml:space="preserve"> implemented in this auction</w:t>
      </w:r>
      <w:r>
        <w:t>.</w:t>
      </w:r>
    </w:p>
    <w:p w14:paraId="777165D5" w14:textId="77777777" w:rsidR="002017CE" w:rsidRPr="00913A17" w:rsidRDefault="002017CE" w:rsidP="002017CE">
      <w:pPr>
        <w:pStyle w:val="Heading3"/>
      </w:pPr>
      <w:bookmarkStart w:id="27" w:name="_Toc139280837"/>
      <w:r w:rsidRPr="00913A17">
        <w:t>Responses to issues for comment</w:t>
      </w:r>
      <w:r>
        <w:t xml:space="preserve"> and the ACMA’s views</w:t>
      </w:r>
      <w:bookmarkEnd w:id="27"/>
    </w:p>
    <w:p w14:paraId="52DE4B19" w14:textId="0581F8D0" w:rsidR="002C0985" w:rsidRPr="001A4D03" w:rsidRDefault="002C0985" w:rsidP="000564DC">
      <w:pPr>
        <w:pStyle w:val="Paragraph"/>
      </w:pPr>
      <w:r w:rsidRPr="001A4D03">
        <w:t xml:space="preserve">Submissions were divided on allocation limits. The ACMA received 6 submissions on allocation limits that provided different responses. </w:t>
      </w:r>
    </w:p>
    <w:p w14:paraId="34F3EC61" w14:textId="48F490F7" w:rsidR="002C0985" w:rsidRPr="001A4D03" w:rsidRDefault="002C0985" w:rsidP="00C22692">
      <w:pPr>
        <w:pStyle w:val="Paragraph"/>
      </w:pPr>
      <w:r w:rsidRPr="001A4D03">
        <w:lastRenderedPageBreak/>
        <w:t>Using the 3.4</w:t>
      </w:r>
      <w:r w:rsidR="000564DC" w:rsidRPr="000564DC">
        <w:t>–</w:t>
      </w:r>
      <w:r w:rsidRPr="001A4D03">
        <w:t xml:space="preserve">3.8 GHz frequency band as the cross-band frequency range would </w:t>
      </w:r>
      <w:r w:rsidR="0092559B">
        <w:t>mean</w:t>
      </w:r>
      <w:r w:rsidRPr="001A4D03">
        <w:t xml:space="preserve"> that existing spectrum licences in the 3.4 GHz and 3.6 GHz bands would be counted </w:t>
      </w:r>
      <w:r w:rsidR="0092559B">
        <w:t>to</w:t>
      </w:r>
      <w:r w:rsidRPr="001A4D03">
        <w:t xml:space="preserve"> assess whether a person could be allocated new spectrum licences in the 3.4/3.7 GHz bands without exceeding the allocation limits. Any right to use spectrum under a transmitter licence, under a class licence, or under an authorisation made under section 68 of the </w:t>
      </w:r>
      <w:r w:rsidR="00EE1EA9" w:rsidRPr="00C60907">
        <w:t xml:space="preserve">Radiocommunications </w:t>
      </w:r>
      <w:r w:rsidRPr="001A4D03">
        <w:t>Act, would not be counted.</w:t>
      </w:r>
    </w:p>
    <w:p w14:paraId="5F5F151C" w14:textId="731762B4" w:rsidR="002C0985" w:rsidRPr="001A4D03" w:rsidRDefault="002C0985" w:rsidP="002C36A6">
      <w:pPr>
        <w:pStyle w:val="Paragraphbeforelist"/>
      </w:pPr>
      <w:r w:rsidRPr="001A4D03">
        <w:t xml:space="preserve">The following responses were received from stakeholders </w:t>
      </w:r>
      <w:r w:rsidR="0092559B">
        <w:t>about</w:t>
      </w:r>
      <w:r w:rsidRPr="001A4D03">
        <w:t xml:space="preserve"> the proposed allocation limit options, and were considered in the assessment of net benefits for each option</w:t>
      </w:r>
      <w:r w:rsidR="0092559B">
        <w:t>:</w:t>
      </w:r>
    </w:p>
    <w:p w14:paraId="14BFFD42" w14:textId="55D32A6E" w:rsidR="005401D8" w:rsidRPr="0092559B" w:rsidRDefault="0096056D" w:rsidP="0092559B">
      <w:pPr>
        <w:pStyle w:val="Bulletlevel1"/>
      </w:pPr>
      <w:r w:rsidRPr="00D51341">
        <w:t xml:space="preserve">One submission opposed all the allocation limits options proposed in the </w:t>
      </w:r>
      <w:r w:rsidRPr="0092559B">
        <w:t xml:space="preserve">consultation paper, </w:t>
      </w:r>
      <w:r w:rsidR="0092559B">
        <w:t xml:space="preserve">as they </w:t>
      </w:r>
      <w:r w:rsidRPr="0092559B" w:rsidDel="0092559B">
        <w:t xml:space="preserve">would </w:t>
      </w:r>
      <w:r w:rsidRPr="0092559B">
        <w:t>enable any bidder to acquire more than 35% of spectrum</w:t>
      </w:r>
      <w:r w:rsidR="0092559B">
        <w:t>-</w:t>
      </w:r>
      <w:r w:rsidRPr="0092559B">
        <w:t>licensed holdings in the 3.4</w:t>
      </w:r>
      <w:r w:rsidR="0092559B" w:rsidRPr="000564DC">
        <w:t>–</w:t>
      </w:r>
      <w:r w:rsidRPr="0092559B">
        <w:t>3.8 GHz band in a particular geographic area. The submitter expressed an ongoing concern about the potential for bidders to monopolise spectrum in regional areas. The</w:t>
      </w:r>
      <w:r w:rsidR="0092559B">
        <w:t>y</w:t>
      </w:r>
      <w:r w:rsidRPr="0092559B">
        <w:t xml:space="preserve"> also stated that the proposed options placed </w:t>
      </w:r>
      <w:r w:rsidR="0092559B">
        <w:t>undue</w:t>
      </w:r>
      <w:r w:rsidRPr="0092559B">
        <w:t xml:space="preserve"> emphasis on the need to avoid unsold lots, and instead proposed 140 MHz and 100 MHz limits in metropolitan and regional areas</w:t>
      </w:r>
      <w:r w:rsidR="0092559B">
        <w:t>,</w:t>
      </w:r>
      <w:r w:rsidRPr="0092559B">
        <w:t xml:space="preserve"> respectively. The </w:t>
      </w:r>
      <w:r w:rsidR="00097786">
        <w:t>submission</w:t>
      </w:r>
      <w:r w:rsidR="00097786" w:rsidRPr="0092559B">
        <w:t xml:space="preserve"> </w:t>
      </w:r>
      <w:r w:rsidRPr="0092559B">
        <w:t>supported the proposed 3.4</w:t>
      </w:r>
      <w:r w:rsidR="0092559B" w:rsidRPr="000564DC">
        <w:t>–</w:t>
      </w:r>
      <w:r w:rsidRPr="0092559B">
        <w:t>3.8 GHz cross-band frequency range.</w:t>
      </w:r>
    </w:p>
    <w:p w14:paraId="50C8B659" w14:textId="60A813AC" w:rsidR="005401D8" w:rsidRPr="0092559B" w:rsidRDefault="0096056D" w:rsidP="0092559B">
      <w:pPr>
        <w:pStyle w:val="Bulletlevel1"/>
      </w:pPr>
      <w:r w:rsidRPr="0092559B">
        <w:t>Another submission expressed a first preference for Option 3, stating that allocation limits are not necessary</w:t>
      </w:r>
      <w:r w:rsidR="0092559B">
        <w:t>,</w:t>
      </w:r>
      <w:r w:rsidRPr="0092559B">
        <w:t xml:space="preserve"> due to lack of evidence that bidders demonstrate anti-competitive behaviour without allocation limits. Failing that, however, the </w:t>
      </w:r>
      <w:r w:rsidR="00097786">
        <w:t>submission</w:t>
      </w:r>
      <w:r w:rsidR="00097786" w:rsidRPr="0092559B">
        <w:t xml:space="preserve"> </w:t>
      </w:r>
      <w:r w:rsidRPr="0092559B">
        <w:t xml:space="preserve">strongly supported Option 2 if limits </w:t>
      </w:r>
      <w:r w:rsidR="0092559B" w:rsidRPr="0092559B">
        <w:t>must</w:t>
      </w:r>
      <w:r w:rsidRPr="0092559B">
        <w:t xml:space="preserve"> be imposed </w:t>
      </w:r>
      <w:r w:rsidR="0092559B">
        <w:t>in</w:t>
      </w:r>
      <w:r w:rsidR="0092559B" w:rsidRPr="0092559B">
        <w:t xml:space="preserve"> </w:t>
      </w:r>
      <w:r w:rsidRPr="0092559B">
        <w:t>the allocation process. The</w:t>
      </w:r>
      <w:r w:rsidR="0092559B">
        <w:t>y</w:t>
      </w:r>
      <w:r w:rsidRPr="0092559B" w:rsidDel="007A2991">
        <w:t xml:space="preserve"> </w:t>
      </w:r>
      <w:r w:rsidRPr="0092559B">
        <w:t xml:space="preserve">considered the higher limit in regional areas in Option 2 (compared to Option 1) would enable bidders to potentially bid in both bands in a sequential </w:t>
      </w:r>
      <w:r w:rsidR="00053BD8" w:rsidRPr="0092559B">
        <w:t>auction and</w:t>
      </w:r>
      <w:r w:rsidRPr="0092559B">
        <w:t xml:space="preserve"> may reduce the likelihood of unsold lots. The </w:t>
      </w:r>
      <w:r w:rsidR="00097786">
        <w:t>submission</w:t>
      </w:r>
      <w:r w:rsidR="00097786" w:rsidRPr="0092559B">
        <w:t xml:space="preserve"> </w:t>
      </w:r>
      <w:r w:rsidRPr="0092559B">
        <w:t>also supported the proposed 3.4</w:t>
      </w:r>
      <w:r w:rsidR="0092559B" w:rsidRPr="000564DC">
        <w:t>–</w:t>
      </w:r>
      <w:r w:rsidRPr="0092559B">
        <w:t>3.8 GHz cross-band frequency range.</w:t>
      </w:r>
    </w:p>
    <w:p w14:paraId="59A52E19" w14:textId="02B33C25" w:rsidR="005401D8" w:rsidRDefault="0096056D" w:rsidP="0092559B">
      <w:pPr>
        <w:pStyle w:val="Bulletlevel1"/>
      </w:pPr>
      <w:r w:rsidRPr="0092559B">
        <w:t>A third submission proposed</w:t>
      </w:r>
      <w:r w:rsidRPr="005401D8">
        <w:t xml:space="preserve"> that the 2.3 GHz band be included in the cross-band frequency range of the allocation limits. As a weak second preference, the </w:t>
      </w:r>
      <w:r w:rsidR="00097786">
        <w:t>submission</w:t>
      </w:r>
      <w:r w:rsidR="00097786" w:rsidRPr="005401D8">
        <w:t xml:space="preserve"> </w:t>
      </w:r>
      <w:r w:rsidRPr="005401D8">
        <w:t>proposed a 120 MHz limit in Sydney and Melbourne and a 160 MHz limit in all other areas, using the 3.4</w:t>
      </w:r>
      <w:r w:rsidR="0092559B" w:rsidRPr="000564DC">
        <w:t>–</w:t>
      </w:r>
      <w:r w:rsidRPr="005401D8">
        <w:t xml:space="preserve">3.8 GHz cross-band frequency range. </w:t>
      </w:r>
    </w:p>
    <w:p w14:paraId="773CBDE3" w14:textId="440049EB" w:rsidR="005401D8" w:rsidRPr="0092559B" w:rsidRDefault="0096056D" w:rsidP="0092559B">
      <w:pPr>
        <w:pStyle w:val="Bulletlevel1"/>
      </w:pPr>
      <w:r w:rsidRPr="005401D8">
        <w:t xml:space="preserve">A fourth submission supported Option 2 (140 MHz in metropolitan areas and 160 MHz in regional areas). This </w:t>
      </w:r>
      <w:r w:rsidR="00097786">
        <w:t>submission</w:t>
      </w:r>
      <w:r w:rsidR="00097786" w:rsidRPr="005401D8">
        <w:t xml:space="preserve"> </w:t>
      </w:r>
      <w:r w:rsidRPr="005401D8">
        <w:t>considered this option appropriately account</w:t>
      </w:r>
      <w:r w:rsidR="0092559B">
        <w:t>ed</w:t>
      </w:r>
      <w:r w:rsidRPr="005401D8">
        <w:t xml:space="preserve"> for demand in regional areas and balance</w:t>
      </w:r>
      <w:r w:rsidR="0092559B">
        <w:t>d</w:t>
      </w:r>
      <w:r w:rsidRPr="005401D8">
        <w:t xml:space="preserve"> the risk of unsold lots with</w:t>
      </w:r>
      <w:r w:rsidR="0092559B">
        <w:t xml:space="preserve"> the</w:t>
      </w:r>
      <w:r w:rsidRPr="005401D8">
        <w:t xml:space="preserve"> risk of </w:t>
      </w:r>
      <w:r w:rsidR="0092559B" w:rsidRPr="0092559B">
        <w:t>monopolis</w:t>
      </w:r>
      <w:r w:rsidR="0092559B">
        <w:t>ing</w:t>
      </w:r>
      <w:r w:rsidR="0092559B" w:rsidRPr="0092559B">
        <w:t xml:space="preserve"> </w:t>
      </w:r>
      <w:r w:rsidRPr="0092559B">
        <w:t xml:space="preserve">spectrum holdings. </w:t>
      </w:r>
      <w:r w:rsidR="00097786">
        <w:t>T</w:t>
      </w:r>
      <w:r w:rsidRPr="0092559B">
        <w:t>he inclusion of all spectrum below 6 GHz in the cross-band frequency range</w:t>
      </w:r>
      <w:r w:rsidR="00097786">
        <w:t xml:space="preserve"> was supported in this submission</w:t>
      </w:r>
      <w:r w:rsidRPr="0092559B">
        <w:t>.</w:t>
      </w:r>
    </w:p>
    <w:p w14:paraId="6ABDA7F1" w14:textId="623F8F47" w:rsidR="005401D8" w:rsidRDefault="0096056D" w:rsidP="0092559B">
      <w:pPr>
        <w:pStyle w:val="Bulletlevel1"/>
      </w:pPr>
      <w:r w:rsidRPr="0092559B">
        <w:t xml:space="preserve">A fifth submission supported Option </w:t>
      </w:r>
      <w:r w:rsidR="00053BD8" w:rsidRPr="0092559B">
        <w:t>1 and</w:t>
      </w:r>
      <w:r w:rsidR="0092559B">
        <w:t xml:space="preserve"> suggested it</w:t>
      </w:r>
      <w:r w:rsidRPr="0092559B">
        <w:t xml:space="preserve"> should also include any future </w:t>
      </w:r>
      <w:r w:rsidR="0092559B">
        <w:t>AWLs</w:t>
      </w:r>
      <w:r w:rsidRPr="005401D8">
        <w:t xml:space="preserve"> in the 3.8</w:t>
      </w:r>
      <w:r w:rsidR="0092559B" w:rsidRPr="000564DC">
        <w:t>–</w:t>
      </w:r>
      <w:r w:rsidRPr="005401D8">
        <w:t xml:space="preserve">4.0 GHz frequency range. The </w:t>
      </w:r>
      <w:r w:rsidR="00097786">
        <w:t>submission asserted</w:t>
      </w:r>
      <w:r w:rsidR="00097786" w:rsidRPr="005401D8">
        <w:t xml:space="preserve"> </w:t>
      </w:r>
      <w:r w:rsidRPr="005401D8">
        <w:t>that this would discourage bidders for spectrum licences from taking up AWL options to build their population profile at the expense of genuine LA</w:t>
      </w:r>
      <w:r w:rsidR="0092559B">
        <w:t xml:space="preserve"> </w:t>
      </w:r>
      <w:r w:rsidRPr="005401D8">
        <w:t>WBB opportunities.</w:t>
      </w:r>
    </w:p>
    <w:p w14:paraId="000828DC" w14:textId="719777C6" w:rsidR="003C1B23" w:rsidRPr="005401D8" w:rsidRDefault="0096056D" w:rsidP="0092559B">
      <w:pPr>
        <w:pStyle w:val="Bulletlevel1last"/>
      </w:pPr>
      <w:r w:rsidRPr="005401D8">
        <w:t xml:space="preserve">A sixth </w:t>
      </w:r>
      <w:r w:rsidRPr="0092559B">
        <w:t>submission</w:t>
      </w:r>
      <w:r w:rsidRPr="005401D8">
        <w:t xml:space="preserve"> proposed 100 MHz limits in all areas </w:t>
      </w:r>
      <w:r w:rsidR="0092559B">
        <w:t>to</w:t>
      </w:r>
      <w:r w:rsidRPr="005401D8">
        <w:t xml:space="preserve"> further encourage competition by limiting established operators’ ability to amass spectrum</w:t>
      </w:r>
      <w:r w:rsidR="00097786">
        <w:t xml:space="preserve"> and also</w:t>
      </w:r>
      <w:r w:rsidRPr="005401D8">
        <w:t xml:space="preserve"> supported a </w:t>
      </w:r>
      <w:r w:rsidR="008253F7">
        <w:t xml:space="preserve">3.4–4.0 </w:t>
      </w:r>
      <w:r w:rsidRPr="005401D8">
        <w:t>GHz cross-band frequency range.</w:t>
      </w:r>
    </w:p>
    <w:p w14:paraId="1D525D1D" w14:textId="0EACEE66" w:rsidR="00DB3B59" w:rsidRPr="00413239" w:rsidRDefault="00DB3B59" w:rsidP="004F027A">
      <w:pPr>
        <w:pStyle w:val="Heading4"/>
      </w:pPr>
      <w:r w:rsidRPr="00413239">
        <w:t xml:space="preserve">Cross-band frequency range </w:t>
      </w:r>
    </w:p>
    <w:p w14:paraId="7BCAF560" w14:textId="4FA9D232" w:rsidR="00DB3B59" w:rsidRPr="00D51341" w:rsidRDefault="00DB3B59" w:rsidP="004F027A">
      <w:pPr>
        <w:pStyle w:val="Paragraph"/>
      </w:pPr>
      <w:r w:rsidRPr="00D51341">
        <w:t>The allocation limits take into account existing spectrum licences in the cross-band frequency range of 3.4</w:t>
      </w:r>
      <w:r w:rsidR="00004971">
        <w:t>–</w:t>
      </w:r>
      <w:r w:rsidRPr="00D51341">
        <w:t xml:space="preserve">3.8 GHz. </w:t>
      </w:r>
    </w:p>
    <w:p w14:paraId="5A68B425" w14:textId="29522D26" w:rsidR="00DB3B59" w:rsidRPr="00D51341" w:rsidRDefault="00DB3B59" w:rsidP="0007777B">
      <w:pPr>
        <w:pStyle w:val="Paragraph"/>
      </w:pPr>
      <w:r w:rsidRPr="00D51341">
        <w:t xml:space="preserve">As outlined in </w:t>
      </w:r>
      <w:r w:rsidR="00CE653A">
        <w:t>our</w:t>
      </w:r>
      <w:r w:rsidR="00CE653A" w:rsidRPr="00D51341">
        <w:t xml:space="preserve"> </w:t>
      </w:r>
      <w:r w:rsidRPr="00D51341">
        <w:t xml:space="preserve">consultation paper, </w:t>
      </w:r>
      <w:r w:rsidR="00AC4F59">
        <w:t>following receipt of the ACCC advice,</w:t>
      </w:r>
      <w:r w:rsidRPr="00D51341">
        <w:t xml:space="preserve"> </w:t>
      </w:r>
      <w:r w:rsidR="00004971">
        <w:t>we</w:t>
      </w:r>
      <w:r w:rsidRPr="00D51341">
        <w:t xml:space="preserve"> conducted </w:t>
      </w:r>
      <w:r w:rsidR="00004971">
        <w:t>an</w:t>
      </w:r>
      <w:r w:rsidRPr="00D51341">
        <w:t xml:space="preserve"> analysis of </w:t>
      </w:r>
      <w:r w:rsidR="0007777B">
        <w:t xml:space="preserve">the </w:t>
      </w:r>
      <w:r w:rsidRPr="00D51341">
        <w:t>technical characteristics</w:t>
      </w:r>
      <w:r w:rsidR="0007777B">
        <w:t xml:space="preserve"> of the spectrum</w:t>
      </w:r>
      <w:r w:rsidRPr="00D51341">
        <w:t>, complexity of the application of allocation limits</w:t>
      </w:r>
      <w:r w:rsidR="00004971">
        <w:t>,</w:t>
      </w:r>
      <w:r w:rsidRPr="00D51341">
        <w:t xml:space="preserve"> and approaches used in other jurisdictions. </w:t>
      </w:r>
      <w:r w:rsidR="00004971">
        <w:t>We have</w:t>
      </w:r>
      <w:r w:rsidRPr="00D51341" w:rsidDel="00004971">
        <w:t xml:space="preserve"> </w:t>
      </w:r>
      <w:r w:rsidRPr="00D51341">
        <w:t>further considered these matters in light of the submissions received.</w:t>
      </w:r>
    </w:p>
    <w:p w14:paraId="7DD3D3FE" w14:textId="77777777" w:rsidR="00DB3B59" w:rsidRPr="00D51341" w:rsidRDefault="00DB3B59" w:rsidP="00B90DED">
      <w:pPr>
        <w:pStyle w:val="Paragraph"/>
      </w:pPr>
      <w:r w:rsidRPr="00D51341">
        <w:t xml:space="preserve">Spectrum substitutability is an important consideration in setting the cross-band frequency range. If spectrum licences are in spectrum that is ‘substitutable’, that </w:t>
      </w:r>
      <w:r w:rsidRPr="00D51341">
        <w:lastRenderedPageBreak/>
        <w:t>means they can generally be used for the same purpose and in the same manner. Accordingly, if a person can use spectrum in one band, there is a case to say that that spectrum should be counted when assessing whether the person can be allocated spectrum in another, substitutable band.</w:t>
      </w:r>
    </w:p>
    <w:p w14:paraId="4278AE56" w14:textId="06D868B1" w:rsidR="00DB3B59" w:rsidRPr="00D51341" w:rsidRDefault="00DB3B59" w:rsidP="00DB3B59">
      <w:pPr>
        <w:rPr>
          <w:rFonts w:cs="Arial"/>
        </w:rPr>
      </w:pPr>
      <w:r w:rsidRPr="00D51341">
        <w:rPr>
          <w:rFonts w:cs="Arial"/>
        </w:rPr>
        <w:t xml:space="preserve">In considering the issue of spectrum substitutability, </w:t>
      </w:r>
      <w:r w:rsidR="00004971">
        <w:rPr>
          <w:rFonts w:cs="Arial"/>
        </w:rPr>
        <w:t>we</w:t>
      </w:r>
      <w:r w:rsidRPr="00D51341">
        <w:rPr>
          <w:rFonts w:cs="Arial"/>
        </w:rPr>
        <w:t xml:space="preserve"> note that there are different degrees of similarities and difference between bands. In this context, the ACMA agrees with the analysis provided in one submission that spectrum in the 2.3 GHz band (2302</w:t>
      </w:r>
      <w:r w:rsidR="00004971">
        <w:t>–</w:t>
      </w:r>
      <w:r w:rsidRPr="00D51341">
        <w:rPr>
          <w:rFonts w:cs="Arial"/>
        </w:rPr>
        <w:t xml:space="preserve">2400 MHz) could be considered broadly substitutable with spectrum </w:t>
      </w:r>
      <w:r>
        <w:rPr>
          <w:rFonts w:cs="Arial"/>
        </w:rPr>
        <w:t xml:space="preserve">in </w:t>
      </w:r>
      <w:r w:rsidRPr="00D51341">
        <w:rPr>
          <w:rFonts w:cs="Arial"/>
        </w:rPr>
        <w:t xml:space="preserve">the </w:t>
      </w:r>
      <w:r w:rsidR="008253F7">
        <w:rPr>
          <w:rFonts w:cs="Arial"/>
        </w:rPr>
        <w:t xml:space="preserve">3.4–4.0 </w:t>
      </w:r>
      <w:r w:rsidRPr="00D51341">
        <w:rPr>
          <w:rFonts w:cs="Arial"/>
        </w:rPr>
        <w:t>GHz band. The ACMA agrees that 2.3 GHz band spectrum is more directly substitutable for the 3.4–4.0 GHz band than other ‘mid</w:t>
      </w:r>
      <w:r w:rsidR="004C05D4">
        <w:rPr>
          <w:rFonts w:cs="Arial"/>
        </w:rPr>
        <w:t>-</w:t>
      </w:r>
      <w:r w:rsidRPr="00D51341">
        <w:rPr>
          <w:rFonts w:cs="Arial"/>
        </w:rPr>
        <w:t>band’ spectrum (namely, the 2.5 GHz band (2500–2570</w:t>
      </w:r>
      <w:r w:rsidRPr="004C05D4">
        <w:rPr>
          <w:rFonts w:cs="Arial"/>
        </w:rPr>
        <w:t>/</w:t>
      </w:r>
      <w:r w:rsidRPr="00D51341">
        <w:rPr>
          <w:rFonts w:cs="Arial"/>
        </w:rPr>
        <w:t>2620–2690 MHz), the 2 GHz band (1920–1980/2110–2170 MHz) and the 1800 MHz band (1710–1785/1805–1880 MHz))</w:t>
      </w:r>
      <w:r w:rsidR="00004971">
        <w:rPr>
          <w:rFonts w:cs="Arial"/>
        </w:rPr>
        <w:t>,</w:t>
      </w:r>
      <w:r w:rsidRPr="00D51341">
        <w:rPr>
          <w:rFonts w:cs="Arial"/>
        </w:rPr>
        <w:t xml:space="preserve"> due to the similarity in frequency range, large bandwidths held by licensees, and time division duplex (TDD) operation. However, we are of the view that other </w:t>
      </w:r>
      <w:r w:rsidRPr="004C05D4">
        <w:rPr>
          <w:rFonts w:cs="Arial"/>
        </w:rPr>
        <w:t>mid</w:t>
      </w:r>
      <w:r w:rsidR="00004971" w:rsidRPr="004C05D4">
        <w:rPr>
          <w:rFonts w:cs="Arial"/>
        </w:rPr>
        <w:t>-</w:t>
      </w:r>
      <w:r w:rsidRPr="004C05D4">
        <w:rPr>
          <w:rFonts w:cs="Arial"/>
        </w:rPr>
        <w:t>band</w:t>
      </w:r>
      <w:r w:rsidRPr="00D51341">
        <w:rPr>
          <w:rFonts w:cs="Arial"/>
        </w:rPr>
        <w:t xml:space="preserve"> spectrum can be used to varying degrees to provide similar services and are also, to differing extents, substitutable with the </w:t>
      </w:r>
      <w:r w:rsidR="008253F7">
        <w:rPr>
          <w:rFonts w:cs="Arial"/>
        </w:rPr>
        <w:t xml:space="preserve">3.4–4.0 </w:t>
      </w:r>
      <w:r w:rsidRPr="00D51341">
        <w:rPr>
          <w:rFonts w:cs="Arial"/>
        </w:rPr>
        <w:t xml:space="preserve">GHz band.  </w:t>
      </w:r>
    </w:p>
    <w:p w14:paraId="7CCF7533" w14:textId="419EA584" w:rsidR="00F46F04" w:rsidRDefault="00F46F04" w:rsidP="00DB3B59">
      <w:pPr>
        <w:rPr>
          <w:rFonts w:cs="Arial"/>
        </w:rPr>
      </w:pPr>
      <w:r>
        <w:rPr>
          <w:rFonts w:cs="Arial"/>
        </w:rPr>
        <w:t>W</w:t>
      </w:r>
      <w:r w:rsidRPr="001D172F">
        <w:rPr>
          <w:rFonts w:cs="Arial"/>
        </w:rPr>
        <w:t>hile the 5G equipment ecosystem is currently more mature in the 3300 MHz to 3800 MHz frequency range, equipment availability for other mid</w:t>
      </w:r>
      <w:r w:rsidR="00A41EEC">
        <w:rPr>
          <w:rFonts w:cs="Arial"/>
        </w:rPr>
        <w:t>-</w:t>
      </w:r>
      <w:r w:rsidRPr="001D172F">
        <w:rPr>
          <w:rFonts w:cs="Arial"/>
        </w:rPr>
        <w:t xml:space="preserve">band spectrum is rapidly increasing and is expected to continue to do so. </w:t>
      </w:r>
      <w:r w:rsidRPr="00ED7DFF">
        <w:rPr>
          <w:rFonts w:cs="Arial"/>
        </w:rPr>
        <w:t>The ACMA therefore considers that any near-term differences in equipment availability across these bands are of limited relevance, which supports the view that in the medium to longer term</w:t>
      </w:r>
      <w:r w:rsidR="00A41EEC">
        <w:rPr>
          <w:rFonts w:cs="Arial"/>
        </w:rPr>
        <w:t>,</w:t>
      </w:r>
      <w:r w:rsidRPr="00ED7DFF">
        <w:rPr>
          <w:rFonts w:cs="Arial"/>
        </w:rPr>
        <w:t xml:space="preserve"> these bands will become more substitutable from an equipment ecosystem perspective.</w:t>
      </w:r>
    </w:p>
    <w:p w14:paraId="2AC4E4D9" w14:textId="5FC7221C" w:rsidR="00DB3B59" w:rsidRPr="00D51341" w:rsidRDefault="00DB3B59" w:rsidP="00DB3B59">
      <w:pPr>
        <w:rPr>
          <w:rFonts w:cs="Arial"/>
        </w:rPr>
      </w:pPr>
      <w:r w:rsidRPr="00D51341">
        <w:rPr>
          <w:rFonts w:cs="Arial"/>
        </w:rPr>
        <w:t xml:space="preserve">While acknowledging that the 2.3 GHz band (and other bands to varying degrees) is broadly substitutable for the </w:t>
      </w:r>
      <w:r w:rsidR="008253F7">
        <w:rPr>
          <w:rFonts w:cs="Arial"/>
        </w:rPr>
        <w:t xml:space="preserve">3.4–4.0 </w:t>
      </w:r>
      <w:r w:rsidRPr="00D51341">
        <w:rPr>
          <w:rFonts w:cs="Arial"/>
        </w:rPr>
        <w:t xml:space="preserve">GHz band, the ACMA has </w:t>
      </w:r>
      <w:r w:rsidR="00004971" w:rsidRPr="00D51341">
        <w:rPr>
          <w:rFonts w:cs="Arial"/>
        </w:rPr>
        <w:t>considered</w:t>
      </w:r>
      <w:r w:rsidRPr="00D51341">
        <w:rPr>
          <w:rFonts w:cs="Arial"/>
        </w:rPr>
        <w:t xml:space="preserve"> relevant technical, practical and policy matters that would arise if the 2.3 GHz band (or other bands) were included in the cross-band frequency range.</w:t>
      </w:r>
    </w:p>
    <w:p w14:paraId="5E8C16DF" w14:textId="31036508" w:rsidR="00DB3B59" w:rsidRPr="00D51341" w:rsidRDefault="00DB3B59" w:rsidP="00DB3B59">
      <w:pPr>
        <w:rPr>
          <w:rFonts w:cs="Arial"/>
        </w:rPr>
      </w:pPr>
      <w:r w:rsidRPr="00D51341">
        <w:rPr>
          <w:rFonts w:cs="Arial"/>
        </w:rPr>
        <w:t>Approaches used in other jurisdictions are of some assistance. Within the last 2 years, where 3.4</w:t>
      </w:r>
      <w:r w:rsidR="00004971">
        <w:t>–</w:t>
      </w:r>
      <w:r w:rsidRPr="00D51341">
        <w:rPr>
          <w:rFonts w:cs="Arial"/>
        </w:rPr>
        <w:t>3.8 GHz spectrum has been auctioned and an allocation limit imposed, the limit has only been applied within the frequency range on offer (see also Belgium’s 2022 auction of 3410–3800 MHz, Denmark’s 2021 auction of 3410–3800 MHz, France’s 2020 auction of 3490–3800 MHz</w:t>
      </w:r>
      <w:r w:rsidR="00004971">
        <w:rPr>
          <w:rFonts w:cs="Arial"/>
        </w:rPr>
        <w:t xml:space="preserve"> and </w:t>
      </w:r>
      <w:r w:rsidRPr="00D51341">
        <w:rPr>
          <w:rFonts w:cs="Arial"/>
        </w:rPr>
        <w:t>Sweden’s 2021 auction of 3400–3720 MHz). This contrasts with the UK’s 2016</w:t>
      </w:r>
      <w:r w:rsidR="00004971">
        <w:t>–</w:t>
      </w:r>
      <w:r w:rsidRPr="00D51341">
        <w:rPr>
          <w:rFonts w:cs="Arial"/>
        </w:rPr>
        <w:t xml:space="preserve">17 spectrum allocation of 3410–3480 MHz and 3500–3580 MHz frequency ranges, which accounted for all spectrum-licensed holdings in any </w:t>
      </w:r>
      <w:r w:rsidR="00053BD8" w:rsidRPr="00D51341">
        <w:rPr>
          <w:rFonts w:cs="Arial"/>
        </w:rPr>
        <w:t>band and</w:t>
      </w:r>
      <w:r w:rsidRPr="00D51341">
        <w:rPr>
          <w:rFonts w:cs="Arial"/>
        </w:rPr>
        <w:t xml:space="preserve"> limited each bidder to acquiring licences so that the bidder did not have more than 37% of all currently licensed spectrum.</w:t>
      </w:r>
    </w:p>
    <w:p w14:paraId="3F565223" w14:textId="62A84174" w:rsidR="00DB3B59" w:rsidRPr="00D51341" w:rsidRDefault="00DB3B59" w:rsidP="00DB3B59">
      <w:pPr>
        <w:rPr>
          <w:rFonts w:cs="Arial"/>
        </w:rPr>
      </w:pPr>
      <w:r w:rsidRPr="00D51341">
        <w:rPr>
          <w:rFonts w:cs="Arial"/>
        </w:rPr>
        <w:t>If spectrum licences in any other mid</w:t>
      </w:r>
      <w:r w:rsidR="00004971">
        <w:rPr>
          <w:rFonts w:cs="Arial"/>
        </w:rPr>
        <w:t>-</w:t>
      </w:r>
      <w:r w:rsidRPr="00D51341">
        <w:rPr>
          <w:rFonts w:cs="Arial"/>
        </w:rPr>
        <w:t>band spectrum were to be counted for the purposes of the allocation limits, the misaligned geographic areas of existing licences in the 2.3 GHz band (and further misalignment in some other mid</w:t>
      </w:r>
      <w:r w:rsidR="00004971">
        <w:rPr>
          <w:rFonts w:cs="Arial"/>
        </w:rPr>
        <w:t>-</w:t>
      </w:r>
      <w:r w:rsidRPr="00D51341">
        <w:rPr>
          <w:rFonts w:cs="Arial"/>
        </w:rPr>
        <w:t xml:space="preserve">bands) with the 3.4/3.7 GHz bands would substantially increase the complexity of the allocation </w:t>
      </w:r>
      <w:r w:rsidR="00053BD8" w:rsidRPr="00D51341">
        <w:rPr>
          <w:rFonts w:cs="Arial"/>
        </w:rPr>
        <w:t>limits</w:t>
      </w:r>
      <w:r w:rsidR="00053BD8">
        <w:rPr>
          <w:rFonts w:cs="Arial"/>
        </w:rPr>
        <w:t xml:space="preserve"> and</w:t>
      </w:r>
      <w:r w:rsidRPr="00D51341">
        <w:rPr>
          <w:rFonts w:cs="Arial"/>
        </w:rPr>
        <w:t xml:space="preserve"> require reconsideration and potential redesign of the allocation limits</w:t>
      </w:r>
      <w:r w:rsidR="00004971">
        <w:rPr>
          <w:rFonts w:cs="Arial"/>
        </w:rPr>
        <w:t>,</w:t>
      </w:r>
      <w:r w:rsidRPr="00D51341">
        <w:rPr>
          <w:rFonts w:cs="Arial"/>
        </w:rPr>
        <w:t xml:space="preserve"> as well as other auction settings. While the ACMA could partially address this misalignment issue </w:t>
      </w:r>
      <w:r w:rsidR="00004971">
        <w:rPr>
          <w:rFonts w:cs="Arial"/>
        </w:rPr>
        <w:t>by</w:t>
      </w:r>
      <w:r w:rsidR="00004971" w:rsidRPr="00D51341">
        <w:rPr>
          <w:rFonts w:cs="Arial"/>
        </w:rPr>
        <w:t xml:space="preserve"> </w:t>
      </w:r>
      <w:r w:rsidRPr="00D51341">
        <w:rPr>
          <w:rFonts w:cs="Arial"/>
        </w:rPr>
        <w:t xml:space="preserve">adopting further disaggregation of the products available at auction, this would increase the need for interference management measures around those geographic boundaries (increasing the risk of loss of utility around those boundaries if different licensees obtained different lots) and therefore potentially comprising the efficient use of the spectrum. </w:t>
      </w:r>
    </w:p>
    <w:p w14:paraId="6D99DC7B" w14:textId="77777777" w:rsidR="00DB3B59" w:rsidRPr="00D51341" w:rsidRDefault="00DB3B59" w:rsidP="00DB3B59">
      <w:pPr>
        <w:rPr>
          <w:rFonts w:cs="Arial"/>
        </w:rPr>
      </w:pPr>
      <w:r w:rsidRPr="00D51341">
        <w:rPr>
          <w:rFonts w:cs="Arial"/>
        </w:rPr>
        <w:t xml:space="preserve">In the context of the allocation process, additional product disaggregation makes it more difficult for bidders to obtain geographically contiguous areas, and introduces further complexities into an already complex process, making bid strategy formulation for bidders and implementation by the ACMA more complex. Should any additional frequency ranges be considered for inclusion in the allocation limit, this would require </w:t>
      </w:r>
      <w:r w:rsidRPr="00D51341">
        <w:rPr>
          <w:rFonts w:cs="Arial"/>
        </w:rPr>
        <w:lastRenderedPageBreak/>
        <w:t xml:space="preserve">the ACMA to conduct a further detailed consideration of both the quantum of the allocation limit and aspects of the auction design, supported by further consultations, which would delay the commencement of the auction. </w:t>
      </w:r>
    </w:p>
    <w:p w14:paraId="42AC5DBC" w14:textId="73DCC135" w:rsidR="00DB3B59" w:rsidRPr="001C2976" w:rsidRDefault="00DB3B59" w:rsidP="00DB3B59">
      <w:pPr>
        <w:rPr>
          <w:rFonts w:cs="Arial"/>
        </w:rPr>
      </w:pPr>
      <w:r w:rsidRPr="00D51341">
        <w:rPr>
          <w:rFonts w:cs="Arial"/>
        </w:rPr>
        <w:t xml:space="preserve">The inclusion of other spectrum in the cross-band frequency range would lead to significant additional auction complexity and a likely loss in the utility of the spectrum </w:t>
      </w:r>
      <w:r w:rsidR="00004971">
        <w:rPr>
          <w:rFonts w:cs="Arial"/>
        </w:rPr>
        <w:t>if</w:t>
      </w:r>
      <w:r w:rsidR="00004971" w:rsidRPr="00D51341">
        <w:rPr>
          <w:rFonts w:cs="Arial"/>
        </w:rPr>
        <w:t xml:space="preserve"> </w:t>
      </w:r>
      <w:r w:rsidRPr="00D51341">
        <w:rPr>
          <w:rFonts w:cs="Arial"/>
        </w:rPr>
        <w:t>different licensees obtain different lots. As such</w:t>
      </w:r>
      <w:r w:rsidR="00004971">
        <w:rPr>
          <w:rFonts w:cs="Arial"/>
        </w:rPr>
        <w:t>,</w:t>
      </w:r>
      <w:r w:rsidRPr="00D51341">
        <w:rPr>
          <w:rFonts w:cs="Arial"/>
        </w:rPr>
        <w:t xml:space="preserve"> the ACMA has decided that existing spectrum licences in the 2.3 GHz band, or in other mid</w:t>
      </w:r>
      <w:r w:rsidR="00004971">
        <w:rPr>
          <w:rFonts w:cs="Arial"/>
        </w:rPr>
        <w:t>-</w:t>
      </w:r>
      <w:r w:rsidRPr="00D51341">
        <w:rPr>
          <w:rFonts w:cs="Arial"/>
        </w:rPr>
        <w:t xml:space="preserve">band spectrum, should not be </w:t>
      </w:r>
      <w:r w:rsidR="00004971" w:rsidRPr="00D51341">
        <w:rPr>
          <w:rFonts w:cs="Arial"/>
        </w:rPr>
        <w:t>considered</w:t>
      </w:r>
      <w:r w:rsidRPr="00D51341">
        <w:rPr>
          <w:rFonts w:cs="Arial"/>
        </w:rPr>
        <w:t xml:space="preserve"> for the purposes of the allocation limits, other than those in the 3.4</w:t>
      </w:r>
      <w:r w:rsidR="00004971">
        <w:t>–</w:t>
      </w:r>
      <w:r w:rsidRPr="00D51341">
        <w:rPr>
          <w:rFonts w:cs="Arial"/>
        </w:rPr>
        <w:t xml:space="preserve">3.8 GHz frequency band (which surround and adjoin the 3.4/3.7 GHz bands, and may be combined with the licences to be issued in the 3.4/3.7 GHz bands to form larger contiguous holdings). </w:t>
      </w:r>
    </w:p>
    <w:p w14:paraId="2DAC3BD8" w14:textId="4E50DC28" w:rsidR="00396C7A" w:rsidRDefault="00295173" w:rsidP="00B13285">
      <w:pPr>
        <w:pStyle w:val="Heading4"/>
      </w:pPr>
      <w:r>
        <w:t>Quantum of allocation limit</w:t>
      </w:r>
    </w:p>
    <w:p w14:paraId="70922854" w14:textId="44A2CC58" w:rsidR="00D27A7E" w:rsidRDefault="00D27A7E" w:rsidP="00D27A7E">
      <w:pPr>
        <w:pStyle w:val="Paragraph"/>
      </w:pPr>
      <w:r w:rsidRPr="00D51341">
        <w:t>The ACMA has decided to implement an allocation limit during the allocation process. As a result of the allocation of spectrum licences in the 3.4/3.7 GHz bands, no group of persons (consisting of a person and all the person’s associates) may, in total, use more than 140 MHz of spectrum in metropolitan areas in the 3.4</w:t>
      </w:r>
      <w:r w:rsidR="00004971">
        <w:t>–</w:t>
      </w:r>
      <w:r w:rsidRPr="00D51341">
        <w:t>3.8 GHz frequency range, and 160 MHz in regional areas in the 3.4</w:t>
      </w:r>
      <w:r w:rsidR="00004971">
        <w:t>–</w:t>
      </w:r>
      <w:r w:rsidRPr="00D51341">
        <w:t>3.8 GHz frequency range.</w:t>
      </w:r>
    </w:p>
    <w:p w14:paraId="72C43BD8" w14:textId="5351C3ED" w:rsidR="00BB6B8F" w:rsidRPr="00D51341" w:rsidRDefault="00BB6B8F" w:rsidP="00BA11D0">
      <w:pPr>
        <w:pStyle w:val="Paragraph"/>
        <w:keepNext/>
        <w:keepLines/>
      </w:pPr>
      <w:r w:rsidRPr="00D51341">
        <w:t xml:space="preserve">As outlined in the consultation paper, </w:t>
      </w:r>
      <w:r w:rsidR="00CD364C">
        <w:t>a</w:t>
      </w:r>
      <w:r w:rsidR="00CD364C" w:rsidRPr="00D51341">
        <w:t xml:space="preserve">n allocation limit that restricts demand too much may impede the efficient allocation and use of the spectrum by increasing the risk that spectrum will be left unsold following the allocation. Conversely, an allocation limit </w:t>
      </w:r>
      <w:r w:rsidR="00004971">
        <w:t>that</w:t>
      </w:r>
      <w:r w:rsidR="00004971" w:rsidRPr="00D51341">
        <w:t xml:space="preserve"> </w:t>
      </w:r>
      <w:r w:rsidR="00CD364C" w:rsidRPr="00D51341">
        <w:t xml:space="preserve">is too relaxed may enable one bidder to obtain all or a significant amount of the spectrum on offer, which as noted by the ACCC may </w:t>
      </w:r>
      <w:r w:rsidR="00004971">
        <w:t xml:space="preserve">‘… </w:t>
      </w:r>
      <w:r w:rsidR="00CD364C" w:rsidRPr="00D51341">
        <w:t>starve competitors of [this] essential input, and erode competitive vigour in the relevant markets</w:t>
      </w:r>
      <w:r w:rsidR="00004971">
        <w:t>’</w:t>
      </w:r>
      <w:r w:rsidR="00CD364C" w:rsidRPr="00D51341">
        <w:t>.</w:t>
      </w:r>
      <w:r w:rsidR="00CD364C" w:rsidRPr="00D51341">
        <w:rPr>
          <w:rStyle w:val="FootnoteReference"/>
          <w:rFonts w:ascii="Arial" w:hAnsi="Arial"/>
        </w:rPr>
        <w:footnoteReference w:id="3"/>
      </w:r>
    </w:p>
    <w:p w14:paraId="03C3E4D2" w14:textId="3925682A" w:rsidR="00BB6B8F" w:rsidRPr="00D51341" w:rsidRDefault="00CD364C" w:rsidP="00774D45">
      <w:pPr>
        <w:pStyle w:val="Paragraph"/>
        <w:rPr>
          <w:rFonts w:eastAsia="Times New Roman"/>
        </w:rPr>
      </w:pPr>
      <w:r w:rsidRPr="00D51341">
        <w:t xml:space="preserve">The appropriate allocation limit will be informed by how well it supports the objectives to facilitate the efficient planning, allocation and use of the spectrum, support digital connectivity and investment in regional Australia, and promote competitive markets. </w:t>
      </w:r>
    </w:p>
    <w:p w14:paraId="0D2E090F" w14:textId="21ED857E" w:rsidR="00BB6B8F" w:rsidRPr="00D51341" w:rsidRDefault="00BB6B8F" w:rsidP="00BB6B8F">
      <w:pPr>
        <w:pStyle w:val="Paragraph"/>
      </w:pPr>
      <w:r w:rsidRPr="00D51341">
        <w:t xml:space="preserve">The ACMA </w:t>
      </w:r>
      <w:r w:rsidRPr="004C05D4">
        <w:t>had regard to</w:t>
      </w:r>
      <w:r w:rsidRPr="00D51341">
        <w:t xml:space="preserve"> the other objectives in the </w:t>
      </w:r>
      <w:r w:rsidR="00053BD8" w:rsidRPr="00D51341">
        <w:t>MPS but</w:t>
      </w:r>
      <w:r w:rsidRPr="00D51341">
        <w:t xml:space="preserve"> considered they did not significantly influence the decision on allocation limits.</w:t>
      </w:r>
    </w:p>
    <w:p w14:paraId="76D8204F" w14:textId="701A3DC5" w:rsidR="008B21F8" w:rsidRPr="00D51341" w:rsidRDefault="00BB6B8F" w:rsidP="00BB6B8F">
      <w:pPr>
        <w:pStyle w:val="Paragraph"/>
      </w:pPr>
      <w:r w:rsidRPr="00D51341">
        <w:t xml:space="preserve">In addition to these objectives, we consider that the application of allocation limits should be practical and avoid imposing undue complexity on the allocation. We note that all options posed in the consultation paper, while complex, were able to be practically applied. </w:t>
      </w:r>
    </w:p>
    <w:p w14:paraId="78C4BF5D" w14:textId="24025576" w:rsidR="00043C5F" w:rsidRDefault="00043C5F" w:rsidP="001742A8">
      <w:pPr>
        <w:pStyle w:val="Paragraph"/>
      </w:pPr>
      <w:r>
        <w:t>In response to the ACMA consultation, some stakeholders proposed alternative allocation limits options to those consulted on. One submission suggested a more restrictive limit in regional areas, and another suggested a more restrictive limit in Sydney and Melbourne only.</w:t>
      </w:r>
    </w:p>
    <w:p w14:paraId="24C3E5C7" w14:textId="5809057C" w:rsidR="00043C5F" w:rsidRDefault="00043C5F" w:rsidP="00043C5F">
      <w:pPr>
        <w:pStyle w:val="Paragraphbeforelist"/>
      </w:pPr>
      <w:r>
        <w:t>Our views on alternatives to the options presented at consultation are:</w:t>
      </w:r>
    </w:p>
    <w:p w14:paraId="35CF05F4" w14:textId="0A190188" w:rsidR="00570701" w:rsidRDefault="00043C5F" w:rsidP="00570701">
      <w:pPr>
        <w:pStyle w:val="Bulletlevel1"/>
      </w:pPr>
      <w:r>
        <w:t>There is little evidence to support a tighter limit in metropolitan areas (if allocation limits are to apply).</w:t>
      </w:r>
      <w:r w:rsidR="00570701" w:rsidRPr="00570701">
        <w:t xml:space="preserve"> </w:t>
      </w:r>
      <w:r w:rsidR="00570701">
        <w:t>We consider a 140 MHz limit in the 3.4</w:t>
      </w:r>
      <w:r w:rsidR="00A41EEC">
        <w:t>–</w:t>
      </w:r>
      <w:r w:rsidR="00570701">
        <w:t>3.8 GHz frequency range for metropolitan areas strikes the correct balance between promoting competitive markets and supporting an efficient allocation of the spectrum</w:t>
      </w:r>
      <w:r w:rsidR="00570701" w:rsidRPr="00D51341" w:rsidDel="00885E83">
        <w:t xml:space="preserve"> by </w:t>
      </w:r>
      <w:r w:rsidR="00570701">
        <w:t>mitigating the risk of unsold lots.</w:t>
      </w:r>
    </w:p>
    <w:p w14:paraId="1359CCD5" w14:textId="0BFEF7D2" w:rsidR="00043C5F" w:rsidRPr="00D51341" w:rsidRDefault="00570701" w:rsidP="00A41EEC">
      <w:pPr>
        <w:pStyle w:val="Bulletlevel1last"/>
      </w:pPr>
      <w:r>
        <w:t xml:space="preserve">There is little evidence to support imposing tighter limits in regional areas. As discussed below, the presence of unsold lots will not support </w:t>
      </w:r>
      <w:r w:rsidRPr="00D51341" w:rsidDel="00885E83">
        <w:t xml:space="preserve">the </w:t>
      </w:r>
      <w:r>
        <w:t>efficient allocation</w:t>
      </w:r>
      <w:r w:rsidRPr="00D51341" w:rsidDel="00885E83">
        <w:t xml:space="preserve"> </w:t>
      </w:r>
      <w:r w:rsidRPr="00D51341" w:rsidDel="00885E83">
        <w:lastRenderedPageBreak/>
        <w:t xml:space="preserve">of </w:t>
      </w:r>
      <w:r>
        <w:t>the spectrum. Unallocated spectrum may present a barrier to the defragmentation of the 3.4 GHz band</w:t>
      </w:r>
      <w:r w:rsidRPr="00D51341" w:rsidDel="00885E83">
        <w:t>.</w:t>
      </w:r>
    </w:p>
    <w:p w14:paraId="3515EA03" w14:textId="1F7B1C91" w:rsidR="002477C9" w:rsidRPr="00D51341" w:rsidRDefault="00BB6B8F" w:rsidP="002477C9">
      <w:pPr>
        <w:pStyle w:val="Paragraph"/>
      </w:pPr>
      <w:r w:rsidRPr="00D51341">
        <w:rPr>
          <w:rFonts w:eastAsia="Times New Roman"/>
        </w:rPr>
        <w:t>Given Option 3 is the benchmark policy option (</w:t>
      </w:r>
      <w:r w:rsidR="00661D79">
        <w:rPr>
          <w:rFonts w:eastAsia="Times New Roman"/>
        </w:rPr>
        <w:t>that is,</w:t>
      </w:r>
      <w:r w:rsidRPr="00D51341">
        <w:rPr>
          <w:rFonts w:eastAsia="Times New Roman"/>
        </w:rPr>
        <w:t xml:space="preserve"> the option with no regulatory intervention </w:t>
      </w:r>
      <w:r w:rsidR="00661D79">
        <w:rPr>
          <w:rFonts w:eastAsia="Times New Roman"/>
        </w:rPr>
        <w:t>in</w:t>
      </w:r>
      <w:r w:rsidRPr="00D51341">
        <w:rPr>
          <w:rFonts w:eastAsia="Times New Roman"/>
        </w:rPr>
        <w:t xml:space="preserve"> allocation limits), the following provides </w:t>
      </w:r>
      <w:r w:rsidR="00661D79">
        <w:rPr>
          <w:rFonts w:eastAsia="Times New Roman"/>
        </w:rPr>
        <w:t xml:space="preserve">an </w:t>
      </w:r>
      <w:r w:rsidRPr="00D51341">
        <w:rPr>
          <w:rFonts w:eastAsia="Times New Roman"/>
        </w:rPr>
        <w:t>analysis o</w:t>
      </w:r>
      <w:r w:rsidR="00661D79">
        <w:rPr>
          <w:rFonts w:eastAsia="Times New Roman"/>
        </w:rPr>
        <w:t>f</w:t>
      </w:r>
      <w:r w:rsidRPr="00D51341">
        <w:rPr>
          <w:rFonts w:eastAsia="Times New Roman"/>
        </w:rPr>
        <w:t xml:space="preserve"> Option 3 first. Options 1 and 2 will then be compared with Option 3.</w:t>
      </w:r>
      <w:r w:rsidR="002477C9" w:rsidRPr="002477C9">
        <w:t xml:space="preserve"> </w:t>
      </w:r>
      <w:r w:rsidR="002477C9" w:rsidRPr="00D51341">
        <w:t xml:space="preserve">The ACMA’s assessment of each of the </w:t>
      </w:r>
      <w:r w:rsidR="00661D79">
        <w:t>3</w:t>
      </w:r>
      <w:r w:rsidR="00661D79" w:rsidRPr="00D51341">
        <w:t xml:space="preserve"> </w:t>
      </w:r>
      <w:r w:rsidR="002477C9" w:rsidRPr="00D51341">
        <w:t xml:space="preserve">options for allocation limits </w:t>
      </w:r>
      <w:r w:rsidR="00661D79">
        <w:t>is summarised in Table 1.</w:t>
      </w:r>
      <w:r w:rsidR="00661D79" w:rsidRPr="00D51341">
        <w:t xml:space="preserve"> </w:t>
      </w:r>
    </w:p>
    <w:p w14:paraId="24BF4F61" w14:textId="12491B53" w:rsidR="002477C9" w:rsidRPr="0084051C" w:rsidRDefault="002477C9" w:rsidP="00301EF4">
      <w:pPr>
        <w:pStyle w:val="Tableheading"/>
      </w:pPr>
      <w:r w:rsidRPr="0084051C">
        <w:t>Assessment of objectives against allocation limits options</w:t>
      </w:r>
    </w:p>
    <w:tbl>
      <w:tblPr>
        <w:tblStyle w:val="TableGrid1"/>
        <w:tblW w:w="7649" w:type="dxa"/>
        <w:tblCellMar>
          <w:top w:w="57" w:type="dxa"/>
          <w:left w:w="85" w:type="dxa"/>
          <w:bottom w:w="57" w:type="dxa"/>
          <w:right w:w="85" w:type="dxa"/>
        </w:tblCellMar>
        <w:tblLook w:val="04A0" w:firstRow="1" w:lastRow="0" w:firstColumn="1" w:lastColumn="0" w:noHBand="0" w:noVBand="1"/>
      </w:tblPr>
      <w:tblGrid>
        <w:gridCol w:w="4106"/>
        <w:gridCol w:w="1276"/>
        <w:gridCol w:w="1134"/>
        <w:gridCol w:w="1133"/>
      </w:tblGrid>
      <w:tr w:rsidR="006D1437" w:rsidRPr="00BB785B" w14:paraId="269860C8" w14:textId="77777777" w:rsidTr="00301EF4">
        <w:tc>
          <w:tcPr>
            <w:tcW w:w="4106" w:type="dxa"/>
          </w:tcPr>
          <w:p w14:paraId="5A55115B" w14:textId="77777777" w:rsidR="006D1437" w:rsidRPr="00030580" w:rsidRDefault="006D1437" w:rsidP="006D1437">
            <w:pPr>
              <w:spacing w:after="0" w:line="240" w:lineRule="auto"/>
              <w:rPr>
                <w:rFonts w:cs="Arial"/>
                <w:b/>
                <w:bCs/>
              </w:rPr>
            </w:pPr>
            <w:r w:rsidRPr="00030580">
              <w:rPr>
                <w:rFonts w:cs="Arial"/>
                <w:b/>
                <w:bCs/>
              </w:rPr>
              <w:t>Objective</w:t>
            </w:r>
          </w:p>
        </w:tc>
        <w:tc>
          <w:tcPr>
            <w:tcW w:w="1276" w:type="dxa"/>
          </w:tcPr>
          <w:p w14:paraId="5C84A2D6" w14:textId="0D1EBD0A" w:rsidR="006D1437" w:rsidRPr="00030580" w:rsidRDefault="006D1437" w:rsidP="006D1437">
            <w:pPr>
              <w:spacing w:after="0"/>
              <w:rPr>
                <w:rFonts w:cs="Arial"/>
                <w:b/>
                <w:bCs/>
              </w:rPr>
            </w:pPr>
            <w:r w:rsidRPr="00030580">
              <w:rPr>
                <w:rFonts w:cs="Arial"/>
                <w:b/>
                <w:bCs/>
              </w:rPr>
              <w:t>Option 3</w:t>
            </w:r>
          </w:p>
        </w:tc>
        <w:tc>
          <w:tcPr>
            <w:tcW w:w="1134" w:type="dxa"/>
          </w:tcPr>
          <w:p w14:paraId="0C87B717" w14:textId="77777777" w:rsidR="006D1437" w:rsidRPr="00030580" w:rsidRDefault="006D1437" w:rsidP="006D1437">
            <w:pPr>
              <w:spacing w:after="0"/>
              <w:rPr>
                <w:rFonts w:cs="Arial"/>
                <w:b/>
                <w:bCs/>
              </w:rPr>
            </w:pPr>
            <w:r w:rsidRPr="00030580">
              <w:rPr>
                <w:rFonts w:cs="Arial"/>
                <w:b/>
                <w:bCs/>
              </w:rPr>
              <w:t>Option 1</w:t>
            </w:r>
          </w:p>
        </w:tc>
        <w:tc>
          <w:tcPr>
            <w:tcW w:w="1133" w:type="dxa"/>
          </w:tcPr>
          <w:p w14:paraId="4D879777" w14:textId="77777777" w:rsidR="006D1437" w:rsidRPr="00030580" w:rsidRDefault="006D1437" w:rsidP="006D1437">
            <w:pPr>
              <w:spacing w:after="0"/>
              <w:rPr>
                <w:rFonts w:cs="Arial"/>
                <w:b/>
                <w:bCs/>
              </w:rPr>
            </w:pPr>
            <w:r w:rsidRPr="00030580">
              <w:rPr>
                <w:rFonts w:cs="Arial"/>
                <w:b/>
                <w:bCs/>
              </w:rPr>
              <w:t>Option 2</w:t>
            </w:r>
          </w:p>
        </w:tc>
      </w:tr>
      <w:tr w:rsidR="006D1437" w:rsidRPr="00BB785B" w14:paraId="718AAA7D" w14:textId="77777777" w:rsidTr="00301EF4">
        <w:tc>
          <w:tcPr>
            <w:tcW w:w="4106" w:type="dxa"/>
          </w:tcPr>
          <w:p w14:paraId="3EC59E6A" w14:textId="77777777" w:rsidR="006D1437" w:rsidRPr="00301EF4" w:rsidRDefault="006D1437" w:rsidP="006D1437">
            <w:pPr>
              <w:spacing w:after="0"/>
              <w:rPr>
                <w:rFonts w:cs="Arial"/>
                <w:bCs/>
              </w:rPr>
            </w:pPr>
            <w:r w:rsidRPr="00301EF4">
              <w:rPr>
                <w:rFonts w:cs="Arial"/>
                <w:bCs/>
              </w:rPr>
              <w:t>Objective 1: Supporting the efficient planning, allocation and use of the spectrum</w:t>
            </w:r>
          </w:p>
        </w:tc>
        <w:tc>
          <w:tcPr>
            <w:tcW w:w="1276" w:type="dxa"/>
            <w:shd w:val="clear" w:color="auto" w:fill="FFC000"/>
          </w:tcPr>
          <w:p w14:paraId="2B7DDD85" w14:textId="6F46DFB4" w:rsidR="006D1437" w:rsidRPr="00BB785B" w:rsidRDefault="006D1437" w:rsidP="006D1437">
            <w:pPr>
              <w:spacing w:after="0" w:line="240" w:lineRule="auto"/>
              <w:rPr>
                <w:rFonts w:cs="Arial"/>
              </w:rPr>
            </w:pPr>
            <w:r w:rsidRPr="00BB785B">
              <w:rPr>
                <w:rFonts w:cs="Arial"/>
              </w:rPr>
              <w:t>Fair</w:t>
            </w:r>
          </w:p>
        </w:tc>
        <w:tc>
          <w:tcPr>
            <w:tcW w:w="1134" w:type="dxa"/>
            <w:shd w:val="clear" w:color="auto" w:fill="FFC000"/>
          </w:tcPr>
          <w:p w14:paraId="3E5B2678" w14:textId="77777777" w:rsidR="006D1437" w:rsidRPr="00BB785B" w:rsidRDefault="006D1437" w:rsidP="006D1437">
            <w:pPr>
              <w:spacing w:after="0" w:line="240" w:lineRule="auto"/>
              <w:rPr>
                <w:rFonts w:cs="Arial"/>
              </w:rPr>
            </w:pPr>
            <w:r w:rsidRPr="00BB785B">
              <w:rPr>
                <w:rFonts w:cs="Arial"/>
              </w:rPr>
              <w:t>Fair</w:t>
            </w:r>
          </w:p>
        </w:tc>
        <w:tc>
          <w:tcPr>
            <w:tcW w:w="1133" w:type="dxa"/>
            <w:shd w:val="clear" w:color="auto" w:fill="92D050"/>
          </w:tcPr>
          <w:p w14:paraId="49DF9AE4" w14:textId="77777777" w:rsidR="006D1437" w:rsidRPr="00BB785B" w:rsidRDefault="006D1437" w:rsidP="006D1437">
            <w:pPr>
              <w:spacing w:after="0" w:line="240" w:lineRule="auto"/>
              <w:rPr>
                <w:rFonts w:cs="Arial"/>
              </w:rPr>
            </w:pPr>
            <w:r w:rsidRPr="00BB785B">
              <w:rPr>
                <w:rFonts w:cs="Arial"/>
              </w:rPr>
              <w:t>Good</w:t>
            </w:r>
          </w:p>
        </w:tc>
      </w:tr>
      <w:tr w:rsidR="006D1437" w:rsidRPr="00BB785B" w14:paraId="731BDF92" w14:textId="77777777" w:rsidTr="00301EF4">
        <w:tc>
          <w:tcPr>
            <w:tcW w:w="4106" w:type="dxa"/>
          </w:tcPr>
          <w:p w14:paraId="6FBB6DA6" w14:textId="77777777" w:rsidR="006D1437" w:rsidRPr="00301EF4" w:rsidRDefault="006D1437" w:rsidP="006D1437">
            <w:pPr>
              <w:spacing w:after="0"/>
              <w:rPr>
                <w:rFonts w:cs="Arial"/>
                <w:bCs/>
              </w:rPr>
            </w:pPr>
            <w:r w:rsidRPr="00301EF4">
              <w:rPr>
                <w:rFonts w:cs="Arial"/>
                <w:bCs/>
              </w:rPr>
              <w:t>Objective 2: Supporting digital connectivity and investment in regional Australia</w:t>
            </w:r>
          </w:p>
        </w:tc>
        <w:tc>
          <w:tcPr>
            <w:tcW w:w="1276" w:type="dxa"/>
            <w:shd w:val="clear" w:color="auto" w:fill="FF0000"/>
          </w:tcPr>
          <w:p w14:paraId="67FC563F" w14:textId="0D00E9A4" w:rsidR="006D1437" w:rsidRPr="00BB785B" w:rsidRDefault="006D1437" w:rsidP="006D1437">
            <w:pPr>
              <w:spacing w:after="0" w:line="240" w:lineRule="auto"/>
              <w:rPr>
                <w:rFonts w:cs="Arial"/>
              </w:rPr>
            </w:pPr>
            <w:r w:rsidRPr="00BB785B">
              <w:rPr>
                <w:rFonts w:cs="Arial"/>
              </w:rPr>
              <w:t>Poor</w:t>
            </w:r>
          </w:p>
        </w:tc>
        <w:tc>
          <w:tcPr>
            <w:tcW w:w="1134" w:type="dxa"/>
            <w:shd w:val="clear" w:color="auto" w:fill="FFC000"/>
          </w:tcPr>
          <w:p w14:paraId="046A7D68" w14:textId="77777777" w:rsidR="006D1437" w:rsidRPr="00BB785B" w:rsidRDefault="006D1437" w:rsidP="006D1437">
            <w:pPr>
              <w:spacing w:after="0" w:line="240" w:lineRule="auto"/>
              <w:rPr>
                <w:rFonts w:cs="Arial"/>
              </w:rPr>
            </w:pPr>
            <w:r w:rsidRPr="00BB785B">
              <w:rPr>
                <w:rFonts w:cs="Arial"/>
              </w:rPr>
              <w:t>Fair</w:t>
            </w:r>
          </w:p>
        </w:tc>
        <w:tc>
          <w:tcPr>
            <w:tcW w:w="1133" w:type="dxa"/>
            <w:shd w:val="clear" w:color="auto" w:fill="92D050"/>
          </w:tcPr>
          <w:p w14:paraId="0459BB41" w14:textId="77777777" w:rsidR="006D1437" w:rsidRPr="00BB785B" w:rsidRDefault="006D1437" w:rsidP="006D1437">
            <w:pPr>
              <w:spacing w:after="0" w:line="240" w:lineRule="auto"/>
              <w:rPr>
                <w:rFonts w:cs="Arial"/>
              </w:rPr>
            </w:pPr>
            <w:r w:rsidRPr="00BB785B">
              <w:rPr>
                <w:rFonts w:cs="Arial"/>
              </w:rPr>
              <w:t>Good</w:t>
            </w:r>
          </w:p>
        </w:tc>
      </w:tr>
      <w:tr w:rsidR="006D1437" w:rsidRPr="00BB785B" w14:paraId="418F78D2" w14:textId="77777777" w:rsidTr="00301EF4">
        <w:tc>
          <w:tcPr>
            <w:tcW w:w="4106" w:type="dxa"/>
          </w:tcPr>
          <w:p w14:paraId="0F5CDF3A" w14:textId="77777777" w:rsidR="006D1437" w:rsidRPr="00301EF4" w:rsidRDefault="006D1437" w:rsidP="006D1437">
            <w:pPr>
              <w:spacing w:after="0"/>
              <w:rPr>
                <w:rFonts w:cs="Arial"/>
                <w:bCs/>
              </w:rPr>
            </w:pPr>
            <w:r w:rsidRPr="00301EF4">
              <w:rPr>
                <w:rFonts w:cs="Arial"/>
                <w:bCs/>
              </w:rPr>
              <w:t>Objective 3: Promoting competitive markets for the long-term benefit of consumers</w:t>
            </w:r>
          </w:p>
        </w:tc>
        <w:tc>
          <w:tcPr>
            <w:tcW w:w="1276" w:type="dxa"/>
            <w:shd w:val="clear" w:color="auto" w:fill="FF0000"/>
          </w:tcPr>
          <w:p w14:paraId="187D23D8" w14:textId="770FE5C2" w:rsidR="006D1437" w:rsidRPr="00BB785B" w:rsidRDefault="006D1437" w:rsidP="006D1437">
            <w:pPr>
              <w:spacing w:after="0" w:line="240" w:lineRule="auto"/>
              <w:rPr>
                <w:rFonts w:cs="Arial"/>
              </w:rPr>
            </w:pPr>
            <w:r w:rsidRPr="00BB785B">
              <w:rPr>
                <w:rFonts w:cs="Arial"/>
              </w:rPr>
              <w:t>Poor</w:t>
            </w:r>
          </w:p>
        </w:tc>
        <w:tc>
          <w:tcPr>
            <w:tcW w:w="1134" w:type="dxa"/>
            <w:shd w:val="clear" w:color="auto" w:fill="92D050"/>
          </w:tcPr>
          <w:p w14:paraId="78EC6465" w14:textId="77777777" w:rsidR="006D1437" w:rsidRPr="00BB785B" w:rsidRDefault="006D1437" w:rsidP="006D1437">
            <w:pPr>
              <w:spacing w:after="0" w:line="240" w:lineRule="auto"/>
              <w:rPr>
                <w:rFonts w:cs="Arial"/>
              </w:rPr>
            </w:pPr>
            <w:r w:rsidRPr="00BB785B">
              <w:rPr>
                <w:rFonts w:cs="Arial"/>
              </w:rPr>
              <w:t>Good</w:t>
            </w:r>
          </w:p>
        </w:tc>
        <w:tc>
          <w:tcPr>
            <w:tcW w:w="1133" w:type="dxa"/>
            <w:shd w:val="clear" w:color="auto" w:fill="92D050"/>
          </w:tcPr>
          <w:p w14:paraId="1FD47CF7" w14:textId="77777777" w:rsidR="006D1437" w:rsidRPr="00BB785B" w:rsidRDefault="006D1437" w:rsidP="006D1437">
            <w:pPr>
              <w:spacing w:after="0" w:line="240" w:lineRule="auto"/>
              <w:rPr>
                <w:rFonts w:cs="Arial"/>
              </w:rPr>
            </w:pPr>
            <w:r w:rsidRPr="00BB785B">
              <w:rPr>
                <w:rFonts w:cs="Arial"/>
              </w:rPr>
              <w:t>Good</w:t>
            </w:r>
          </w:p>
        </w:tc>
      </w:tr>
    </w:tbl>
    <w:p w14:paraId="2816BAE7" w14:textId="381AD67F" w:rsidR="00BB6B8F" w:rsidRPr="00D51341" w:rsidRDefault="00BB6B8F" w:rsidP="00BB6B8F">
      <w:pPr>
        <w:rPr>
          <w:rFonts w:eastAsia="Times New Roman" w:cs="Arial"/>
        </w:rPr>
      </w:pPr>
    </w:p>
    <w:p w14:paraId="0B0CEE90" w14:textId="5AA5D476" w:rsidR="00BB6B8F" w:rsidRPr="00661D79" w:rsidRDefault="00BB6B8F" w:rsidP="00BA11D0">
      <w:pPr>
        <w:pStyle w:val="Heading4"/>
        <w:keepNext/>
      </w:pPr>
      <w:r w:rsidRPr="00661D79">
        <w:t>Option 3: No limits</w:t>
      </w:r>
    </w:p>
    <w:p w14:paraId="0A28B819" w14:textId="6E538089" w:rsidR="00BB6B8F" w:rsidRPr="00D51341" w:rsidRDefault="00BB6B8F" w:rsidP="00983964">
      <w:pPr>
        <w:pStyle w:val="Paragraph"/>
        <w:rPr>
          <w:lang w:eastAsia="zh-TW"/>
        </w:rPr>
      </w:pPr>
      <w:r w:rsidRPr="00E71187">
        <w:rPr>
          <w:lang w:eastAsia="zh-TW"/>
        </w:rPr>
        <w:t xml:space="preserve">If Option 3 </w:t>
      </w:r>
      <w:r w:rsidR="00E71187">
        <w:rPr>
          <w:lang w:eastAsia="zh-TW"/>
        </w:rPr>
        <w:t>was</w:t>
      </w:r>
      <w:r w:rsidR="00E71187" w:rsidRPr="00E71187">
        <w:rPr>
          <w:lang w:eastAsia="zh-TW"/>
        </w:rPr>
        <w:t xml:space="preserve"> </w:t>
      </w:r>
      <w:r w:rsidRPr="00E71187">
        <w:rPr>
          <w:lang w:eastAsia="zh-TW"/>
        </w:rPr>
        <w:t>implemented, there would be no allocation limits applied in the 3.4/3.</w:t>
      </w:r>
      <w:r w:rsidRPr="00E71187" w:rsidDel="00E71187">
        <w:rPr>
          <w:lang w:eastAsia="zh-TW"/>
        </w:rPr>
        <w:t>7</w:t>
      </w:r>
      <w:r w:rsidR="00E71187">
        <w:rPr>
          <w:lang w:eastAsia="zh-TW"/>
        </w:rPr>
        <w:t> </w:t>
      </w:r>
      <w:r w:rsidRPr="00E71187">
        <w:rPr>
          <w:lang w:eastAsia="zh-TW"/>
        </w:rPr>
        <w:t xml:space="preserve">GHz allocation process. </w:t>
      </w:r>
      <w:r w:rsidR="00E71187" w:rsidRPr="00E71187">
        <w:rPr>
          <w:lang w:eastAsia="zh-TW"/>
        </w:rPr>
        <w:t>I</w:t>
      </w:r>
      <w:r w:rsidR="00E71187">
        <w:rPr>
          <w:lang w:eastAsia="zh-TW"/>
        </w:rPr>
        <w:t>n</w:t>
      </w:r>
      <w:r w:rsidR="00E71187" w:rsidRPr="00E71187">
        <w:rPr>
          <w:lang w:eastAsia="zh-TW"/>
        </w:rPr>
        <w:t xml:space="preserve"> </w:t>
      </w:r>
      <w:r w:rsidRPr="00E71187">
        <w:rPr>
          <w:lang w:eastAsia="zh-TW"/>
        </w:rPr>
        <w:t>this</w:t>
      </w:r>
      <w:r w:rsidRPr="00E71187" w:rsidDel="00E71187">
        <w:rPr>
          <w:lang w:eastAsia="zh-TW"/>
        </w:rPr>
        <w:t xml:space="preserve"> </w:t>
      </w:r>
      <w:r w:rsidRPr="00E71187">
        <w:rPr>
          <w:lang w:eastAsia="zh-TW"/>
        </w:rPr>
        <w:t xml:space="preserve">case, the issue of spectrum licences in the 3.4/3.7 GHz band is taken to be an acquisition by </w:t>
      </w:r>
      <w:r w:rsidR="000168F1">
        <w:rPr>
          <w:lang w:eastAsia="zh-TW"/>
        </w:rPr>
        <w:t>the</w:t>
      </w:r>
      <w:r w:rsidR="000168F1" w:rsidRPr="00E71187">
        <w:rPr>
          <w:lang w:eastAsia="zh-TW"/>
        </w:rPr>
        <w:t xml:space="preserve"> </w:t>
      </w:r>
      <w:r w:rsidRPr="00E71187">
        <w:rPr>
          <w:lang w:eastAsia="zh-TW"/>
        </w:rPr>
        <w:t>person of the asset of another person, and conduct engaged in</w:t>
      </w:r>
      <w:r w:rsidR="00DE2497">
        <w:rPr>
          <w:lang w:eastAsia="zh-TW"/>
        </w:rPr>
        <w:t xml:space="preserve"> by</w:t>
      </w:r>
      <w:r w:rsidRPr="00E71187">
        <w:rPr>
          <w:lang w:eastAsia="zh-TW"/>
        </w:rPr>
        <w:t xml:space="preserve"> </w:t>
      </w:r>
      <w:r w:rsidR="00C26A66">
        <w:rPr>
          <w:lang w:eastAsia="zh-TW"/>
        </w:rPr>
        <w:t>the</w:t>
      </w:r>
      <w:r w:rsidRPr="00E71187">
        <w:rPr>
          <w:lang w:eastAsia="zh-TW"/>
        </w:rPr>
        <w:t xml:space="preserve"> person, for the purposes of </w:t>
      </w:r>
      <w:r w:rsidRPr="00E71187">
        <w:rPr>
          <w:rFonts w:eastAsia="Times New Roman"/>
        </w:rPr>
        <w:t xml:space="preserve">section 50 of the </w:t>
      </w:r>
      <w:r w:rsidR="00637960" w:rsidRPr="008C67E6">
        <w:t xml:space="preserve">Competition and Consumer Act </w:t>
      </w:r>
      <w:r w:rsidRPr="00E71187">
        <w:rPr>
          <w:rFonts w:eastAsia="Times New Roman"/>
        </w:rPr>
        <w:t>(see section 71A of the</w:t>
      </w:r>
      <w:r w:rsidRPr="00D51341">
        <w:rPr>
          <w:rFonts w:eastAsia="Times New Roman"/>
        </w:rPr>
        <w:t xml:space="preserve"> </w:t>
      </w:r>
      <w:r w:rsidR="00EE1EA9" w:rsidRPr="00C60907">
        <w:t xml:space="preserve">Radiocommunications </w:t>
      </w:r>
      <w:r w:rsidRPr="00D51341">
        <w:rPr>
          <w:rFonts w:eastAsia="Times New Roman"/>
        </w:rPr>
        <w:t>Act).</w:t>
      </w:r>
      <w:r w:rsidRPr="00D51341">
        <w:rPr>
          <w:lang w:eastAsia="zh-TW"/>
        </w:rPr>
        <w:t xml:space="preserve"> This means that if the issue of a spectrum licence would have the effect, or be likely to have the effect, of substantially lessening competition in any market, the issue of the licence is prohibited by section 50 of the </w:t>
      </w:r>
      <w:r w:rsidR="00637960" w:rsidRPr="008C67E6">
        <w:t>Competition and Consumer Act</w:t>
      </w:r>
      <w:r w:rsidRPr="00D51341">
        <w:rPr>
          <w:lang w:eastAsia="zh-TW"/>
        </w:rPr>
        <w:t xml:space="preserve">. The ACCC is responsible for enforcing section 50 of the </w:t>
      </w:r>
      <w:r w:rsidR="00637960" w:rsidRPr="008C67E6">
        <w:t>Competition and Consumer Act</w:t>
      </w:r>
      <w:r w:rsidRPr="00D51341">
        <w:rPr>
          <w:lang w:eastAsia="zh-TW"/>
        </w:rPr>
        <w:t>.</w:t>
      </w:r>
    </w:p>
    <w:p w14:paraId="572B49E2" w14:textId="7885CD78" w:rsidR="00BB6B8F" w:rsidRPr="00D51341" w:rsidRDefault="00BB6B8F" w:rsidP="00BB6B8F">
      <w:pPr>
        <w:rPr>
          <w:rFonts w:eastAsiaTheme="minorEastAsia" w:cs="Arial"/>
          <w:lang w:eastAsia="zh-TW"/>
        </w:rPr>
      </w:pPr>
      <w:r w:rsidRPr="00D51341">
        <w:rPr>
          <w:rFonts w:eastAsiaTheme="minorEastAsia" w:cs="Arial"/>
          <w:lang w:eastAsia="zh-TW"/>
        </w:rPr>
        <w:t xml:space="preserve">While section 50 of the </w:t>
      </w:r>
      <w:r w:rsidR="00637960" w:rsidRPr="008C67E6">
        <w:t xml:space="preserve">Competition and Consumer Act </w:t>
      </w:r>
      <w:r w:rsidRPr="00D51341">
        <w:rPr>
          <w:rFonts w:eastAsiaTheme="minorEastAsia" w:cs="Arial"/>
          <w:lang w:eastAsia="zh-TW"/>
        </w:rPr>
        <w:t xml:space="preserve">is a critical element of the regulatory framework that supports competitive markets, relying on it for use in the allocation and issue of spectrum licences introduces significant risks into the processes. There is a degree of uncertainty </w:t>
      </w:r>
      <w:r w:rsidR="00132209">
        <w:rPr>
          <w:rFonts w:eastAsiaTheme="minorEastAsia" w:cs="Arial"/>
          <w:lang w:eastAsia="zh-TW"/>
        </w:rPr>
        <w:t>about</w:t>
      </w:r>
      <w:r w:rsidRPr="00D51341">
        <w:rPr>
          <w:rFonts w:eastAsiaTheme="minorEastAsia" w:cs="Arial"/>
          <w:lang w:eastAsia="zh-TW"/>
        </w:rPr>
        <w:t xml:space="preserve"> the circumstances in which section 50 </w:t>
      </w:r>
      <w:r w:rsidR="004F4BF3">
        <w:rPr>
          <w:rFonts w:eastAsiaTheme="minorEastAsia" w:cs="Arial"/>
          <w:lang w:eastAsia="zh-TW"/>
        </w:rPr>
        <w:t xml:space="preserve">may be taken to be </w:t>
      </w:r>
      <w:r w:rsidRPr="00D51341">
        <w:rPr>
          <w:rFonts w:eastAsiaTheme="minorEastAsia" w:cs="Arial"/>
          <w:lang w:eastAsia="zh-TW"/>
        </w:rPr>
        <w:t xml:space="preserve">contravened. Stakeholders may differently perceive whether the issue of a licence would substantially lessen competition in a market, which may create uncertainty around the market conditions for an allocation process under section 60 of the </w:t>
      </w:r>
      <w:r w:rsidR="00EE1EA9" w:rsidRPr="00C60907">
        <w:t xml:space="preserve">Radiocommunications </w:t>
      </w:r>
      <w:r w:rsidRPr="00D51341">
        <w:rPr>
          <w:rFonts w:eastAsiaTheme="minorEastAsia" w:cs="Arial"/>
          <w:lang w:eastAsia="zh-TW"/>
        </w:rPr>
        <w:t xml:space="preserve">Act. In such an uncertain bidding environment, each bidder’s own approach to risk of a contravention of section 50 of the </w:t>
      </w:r>
      <w:r w:rsidR="00637960" w:rsidRPr="008C67E6">
        <w:t xml:space="preserve">Competition and Consumer Act </w:t>
      </w:r>
      <w:r w:rsidRPr="00D51341">
        <w:rPr>
          <w:rFonts w:eastAsiaTheme="minorEastAsia" w:cs="Arial"/>
          <w:lang w:eastAsia="zh-TW"/>
        </w:rPr>
        <w:t>may impact their bidding strategies.</w:t>
      </w:r>
    </w:p>
    <w:p w14:paraId="32BE42C9" w14:textId="64823B64" w:rsidR="00BB6B8F" w:rsidRPr="00D51341" w:rsidRDefault="00BB6B8F" w:rsidP="00BB6B8F">
      <w:pPr>
        <w:rPr>
          <w:rFonts w:eastAsiaTheme="minorEastAsia" w:cs="Arial"/>
          <w:lang w:eastAsia="zh-TW"/>
        </w:rPr>
      </w:pPr>
      <w:r w:rsidRPr="00D51341">
        <w:rPr>
          <w:rFonts w:eastAsiaTheme="minorEastAsia" w:cs="Arial"/>
          <w:lang w:eastAsia="zh-TW"/>
        </w:rPr>
        <w:t xml:space="preserve">Allocation limits provide relative certainty </w:t>
      </w:r>
      <w:r w:rsidR="009F3C15">
        <w:rPr>
          <w:rFonts w:eastAsiaTheme="minorEastAsia" w:cs="Arial"/>
          <w:lang w:eastAsia="zh-TW"/>
        </w:rPr>
        <w:t>about</w:t>
      </w:r>
      <w:r w:rsidRPr="00D51341">
        <w:rPr>
          <w:rFonts w:eastAsiaTheme="minorEastAsia" w:cs="Arial"/>
          <w:lang w:eastAsia="zh-TW"/>
        </w:rPr>
        <w:t xml:space="preserve"> the regulatory parameters for prospective bidders prior to auction, which provides a stronger foundation for informed bidding decisions. Allocation limits do not prevent the operation of section 50 of the </w:t>
      </w:r>
      <w:r w:rsidR="00637960" w:rsidRPr="008C67E6">
        <w:t>Competition and Consumer Act</w:t>
      </w:r>
      <w:r w:rsidRPr="00D51341">
        <w:rPr>
          <w:rFonts w:eastAsiaTheme="minorEastAsia" w:cs="Arial"/>
          <w:lang w:eastAsia="zh-TW"/>
        </w:rPr>
        <w:t>.</w:t>
      </w:r>
    </w:p>
    <w:p w14:paraId="4814F123" w14:textId="542D7ED0" w:rsidR="00BB6B8F" w:rsidRPr="00D51341" w:rsidRDefault="00BB6B8F" w:rsidP="00BB6B8F">
      <w:pPr>
        <w:rPr>
          <w:rFonts w:eastAsiaTheme="minorEastAsia" w:cs="Arial"/>
          <w:lang w:eastAsia="zh-TW"/>
        </w:rPr>
      </w:pPr>
      <w:r w:rsidRPr="00D51341">
        <w:rPr>
          <w:rFonts w:eastAsiaTheme="minorEastAsia" w:cs="Arial"/>
          <w:lang w:eastAsia="zh-TW"/>
        </w:rPr>
        <w:t xml:space="preserve">In addition, allocation limits </w:t>
      </w:r>
      <w:r w:rsidR="00472E4A">
        <w:rPr>
          <w:rFonts w:eastAsiaTheme="minorEastAsia" w:cs="Arial"/>
          <w:lang w:eastAsia="zh-TW"/>
        </w:rPr>
        <w:t>(</w:t>
      </w:r>
      <w:r w:rsidR="002C2CC5">
        <w:rPr>
          <w:rFonts w:eastAsiaTheme="minorEastAsia" w:cs="Arial"/>
          <w:lang w:eastAsia="zh-TW"/>
        </w:rPr>
        <w:t>that</w:t>
      </w:r>
      <w:r w:rsidR="00472E4A">
        <w:rPr>
          <w:rFonts w:eastAsiaTheme="minorEastAsia" w:cs="Arial"/>
          <w:lang w:eastAsia="zh-TW"/>
        </w:rPr>
        <w:t xml:space="preserve"> are set before the start of the auction)</w:t>
      </w:r>
      <w:r w:rsidRPr="00D51341">
        <w:rPr>
          <w:rFonts w:eastAsiaTheme="minorEastAsia" w:cs="Arial"/>
          <w:lang w:eastAsia="zh-TW"/>
        </w:rPr>
        <w:t xml:space="preserve"> enable the ACMA to be guided by the relevant competition-related allocation objective, </w:t>
      </w:r>
      <w:r w:rsidR="009F3C15">
        <w:rPr>
          <w:rFonts w:eastAsiaTheme="minorEastAsia" w:cs="Arial"/>
          <w:lang w:eastAsia="zh-TW"/>
        </w:rPr>
        <w:t xml:space="preserve">which </w:t>
      </w:r>
      <w:r w:rsidRPr="00D51341">
        <w:rPr>
          <w:rFonts w:eastAsiaTheme="minorEastAsia" w:cs="Arial"/>
          <w:lang w:eastAsia="zh-TW"/>
        </w:rPr>
        <w:t xml:space="preserve">in this case is </w:t>
      </w:r>
      <w:r w:rsidR="009F3C15">
        <w:rPr>
          <w:rFonts w:eastAsiaTheme="minorEastAsia" w:cs="Arial"/>
          <w:lang w:eastAsia="zh-TW"/>
        </w:rPr>
        <w:t>‘</w:t>
      </w:r>
      <w:r w:rsidRPr="00D51341">
        <w:rPr>
          <w:rFonts w:eastAsiaTheme="minorEastAsia" w:cs="Arial"/>
          <w:lang w:eastAsia="zh-TW"/>
        </w:rPr>
        <w:t>promoting competitive markets</w:t>
      </w:r>
      <w:r w:rsidR="009F3C15">
        <w:rPr>
          <w:rFonts w:eastAsiaTheme="minorEastAsia" w:cs="Arial"/>
          <w:lang w:eastAsia="zh-TW"/>
        </w:rPr>
        <w:t>’</w:t>
      </w:r>
      <w:r w:rsidRPr="00D51341">
        <w:rPr>
          <w:rFonts w:eastAsiaTheme="minorEastAsia" w:cs="Arial"/>
          <w:lang w:eastAsia="zh-TW"/>
        </w:rPr>
        <w:t xml:space="preserve"> under the MPS. Section 50 of the </w:t>
      </w:r>
      <w:r w:rsidR="00637960" w:rsidRPr="008C67E6">
        <w:t xml:space="preserve">Competition and Consumer Act </w:t>
      </w:r>
      <w:r w:rsidRPr="00D51341">
        <w:rPr>
          <w:rFonts w:eastAsiaTheme="minorEastAsia" w:cs="Arial"/>
          <w:lang w:eastAsia="zh-TW"/>
        </w:rPr>
        <w:t>is about the reduction in existing competition, not the promotion of new competition. The ACMA considers that allocation limits can often be used to promote competition, not just prevent the reduction of competition.</w:t>
      </w:r>
    </w:p>
    <w:p w14:paraId="66739691" w14:textId="77777777" w:rsidR="00BB6B8F" w:rsidRPr="00D51341" w:rsidRDefault="00BB6B8F" w:rsidP="004A5B70">
      <w:pPr>
        <w:spacing w:after="120"/>
        <w:rPr>
          <w:rFonts w:eastAsiaTheme="minorEastAsia" w:cs="Arial"/>
          <w:lang w:eastAsia="zh-TW"/>
        </w:rPr>
      </w:pPr>
      <w:r w:rsidRPr="00D51341">
        <w:rPr>
          <w:rFonts w:eastAsiaTheme="minorEastAsia" w:cs="Arial"/>
          <w:lang w:eastAsia="zh-TW"/>
        </w:rPr>
        <w:t xml:space="preserve">An auction without allocation limits promotes competitive tension in the auction, in turn promoting the opportunity for all lots to be allocated. Spectrum remaining unsold </w:t>
      </w:r>
      <w:r w:rsidRPr="00D51341">
        <w:rPr>
          <w:rFonts w:eastAsiaTheme="minorEastAsia" w:cs="Arial"/>
          <w:lang w:eastAsia="zh-TW"/>
        </w:rPr>
        <w:lastRenderedPageBreak/>
        <w:t>following the auction is unlikely to be allocatively efficient. However, an outcome where competition is not promoted (for example, if all spectrum is purchased by one party), may also be an inefficient allocation. As noted by the ACCC in its advice to the ACMA:</w:t>
      </w:r>
    </w:p>
    <w:p w14:paraId="7B64241F" w14:textId="6321D5C6" w:rsidR="00BB6B8F" w:rsidRPr="004A5B70" w:rsidRDefault="00BB6B8F" w:rsidP="00BB6B8F">
      <w:pPr>
        <w:ind w:left="284"/>
        <w:rPr>
          <w:rFonts w:eastAsiaTheme="minorEastAsia" w:cs="Arial"/>
          <w:sz w:val="18"/>
          <w:szCs w:val="18"/>
          <w:lang w:eastAsia="zh-TW"/>
        </w:rPr>
      </w:pPr>
      <w:r w:rsidRPr="004A5B70">
        <w:rPr>
          <w:rFonts w:eastAsiaTheme="minorEastAsia" w:cs="Arial"/>
          <w:sz w:val="18"/>
          <w:szCs w:val="18"/>
          <w:lang w:eastAsia="zh-TW"/>
        </w:rPr>
        <w:t>…</w:t>
      </w:r>
      <w:r w:rsidR="009F3C15">
        <w:rPr>
          <w:rFonts w:eastAsiaTheme="minorEastAsia" w:cs="Arial"/>
          <w:sz w:val="18"/>
          <w:szCs w:val="18"/>
          <w:lang w:eastAsia="zh-TW"/>
        </w:rPr>
        <w:t xml:space="preserve"> </w:t>
      </w:r>
      <w:r w:rsidRPr="004A5B70">
        <w:rPr>
          <w:rFonts w:eastAsiaTheme="minorEastAsia" w:cs="Arial"/>
          <w:sz w:val="18"/>
          <w:szCs w:val="18"/>
          <w:lang w:eastAsia="zh-TW"/>
        </w:rPr>
        <w:t>auction settings such as allocation limits can help promote competition and economic efficiency in markets that rely on spectrum by giving operators an opportunity to acquire sufficient spectrum which, when used with existing holdings, allows them to compete effectively in the downstream markets. When the operators can compete effectively, this promotes good outcomes for consumers, in terms of choice, price and quality of services available.</w:t>
      </w:r>
      <w:r w:rsidRPr="004A5B70">
        <w:rPr>
          <w:rFonts w:eastAsiaTheme="minorEastAsia" w:cs="Arial"/>
          <w:sz w:val="18"/>
          <w:szCs w:val="18"/>
          <w:vertAlign w:val="superscript"/>
          <w:lang w:eastAsia="zh-TW"/>
        </w:rPr>
        <w:footnoteReference w:id="4"/>
      </w:r>
    </w:p>
    <w:p w14:paraId="4BCAA53C" w14:textId="215C54DD" w:rsidR="00BB6B8F" w:rsidRPr="00D51341" w:rsidRDefault="00BB6B8F" w:rsidP="00BB6B8F">
      <w:pPr>
        <w:rPr>
          <w:rFonts w:eastAsia="Times New Roman" w:cs="Arial"/>
        </w:rPr>
      </w:pPr>
      <w:r w:rsidRPr="00D51341">
        <w:rPr>
          <w:rFonts w:eastAsiaTheme="minorEastAsia" w:cs="Arial"/>
          <w:lang w:eastAsia="zh-TW"/>
        </w:rPr>
        <w:t xml:space="preserve">Option 3 poses another risk where larger bidders may acquire spectrum for the purposes of keeping it from their competitors. As such, we consider that </w:t>
      </w:r>
      <w:r w:rsidR="00132209">
        <w:rPr>
          <w:rFonts w:eastAsiaTheme="minorEastAsia" w:cs="Arial"/>
          <w:lang w:eastAsia="zh-TW"/>
        </w:rPr>
        <w:t>in terms of</w:t>
      </w:r>
      <w:r w:rsidRPr="00D51341">
        <w:rPr>
          <w:rFonts w:eastAsiaTheme="minorEastAsia" w:cs="Arial"/>
          <w:lang w:eastAsia="zh-TW"/>
        </w:rPr>
        <w:t xml:space="preserve"> achieving objective 1, Option 3 can only be considered ‘fair’.</w:t>
      </w:r>
      <w:r w:rsidRPr="00D51341">
        <w:rPr>
          <w:rFonts w:eastAsia="Times New Roman" w:cs="Arial"/>
        </w:rPr>
        <w:t xml:space="preserve"> In relation to the assessment against objectives 2 and 3</w:t>
      </w:r>
      <w:r w:rsidR="009F3C15">
        <w:rPr>
          <w:rFonts w:eastAsia="Times New Roman" w:cs="Arial"/>
        </w:rPr>
        <w:t>,</w:t>
      </w:r>
      <w:r w:rsidRPr="00D51341">
        <w:rPr>
          <w:rFonts w:eastAsia="Times New Roman" w:cs="Arial"/>
        </w:rPr>
        <w:t xml:space="preserve"> we considered the following matters.</w:t>
      </w:r>
    </w:p>
    <w:p w14:paraId="3831BEE5" w14:textId="3A4BC2AE" w:rsidR="00BB6B8F" w:rsidRPr="00D51341" w:rsidRDefault="00BB6B8F" w:rsidP="00BB6B8F">
      <w:pPr>
        <w:rPr>
          <w:rFonts w:eastAsia="Times New Roman" w:cs="Arial"/>
        </w:rPr>
      </w:pPr>
      <w:r w:rsidRPr="00D51341">
        <w:rPr>
          <w:rFonts w:eastAsia="Times New Roman" w:cs="Arial"/>
        </w:rPr>
        <w:t>One submission strongly supported Option 3 on the grounds that allocation limits are not necessary due to a lack of evidence of bidders’ anti-competitive behaviour in the absence of allocation limits. This contrasts with another submitter’s opposition to any allocation limits (including Option 3) that would enable any bidder to acquire more than 35% of spectrum</w:t>
      </w:r>
      <w:r w:rsidR="009F3C15">
        <w:rPr>
          <w:rFonts w:eastAsia="Times New Roman" w:cs="Arial"/>
        </w:rPr>
        <w:t>-</w:t>
      </w:r>
      <w:r w:rsidRPr="00D51341">
        <w:rPr>
          <w:rFonts w:eastAsia="Times New Roman" w:cs="Arial"/>
        </w:rPr>
        <w:t>licen</w:t>
      </w:r>
      <w:r w:rsidR="009F3C15">
        <w:rPr>
          <w:rFonts w:eastAsia="Times New Roman" w:cs="Arial"/>
        </w:rPr>
        <w:t>s</w:t>
      </w:r>
      <w:r w:rsidRPr="00D51341">
        <w:rPr>
          <w:rFonts w:eastAsia="Times New Roman" w:cs="Arial"/>
        </w:rPr>
        <w:t xml:space="preserve">ed holdings in a particular geographic area. Other submissions did not express support for Option 3. </w:t>
      </w:r>
    </w:p>
    <w:p w14:paraId="677537B2" w14:textId="77777777" w:rsidR="00BB6B8F" w:rsidRPr="00D51341" w:rsidRDefault="00BB6B8F" w:rsidP="00BB6B8F">
      <w:pPr>
        <w:rPr>
          <w:rFonts w:cs="Arial"/>
          <w:b/>
        </w:rPr>
      </w:pPr>
      <w:r w:rsidRPr="00D51341">
        <w:rPr>
          <w:rFonts w:eastAsia="Times New Roman" w:cs="Arial"/>
        </w:rPr>
        <w:t xml:space="preserve">The ACMA considers that an allocation limit is necessary to achieve the objectives of this allocation. The presence of an allocation limit provides an opportunity for improved competition at auction, and consequently provides an opportunity for improved competition in the mobile and fixed broadband markets. As outlined in the ACMA’s consultation paper, Option 3 could prevent some interested bidders from being issued licences in regional areas, which would allow them to roll out services in competition with existing regional providers. This would work against objectives 2 and 3. </w:t>
      </w:r>
    </w:p>
    <w:p w14:paraId="16E6A612" w14:textId="77777777" w:rsidR="00BB6B8F" w:rsidRPr="00D51341" w:rsidRDefault="00BB6B8F" w:rsidP="00BB6B8F">
      <w:pPr>
        <w:rPr>
          <w:rFonts w:eastAsia="Times New Roman" w:cs="Arial"/>
        </w:rPr>
      </w:pPr>
      <w:r w:rsidRPr="00D51341">
        <w:rPr>
          <w:rFonts w:eastAsia="Times New Roman" w:cs="Arial"/>
        </w:rPr>
        <w:t xml:space="preserve">The ACMA is also aware that significantly imbalanced holdings as a result of this auction may have long-term impacts on competition in downstream markets, noting some of the spectrum licences to be issued may be for a period of 20 years. </w:t>
      </w:r>
    </w:p>
    <w:p w14:paraId="297DC46D" w14:textId="226BA3B8" w:rsidR="00BB6B8F" w:rsidRPr="00D51341" w:rsidRDefault="00BB6B8F" w:rsidP="00BB6B8F">
      <w:pPr>
        <w:rPr>
          <w:b/>
        </w:rPr>
      </w:pPr>
      <w:r w:rsidRPr="00E04170">
        <w:rPr>
          <w:rFonts w:eastAsia="Times New Roman" w:cs="Arial"/>
        </w:rPr>
        <w:t xml:space="preserve">As such, the ACMA considers Option 3 should be assessed as </w:t>
      </w:r>
      <w:r w:rsidR="009F3C15">
        <w:rPr>
          <w:rFonts w:eastAsia="Times New Roman" w:cs="Arial"/>
        </w:rPr>
        <w:t>‘</w:t>
      </w:r>
      <w:r w:rsidRPr="00E04170">
        <w:rPr>
          <w:rFonts w:eastAsia="Times New Roman" w:cs="Arial"/>
        </w:rPr>
        <w:t>poor</w:t>
      </w:r>
      <w:r w:rsidR="009F3C15">
        <w:rPr>
          <w:rFonts w:eastAsia="Times New Roman" w:cs="Arial"/>
        </w:rPr>
        <w:t>’</w:t>
      </w:r>
      <w:r w:rsidRPr="00E04170">
        <w:rPr>
          <w:rFonts w:eastAsia="Times New Roman" w:cs="Arial"/>
        </w:rPr>
        <w:t xml:space="preserve"> against objectives 2 and 3.</w:t>
      </w:r>
    </w:p>
    <w:p w14:paraId="58E552CD" w14:textId="5FB7753E" w:rsidR="00BB6B8F" w:rsidRPr="008C1CE9" w:rsidRDefault="00BB6B8F" w:rsidP="009F3C15">
      <w:pPr>
        <w:pStyle w:val="Heading4"/>
        <w:rPr>
          <w:b w:val="0"/>
          <w:bCs/>
        </w:rPr>
      </w:pPr>
      <w:r w:rsidRPr="008C1CE9">
        <w:rPr>
          <w:b w:val="0"/>
          <w:bCs/>
        </w:rPr>
        <w:t>Option 1: 140 MHz limit in both regional and regional areas, in the cross-band frequency range of 3.4</w:t>
      </w:r>
      <w:r w:rsidR="009F3C15" w:rsidRPr="008C1CE9">
        <w:rPr>
          <w:b w:val="0"/>
          <w:bCs/>
        </w:rPr>
        <w:t>–</w:t>
      </w:r>
      <w:r w:rsidRPr="008C1CE9">
        <w:rPr>
          <w:b w:val="0"/>
          <w:bCs/>
        </w:rPr>
        <w:t>3.8 GHz</w:t>
      </w:r>
    </w:p>
    <w:p w14:paraId="70A66E11" w14:textId="77777777" w:rsidR="00BB6B8F" w:rsidRPr="00E04170" w:rsidRDefault="00BB6B8F" w:rsidP="00BB6B8F">
      <w:pPr>
        <w:rPr>
          <w:rFonts w:eastAsia="Times New Roman" w:cs="Arial"/>
        </w:rPr>
      </w:pPr>
      <w:r w:rsidRPr="00E04170">
        <w:rPr>
          <w:rFonts w:eastAsia="Times New Roman" w:cs="Arial"/>
        </w:rPr>
        <w:t xml:space="preserve">On 1 August 2022, the ACCC provided its </w:t>
      </w:r>
      <w:hyperlink r:id="rId53" w:history="1">
        <w:r w:rsidRPr="00E04170">
          <w:rPr>
            <w:rFonts w:eastAsia="Times New Roman" w:cs="Arial"/>
          </w:rPr>
          <w:t>advice to the ACMA on the 3.4/3.7 GHz bands allocation</w:t>
        </w:r>
      </w:hyperlink>
      <w:r w:rsidRPr="00E04170">
        <w:rPr>
          <w:rFonts w:eastAsia="Times New Roman" w:cs="Arial"/>
        </w:rPr>
        <w:t>, and stated that limits are required in order to promote competition in downstream mobile and fixed wireless broadband markets post-auction.</w:t>
      </w:r>
      <w:r w:rsidRPr="008C1CE9">
        <w:rPr>
          <w:rFonts w:eastAsia="Times New Roman" w:cs="Arial"/>
          <w:vertAlign w:val="superscript"/>
        </w:rPr>
        <w:footnoteReference w:id="5"/>
      </w:r>
      <w:r w:rsidRPr="00E04170">
        <w:rPr>
          <w:rFonts w:eastAsia="Times New Roman" w:cs="Arial"/>
        </w:rPr>
        <w:t xml:space="preserve"> The ACCC’s considerations that an allocation limit of 140 MHz is in the long-term interests of end users, which complements the ACMA’s objectives for this allocation (particularly objective 3), informed the basis for Option 1 proposed in the ACMA’s consultation paper. </w:t>
      </w:r>
    </w:p>
    <w:p w14:paraId="3BD97C16" w14:textId="12CCC764" w:rsidR="00BB6B8F" w:rsidRPr="00D51341" w:rsidRDefault="00BB6B8F" w:rsidP="00BB6B8F">
      <w:pPr>
        <w:rPr>
          <w:rFonts w:eastAsia="Times New Roman" w:cs="Arial"/>
        </w:rPr>
      </w:pPr>
      <w:r w:rsidRPr="00D51341">
        <w:rPr>
          <w:rFonts w:eastAsia="Times New Roman" w:cs="Arial"/>
        </w:rPr>
        <w:t>Compared to Option 3, this option increases the risk of unsold spectrum, which the ACMA considers would work against objective 1 (supporting the efficient planning, allocation and use of the spectrum). This option may suppress aggregate demand, resulting in insufficient competitive tension to support an efficient allocation of spectrum. As noted in the consultation paper, the ACMA considers the risk of unsold lots is greater in regional areas under Option 1. If this risk eventuates, it may make subsequent ‘defragmentation’ activities (</w:t>
      </w:r>
      <w:r w:rsidR="00601568">
        <w:rPr>
          <w:rFonts w:eastAsia="Times New Roman" w:cs="Arial"/>
        </w:rPr>
        <w:t>that is,</w:t>
      </w:r>
      <w:r w:rsidRPr="00D51341">
        <w:rPr>
          <w:rFonts w:eastAsia="Times New Roman" w:cs="Arial"/>
        </w:rPr>
        <w:t xml:space="preserve"> the rationalisation of spectrum licences </w:t>
      </w:r>
      <w:r w:rsidRPr="00D51341">
        <w:rPr>
          <w:rFonts w:eastAsia="Times New Roman" w:cs="Arial"/>
        </w:rPr>
        <w:lastRenderedPageBreak/>
        <w:t xml:space="preserve">to make the licences held by a single person </w:t>
      </w:r>
      <w:r w:rsidR="002C2CC5" w:rsidRPr="00D51341">
        <w:rPr>
          <w:rFonts w:eastAsia="Times New Roman" w:cs="Arial"/>
        </w:rPr>
        <w:t>contiguous</w:t>
      </w:r>
      <w:r w:rsidRPr="00D51341">
        <w:rPr>
          <w:rFonts w:eastAsia="Times New Roman" w:cs="Arial"/>
        </w:rPr>
        <w:t xml:space="preserve"> to the greatest extent possible) more difficult, particularly in the 3.4 GHz band (3400</w:t>
      </w:r>
      <w:r w:rsidR="00601568">
        <w:rPr>
          <w:rFonts w:eastAsia="Times New Roman" w:cs="Arial"/>
        </w:rPr>
        <w:t>–</w:t>
      </w:r>
      <w:r w:rsidRPr="00D51341">
        <w:rPr>
          <w:rFonts w:eastAsia="Times New Roman" w:cs="Arial"/>
        </w:rPr>
        <w:t>3575 MHz). Submissions to our consultation process did not alleviate concerns regarding this risk to the efficient allocation of spectrum. The ACMA recognises that there are efficiency benefits from licensees holding geographically contiguous spectrum, including the improved ability to deploy services near licence boundaries. Spectrum that remains unallocated has the potential to further fragment holdings. Option 1</w:t>
      </w:r>
      <w:r w:rsidR="00601568">
        <w:rPr>
          <w:rFonts w:eastAsia="Times New Roman" w:cs="Arial"/>
        </w:rPr>
        <w:t>,</w:t>
      </w:r>
      <w:r w:rsidRPr="00D51341">
        <w:rPr>
          <w:rFonts w:eastAsia="Times New Roman" w:cs="Arial"/>
        </w:rPr>
        <w:t xml:space="preserve"> therefore</w:t>
      </w:r>
      <w:r w:rsidR="00601568">
        <w:rPr>
          <w:rFonts w:eastAsia="Times New Roman" w:cs="Arial"/>
        </w:rPr>
        <w:t>,</w:t>
      </w:r>
      <w:r w:rsidRPr="00D51341">
        <w:rPr>
          <w:rFonts w:eastAsia="Times New Roman" w:cs="Arial"/>
        </w:rPr>
        <w:t xml:space="preserve"> has a greater risk of unsold lots and therefore of contributing to fragmentation, which poses a risk to the efficient use of spectrum in the long term. As such, the ACMA considers Option 1 should be assessed as </w:t>
      </w:r>
      <w:r w:rsidR="00601568">
        <w:rPr>
          <w:rFonts w:eastAsia="Times New Roman" w:cs="Arial"/>
        </w:rPr>
        <w:t>‘</w:t>
      </w:r>
      <w:r w:rsidRPr="00D51341">
        <w:rPr>
          <w:rFonts w:eastAsia="Times New Roman" w:cs="Arial"/>
        </w:rPr>
        <w:t>fair</w:t>
      </w:r>
      <w:r w:rsidR="00601568">
        <w:rPr>
          <w:rFonts w:eastAsia="Times New Roman" w:cs="Arial"/>
        </w:rPr>
        <w:t>’</w:t>
      </w:r>
      <w:r w:rsidRPr="00D51341">
        <w:rPr>
          <w:rFonts w:eastAsia="Times New Roman" w:cs="Arial"/>
        </w:rPr>
        <w:t xml:space="preserve"> against assessment objective 1.</w:t>
      </w:r>
    </w:p>
    <w:p w14:paraId="217A1FDA" w14:textId="2F79BFDA" w:rsidR="00BB6B8F" w:rsidRPr="00D51341" w:rsidRDefault="00BB6B8F" w:rsidP="00BB6B8F">
      <w:pPr>
        <w:rPr>
          <w:rFonts w:eastAsia="Times New Roman" w:cs="Arial"/>
        </w:rPr>
      </w:pPr>
      <w:r w:rsidRPr="00D51341">
        <w:rPr>
          <w:rFonts w:eastAsia="Times New Roman" w:cs="Arial"/>
        </w:rPr>
        <w:t xml:space="preserve">Given the risk of unsold lots, and the extent of fragmentation, are both greatest in regional areas, this option may also impact the achievement of objective 2. Spectrum that is not efficiently allocated, and where there are fragmented holdings, risks suboptimal deployment of regional communications networks. As such, the ACMA considers Option 1 should be assessed as </w:t>
      </w:r>
      <w:r w:rsidR="00601568">
        <w:rPr>
          <w:rFonts w:eastAsia="Times New Roman" w:cs="Arial"/>
        </w:rPr>
        <w:t>‘</w:t>
      </w:r>
      <w:r w:rsidRPr="00D51341">
        <w:rPr>
          <w:rFonts w:eastAsia="Times New Roman" w:cs="Arial"/>
        </w:rPr>
        <w:t>fair</w:t>
      </w:r>
      <w:r w:rsidR="00601568">
        <w:rPr>
          <w:rFonts w:eastAsia="Times New Roman" w:cs="Arial"/>
        </w:rPr>
        <w:t>’</w:t>
      </w:r>
      <w:r w:rsidRPr="00D51341">
        <w:rPr>
          <w:rFonts w:eastAsia="Times New Roman" w:cs="Arial"/>
        </w:rPr>
        <w:t xml:space="preserve"> against objective 2.</w:t>
      </w:r>
    </w:p>
    <w:p w14:paraId="6524A916" w14:textId="6626107B" w:rsidR="00BB6B8F" w:rsidRPr="00D51341" w:rsidRDefault="00BB6B8F" w:rsidP="00BB6B8F">
      <w:pPr>
        <w:rPr>
          <w:rFonts w:eastAsia="Times New Roman" w:cs="Arial"/>
        </w:rPr>
      </w:pPr>
      <w:r w:rsidRPr="00D51341">
        <w:rPr>
          <w:rFonts w:eastAsia="Times New Roman" w:cs="Arial"/>
        </w:rPr>
        <w:t>The existing spectrum licensees in the 3.4</w:t>
      </w:r>
      <w:r w:rsidR="00601568">
        <w:rPr>
          <w:rFonts w:eastAsia="Times New Roman" w:cs="Arial"/>
        </w:rPr>
        <w:t>–</w:t>
      </w:r>
      <w:r w:rsidRPr="00D51341">
        <w:rPr>
          <w:rFonts w:eastAsia="Times New Roman" w:cs="Arial"/>
        </w:rPr>
        <w:t>3.8 GHz band</w:t>
      </w:r>
      <w:r w:rsidR="00601568">
        <w:rPr>
          <w:rFonts w:eastAsia="Times New Roman" w:cs="Arial"/>
        </w:rPr>
        <w:t xml:space="preserve"> are</w:t>
      </w:r>
      <w:r w:rsidRPr="00D51341">
        <w:rPr>
          <w:rFonts w:eastAsia="Times New Roman" w:cs="Arial"/>
        </w:rPr>
        <w:t xml:space="preserve"> Optus, TPG and Telstra (the mobile network operators, or MNOs) and NBN Co. In its advice, the ACCC considered that 60 MHz in the 3.4</w:t>
      </w:r>
      <w:r w:rsidR="00601568">
        <w:rPr>
          <w:rFonts w:eastAsia="Times New Roman" w:cs="Arial"/>
        </w:rPr>
        <w:t>–</w:t>
      </w:r>
      <w:r w:rsidRPr="00D51341">
        <w:rPr>
          <w:rFonts w:eastAsia="Times New Roman" w:cs="Arial"/>
        </w:rPr>
        <w:t>3.8 GHz band is sufficient to realise the benefit of early 5G services over 4G services, and that all MNOs have at least this amount in all capital cities, but not necessarily in regional areas.</w:t>
      </w:r>
      <w:r w:rsidRPr="00D51341">
        <w:rPr>
          <w:rFonts w:eastAsia="Times New Roman" w:cs="Arial"/>
          <w:vertAlign w:val="superscript"/>
        </w:rPr>
        <w:footnoteReference w:id="6"/>
      </w:r>
      <w:r w:rsidRPr="00D51341">
        <w:rPr>
          <w:rFonts w:eastAsia="Times New Roman" w:cs="Arial"/>
        </w:rPr>
        <w:t xml:space="preserve"> Comparatively, NBN Co has at least this amount in 3.4 GHz regional areas, but not necessarily in capital cities.</w:t>
      </w:r>
      <w:r w:rsidRPr="00D51341">
        <w:rPr>
          <w:rFonts w:eastAsia="Times New Roman" w:cs="Arial"/>
          <w:vertAlign w:val="superscript"/>
        </w:rPr>
        <w:footnoteReference w:id="7"/>
      </w:r>
      <w:r w:rsidRPr="00D51341">
        <w:rPr>
          <w:rFonts w:eastAsia="Times New Roman" w:cs="Arial"/>
        </w:rPr>
        <w:t xml:space="preserve"> The ACCC stated that MNOs consider spectrum available in this allocation process to be critical to providing quality 5G services in the </w:t>
      </w:r>
      <w:r w:rsidRPr="00132209">
        <w:rPr>
          <w:rFonts w:eastAsia="Times New Roman" w:cs="Arial"/>
        </w:rPr>
        <w:t>medium</w:t>
      </w:r>
      <w:r w:rsidR="00601568" w:rsidRPr="00132209">
        <w:rPr>
          <w:rFonts w:eastAsia="Times New Roman" w:cs="Arial"/>
        </w:rPr>
        <w:t>-</w:t>
      </w:r>
      <w:r w:rsidRPr="00132209">
        <w:rPr>
          <w:rFonts w:eastAsia="Times New Roman" w:cs="Arial"/>
        </w:rPr>
        <w:t xml:space="preserve"> to long-term</w:t>
      </w:r>
      <w:r w:rsidRPr="00D51341">
        <w:rPr>
          <w:rFonts w:eastAsia="Times New Roman" w:cs="Arial"/>
        </w:rPr>
        <w:t>.</w:t>
      </w:r>
      <w:r w:rsidRPr="00D51341">
        <w:rPr>
          <w:rFonts w:eastAsia="Times New Roman" w:cs="Arial"/>
          <w:vertAlign w:val="superscript"/>
        </w:rPr>
        <w:footnoteReference w:id="8"/>
      </w:r>
      <w:r w:rsidRPr="00D51341">
        <w:rPr>
          <w:rFonts w:eastAsia="Times New Roman" w:cs="Arial"/>
        </w:rPr>
        <w:t xml:space="preserve"> Submissions to the ACMA’s consultation from the incumbent licensees reaffirmed that the spectrum on offer is crucial to expanding the deployment of 5G services.</w:t>
      </w:r>
    </w:p>
    <w:p w14:paraId="4A77A85A" w14:textId="5D559F7F" w:rsidR="00BB6B8F" w:rsidRPr="00D51341" w:rsidRDefault="00BB6B8F" w:rsidP="00BB6B8F">
      <w:pPr>
        <w:rPr>
          <w:rFonts w:eastAsia="Times New Roman" w:cs="Arial"/>
        </w:rPr>
      </w:pPr>
      <w:r w:rsidRPr="00D51341">
        <w:rPr>
          <w:rFonts w:eastAsia="Times New Roman" w:cs="Arial"/>
        </w:rPr>
        <w:t xml:space="preserve">Option 1 provides the best opportunity to promote competition in the downstream mobile and fixed broadband markets. As such, the ACMA considers Option 1 should be assessed as </w:t>
      </w:r>
      <w:r w:rsidR="00601568">
        <w:rPr>
          <w:rFonts w:eastAsia="Times New Roman" w:cs="Arial"/>
        </w:rPr>
        <w:t>‘</w:t>
      </w:r>
      <w:r w:rsidRPr="00D51341">
        <w:rPr>
          <w:rFonts w:eastAsia="Times New Roman" w:cs="Arial"/>
        </w:rPr>
        <w:t>good</w:t>
      </w:r>
      <w:r w:rsidR="00601568">
        <w:rPr>
          <w:rFonts w:eastAsia="Times New Roman" w:cs="Arial"/>
        </w:rPr>
        <w:t>’</w:t>
      </w:r>
      <w:r w:rsidRPr="00D51341">
        <w:rPr>
          <w:rFonts w:eastAsia="Times New Roman" w:cs="Arial"/>
        </w:rPr>
        <w:t xml:space="preserve"> against assessment objective</w:t>
      </w:r>
      <w:r w:rsidRPr="00D51341" w:rsidDel="00F7620F">
        <w:rPr>
          <w:rFonts w:eastAsia="Times New Roman" w:cs="Arial"/>
        </w:rPr>
        <w:t xml:space="preserve"> </w:t>
      </w:r>
      <w:r w:rsidRPr="00D51341">
        <w:rPr>
          <w:rFonts w:eastAsia="Times New Roman" w:cs="Arial"/>
        </w:rPr>
        <w:t>3.</w:t>
      </w:r>
    </w:p>
    <w:p w14:paraId="6B826C18" w14:textId="38D4C2F3" w:rsidR="00BB6B8F" w:rsidRPr="008C1CE9" w:rsidRDefault="00BB6B8F" w:rsidP="00932742">
      <w:pPr>
        <w:pStyle w:val="Heading4"/>
        <w:rPr>
          <w:b w:val="0"/>
          <w:bCs/>
        </w:rPr>
      </w:pPr>
      <w:r w:rsidRPr="008C1CE9">
        <w:rPr>
          <w:b w:val="0"/>
          <w:bCs/>
        </w:rPr>
        <w:t>Option 2: 140 MHz limit in metropolitan areas, and 160 MHz limit in regional areas, in the cross-band frequency range of 3.4-3.8 GHz</w:t>
      </w:r>
    </w:p>
    <w:p w14:paraId="0579C80A" w14:textId="14940A37" w:rsidR="00BB6B8F" w:rsidRPr="00D51341" w:rsidRDefault="00BB6B8F" w:rsidP="00BB6B8F">
      <w:pPr>
        <w:rPr>
          <w:rFonts w:eastAsia="Times New Roman" w:cs="Arial"/>
        </w:rPr>
      </w:pPr>
      <w:r w:rsidRPr="00D51341">
        <w:rPr>
          <w:rFonts w:eastAsia="Times New Roman" w:cs="Arial"/>
        </w:rPr>
        <w:t>Under this option</w:t>
      </w:r>
      <w:r w:rsidR="00601568">
        <w:rPr>
          <w:rFonts w:eastAsia="Times New Roman" w:cs="Arial"/>
        </w:rPr>
        <w:t>,</w:t>
      </w:r>
      <w:r w:rsidRPr="00D51341">
        <w:rPr>
          <w:rFonts w:eastAsia="Times New Roman" w:cs="Arial"/>
        </w:rPr>
        <w:t xml:space="preserve"> the ACMA proposed a less</w:t>
      </w:r>
      <w:r w:rsidR="00601568">
        <w:rPr>
          <w:rFonts w:eastAsia="Times New Roman" w:cs="Arial"/>
        </w:rPr>
        <w:t>-</w:t>
      </w:r>
      <w:r w:rsidRPr="00D51341">
        <w:rPr>
          <w:rFonts w:eastAsia="Times New Roman" w:cs="Arial"/>
        </w:rPr>
        <w:t>restrictive limit of 160 MHz in regional areas. The following considerations were taking into account when assessing Option 2 against objectives 1 and 2.</w:t>
      </w:r>
    </w:p>
    <w:p w14:paraId="2BFBC9BA" w14:textId="7651AA5B" w:rsidR="00BB6B8F" w:rsidRPr="00D51341" w:rsidRDefault="00BB6B8F" w:rsidP="00BB6B8F">
      <w:pPr>
        <w:rPr>
          <w:rFonts w:eastAsia="Times New Roman" w:cs="Arial"/>
        </w:rPr>
      </w:pPr>
      <w:r w:rsidRPr="00D51341">
        <w:rPr>
          <w:rFonts w:eastAsia="Times New Roman" w:cs="Arial"/>
        </w:rPr>
        <w:t xml:space="preserve">One </w:t>
      </w:r>
      <w:r w:rsidR="00097786">
        <w:rPr>
          <w:rFonts w:eastAsia="Times New Roman" w:cs="Arial"/>
        </w:rPr>
        <w:t>submission</w:t>
      </w:r>
      <w:r w:rsidR="00097786" w:rsidRPr="00D51341">
        <w:rPr>
          <w:rFonts w:eastAsia="Times New Roman" w:cs="Arial"/>
        </w:rPr>
        <w:t xml:space="preserve"> </w:t>
      </w:r>
      <w:r w:rsidRPr="00D51341">
        <w:rPr>
          <w:rFonts w:eastAsia="Times New Roman" w:cs="Arial"/>
        </w:rPr>
        <w:t xml:space="preserve">strongly supported Option 2, if limits had to be imposed at the allocation process, noting that the higher limit may promote bids in both bands in a sequential auction, and may reduce the likelihood of unsold lots. Another </w:t>
      </w:r>
      <w:r w:rsidR="00097786">
        <w:rPr>
          <w:rFonts w:eastAsia="Times New Roman" w:cs="Arial"/>
        </w:rPr>
        <w:t>submission</w:t>
      </w:r>
      <w:r w:rsidR="00097786" w:rsidRPr="00D51341">
        <w:rPr>
          <w:rFonts w:eastAsia="Times New Roman" w:cs="Arial"/>
        </w:rPr>
        <w:t xml:space="preserve"> </w:t>
      </w:r>
      <w:r w:rsidRPr="00D51341">
        <w:rPr>
          <w:rFonts w:eastAsia="Times New Roman" w:cs="Arial"/>
        </w:rPr>
        <w:t xml:space="preserve">considered Option 2 to account for demand in regional areas and balance the risk of unsold lots with the risk of monopolisation of holdings. More broadly, the ACMA considers that the views expressed in submissions demonstrate there is some uncertainty about overall demand for regional spectrum, which suggests there is a higher risk of unsold lots under Option 1 compared to Option 2. Unsold spectrum is inefficient in the sense that it is an unused resource and also may obstruct potential future defragmentation activities. </w:t>
      </w:r>
    </w:p>
    <w:p w14:paraId="7576B0D8" w14:textId="4482C8C3" w:rsidR="00BB6B8F" w:rsidRPr="00D51341" w:rsidRDefault="00BB6B8F" w:rsidP="00BB6B8F">
      <w:pPr>
        <w:rPr>
          <w:rFonts w:eastAsia="Times New Roman" w:cs="Arial"/>
        </w:rPr>
      </w:pPr>
      <w:r w:rsidRPr="00D51341">
        <w:rPr>
          <w:rFonts w:eastAsia="Times New Roman" w:cs="Arial"/>
        </w:rPr>
        <w:t>Option 2 also provides more of an opportunity for MNOs to build upon their existing spectrum licences in the 3.4</w:t>
      </w:r>
      <w:r w:rsidR="00601568">
        <w:rPr>
          <w:rFonts w:eastAsia="Times New Roman" w:cs="Arial"/>
        </w:rPr>
        <w:t>–</w:t>
      </w:r>
      <w:r w:rsidRPr="00D51341">
        <w:rPr>
          <w:rFonts w:eastAsia="Times New Roman" w:cs="Arial"/>
        </w:rPr>
        <w:t xml:space="preserve">3.8 GHz band, which may improve digital connectivity in </w:t>
      </w:r>
      <w:r w:rsidRPr="00D51341">
        <w:rPr>
          <w:rFonts w:eastAsia="Times New Roman" w:cs="Arial"/>
        </w:rPr>
        <w:lastRenderedPageBreak/>
        <w:t xml:space="preserve">regional areas. Given these points, the ACMA considers Option 2 should be assessed as </w:t>
      </w:r>
      <w:r w:rsidR="00601568">
        <w:rPr>
          <w:rFonts w:eastAsia="Times New Roman" w:cs="Arial"/>
        </w:rPr>
        <w:t>‘</w:t>
      </w:r>
      <w:r w:rsidRPr="00D51341">
        <w:rPr>
          <w:rFonts w:eastAsia="Times New Roman" w:cs="Arial"/>
        </w:rPr>
        <w:t>good</w:t>
      </w:r>
      <w:r w:rsidR="00601568">
        <w:rPr>
          <w:rFonts w:eastAsia="Times New Roman" w:cs="Arial"/>
        </w:rPr>
        <w:t>’</w:t>
      </w:r>
      <w:r w:rsidRPr="00D51341">
        <w:rPr>
          <w:rFonts w:eastAsia="Times New Roman" w:cs="Arial"/>
        </w:rPr>
        <w:t xml:space="preserve"> against assessment objectives</w:t>
      </w:r>
      <w:r w:rsidRPr="00D51341" w:rsidDel="00F7620F">
        <w:rPr>
          <w:rFonts w:eastAsia="Times New Roman" w:cs="Arial"/>
        </w:rPr>
        <w:t xml:space="preserve"> </w:t>
      </w:r>
      <w:r w:rsidRPr="00D51341">
        <w:rPr>
          <w:rFonts w:eastAsia="Times New Roman" w:cs="Arial"/>
        </w:rPr>
        <w:t>1 and 2.</w:t>
      </w:r>
    </w:p>
    <w:p w14:paraId="656B4B39" w14:textId="349E7DD1" w:rsidR="00BB6B8F" w:rsidRPr="00D51341" w:rsidRDefault="00BB6B8F" w:rsidP="00BB6B8F">
      <w:pPr>
        <w:rPr>
          <w:rFonts w:eastAsia="Times New Roman" w:cs="Arial"/>
        </w:rPr>
      </w:pPr>
      <w:r w:rsidRPr="00D51341">
        <w:rPr>
          <w:rFonts w:eastAsia="Times New Roman" w:cs="Arial"/>
        </w:rPr>
        <w:t>Option 2 would allow one party to obtain 40% of the spectrum in the 3.4</w:t>
      </w:r>
      <w:r w:rsidR="00601568">
        <w:rPr>
          <w:rFonts w:eastAsia="Times New Roman" w:cs="Arial"/>
        </w:rPr>
        <w:t>–</w:t>
      </w:r>
      <w:r w:rsidRPr="00D51341">
        <w:rPr>
          <w:rFonts w:eastAsia="Times New Roman" w:cs="Arial"/>
        </w:rPr>
        <w:t>3.8 GHz band in regional areas.</w:t>
      </w:r>
      <w:r w:rsidRPr="00D51341">
        <w:rPr>
          <w:rStyle w:val="FootnoteReference"/>
          <w:rFonts w:ascii="Arial" w:eastAsia="Times New Roman" w:hAnsi="Arial" w:cs="Arial"/>
        </w:rPr>
        <w:footnoteReference w:id="9"/>
      </w:r>
      <w:r w:rsidRPr="00D51341">
        <w:rPr>
          <w:rFonts w:eastAsia="Times New Roman" w:cs="Arial"/>
        </w:rPr>
        <w:t xml:space="preserve"> If this were to eventuate, this may have the effect of reducing the capacity of another person to obtain their ideal quantum of spectrum in the 3.4</w:t>
      </w:r>
      <w:r w:rsidR="00601568">
        <w:rPr>
          <w:rFonts w:eastAsia="Times New Roman" w:cs="Arial"/>
        </w:rPr>
        <w:t>–</w:t>
      </w:r>
      <w:r w:rsidRPr="00D51341">
        <w:rPr>
          <w:rFonts w:eastAsia="Times New Roman" w:cs="Arial"/>
        </w:rPr>
        <w:t xml:space="preserve">3.8 GHz band. While this may be considered to be counter to the objective of promoting competition compared to </w:t>
      </w:r>
      <w:r w:rsidR="00601568">
        <w:rPr>
          <w:rFonts w:eastAsia="Times New Roman" w:cs="Arial"/>
        </w:rPr>
        <w:t>O</w:t>
      </w:r>
      <w:r w:rsidRPr="00D51341">
        <w:rPr>
          <w:rFonts w:eastAsia="Times New Roman" w:cs="Arial"/>
        </w:rPr>
        <w:t xml:space="preserve">ption 1, we consider that the effect is likely to be only marginal, given the </w:t>
      </w:r>
      <w:r w:rsidR="00053BD8" w:rsidRPr="00D51341">
        <w:rPr>
          <w:rFonts w:eastAsia="Times New Roman" w:cs="Arial"/>
        </w:rPr>
        <w:t>relatively</w:t>
      </w:r>
      <w:r w:rsidRPr="00D51341">
        <w:rPr>
          <w:rFonts w:eastAsia="Times New Roman" w:cs="Arial"/>
        </w:rPr>
        <w:t xml:space="preserve"> small difference between 140 MHz and 160 MHz across the wider 400 MHz in the band (a change from 35% to 40% of the total spectrum-licen</w:t>
      </w:r>
      <w:r w:rsidR="009F3C15">
        <w:rPr>
          <w:rFonts w:eastAsia="Times New Roman" w:cs="Arial"/>
        </w:rPr>
        <w:t>s</w:t>
      </w:r>
      <w:r w:rsidRPr="00D51341">
        <w:rPr>
          <w:rFonts w:eastAsia="Times New Roman" w:cs="Arial"/>
        </w:rPr>
        <w:t>ed spectrum in the 3.4</w:t>
      </w:r>
      <w:r w:rsidR="00601568">
        <w:rPr>
          <w:rFonts w:eastAsia="Times New Roman" w:cs="Arial"/>
        </w:rPr>
        <w:t>–</w:t>
      </w:r>
      <w:r w:rsidRPr="00D51341">
        <w:rPr>
          <w:rFonts w:eastAsia="Times New Roman" w:cs="Arial"/>
        </w:rPr>
        <w:t>3.8 GHz band).</w:t>
      </w:r>
    </w:p>
    <w:p w14:paraId="6031B42E" w14:textId="6FA92D33" w:rsidR="00BB6B8F" w:rsidRPr="00D51341" w:rsidRDefault="00BB6B8F" w:rsidP="00BB6B8F">
      <w:pPr>
        <w:rPr>
          <w:rFonts w:eastAsia="Times New Roman" w:cs="Arial"/>
        </w:rPr>
      </w:pPr>
      <w:r w:rsidRPr="00D51341">
        <w:rPr>
          <w:rFonts w:eastAsia="Times New Roman" w:cs="Arial"/>
        </w:rPr>
        <w:t xml:space="preserve">Furthermore, the ACCC’s chief concern </w:t>
      </w:r>
      <w:r w:rsidR="00601568" w:rsidRPr="00D51341">
        <w:rPr>
          <w:rFonts w:eastAsia="Times New Roman" w:cs="Arial"/>
        </w:rPr>
        <w:t>relate</w:t>
      </w:r>
      <w:r w:rsidR="00601568">
        <w:rPr>
          <w:rFonts w:eastAsia="Times New Roman" w:cs="Arial"/>
        </w:rPr>
        <w:t>d</w:t>
      </w:r>
      <w:r w:rsidR="00601568" w:rsidRPr="00D51341">
        <w:rPr>
          <w:rFonts w:eastAsia="Times New Roman" w:cs="Arial"/>
        </w:rPr>
        <w:t xml:space="preserve"> </w:t>
      </w:r>
      <w:r w:rsidRPr="00D51341">
        <w:rPr>
          <w:rFonts w:eastAsia="Times New Roman" w:cs="Arial"/>
        </w:rPr>
        <w:t>to the possibility that one person would be able to monopolise the spectrum in this allocation, and starve competitors of</w:t>
      </w:r>
      <w:r w:rsidRPr="00D51341" w:rsidDel="007661C0">
        <w:rPr>
          <w:rFonts w:eastAsia="Times New Roman" w:cs="Arial"/>
        </w:rPr>
        <w:t xml:space="preserve"> </w:t>
      </w:r>
      <w:r w:rsidRPr="00D51341">
        <w:rPr>
          <w:rFonts w:eastAsia="Times New Roman" w:cs="Arial"/>
        </w:rPr>
        <w:t>this essential input, which is why it advised in support of an ‘anti-monopolisation limit’. However, given the likely demand for this spectrum, we do not consider an outcome where one party obtains 40% of the 3.4</w:t>
      </w:r>
      <w:r w:rsidR="00601568">
        <w:rPr>
          <w:rFonts w:eastAsia="Times New Roman" w:cs="Arial"/>
        </w:rPr>
        <w:t>–</w:t>
      </w:r>
      <w:r w:rsidRPr="00D51341">
        <w:rPr>
          <w:rFonts w:eastAsia="Times New Roman" w:cs="Arial"/>
        </w:rPr>
        <w:t>3.8 GHz band in regional areas to be a monopolistic outcome</w:t>
      </w:r>
      <w:r w:rsidR="00851DFB">
        <w:rPr>
          <w:rFonts w:eastAsia="Times New Roman" w:cs="Arial"/>
        </w:rPr>
        <w:t xml:space="preserve"> for this allocation</w:t>
      </w:r>
      <w:r w:rsidRPr="00D51341">
        <w:rPr>
          <w:rFonts w:eastAsia="Times New Roman" w:cs="Arial"/>
        </w:rPr>
        <w:t xml:space="preserve">. As such, we consider that a limit of 160 MHz in regional areas is still likely to promote competition. The ACMA </w:t>
      </w:r>
      <w:r w:rsidR="00601568" w:rsidRPr="00D51341">
        <w:rPr>
          <w:rFonts w:eastAsia="Times New Roman" w:cs="Arial"/>
        </w:rPr>
        <w:t xml:space="preserve">therefore </w:t>
      </w:r>
      <w:r w:rsidRPr="00D51341">
        <w:rPr>
          <w:rFonts w:eastAsia="Times New Roman" w:cs="Arial"/>
        </w:rPr>
        <w:t xml:space="preserve">considers </w:t>
      </w:r>
      <w:r w:rsidR="00601568">
        <w:rPr>
          <w:rFonts w:eastAsia="Times New Roman" w:cs="Arial"/>
        </w:rPr>
        <w:t xml:space="preserve">that </w:t>
      </w:r>
      <w:r w:rsidRPr="00D51341">
        <w:rPr>
          <w:rFonts w:eastAsia="Times New Roman" w:cs="Arial"/>
        </w:rPr>
        <w:t xml:space="preserve">Option 2 should be assessed as </w:t>
      </w:r>
      <w:r w:rsidR="00601568">
        <w:rPr>
          <w:rFonts w:eastAsia="Times New Roman" w:cs="Arial"/>
        </w:rPr>
        <w:t>‘</w:t>
      </w:r>
      <w:r w:rsidRPr="00D51341">
        <w:rPr>
          <w:rFonts w:eastAsia="Times New Roman" w:cs="Arial"/>
        </w:rPr>
        <w:t>good</w:t>
      </w:r>
      <w:r w:rsidR="00601568">
        <w:rPr>
          <w:rFonts w:eastAsia="Times New Roman" w:cs="Arial"/>
        </w:rPr>
        <w:t>’</w:t>
      </w:r>
      <w:r w:rsidRPr="00D51341">
        <w:rPr>
          <w:rFonts w:eastAsia="Times New Roman" w:cs="Arial"/>
        </w:rPr>
        <w:t xml:space="preserve"> against assessment objective</w:t>
      </w:r>
      <w:r w:rsidRPr="00D51341" w:rsidDel="00F7620F">
        <w:rPr>
          <w:rFonts w:eastAsia="Times New Roman" w:cs="Arial"/>
        </w:rPr>
        <w:t xml:space="preserve"> </w:t>
      </w:r>
      <w:r w:rsidRPr="00D51341">
        <w:rPr>
          <w:rFonts w:eastAsia="Times New Roman" w:cs="Arial"/>
        </w:rPr>
        <w:t xml:space="preserve">3. </w:t>
      </w:r>
    </w:p>
    <w:p w14:paraId="73A4A049" w14:textId="7AF6C9CC" w:rsidR="00BB6B8F" w:rsidRPr="006B14A4" w:rsidRDefault="00E62804" w:rsidP="002C2CC5">
      <w:pPr>
        <w:pStyle w:val="Heading4"/>
        <w:keepNext/>
      </w:pPr>
      <w:r>
        <w:t>ACMA view</w:t>
      </w:r>
    </w:p>
    <w:p w14:paraId="14B4DA5A" w14:textId="2C3ACC54" w:rsidR="00152393" w:rsidRDefault="00BB6B8F" w:rsidP="005B6183">
      <w:pPr>
        <w:pStyle w:val="Paragraph"/>
      </w:pPr>
      <w:r w:rsidRPr="002477C9" w:rsidDel="00F80F42">
        <w:t>Taking into account the consideration of the views expressed during the consultation, as well as the ACMA’s own analysis of relevant technical and policy matters, the ACMA considers a less restrictive allocation limit in regional areas (Option 2), with a cross-band frequency range of 3.4</w:t>
      </w:r>
      <w:r w:rsidR="00601568">
        <w:rPr>
          <w:rFonts w:eastAsia="Times New Roman"/>
        </w:rPr>
        <w:t>–</w:t>
      </w:r>
      <w:r w:rsidRPr="002477C9" w:rsidDel="00F80F42">
        <w:t xml:space="preserve">3.8 GHz, will better facilitate an efficient allocation of spectrum and fulfil the ACMA’s identified objectives for this allocation process. </w:t>
      </w:r>
    </w:p>
    <w:p w14:paraId="14D6CDC0" w14:textId="60616D8E" w:rsidR="002477C9" w:rsidRPr="005B6183" w:rsidRDefault="00BB6B8F" w:rsidP="005B6183">
      <w:pPr>
        <w:pStyle w:val="Paragraph"/>
      </w:pPr>
      <w:r w:rsidRPr="002477C9" w:rsidDel="00F80F42">
        <w:t>Given the objectives of the allocation, and the impact that unsold spectrum may have on subsequent defragmentation processes, the ACMA has a low tolerance to the risk of unsold lots.</w:t>
      </w:r>
      <w:r w:rsidR="002477C9" w:rsidRPr="002477C9">
        <w:t xml:space="preserve"> </w:t>
      </w:r>
      <w:r w:rsidR="00152393">
        <w:t>In reaching this decision, the ACMA has considered how to best balance the objectives of supporting efficiency and promoting competition.</w:t>
      </w:r>
    </w:p>
    <w:p w14:paraId="5F3550C0" w14:textId="3B97C570" w:rsidR="00775770" w:rsidRPr="00126567" w:rsidRDefault="00775770" w:rsidP="005B6183">
      <w:pPr>
        <w:pStyle w:val="Paragraph"/>
      </w:pPr>
      <w:r w:rsidRPr="00126567">
        <w:t xml:space="preserve">As noted above, without an allocation limit, the consequent negative impact on competition in downstream markets may only be ameliorated through use of the ACCC’s powers under section 50 of the CCA. To provide industry with certainty, the ACMA considers that it is important to design allocation settings so as to guard against monopolistic outcomes. </w:t>
      </w:r>
    </w:p>
    <w:p w14:paraId="37329713" w14:textId="6E690EF0" w:rsidR="00BB6B8F" w:rsidRPr="002477C9" w:rsidRDefault="00126567" w:rsidP="002477C9">
      <w:pPr>
        <w:pStyle w:val="Paragraph"/>
      </w:pPr>
      <w:r w:rsidRPr="00126567">
        <w:t xml:space="preserve">The ACMA considers that setting a limit of 40% of cross-band holdings in regional areas is appropriate to mitigate the risk of unsold lots, while guarding against a monopolistic outcome. </w:t>
      </w:r>
      <w:r w:rsidR="00BB6B8F" w:rsidRPr="002477C9">
        <w:t>The ACMA acknowledges that stakeholders have presented differing views about which option best addresses the identified allocation objectives. However, we consider that the less</w:t>
      </w:r>
      <w:r w:rsidR="00601568">
        <w:t>-</w:t>
      </w:r>
      <w:r w:rsidR="00BB6B8F" w:rsidRPr="002477C9">
        <w:t>restrictive limit in regional areas enhances the likelihood of an efficient allocation</w:t>
      </w:r>
      <w:r w:rsidR="00601568">
        <w:t xml:space="preserve"> </w:t>
      </w:r>
      <w:r w:rsidR="00601568">
        <w:rPr>
          <w:rFonts w:eastAsia="Times New Roman"/>
        </w:rPr>
        <w:t xml:space="preserve">– </w:t>
      </w:r>
      <w:r w:rsidR="00BB6B8F" w:rsidRPr="002477C9">
        <w:t>while also promoting competition in downstream markets</w:t>
      </w:r>
      <w:r w:rsidR="00601568">
        <w:t xml:space="preserve"> </w:t>
      </w:r>
      <w:r w:rsidR="00601568">
        <w:rPr>
          <w:rFonts w:eastAsia="Times New Roman"/>
        </w:rPr>
        <w:t xml:space="preserve">– </w:t>
      </w:r>
      <w:r w:rsidR="00BB6B8F" w:rsidRPr="002477C9">
        <w:t>and support</w:t>
      </w:r>
      <w:r w:rsidR="00601568">
        <w:t>s</w:t>
      </w:r>
      <w:r w:rsidR="00BB6B8F" w:rsidRPr="002477C9">
        <w:t xml:space="preserve"> digital connectivity and investment in regional Australia.</w:t>
      </w:r>
    </w:p>
    <w:p w14:paraId="0974DBD3" w14:textId="77777777" w:rsidR="00E11321" w:rsidRDefault="00E11321">
      <w:pPr>
        <w:spacing w:after="0" w:line="240" w:lineRule="auto"/>
        <w:rPr>
          <w:rFonts w:cs="Arial"/>
          <w:b/>
          <w:i/>
        </w:rPr>
      </w:pPr>
      <w:r>
        <w:br w:type="page"/>
      </w:r>
    </w:p>
    <w:p w14:paraId="2ADA8BB8" w14:textId="2ACCAF7B" w:rsidR="00BB6B8F" w:rsidRPr="002B08FD" w:rsidRDefault="00BB6B8F" w:rsidP="000B480F">
      <w:pPr>
        <w:pStyle w:val="Heading4"/>
      </w:pPr>
      <w:r w:rsidRPr="002B08FD">
        <w:lastRenderedPageBreak/>
        <w:t xml:space="preserve">Evaluation of the allocation limits </w:t>
      </w:r>
    </w:p>
    <w:p w14:paraId="1D2EE731" w14:textId="145CB53E" w:rsidR="00BB6B8F" w:rsidRPr="00D51341" w:rsidRDefault="00BB6B8F" w:rsidP="00BB6B8F">
      <w:pPr>
        <w:pStyle w:val="Paragraph"/>
      </w:pPr>
      <w:r w:rsidRPr="00D51341">
        <w:t xml:space="preserve">The ACMA’s decision regarding allocation limits </w:t>
      </w:r>
      <w:r w:rsidR="00D64826">
        <w:t>is contained</w:t>
      </w:r>
      <w:r w:rsidRPr="00D51341">
        <w:t xml:space="preserve"> in the allocation determination.</w:t>
      </w:r>
    </w:p>
    <w:p w14:paraId="2B67F202" w14:textId="61ADAC54" w:rsidR="00BB6B8F" w:rsidRPr="00D51341" w:rsidRDefault="00BB6B8F" w:rsidP="00BB6B8F">
      <w:pPr>
        <w:pStyle w:val="Paragraph"/>
      </w:pPr>
      <w:r w:rsidRPr="00D51341">
        <w:t>The number of winning bidders and the extent of spectrum licences issued in the 3.4/3.7 GHz bands will provide an early indication of the success of the implemented allocation limits in relation to the efficient allocation of spectrum (which is part of objective 1). In the longer term, the degree of regional fragmentation in these bands and improved competition may be related to appropriately set allocation limits (</w:t>
      </w:r>
      <w:r w:rsidRPr="00D51341">
        <w:rPr>
          <w:rFonts w:eastAsia="Times New Roman"/>
        </w:rPr>
        <w:t>objectives</w:t>
      </w:r>
      <w:r w:rsidRPr="00D51341">
        <w:t xml:space="preserve"> 2 and 3).</w:t>
      </w:r>
      <w:r w:rsidR="008E3C89">
        <w:t xml:space="preserve"> </w:t>
      </w:r>
      <w:r w:rsidRPr="00D51341">
        <w:t xml:space="preserve">However, we note the many other factors </w:t>
      </w:r>
      <w:r w:rsidR="009456CC">
        <w:t xml:space="preserve">that </w:t>
      </w:r>
      <w:r w:rsidR="00ED0091">
        <w:t>contribute to</w:t>
      </w:r>
      <w:r w:rsidRPr="00D51341">
        <w:t xml:space="preserve"> achieving these outcomes, which relate to market developments and commercial decisions that are outside the remit of the ACMA.</w:t>
      </w:r>
    </w:p>
    <w:p w14:paraId="4DBBFAD6" w14:textId="00D1110F" w:rsidR="00BB6B8F" w:rsidRPr="00D51341" w:rsidRDefault="00BB6B8F" w:rsidP="00BB6B8F">
      <w:pPr>
        <w:pStyle w:val="Paragraph"/>
      </w:pPr>
      <w:r w:rsidRPr="00D51341">
        <w:t xml:space="preserve">Through the ACMA’s annual </w:t>
      </w:r>
      <w:hyperlink r:id="rId54">
        <w:r>
          <w:t>five-year spectrum outlook</w:t>
        </w:r>
      </w:hyperlink>
      <w:r w:rsidRPr="00D51341">
        <w:t xml:space="preserve"> (FYSO), the ACMA has an ongoing process to assess the effectiveness of the Australian spectrum management framework. We will monitor the implementation and ongoing use in the band and respond to changing uses or demand as part of our </w:t>
      </w:r>
      <w:r w:rsidR="004C4558" w:rsidRPr="00D51341">
        <w:t>continu</w:t>
      </w:r>
      <w:r w:rsidR="004C4558">
        <w:t>al</w:t>
      </w:r>
      <w:r w:rsidR="004C4558" w:rsidRPr="00D51341">
        <w:t xml:space="preserve"> </w:t>
      </w:r>
      <w:r w:rsidRPr="00D51341">
        <w:t xml:space="preserve">planning process outlined in the yearly FYSO updates. This will include scanning the </w:t>
      </w:r>
      <w:r w:rsidR="004C4558">
        <w:t xml:space="preserve">domestic and international </w:t>
      </w:r>
      <w:r w:rsidRPr="00D51341">
        <w:t>environment</w:t>
      </w:r>
      <w:r w:rsidR="004C4558">
        <w:t>s</w:t>
      </w:r>
      <w:r w:rsidRPr="00D51341">
        <w:t>.</w:t>
      </w:r>
    </w:p>
    <w:p w14:paraId="268B38AC" w14:textId="03101347" w:rsidR="00BB6B8F" w:rsidRPr="00D27A7E" w:rsidRDefault="00BB6B8F" w:rsidP="00D27A7E">
      <w:pPr>
        <w:rPr>
          <w:rFonts w:cs="Arial"/>
        </w:rPr>
      </w:pPr>
      <w:r w:rsidRPr="00D51341">
        <w:rPr>
          <w:rFonts w:cs="Arial"/>
        </w:rPr>
        <w:t xml:space="preserve">The ACCC’s annual </w:t>
      </w:r>
      <w:hyperlink r:id="rId55" w:history="1">
        <w:r w:rsidRPr="0071078D">
          <w:rPr>
            <w:rStyle w:val="Hyperlink"/>
            <w:rFonts w:cs="Arial"/>
            <w:i/>
            <w:iCs/>
          </w:rPr>
          <w:t>Communications Market Report</w:t>
        </w:r>
      </w:hyperlink>
      <w:r w:rsidRPr="00D51341">
        <w:rPr>
          <w:rFonts w:cs="Arial"/>
        </w:rPr>
        <w:t xml:space="preserve"> examines competitive safeguards of the industry and the prices paid by consumers, which are </w:t>
      </w:r>
      <w:r w:rsidR="004C4558">
        <w:rPr>
          <w:rFonts w:cs="Arial"/>
        </w:rPr>
        <w:t>2</w:t>
      </w:r>
      <w:r w:rsidR="004C4558" w:rsidRPr="00D51341">
        <w:rPr>
          <w:rFonts w:cs="Arial"/>
        </w:rPr>
        <w:t xml:space="preserve"> </w:t>
      </w:r>
      <w:r w:rsidRPr="00D51341">
        <w:rPr>
          <w:rFonts w:cs="Arial"/>
        </w:rPr>
        <w:t xml:space="preserve">aspects that allocation limits seek to improve. Though it is difficult to assess the impact of allocation limits alone, the ACCC </w:t>
      </w:r>
      <w:r w:rsidR="004C4558">
        <w:rPr>
          <w:rFonts w:cs="Arial"/>
        </w:rPr>
        <w:t>is</w:t>
      </w:r>
      <w:r w:rsidR="004C4558" w:rsidRPr="00D51341">
        <w:rPr>
          <w:rFonts w:cs="Arial"/>
        </w:rPr>
        <w:t xml:space="preserve"> </w:t>
      </w:r>
      <w:r w:rsidRPr="00D51341">
        <w:rPr>
          <w:rFonts w:cs="Arial"/>
        </w:rPr>
        <w:t>equipped to monitor the overall competition of the industry.</w:t>
      </w:r>
    </w:p>
    <w:p w14:paraId="20D42317" w14:textId="19CA7EB9" w:rsidR="00DD7990" w:rsidRDefault="00DD7990" w:rsidP="0071078D">
      <w:pPr>
        <w:pStyle w:val="Heading4"/>
      </w:pPr>
      <w:r w:rsidRPr="00065421">
        <w:t xml:space="preserve">Insignificant holdings threshold </w:t>
      </w:r>
    </w:p>
    <w:p w14:paraId="1CEFF81E" w14:textId="0126C092" w:rsidR="001F3E5C" w:rsidRPr="00D51341" w:rsidRDefault="001F3E5C" w:rsidP="001F3E5C">
      <w:pPr>
        <w:pStyle w:val="Paragraph"/>
      </w:pPr>
      <w:r w:rsidRPr="00D51341">
        <w:t>The nature of the existing spectrum licences in the cross-band frequency range (3.4</w:t>
      </w:r>
      <w:r w:rsidR="004C4558">
        <w:rPr>
          <w:rFonts w:eastAsia="Times New Roman"/>
        </w:rPr>
        <w:t>–</w:t>
      </w:r>
      <w:r w:rsidRPr="00D51341">
        <w:t>3.8 GHz) is such that there is little uniformity between the parts of the spectrum and geographic areas in the existing spectrum licences</w:t>
      </w:r>
      <w:r w:rsidR="004C4558">
        <w:t>,</w:t>
      </w:r>
      <w:r w:rsidRPr="00D51341">
        <w:t xml:space="preserve"> and the parts of the spectrum and geographic areas that make up the 3.4/3.7 GHz bands. Where there is only a small overlap between an existing spectrum licence and a part of the 3.4/3.7 GHz bands, counting the spectrum licence in that overlap area can result in disproportionate or counter-intuitive results when applying the allocation limits. Accordingly, the ACMA proposed an</w:t>
      </w:r>
      <w:r w:rsidRPr="00D51341" w:rsidDel="00407868">
        <w:t xml:space="preserve"> </w:t>
      </w:r>
      <w:r w:rsidRPr="00D51341">
        <w:t xml:space="preserve">‘insignificant holdings threshold’ of 30%. That </w:t>
      </w:r>
      <w:r w:rsidR="004C4558">
        <w:t>means</w:t>
      </w:r>
      <w:r w:rsidRPr="00D51341">
        <w:t xml:space="preserve">, </w:t>
      </w:r>
      <w:r w:rsidR="004C4558">
        <w:t>if</w:t>
      </w:r>
      <w:r w:rsidR="004C4558" w:rsidRPr="00D51341">
        <w:t xml:space="preserve"> </w:t>
      </w:r>
      <w:r w:rsidRPr="00D51341">
        <w:t>a bidder’s marginal existing holdings cover less than 30% of the population of the whole geographic area of a product, those marginal existing holdings will be disregarded for the purpose of applying the allocation limits.</w:t>
      </w:r>
    </w:p>
    <w:p w14:paraId="58272CC7" w14:textId="5E8A0D88" w:rsidR="004C4558" w:rsidRDefault="004C4558" w:rsidP="001D295C">
      <w:pPr>
        <w:pStyle w:val="Paragraph"/>
      </w:pPr>
      <w:r>
        <w:t>One</w:t>
      </w:r>
      <w:r w:rsidR="006E3653" w:rsidRPr="004D48E3">
        <w:t xml:space="preserve"> submission</w:t>
      </w:r>
      <w:r w:rsidR="006E3653">
        <w:t xml:space="preserve"> generally supported</w:t>
      </w:r>
      <w:r w:rsidR="00C76452">
        <w:t xml:space="preserve"> the </w:t>
      </w:r>
      <w:r w:rsidR="006E3653">
        <w:t xml:space="preserve">ACMA’s preferred approach </w:t>
      </w:r>
      <w:r w:rsidR="00FA1DC3">
        <w:t xml:space="preserve">to </w:t>
      </w:r>
      <w:r w:rsidR="00570699">
        <w:t xml:space="preserve">the </w:t>
      </w:r>
      <w:r w:rsidR="00C76452" w:rsidRPr="00132209">
        <w:t>insignificant holdings threshold</w:t>
      </w:r>
      <w:r w:rsidR="006E3653">
        <w:t xml:space="preserve">. </w:t>
      </w:r>
      <w:r w:rsidR="00F02A90">
        <w:t>Two other submission</w:t>
      </w:r>
      <w:r w:rsidR="00ED0091">
        <w:t>s</w:t>
      </w:r>
      <w:r w:rsidR="006E3653">
        <w:t xml:space="preserve"> did not support the preferred view and 4 </w:t>
      </w:r>
      <w:r>
        <w:t xml:space="preserve">submissions </w:t>
      </w:r>
      <w:r w:rsidR="006E3653">
        <w:t xml:space="preserve">did not provide any comment. </w:t>
      </w:r>
    </w:p>
    <w:p w14:paraId="4FA31B7C" w14:textId="455A3037" w:rsidR="006E3653" w:rsidRPr="00634200" w:rsidRDefault="00AE2B19" w:rsidP="001D295C">
      <w:pPr>
        <w:pStyle w:val="Paragraphbeforelist"/>
      </w:pPr>
      <w:r>
        <w:t>Views</w:t>
      </w:r>
      <w:r w:rsidR="000A662D">
        <w:t xml:space="preserve"> outlined in submissions</w:t>
      </w:r>
      <w:r w:rsidR="006E3653">
        <w:t xml:space="preserve"> included:</w:t>
      </w:r>
    </w:p>
    <w:p w14:paraId="01367C6B" w14:textId="405D0EC2" w:rsidR="00B21E49" w:rsidRPr="00FF1636" w:rsidRDefault="004C4558" w:rsidP="001D295C">
      <w:pPr>
        <w:pStyle w:val="Bulletlevel1"/>
      </w:pPr>
      <w:r>
        <w:t>One</w:t>
      </w:r>
      <w:r w:rsidR="00B0664E">
        <w:t xml:space="preserve"> submission propos</w:t>
      </w:r>
      <w:r w:rsidR="009B1BF1">
        <w:t>ed</w:t>
      </w:r>
      <w:r w:rsidR="00C76452" w:rsidRPr="00FF1636">
        <w:t xml:space="preserve"> </w:t>
      </w:r>
      <w:r w:rsidR="009B1BF1">
        <w:t>that</w:t>
      </w:r>
      <w:r w:rsidR="00C76452" w:rsidRPr="00FF1636">
        <w:t xml:space="preserve"> the insignificant holdings threshold </w:t>
      </w:r>
      <w:r>
        <w:t xml:space="preserve">should </w:t>
      </w:r>
      <w:r w:rsidR="00C76452" w:rsidRPr="00FF1636">
        <w:t xml:space="preserve">be 50% of </w:t>
      </w:r>
      <w:r w:rsidR="009B1BF1">
        <w:t xml:space="preserve">the </w:t>
      </w:r>
      <w:r w:rsidR="00C76452" w:rsidRPr="00FF1636">
        <w:t>population of a product</w:t>
      </w:r>
      <w:r w:rsidR="006A50C8">
        <w:t xml:space="preserve">. </w:t>
      </w:r>
      <w:r w:rsidR="007814D6">
        <w:t xml:space="preserve">The submission stated the </w:t>
      </w:r>
      <w:r w:rsidR="006A50C8">
        <w:t>proposed</w:t>
      </w:r>
      <w:r w:rsidR="00024B8C" w:rsidRPr="00024B8C">
        <w:t xml:space="preserve"> 30% threshold may deny a bidder from acquiring spectrum to serve 70% of the population in that licence area</w:t>
      </w:r>
      <w:r>
        <w:t>,</w:t>
      </w:r>
      <w:r w:rsidR="00024B8C" w:rsidRPr="00024B8C">
        <w:t xml:space="preserve"> which would effectively deny that population from receiving higher quality services or more competition from providers</w:t>
      </w:r>
      <w:r w:rsidR="00024B8C">
        <w:t xml:space="preserve"> </w:t>
      </w:r>
      <w:r>
        <w:t xml:space="preserve">that </w:t>
      </w:r>
      <w:r w:rsidR="00024B8C">
        <w:t>doesn’t align with objective</w:t>
      </w:r>
      <w:r>
        <w:t>s</w:t>
      </w:r>
      <w:r w:rsidR="00024B8C">
        <w:t xml:space="preserve"> to promote competition</w:t>
      </w:r>
    </w:p>
    <w:p w14:paraId="701EBBDA" w14:textId="5EB0C6E4" w:rsidR="00C76452" w:rsidRPr="00FF1636" w:rsidRDefault="007814D6" w:rsidP="001D295C">
      <w:pPr>
        <w:pStyle w:val="Bulletlevel1"/>
      </w:pPr>
      <w:r w:rsidRPr="00F86004">
        <w:t>A</w:t>
      </w:r>
      <w:r w:rsidR="009B1BF1">
        <w:t xml:space="preserve"> second</w:t>
      </w:r>
      <w:r w:rsidRPr="00F86004">
        <w:t xml:space="preserve"> submission </w:t>
      </w:r>
      <w:r w:rsidR="008C04C7" w:rsidRPr="00F86004">
        <w:t>propose</w:t>
      </w:r>
      <w:r w:rsidR="009B1BF1">
        <w:t>d</w:t>
      </w:r>
      <w:r w:rsidR="008C04C7" w:rsidRPr="00F86004">
        <w:t xml:space="preserve"> </w:t>
      </w:r>
      <w:r w:rsidR="00837C97" w:rsidRPr="00F86004">
        <w:t>that</w:t>
      </w:r>
      <w:r w:rsidR="008C04C7" w:rsidRPr="00F86004">
        <w:t xml:space="preserve"> </w:t>
      </w:r>
      <w:r w:rsidR="008C04C7" w:rsidRPr="00FF1636">
        <w:t>the insignificant holdin</w:t>
      </w:r>
      <w:r w:rsidR="00E75DAB" w:rsidRPr="00FF1636">
        <w:t xml:space="preserve">gs threshold </w:t>
      </w:r>
      <w:r w:rsidR="004C4558">
        <w:t xml:space="preserve">should </w:t>
      </w:r>
      <w:r w:rsidR="009F7088" w:rsidRPr="00FF1636">
        <w:t>be 15% as was applied in the 3.6 GHz band auction in 2018</w:t>
      </w:r>
      <w:r w:rsidR="00F86004" w:rsidRPr="00F86004">
        <w:t>, noting</w:t>
      </w:r>
      <w:r w:rsidR="006538C2">
        <w:t xml:space="preserve"> </w:t>
      </w:r>
      <w:r w:rsidR="009F7088" w:rsidRPr="00FF1636">
        <w:t xml:space="preserve">that setting the threshold </w:t>
      </w:r>
      <w:r w:rsidR="001A6E4D" w:rsidRPr="00FF1636">
        <w:t xml:space="preserve">at 30% will further entrench misaligned holdings across the band. </w:t>
      </w:r>
    </w:p>
    <w:p w14:paraId="74AFA08A" w14:textId="1DBB7F36" w:rsidR="00944235" w:rsidRDefault="004C4558" w:rsidP="001D295C">
      <w:pPr>
        <w:pStyle w:val="Bulletlevel1last"/>
      </w:pPr>
      <w:r>
        <w:t xml:space="preserve">This </w:t>
      </w:r>
      <w:r w:rsidR="009B1BF1">
        <w:t xml:space="preserve">second submission </w:t>
      </w:r>
      <w:r>
        <w:t>also</w:t>
      </w:r>
      <w:r w:rsidR="00464384">
        <w:t xml:space="preserve"> </w:t>
      </w:r>
      <w:r w:rsidR="00944235">
        <w:t>consider</w:t>
      </w:r>
      <w:r w:rsidR="00E55A2C">
        <w:t>ed</w:t>
      </w:r>
      <w:r w:rsidR="00944235">
        <w:t xml:space="preserve"> that</w:t>
      </w:r>
      <w:r w:rsidR="0021460B">
        <w:t xml:space="preserve"> the licensees</w:t>
      </w:r>
      <w:r w:rsidR="00E12946">
        <w:t xml:space="preserve"> of</w:t>
      </w:r>
      <w:r w:rsidR="00944235">
        <w:t xml:space="preserve"> </w:t>
      </w:r>
      <w:r w:rsidR="00464384">
        <w:t>e</w:t>
      </w:r>
      <w:r w:rsidR="00944235" w:rsidRPr="00944235">
        <w:t>xisting</w:t>
      </w:r>
      <w:r w:rsidR="00AD3615">
        <w:t xml:space="preserve"> spectrum licences</w:t>
      </w:r>
      <w:r w:rsidR="00944235" w:rsidRPr="00944235">
        <w:t xml:space="preserve"> </w:t>
      </w:r>
      <w:r>
        <w:t xml:space="preserve">in the </w:t>
      </w:r>
      <w:r w:rsidR="00944235" w:rsidRPr="00944235">
        <w:t xml:space="preserve">3.4 GHz band should be encouraged to increase their holdings in misaligned areas, creating the benefit of greater geographical alignment </w:t>
      </w:r>
      <w:r w:rsidR="007B26B3">
        <w:t xml:space="preserve">in the </w:t>
      </w:r>
      <w:r w:rsidR="00D20C23">
        <w:t>3.4</w:t>
      </w:r>
      <w:r w:rsidR="00511C7B">
        <w:t>–3.8 GHz band</w:t>
      </w:r>
      <w:r w:rsidR="0067570B">
        <w:t xml:space="preserve"> </w:t>
      </w:r>
      <w:r w:rsidR="00944235" w:rsidRPr="00944235">
        <w:t>and providing more incentive to defragment</w:t>
      </w:r>
      <w:r w:rsidR="0025687E">
        <w:t xml:space="preserve"> licences</w:t>
      </w:r>
      <w:r w:rsidR="0028067C">
        <w:t>.</w:t>
      </w:r>
    </w:p>
    <w:p w14:paraId="506767C3" w14:textId="621DCD53" w:rsidR="00464384" w:rsidRPr="00516437" w:rsidRDefault="00464384" w:rsidP="00F113C2">
      <w:pPr>
        <w:pStyle w:val="Heading4"/>
      </w:pPr>
      <w:r w:rsidRPr="00516437">
        <w:lastRenderedPageBreak/>
        <w:t>ACMA view</w:t>
      </w:r>
    </w:p>
    <w:p w14:paraId="56F857BD" w14:textId="5B13E885" w:rsidR="00E96F3F" w:rsidRPr="00745AEA" w:rsidRDefault="00E96F3F" w:rsidP="00E96F3F">
      <w:pPr>
        <w:pStyle w:val="Paragraph"/>
      </w:pPr>
      <w:r w:rsidRPr="008A2D05">
        <w:t xml:space="preserve">The </w:t>
      </w:r>
      <w:r>
        <w:t xml:space="preserve">ACMA invited stakeholders to comment on the proposed </w:t>
      </w:r>
      <w:bookmarkStart w:id="28" w:name="_Hlk137818123"/>
      <w:r>
        <w:t xml:space="preserve">terms for the insignificant holdings threshold. </w:t>
      </w:r>
      <w:r w:rsidRPr="004E24C0">
        <w:t xml:space="preserve">The ACMA proposed to implement an insignificant holdings threshold of 30%. That is, existing holdings </w:t>
      </w:r>
      <w:r w:rsidR="004C4558">
        <w:t>that</w:t>
      </w:r>
      <w:r w:rsidR="004C4558" w:rsidRPr="004E24C0">
        <w:t xml:space="preserve"> </w:t>
      </w:r>
      <w:r w:rsidRPr="004E24C0">
        <w:t>encompass more than 30% of the population of a product available at auction will be disregarded for the purposes of applying the allocation limits.</w:t>
      </w:r>
      <w:bookmarkEnd w:id="28"/>
    </w:p>
    <w:p w14:paraId="1ECBD712" w14:textId="61B5EDD4" w:rsidR="00E96F3F" w:rsidRDefault="00E96F3F" w:rsidP="00E96F3F">
      <w:pPr>
        <w:pStyle w:val="Paragraph"/>
      </w:pPr>
      <w:r>
        <w:t>Based on the ACMA’s calculations, t</w:t>
      </w:r>
      <w:r w:rsidRPr="0062236B">
        <w:t xml:space="preserve">here is no appreciable difference in demand </w:t>
      </w:r>
      <w:r w:rsidR="0010230F">
        <w:t xml:space="preserve">able to be expressed </w:t>
      </w:r>
      <w:r w:rsidR="008D7BA2">
        <w:t>by</w:t>
      </w:r>
      <w:r w:rsidRPr="0062236B">
        <w:t xml:space="preserve"> </w:t>
      </w:r>
      <w:r>
        <w:t>existing</w:t>
      </w:r>
      <w:r w:rsidRPr="0062236B">
        <w:t xml:space="preserve"> </w:t>
      </w:r>
      <w:r w:rsidR="008D7BA2">
        <w:t xml:space="preserve">spectrum </w:t>
      </w:r>
      <w:r w:rsidRPr="0062236B">
        <w:t xml:space="preserve">licensees </w:t>
      </w:r>
      <w:r>
        <w:t xml:space="preserve">between a 30% threshold and </w:t>
      </w:r>
      <w:r w:rsidRPr="0062236B">
        <w:t>a 50% threshold</w:t>
      </w:r>
      <w:r>
        <w:t>.</w:t>
      </w:r>
      <w:r w:rsidRPr="0062236B">
        <w:t xml:space="preserve"> </w:t>
      </w:r>
      <w:r>
        <w:t>I</w:t>
      </w:r>
      <w:r w:rsidRPr="0062236B">
        <w:t>n the few instances where more existing holdings would be disregarded</w:t>
      </w:r>
      <w:r>
        <w:t xml:space="preserve"> under the 30% threshold</w:t>
      </w:r>
      <w:r w:rsidRPr="0062236B">
        <w:t xml:space="preserve">, the </w:t>
      </w:r>
      <w:r>
        <w:t>existing licensee</w:t>
      </w:r>
      <w:r w:rsidRPr="0062236B">
        <w:t xml:space="preserve"> typically already has expressible demand that exceeds supply for the product</w:t>
      </w:r>
      <w:r w:rsidR="00FE2A5E">
        <w:t>.</w:t>
      </w:r>
      <w:r w:rsidR="00F233AC">
        <w:t xml:space="preserve"> </w:t>
      </w:r>
      <w:r w:rsidRPr="0062236B">
        <w:t>There are also few differences in expressible demand for incumbent licensees with a 15% threshold</w:t>
      </w:r>
      <w:r w:rsidR="00F233AC">
        <w:t xml:space="preserve">. </w:t>
      </w:r>
      <w:r w:rsidR="008D5CE0">
        <w:t>W</w:t>
      </w:r>
      <w:r w:rsidR="00EA7872">
        <w:t xml:space="preserve">e do not consider that </w:t>
      </w:r>
      <w:r w:rsidR="00CB059E">
        <w:t xml:space="preserve">a change to either 50% or 15% would </w:t>
      </w:r>
      <w:r w:rsidR="00DE38B9">
        <w:t xml:space="preserve">result </w:t>
      </w:r>
      <w:r w:rsidR="00C550EF">
        <w:t xml:space="preserve">in </w:t>
      </w:r>
      <w:r w:rsidR="002E51E3">
        <w:t>a better outcome in terms of the policy intent of allocation limits.</w:t>
      </w:r>
      <w:r w:rsidR="00F233AC" w:rsidRPr="0062236B" w:rsidDel="00F233AC">
        <w:t xml:space="preserve"> </w:t>
      </w:r>
    </w:p>
    <w:p w14:paraId="0D06A270" w14:textId="5DB7F4A4" w:rsidR="00E96F3F" w:rsidRPr="00464384" w:rsidRDefault="00E96F3F" w:rsidP="00E96F3F">
      <w:pPr>
        <w:pStyle w:val="Paragraph"/>
        <w:rPr>
          <w:b/>
        </w:rPr>
      </w:pPr>
      <w:r>
        <w:t xml:space="preserve">On that basis, </w:t>
      </w:r>
      <w:r w:rsidRPr="0062236B">
        <w:t>a change to the threshold would have</w:t>
      </w:r>
      <w:r>
        <w:t xml:space="preserve"> a limited impact</w:t>
      </w:r>
      <w:r w:rsidRPr="0062236B">
        <w:t xml:space="preserve"> on expressible demand</w:t>
      </w:r>
      <w:r>
        <w:t xml:space="preserve"> and</w:t>
      </w:r>
      <w:r w:rsidRPr="0062236B">
        <w:t xml:space="preserve"> </w:t>
      </w:r>
      <w:r>
        <w:t>since existing spectrum licences in the 3.4</w:t>
      </w:r>
      <w:r w:rsidR="004C4558">
        <w:rPr>
          <w:rFonts w:eastAsia="Times New Roman"/>
        </w:rPr>
        <w:t>–</w:t>
      </w:r>
      <w:r>
        <w:t>3.8 GHz band</w:t>
      </w:r>
      <w:r w:rsidRPr="0062236B">
        <w:t xml:space="preserve"> largely hav</w:t>
      </w:r>
      <w:r>
        <w:t>e</w:t>
      </w:r>
      <w:r w:rsidRPr="0062236B">
        <w:t xml:space="preserve"> consistent expressible demand across geographically related products, we propose no change to the 30% insignificant holdings threshold. </w:t>
      </w:r>
      <w:r>
        <w:t xml:space="preserve"> </w:t>
      </w:r>
    </w:p>
    <w:p w14:paraId="3D9690CB" w14:textId="2653BC9E" w:rsidR="00DD7990" w:rsidRDefault="00DD7990" w:rsidP="00FA101C">
      <w:pPr>
        <w:pStyle w:val="Heading4"/>
      </w:pPr>
      <w:r w:rsidRPr="006C0C5D">
        <w:t>Types of holdings t</w:t>
      </w:r>
      <w:r w:rsidRPr="00174B8C">
        <w:t>o be considered</w:t>
      </w:r>
      <w:r>
        <w:t xml:space="preserve"> </w:t>
      </w:r>
      <w:r w:rsidR="00FD45FC">
        <w:t>for the purposed of allocation limits</w:t>
      </w:r>
      <w:r w:rsidRPr="00174B8C">
        <w:t xml:space="preserve"> </w:t>
      </w:r>
    </w:p>
    <w:p w14:paraId="7CDFE22C" w14:textId="40673247" w:rsidR="001F3E5C" w:rsidRPr="00D51341" w:rsidRDefault="001F3E5C" w:rsidP="001F3E5C">
      <w:pPr>
        <w:pStyle w:val="Paragraph"/>
      </w:pPr>
      <w:r w:rsidRPr="00D51341">
        <w:t xml:space="preserve">In relation to the type of holdings to be considered, we proposed to only count spectrum licences </w:t>
      </w:r>
      <w:r w:rsidR="004C4558">
        <w:t>where</w:t>
      </w:r>
      <w:r w:rsidRPr="00D51341">
        <w:t xml:space="preserve"> a person is the licensee. Any right to use spectrum under a transmitter licence, under a class licence, or under an authorisation made under section 68 of the </w:t>
      </w:r>
      <w:r w:rsidR="00EE1EA9" w:rsidRPr="00C60907">
        <w:t xml:space="preserve">Radiocommunications </w:t>
      </w:r>
      <w:r w:rsidRPr="00D51341">
        <w:t>Act, would not be counted.</w:t>
      </w:r>
    </w:p>
    <w:p w14:paraId="576CF018" w14:textId="6A825317" w:rsidR="00637960" w:rsidRDefault="004C4558" w:rsidP="004C4558">
      <w:pPr>
        <w:pStyle w:val="Paragraph"/>
      </w:pPr>
      <w:bookmarkStart w:id="29" w:name="_Hlk137830084"/>
      <w:r>
        <w:t>One</w:t>
      </w:r>
      <w:r w:rsidR="00BB4EB9" w:rsidRPr="004D48E3">
        <w:t xml:space="preserve"> submission</w:t>
      </w:r>
      <w:r w:rsidR="00BB4EB9">
        <w:t xml:space="preserve"> generally supported the ACMA’s preferred approach to the types of holdings to be considered for the purposes of the proposed allocation limits. A further submission did not fully support the ACMA’s preferred view</w:t>
      </w:r>
      <w:r w:rsidR="00637960">
        <w:t>, and 5</w:t>
      </w:r>
      <w:r w:rsidR="00BB4EB9">
        <w:t xml:space="preserve"> submi</w:t>
      </w:r>
      <w:r w:rsidR="00637960">
        <w:t>ssions</w:t>
      </w:r>
      <w:r w:rsidR="00BB4EB9">
        <w:t xml:space="preserve"> did not provide any comment. </w:t>
      </w:r>
    </w:p>
    <w:p w14:paraId="461AA8D2" w14:textId="7B5D83D0" w:rsidR="00BB4EB9" w:rsidRPr="00664F1A" w:rsidRDefault="00AE2B19" w:rsidP="00FA101C">
      <w:pPr>
        <w:pStyle w:val="Paragraphbeforelist"/>
      </w:pPr>
      <w:r>
        <w:t>Views</w:t>
      </w:r>
      <w:r w:rsidR="000A662D">
        <w:t xml:space="preserve"> outlined in submissions </w:t>
      </w:r>
      <w:r w:rsidR="00BB4EB9">
        <w:t>included:</w:t>
      </w:r>
    </w:p>
    <w:bookmarkEnd w:id="29"/>
    <w:p w14:paraId="07CB5AA8" w14:textId="4D4A8C31" w:rsidR="00BB4EB9" w:rsidRPr="00FF1636" w:rsidRDefault="00BB4EB9" w:rsidP="00FA101C">
      <w:pPr>
        <w:pStyle w:val="Bulletlevel1"/>
      </w:pPr>
      <w:r>
        <w:t>One submission</w:t>
      </w:r>
      <w:r w:rsidRPr="00FF1636">
        <w:t xml:space="preserve"> consider</w:t>
      </w:r>
      <w:r>
        <w:t>ed</w:t>
      </w:r>
      <w:r w:rsidRPr="00FF1636">
        <w:t xml:space="preserve"> that the ACMA’s proposed approach of not taking into account any </w:t>
      </w:r>
      <w:r w:rsidR="00637960" w:rsidRPr="00FF1636">
        <w:t>third-party</w:t>
      </w:r>
      <w:r w:rsidRPr="00FF1636">
        <w:t xml:space="preserve"> authorisations </w:t>
      </w:r>
      <w:r>
        <w:t xml:space="preserve">under section 68 of the </w:t>
      </w:r>
      <w:r w:rsidR="00EE1EA9" w:rsidRPr="00C60907">
        <w:t xml:space="preserve">Radiocommunications </w:t>
      </w:r>
      <w:r>
        <w:t xml:space="preserve">Act </w:t>
      </w:r>
      <w:r w:rsidRPr="00FF1636">
        <w:t xml:space="preserve">for the purposes of </w:t>
      </w:r>
      <w:r>
        <w:t>the allocation limits would</w:t>
      </w:r>
      <w:r w:rsidRPr="00FF1636">
        <w:t xml:space="preserve"> undermine the utility of the allocation limits. </w:t>
      </w:r>
    </w:p>
    <w:p w14:paraId="1F6194C2" w14:textId="3FF111E9" w:rsidR="00BB4EB9" w:rsidRDefault="00BB4EB9" w:rsidP="00FA101C">
      <w:pPr>
        <w:pStyle w:val="Bulletlevel1"/>
      </w:pPr>
      <w:r>
        <w:t>Another submission</w:t>
      </w:r>
      <w:r w:rsidRPr="00FF1636">
        <w:t xml:space="preserve"> note</w:t>
      </w:r>
      <w:r>
        <w:t>d that,</w:t>
      </w:r>
      <w:r w:rsidRPr="00FF1636">
        <w:t xml:space="preserve"> </w:t>
      </w:r>
      <w:r>
        <w:t>t</w:t>
      </w:r>
      <w:r w:rsidRPr="00534886">
        <w:t>o maximise the amount of 3.8</w:t>
      </w:r>
      <w:r w:rsidR="007953F7">
        <w:t>–3.95</w:t>
      </w:r>
      <w:r w:rsidRPr="00534886">
        <w:t xml:space="preserve"> GHz band available to operators of LA WBB systems,</w:t>
      </w:r>
      <w:r w:rsidRPr="00FF1636">
        <w:t xml:space="preserve"> AWL</w:t>
      </w:r>
      <w:r>
        <w:t>s</w:t>
      </w:r>
      <w:r w:rsidRPr="00FF1636">
        <w:t xml:space="preserve"> </w:t>
      </w:r>
      <w:r>
        <w:t>issued</w:t>
      </w:r>
      <w:r w:rsidRPr="00FF1636">
        <w:t xml:space="preserve"> in </w:t>
      </w:r>
      <w:r>
        <w:t>the</w:t>
      </w:r>
      <w:r w:rsidRPr="00FF1636">
        <w:t xml:space="preserve"> </w:t>
      </w:r>
      <w:r w:rsidR="008253F7">
        <w:t xml:space="preserve">3.4–4.0 </w:t>
      </w:r>
      <w:r w:rsidRPr="00FF1636">
        <w:t xml:space="preserve">GHz </w:t>
      </w:r>
      <w:r>
        <w:t>band should count towards an assessment of allocation limits.</w:t>
      </w:r>
    </w:p>
    <w:p w14:paraId="7D949304" w14:textId="7158209B" w:rsidR="00BB4EB9" w:rsidRDefault="00BB4EB9" w:rsidP="00FA101C">
      <w:pPr>
        <w:pStyle w:val="Bulletlevel1last"/>
      </w:pPr>
      <w:r>
        <w:t xml:space="preserve">A third submission </w:t>
      </w:r>
      <w:r w:rsidRPr="004A406C">
        <w:t>recommend</w:t>
      </w:r>
      <w:r w:rsidR="00637960">
        <w:t>ed</w:t>
      </w:r>
      <w:r w:rsidRPr="004A406C">
        <w:t xml:space="preserve"> that the allocation limits proposed should also include limits on the </w:t>
      </w:r>
      <w:r w:rsidR="00637960">
        <w:t>AWLs</w:t>
      </w:r>
      <w:r w:rsidRPr="004A406C">
        <w:t xml:space="preserve"> that will apply to adjacent bands. </w:t>
      </w:r>
      <w:r w:rsidR="00637960">
        <w:t>T</w:t>
      </w:r>
      <w:r w:rsidRPr="004A406C">
        <w:t>o ensure a competitive market is maintained</w:t>
      </w:r>
      <w:r w:rsidR="00637960">
        <w:t>, i</w:t>
      </w:r>
      <w:r w:rsidR="00637960" w:rsidRPr="004A406C">
        <w:t>t is important that</w:t>
      </w:r>
      <w:r w:rsidRPr="004A406C">
        <w:t xml:space="preserve"> bidders for spectrum licen</w:t>
      </w:r>
      <w:r w:rsidR="00637960">
        <w:t>c</w:t>
      </w:r>
      <w:r w:rsidRPr="004A406C">
        <w:t>es cannot make up any deficiencies in their plans by taking up AWL options to build their population profile at the expense of genuine LA</w:t>
      </w:r>
      <w:r w:rsidR="00637960">
        <w:t xml:space="preserve"> </w:t>
      </w:r>
      <w:r w:rsidRPr="004A406C">
        <w:t>WBB opportunities</w:t>
      </w:r>
    </w:p>
    <w:p w14:paraId="7546E3B2" w14:textId="7E47405E" w:rsidR="008E45C8" w:rsidRPr="00516437" w:rsidRDefault="008E45C8" w:rsidP="00FA101C">
      <w:pPr>
        <w:pStyle w:val="Heading4"/>
        <w:keepNext/>
      </w:pPr>
      <w:r w:rsidRPr="00516437">
        <w:t>ACMA vie</w:t>
      </w:r>
      <w:r w:rsidR="001D6EDD" w:rsidRPr="00516437">
        <w:t>w</w:t>
      </w:r>
    </w:p>
    <w:p w14:paraId="1F908DF2" w14:textId="18D5566B" w:rsidR="00E14197" w:rsidRPr="008C67E6" w:rsidRDefault="00E14197" w:rsidP="00FA101C">
      <w:pPr>
        <w:pStyle w:val="Paragraphbeforelist"/>
      </w:pPr>
      <w:r w:rsidRPr="008C67E6">
        <w:t>The ACMA’s view is that taking third</w:t>
      </w:r>
      <w:r w:rsidR="00637960">
        <w:t>-</w:t>
      </w:r>
      <w:r w:rsidRPr="008C67E6">
        <w:t xml:space="preserve">party authorisations into account may detract from certainty for bidders at auction as to the application of the allocation limits: </w:t>
      </w:r>
    </w:p>
    <w:p w14:paraId="07A24E24" w14:textId="66988A27" w:rsidR="00E14197" w:rsidRPr="008C67E6" w:rsidRDefault="00637960" w:rsidP="00FA101C">
      <w:pPr>
        <w:pStyle w:val="Bulletlevel1"/>
      </w:pPr>
      <w:r w:rsidRPr="008C67E6">
        <w:t>T</w:t>
      </w:r>
      <w:r w:rsidR="00E14197" w:rsidRPr="008C67E6">
        <w:t>hird</w:t>
      </w:r>
      <w:r>
        <w:t>-</w:t>
      </w:r>
      <w:r w:rsidR="00E14197" w:rsidRPr="008C67E6">
        <w:t>party authorisations may be made on different terms and confer different rights on the recipient, when compared to the rights of a spectrum licensee</w:t>
      </w:r>
      <w:r>
        <w:t>.</w:t>
      </w:r>
      <w:r w:rsidR="00E14197" w:rsidRPr="008C67E6">
        <w:t xml:space="preserve"> </w:t>
      </w:r>
    </w:p>
    <w:p w14:paraId="789C6AA8" w14:textId="5A4E925C" w:rsidR="00E14197" w:rsidRPr="008C67E6" w:rsidRDefault="00637960" w:rsidP="00FA101C">
      <w:pPr>
        <w:pStyle w:val="Bulletlevel1"/>
      </w:pPr>
      <w:r>
        <w:t>T</w:t>
      </w:r>
      <w:r w:rsidR="00E14197" w:rsidRPr="008C67E6">
        <w:t>he geographic areas in a third-party authorisation may not align with the product areas for the 3.4/3.7 GHz bands allocation process</w:t>
      </w:r>
      <w:r>
        <w:t>.</w:t>
      </w:r>
    </w:p>
    <w:p w14:paraId="23B495FC" w14:textId="604E1B41" w:rsidR="00E14197" w:rsidRPr="008C67E6" w:rsidRDefault="00637960" w:rsidP="00FA101C">
      <w:pPr>
        <w:pStyle w:val="Bulletlevel1last"/>
      </w:pPr>
      <w:r>
        <w:lastRenderedPageBreak/>
        <w:t>F</w:t>
      </w:r>
      <w:r w:rsidR="00E14197" w:rsidRPr="008C67E6">
        <w:t>or third</w:t>
      </w:r>
      <w:r>
        <w:t>-</w:t>
      </w:r>
      <w:r w:rsidR="00E14197" w:rsidRPr="008C67E6">
        <w:t xml:space="preserve">party authorisations </w:t>
      </w:r>
      <w:r>
        <w:t>that</w:t>
      </w:r>
      <w:r w:rsidRPr="008C67E6">
        <w:t xml:space="preserve"> </w:t>
      </w:r>
      <w:r w:rsidR="00E14197" w:rsidRPr="008C67E6">
        <w:t>have been subject to regulatory consideration under the Competition and Consumer Act, allocation limits may not be the appropriate tool to remediate competition concerns.</w:t>
      </w:r>
    </w:p>
    <w:p w14:paraId="61EAAE33" w14:textId="77777777" w:rsidR="00E14197" w:rsidRPr="008E45C8" w:rsidRDefault="00E14197" w:rsidP="00E14197">
      <w:pPr>
        <w:pStyle w:val="Paragraph"/>
        <w:rPr>
          <w:b/>
        </w:rPr>
      </w:pPr>
      <w:r>
        <w:t xml:space="preserve">On that basis, the ACMA has made no changes to the types of holdings to be considered for the purposes of the allocation limits. </w:t>
      </w:r>
    </w:p>
    <w:p w14:paraId="085EE493" w14:textId="7AE39F62" w:rsidR="00DD7990" w:rsidRDefault="00DD7990" w:rsidP="00FA101C">
      <w:pPr>
        <w:pStyle w:val="Heading4"/>
      </w:pPr>
      <w:r w:rsidRPr="006C0C5D">
        <w:t xml:space="preserve">Exclusions from allocation limits </w:t>
      </w:r>
    </w:p>
    <w:p w14:paraId="7335DFEF" w14:textId="444B51FE" w:rsidR="004E258E" w:rsidRPr="00D51341" w:rsidRDefault="004E258E" w:rsidP="004E258E">
      <w:pPr>
        <w:pStyle w:val="Paragraph"/>
      </w:pPr>
      <w:r w:rsidRPr="00D51341">
        <w:t xml:space="preserve">In relation to the exclusions from the allocation limits, we proposed to exclude ‘leftover lots’ and a part of the 3.4/3.7 GHz bands known as the Regional WA Central Middle product from the allocation limits. ‘Leftover lots’ are smaller parts of the 3.4/3.7 GHz band </w:t>
      </w:r>
      <w:r w:rsidR="00637960">
        <w:t>that</w:t>
      </w:r>
      <w:r w:rsidR="00637960" w:rsidRPr="00D51341">
        <w:t xml:space="preserve"> </w:t>
      </w:r>
      <w:r w:rsidRPr="00D51341">
        <w:t xml:space="preserve">are adjacent to existing spectrum licences, and </w:t>
      </w:r>
      <w:r w:rsidR="000B39EB">
        <w:t>that</w:t>
      </w:r>
      <w:r w:rsidR="000B39EB" w:rsidRPr="00D51341">
        <w:t xml:space="preserve"> </w:t>
      </w:r>
      <w:r w:rsidRPr="00D51341">
        <w:t>existing spectrum licensees may apply to have directly allocated to them. Because these small parts are of very limited use on their own, the ACMA proposed for them not to be counted.</w:t>
      </w:r>
    </w:p>
    <w:p w14:paraId="079900A2" w14:textId="18954FD9" w:rsidR="0023760C" w:rsidRPr="00A40EEE" w:rsidRDefault="004E258E" w:rsidP="00A40EEE">
      <w:pPr>
        <w:pStyle w:val="Paragraph"/>
      </w:pPr>
      <w:r w:rsidRPr="00D51341">
        <w:t>The marketing plan divides the 3.4/3.7 GHz bands into ‘products’, characterised by frequency band and geographic region. The nature of the Regional WA Central Middle product is such that, even applying an insignificant holdings threshold of 30%, counting it towards an assessment of the allocation limits would result in disproportionate or counter-intuitive results. Because of this, the ACMA proposed for the product not to be counted.</w:t>
      </w:r>
      <w:r w:rsidR="0004694C">
        <w:t xml:space="preserve"> </w:t>
      </w:r>
      <w:r w:rsidR="00BE7692" w:rsidRPr="00A40EEE">
        <w:t xml:space="preserve">Of the </w:t>
      </w:r>
      <w:r w:rsidR="00E24BDB">
        <w:t>7 submissions received</w:t>
      </w:r>
      <w:r w:rsidR="00CD26D9">
        <w:t xml:space="preserve">, </w:t>
      </w:r>
      <w:r w:rsidR="008463E1">
        <w:t xml:space="preserve">3 were generally supportive </w:t>
      </w:r>
      <w:r w:rsidR="00542A35">
        <w:t>of the ACMA’s approach to allocation limits</w:t>
      </w:r>
      <w:r w:rsidR="00036E81">
        <w:t>, with one of these submi</w:t>
      </w:r>
      <w:r w:rsidR="00DA68AE">
        <w:t xml:space="preserve">ssions </w:t>
      </w:r>
      <w:r w:rsidR="00C14AD5">
        <w:t xml:space="preserve">stating that </w:t>
      </w:r>
      <w:r w:rsidR="00A17290">
        <w:t xml:space="preserve">the ACMA might also like to </w:t>
      </w:r>
      <w:r w:rsidR="00A17290" w:rsidRPr="008A5733">
        <w:rPr>
          <w:rFonts w:eastAsia="Times New Roman"/>
          <w:szCs w:val="20"/>
        </w:rPr>
        <w:t>consider not applying allocation limits to residual lots (</w:t>
      </w:r>
      <w:r w:rsidR="000B39EB">
        <w:rPr>
          <w:rFonts w:eastAsia="Times New Roman"/>
          <w:szCs w:val="20"/>
        </w:rPr>
        <w:t>that is,</w:t>
      </w:r>
      <w:r w:rsidR="00A17290" w:rsidRPr="008A5733">
        <w:rPr>
          <w:rFonts w:eastAsia="Times New Roman"/>
          <w:szCs w:val="20"/>
        </w:rPr>
        <w:t xml:space="preserve"> if there are unallocated lots of a product after the end of the primary stage as a result of insufficient demand)</w:t>
      </w:r>
      <w:r w:rsidR="00A17290">
        <w:rPr>
          <w:rFonts w:eastAsia="Times New Roman"/>
          <w:szCs w:val="20"/>
        </w:rPr>
        <w:t>.</w:t>
      </w:r>
    </w:p>
    <w:p w14:paraId="5B6C4103" w14:textId="4B05879F" w:rsidR="00A630C0" w:rsidRDefault="00DD7990" w:rsidP="00BA11D0">
      <w:pPr>
        <w:pStyle w:val="Heading4"/>
        <w:keepNext/>
      </w:pPr>
      <w:r w:rsidRPr="006C0C5D">
        <w:t>Affiliates test</w:t>
      </w:r>
    </w:p>
    <w:p w14:paraId="74B02982" w14:textId="59E2B528" w:rsidR="00102DA1" w:rsidRPr="00923443" w:rsidRDefault="000B39EB" w:rsidP="00637E1B">
      <w:pPr>
        <w:pStyle w:val="Paragraphbeforelist"/>
      </w:pPr>
      <w:r>
        <w:t>Two</w:t>
      </w:r>
      <w:r w:rsidR="00102DA1">
        <w:t xml:space="preserve"> submissions partly supported the ACMA’s proposed approach to an affiliates </w:t>
      </w:r>
      <w:r w:rsidR="00053BD8">
        <w:t>test,</w:t>
      </w:r>
      <w:r w:rsidR="00102DA1">
        <w:t xml:space="preserve"> and one did not support the ACMA’s proposed approach. </w:t>
      </w:r>
      <w:r>
        <w:t xml:space="preserve">Four submissions </w:t>
      </w:r>
      <w:r w:rsidR="00102DA1">
        <w:t>did not provide comment.</w:t>
      </w:r>
    </w:p>
    <w:p w14:paraId="25354E86" w14:textId="313D530B" w:rsidR="00102DA1" w:rsidRPr="00875603" w:rsidRDefault="00102DA1" w:rsidP="00637E1B">
      <w:pPr>
        <w:pStyle w:val="Bulletlevel1"/>
      </w:pPr>
      <w:r w:rsidRPr="00875603">
        <w:t>One subm</w:t>
      </w:r>
      <w:r>
        <w:t>ission</w:t>
      </w:r>
      <w:r w:rsidRPr="00875603">
        <w:t xml:space="preserve"> support</w:t>
      </w:r>
      <w:r>
        <w:t>ed</w:t>
      </w:r>
      <w:r w:rsidRPr="00875603">
        <w:t xml:space="preserve"> the addition of </w:t>
      </w:r>
      <w:r>
        <w:t xml:space="preserve">a requirement that </w:t>
      </w:r>
      <w:r w:rsidRPr="00875603">
        <w:t xml:space="preserve">applicants </w:t>
      </w:r>
      <w:r>
        <w:t xml:space="preserve">make a statement </w:t>
      </w:r>
      <w:r w:rsidRPr="00875603">
        <w:t xml:space="preserve">that no </w:t>
      </w:r>
      <w:r>
        <w:t xml:space="preserve">conduct that would contravene the cartel provisions of the </w:t>
      </w:r>
      <w:r w:rsidRPr="00637E1B">
        <w:rPr>
          <w:iCs/>
        </w:rPr>
        <w:t>Competition and Consumer Act</w:t>
      </w:r>
      <w:r w:rsidRPr="00875603">
        <w:t xml:space="preserve"> ha</w:t>
      </w:r>
      <w:r>
        <w:t>d</w:t>
      </w:r>
      <w:r w:rsidRPr="00875603">
        <w:t xml:space="preserve"> occurred</w:t>
      </w:r>
      <w:r>
        <w:t>;</w:t>
      </w:r>
      <w:r w:rsidRPr="00875603">
        <w:t xml:space="preserve"> </w:t>
      </w:r>
      <w:r>
        <w:t>h</w:t>
      </w:r>
      <w:r w:rsidRPr="00875603">
        <w:t>owever,</w:t>
      </w:r>
      <w:r>
        <w:t xml:space="preserve"> if this approach </w:t>
      </w:r>
      <w:r w:rsidR="000B39EB">
        <w:t xml:space="preserve">was </w:t>
      </w:r>
      <w:r>
        <w:t>adopted,</w:t>
      </w:r>
      <w:r w:rsidRPr="00875603">
        <w:t xml:space="preserve"> </w:t>
      </w:r>
      <w:r>
        <w:t xml:space="preserve">the submission said there was </w:t>
      </w:r>
      <w:r w:rsidRPr="00875603">
        <w:t xml:space="preserve">no benefit in continuing to impose the associates disclosure process on </w:t>
      </w:r>
      <w:r>
        <w:t>applicant</w:t>
      </w:r>
      <w:r w:rsidRPr="00875603">
        <w:t>s</w:t>
      </w:r>
      <w:r>
        <w:t>.</w:t>
      </w:r>
    </w:p>
    <w:p w14:paraId="09122C8C" w14:textId="79D7BC02" w:rsidR="00102DA1" w:rsidRPr="001A64F1" w:rsidRDefault="000B39EB" w:rsidP="00637E1B">
      <w:pPr>
        <w:pStyle w:val="Bulletlevel1"/>
      </w:pPr>
      <w:r w:rsidRPr="001A64F1">
        <w:t>Th</w:t>
      </w:r>
      <w:r>
        <w:t>is</w:t>
      </w:r>
      <w:r w:rsidRPr="001A64F1">
        <w:t xml:space="preserve"> </w:t>
      </w:r>
      <w:r w:rsidR="00102DA1" w:rsidRPr="001A64F1">
        <w:t>submission state</w:t>
      </w:r>
      <w:r w:rsidR="00102DA1">
        <w:t>d</w:t>
      </w:r>
      <w:r w:rsidR="00102DA1" w:rsidRPr="001A64F1">
        <w:t xml:space="preserve"> that it consider</w:t>
      </w:r>
      <w:r w:rsidR="00102DA1">
        <w:t>ed</w:t>
      </w:r>
      <w:r w:rsidR="00102DA1" w:rsidRPr="001A64F1">
        <w:t xml:space="preserve"> the purpose of the associates process is to ensure allocation limits are not exceeded by preventing parties </w:t>
      </w:r>
      <w:r>
        <w:t>that</w:t>
      </w:r>
      <w:r w:rsidRPr="001A64F1">
        <w:t xml:space="preserve"> </w:t>
      </w:r>
      <w:r w:rsidR="00102DA1" w:rsidRPr="001A64F1">
        <w:t xml:space="preserve">are closely related from participating in </w:t>
      </w:r>
      <w:r w:rsidR="00102DA1">
        <w:t>an allocation process</w:t>
      </w:r>
      <w:r w:rsidR="00102DA1" w:rsidRPr="001A64F1">
        <w:t xml:space="preserve"> as separate bidders; in other words, </w:t>
      </w:r>
      <w:r w:rsidR="00102DA1">
        <w:t xml:space="preserve">it is </w:t>
      </w:r>
      <w:r w:rsidR="00102DA1" w:rsidRPr="001A64F1">
        <w:t xml:space="preserve">to prevent </w:t>
      </w:r>
      <w:r w:rsidR="00102DA1">
        <w:t>‘</w:t>
      </w:r>
      <w:r w:rsidR="00102DA1" w:rsidRPr="001A64F1">
        <w:t>proxy bidding</w:t>
      </w:r>
      <w:r w:rsidR="00102DA1">
        <w:t>’</w:t>
      </w:r>
      <w:r w:rsidR="00102DA1" w:rsidRPr="001A64F1">
        <w:t xml:space="preserve"> being used to circumvent the allocation limits. </w:t>
      </w:r>
      <w:r>
        <w:t>T</w:t>
      </w:r>
      <w:r w:rsidR="00102DA1" w:rsidRPr="001A64F1">
        <w:t xml:space="preserve">he </w:t>
      </w:r>
      <w:r w:rsidRPr="001A64F1">
        <w:t>submi</w:t>
      </w:r>
      <w:r>
        <w:t>ssion</w:t>
      </w:r>
      <w:r w:rsidRPr="001A64F1">
        <w:t xml:space="preserve"> </w:t>
      </w:r>
      <w:r w:rsidR="00102DA1" w:rsidRPr="001A64F1">
        <w:t xml:space="preserve">suggests that the proposed statement should </w:t>
      </w:r>
      <w:r w:rsidR="00102DA1">
        <w:t xml:space="preserve">also </w:t>
      </w:r>
      <w:r w:rsidR="00102DA1" w:rsidRPr="001A64F1">
        <w:t xml:space="preserve">incorporate an express </w:t>
      </w:r>
      <w:r w:rsidR="00102DA1">
        <w:t>promise</w:t>
      </w:r>
      <w:r w:rsidR="00102DA1" w:rsidRPr="001A64F1">
        <w:t xml:space="preserve"> to the effect that proxy bidding </w:t>
      </w:r>
      <w:r w:rsidR="00102DA1">
        <w:t>would</w:t>
      </w:r>
      <w:r w:rsidR="00102DA1" w:rsidRPr="001A64F1">
        <w:t xml:space="preserve"> not occur</w:t>
      </w:r>
      <w:r w:rsidR="00102DA1">
        <w:t xml:space="preserve"> during the allocation process</w:t>
      </w:r>
      <w:r w:rsidR="00102DA1" w:rsidRPr="001A64F1">
        <w:t>.</w:t>
      </w:r>
      <w:r w:rsidR="00102DA1">
        <w:t xml:space="preserve"> The submission</w:t>
      </w:r>
      <w:r w:rsidR="00102DA1" w:rsidRPr="001A64F1">
        <w:t xml:space="preserve"> </w:t>
      </w:r>
      <w:r w:rsidR="00102DA1">
        <w:t>considered that this would be</w:t>
      </w:r>
      <w:r w:rsidR="00102DA1" w:rsidRPr="001A64F1">
        <w:t xml:space="preserve"> in line with the Minister for Communications’ </w:t>
      </w:r>
      <w:r>
        <w:t>S</w:t>
      </w:r>
      <w:r w:rsidR="00102DA1" w:rsidRPr="001A64F1">
        <w:t xml:space="preserve">tatement of </w:t>
      </w:r>
      <w:r>
        <w:t>E</w:t>
      </w:r>
      <w:r w:rsidR="00102DA1" w:rsidRPr="001A64F1">
        <w:t>xpectations for the ACMA, specifically that the ACMA pursues opportunities to simplify requirements or reduce burden, particularly for parts of the industry with lower</w:t>
      </w:r>
      <w:r>
        <w:t>-</w:t>
      </w:r>
      <w:r w:rsidR="00102DA1" w:rsidRPr="001A64F1">
        <w:t>risk operations  </w:t>
      </w:r>
    </w:p>
    <w:p w14:paraId="19439D60" w14:textId="27D53E5F" w:rsidR="00102DA1" w:rsidRPr="007730DE" w:rsidRDefault="00102DA1" w:rsidP="00637E1B">
      <w:pPr>
        <w:pStyle w:val="Bulletlevel1"/>
        <w:rPr>
          <w:szCs w:val="20"/>
        </w:rPr>
      </w:pPr>
      <w:r w:rsidRPr="007730DE">
        <w:rPr>
          <w:szCs w:val="20"/>
        </w:rPr>
        <w:t>A second submission consider</w:t>
      </w:r>
      <w:r>
        <w:rPr>
          <w:szCs w:val="20"/>
        </w:rPr>
        <w:t>ed</w:t>
      </w:r>
      <w:r w:rsidRPr="007730DE">
        <w:rPr>
          <w:szCs w:val="20"/>
        </w:rPr>
        <w:t xml:space="preserve"> that the proposed approach to affiliations does not reflect the current market circumstances. It contend</w:t>
      </w:r>
      <w:r>
        <w:rPr>
          <w:szCs w:val="20"/>
        </w:rPr>
        <w:t>ed</w:t>
      </w:r>
      <w:r w:rsidRPr="007730DE">
        <w:rPr>
          <w:szCs w:val="20"/>
        </w:rPr>
        <w:t xml:space="preserve"> that </w:t>
      </w:r>
      <w:r>
        <w:rPr>
          <w:szCs w:val="20"/>
        </w:rPr>
        <w:t>i</w:t>
      </w:r>
      <w:r w:rsidRPr="007730DE">
        <w:rPr>
          <w:szCs w:val="20"/>
        </w:rPr>
        <w:t xml:space="preserve">f a narrow view of affiliations </w:t>
      </w:r>
      <w:r w:rsidR="000B39EB">
        <w:rPr>
          <w:szCs w:val="20"/>
        </w:rPr>
        <w:t>was</w:t>
      </w:r>
      <w:r w:rsidR="000B39EB" w:rsidRPr="007730DE">
        <w:rPr>
          <w:szCs w:val="20"/>
        </w:rPr>
        <w:t xml:space="preserve"> </w:t>
      </w:r>
      <w:r w:rsidRPr="007730DE">
        <w:rPr>
          <w:szCs w:val="20"/>
        </w:rPr>
        <w:t xml:space="preserve">taken for the purposes of </w:t>
      </w:r>
      <w:r>
        <w:rPr>
          <w:szCs w:val="20"/>
        </w:rPr>
        <w:t>the 3.4/3.7 GHz bands allocation process</w:t>
      </w:r>
      <w:r w:rsidRPr="007730DE">
        <w:rPr>
          <w:szCs w:val="20"/>
        </w:rPr>
        <w:t xml:space="preserve">, </w:t>
      </w:r>
      <w:r>
        <w:rPr>
          <w:szCs w:val="20"/>
        </w:rPr>
        <w:t>it</w:t>
      </w:r>
      <w:r w:rsidRPr="007730DE">
        <w:rPr>
          <w:szCs w:val="20"/>
        </w:rPr>
        <w:t xml:space="preserve"> </w:t>
      </w:r>
      <w:r>
        <w:rPr>
          <w:szCs w:val="20"/>
        </w:rPr>
        <w:t>would</w:t>
      </w:r>
      <w:r w:rsidRPr="007730DE">
        <w:rPr>
          <w:szCs w:val="20"/>
        </w:rPr>
        <w:t xml:space="preserve"> undermine the integrity of the </w:t>
      </w:r>
      <w:r>
        <w:rPr>
          <w:szCs w:val="20"/>
        </w:rPr>
        <w:t>process</w:t>
      </w:r>
      <w:r w:rsidRPr="007730DE">
        <w:rPr>
          <w:szCs w:val="20"/>
        </w:rPr>
        <w:t>, due to the</w:t>
      </w:r>
      <w:r>
        <w:rPr>
          <w:szCs w:val="20"/>
        </w:rPr>
        <w:t xml:space="preserve"> potentially</w:t>
      </w:r>
      <w:r w:rsidRPr="007730DE">
        <w:rPr>
          <w:szCs w:val="20"/>
        </w:rPr>
        <w:t xml:space="preserve"> high levels of cooperation between</w:t>
      </w:r>
      <w:r>
        <w:rPr>
          <w:szCs w:val="20"/>
        </w:rPr>
        <w:t xml:space="preserve"> potential bidders</w:t>
      </w:r>
      <w:r w:rsidRPr="007730DE">
        <w:rPr>
          <w:szCs w:val="20"/>
        </w:rPr>
        <w:t xml:space="preserve"> </w:t>
      </w:r>
      <w:r w:rsidR="000B39EB">
        <w:rPr>
          <w:szCs w:val="20"/>
        </w:rPr>
        <w:t>for</w:t>
      </w:r>
      <w:r w:rsidRPr="007730DE">
        <w:rPr>
          <w:szCs w:val="20"/>
        </w:rPr>
        <w:t xml:space="preserve"> </w:t>
      </w:r>
      <w:r>
        <w:rPr>
          <w:szCs w:val="20"/>
        </w:rPr>
        <w:t>existing spectrum licences</w:t>
      </w:r>
      <w:r w:rsidRPr="007730DE">
        <w:rPr>
          <w:szCs w:val="20"/>
        </w:rPr>
        <w:t xml:space="preserve"> that </w:t>
      </w:r>
      <w:r>
        <w:rPr>
          <w:szCs w:val="20"/>
        </w:rPr>
        <w:t xml:space="preserve">would </w:t>
      </w:r>
      <w:r w:rsidR="00053BD8">
        <w:rPr>
          <w:szCs w:val="20"/>
        </w:rPr>
        <w:t xml:space="preserve">be </w:t>
      </w:r>
      <w:r w:rsidR="00053BD8" w:rsidRPr="007730DE">
        <w:rPr>
          <w:szCs w:val="20"/>
        </w:rPr>
        <w:t>substitutable</w:t>
      </w:r>
      <w:r w:rsidRPr="007730DE">
        <w:rPr>
          <w:szCs w:val="20"/>
        </w:rPr>
        <w:t xml:space="preserve"> with </w:t>
      </w:r>
      <w:r>
        <w:rPr>
          <w:szCs w:val="20"/>
        </w:rPr>
        <w:t xml:space="preserve">the licences to be issued in the </w:t>
      </w:r>
      <w:r w:rsidRPr="007730DE">
        <w:rPr>
          <w:szCs w:val="20"/>
        </w:rPr>
        <w:t>3.4/3.7 GHz bands.</w:t>
      </w:r>
    </w:p>
    <w:p w14:paraId="51F92D49" w14:textId="5529DE4E" w:rsidR="00102DA1" w:rsidRPr="00DC05DA" w:rsidRDefault="000B39EB" w:rsidP="00637E1B">
      <w:pPr>
        <w:pStyle w:val="Bulletlevel1"/>
        <w:rPr>
          <w:szCs w:val="20"/>
        </w:rPr>
      </w:pPr>
      <w:r w:rsidRPr="00DC05DA">
        <w:rPr>
          <w:szCs w:val="20"/>
        </w:rPr>
        <w:t>Th</w:t>
      </w:r>
      <w:r>
        <w:rPr>
          <w:szCs w:val="20"/>
        </w:rPr>
        <w:t>is</w:t>
      </w:r>
      <w:r w:rsidRPr="00DC05DA">
        <w:rPr>
          <w:szCs w:val="20"/>
        </w:rPr>
        <w:t xml:space="preserve"> </w:t>
      </w:r>
      <w:r w:rsidR="00102DA1" w:rsidRPr="00DC05DA">
        <w:rPr>
          <w:szCs w:val="20"/>
        </w:rPr>
        <w:t xml:space="preserve">submission </w:t>
      </w:r>
      <w:r w:rsidR="00102DA1">
        <w:rPr>
          <w:szCs w:val="20"/>
        </w:rPr>
        <w:t>suggested that</w:t>
      </w:r>
      <w:r w:rsidR="00102DA1" w:rsidRPr="00DC05DA">
        <w:rPr>
          <w:szCs w:val="20"/>
        </w:rPr>
        <w:t xml:space="preserve"> third</w:t>
      </w:r>
      <w:r>
        <w:rPr>
          <w:szCs w:val="20"/>
        </w:rPr>
        <w:t>-</w:t>
      </w:r>
      <w:r w:rsidR="00102DA1" w:rsidRPr="00DC05DA">
        <w:rPr>
          <w:szCs w:val="20"/>
        </w:rPr>
        <w:t xml:space="preserve">party authorisations </w:t>
      </w:r>
      <w:r w:rsidR="00102DA1">
        <w:rPr>
          <w:szCs w:val="20"/>
        </w:rPr>
        <w:t xml:space="preserve">under section 68 of the </w:t>
      </w:r>
      <w:r w:rsidR="00EE1EA9" w:rsidRPr="00C60907">
        <w:t xml:space="preserve">Radiocommunications </w:t>
      </w:r>
      <w:r w:rsidR="00102DA1">
        <w:rPr>
          <w:szCs w:val="20"/>
        </w:rPr>
        <w:t xml:space="preserve">Act </w:t>
      </w:r>
      <w:r>
        <w:rPr>
          <w:szCs w:val="20"/>
        </w:rPr>
        <w:t>for</w:t>
      </w:r>
      <w:r w:rsidR="00102DA1">
        <w:rPr>
          <w:szCs w:val="20"/>
        </w:rPr>
        <w:t xml:space="preserve"> existing licences in</w:t>
      </w:r>
      <w:r w:rsidR="00102DA1" w:rsidRPr="00DC05DA">
        <w:rPr>
          <w:szCs w:val="20"/>
        </w:rPr>
        <w:t xml:space="preserve"> the 3.4</w:t>
      </w:r>
      <w:r>
        <w:rPr>
          <w:szCs w:val="20"/>
        </w:rPr>
        <w:t>–</w:t>
      </w:r>
      <w:r w:rsidR="00102DA1" w:rsidRPr="00DC05DA">
        <w:rPr>
          <w:szCs w:val="20"/>
        </w:rPr>
        <w:t xml:space="preserve">3.8 GHz </w:t>
      </w:r>
      <w:r w:rsidR="00102DA1">
        <w:rPr>
          <w:szCs w:val="20"/>
        </w:rPr>
        <w:t>band</w:t>
      </w:r>
      <w:r w:rsidR="00102DA1" w:rsidRPr="00DC05DA">
        <w:rPr>
          <w:szCs w:val="20"/>
        </w:rPr>
        <w:t xml:space="preserve"> should </w:t>
      </w:r>
      <w:r w:rsidR="00102DA1">
        <w:rPr>
          <w:szCs w:val="20"/>
        </w:rPr>
        <w:t>cause the licensee and the third party to be associates and, therefore, affiliated for the purposes of the allocation determination</w:t>
      </w:r>
      <w:r w:rsidR="00102DA1" w:rsidRPr="00DC05DA">
        <w:rPr>
          <w:szCs w:val="20"/>
        </w:rPr>
        <w:t>.</w:t>
      </w:r>
    </w:p>
    <w:p w14:paraId="0413DCE7" w14:textId="6215B411" w:rsidR="00102DA1" w:rsidRPr="00637E1B" w:rsidRDefault="00102DA1" w:rsidP="00637E1B">
      <w:pPr>
        <w:pStyle w:val="Bulletlevel1last"/>
        <w:rPr>
          <w:rFonts w:eastAsia="Times New Roman"/>
          <w:szCs w:val="20"/>
        </w:rPr>
      </w:pPr>
      <w:r w:rsidRPr="00DC05DA">
        <w:lastRenderedPageBreak/>
        <w:t>A third submission state</w:t>
      </w:r>
      <w:r>
        <w:t>d</w:t>
      </w:r>
      <w:r w:rsidRPr="00DC05DA">
        <w:t xml:space="preserve"> that it </w:t>
      </w:r>
      <w:r>
        <w:t>was</w:t>
      </w:r>
      <w:r w:rsidRPr="00DC05DA">
        <w:t xml:space="preserve"> important to ensure that</w:t>
      </w:r>
      <w:r>
        <w:t xml:space="preserve"> affiliated</w:t>
      </w:r>
      <w:r w:rsidRPr="00DC05DA">
        <w:t xml:space="preserve"> applicants </w:t>
      </w:r>
      <w:r>
        <w:t>would</w:t>
      </w:r>
      <w:r w:rsidRPr="00DC05DA">
        <w:t xml:space="preserve"> not</w:t>
      </w:r>
      <w:r>
        <w:t xml:space="preserve"> be</w:t>
      </w:r>
      <w:r w:rsidRPr="00DC05DA">
        <w:t xml:space="preserve"> able to bid </w:t>
      </w:r>
      <w:r w:rsidR="00053BD8" w:rsidRPr="00DC05DA">
        <w:t>separately</w:t>
      </w:r>
      <w:r w:rsidR="00053BD8">
        <w:t xml:space="preserve"> and</w:t>
      </w:r>
      <w:r w:rsidRPr="00DC05DA">
        <w:t xml:space="preserve"> </w:t>
      </w:r>
      <w:r>
        <w:t xml:space="preserve">would be </w:t>
      </w:r>
      <w:r w:rsidRPr="00DC05DA">
        <w:t>treated jointly for the purpose of the allocation limits</w:t>
      </w:r>
      <w:r>
        <w:t xml:space="preserve">. </w:t>
      </w:r>
      <w:r w:rsidR="000B39EB">
        <w:t xml:space="preserve">This </w:t>
      </w:r>
      <w:r>
        <w:t xml:space="preserve">submission also stated that the test for whether </w:t>
      </w:r>
      <w:r w:rsidR="000B39EB">
        <w:t xml:space="preserve">2 </w:t>
      </w:r>
      <w:r>
        <w:t>applicants were affiliated should be broader, to better reflect existing market circumstances and agreements between potential applicants.</w:t>
      </w:r>
    </w:p>
    <w:p w14:paraId="06063E9C" w14:textId="00A814B7" w:rsidR="00F06777" w:rsidRPr="00294715" w:rsidRDefault="00736F20" w:rsidP="00637E1B">
      <w:pPr>
        <w:pStyle w:val="Heading4"/>
      </w:pPr>
      <w:r w:rsidRPr="00736F20">
        <w:t>ACMA view</w:t>
      </w:r>
    </w:p>
    <w:p w14:paraId="0CCDF749" w14:textId="77777777" w:rsidR="00F06777" w:rsidRPr="00FF1636" w:rsidRDefault="00F06777" w:rsidP="000B39EB">
      <w:pPr>
        <w:pStyle w:val="Paragraph"/>
      </w:pPr>
      <w:r w:rsidRPr="00294715">
        <w:t>We note that the associates process is necessary for the purposes of ensuring</w:t>
      </w:r>
      <w:r>
        <w:t xml:space="preserve"> licences are not allocated in excess of the allocation limits. </w:t>
      </w:r>
      <w:r w:rsidRPr="009E593B">
        <w:t xml:space="preserve">A secondary role of the associates test is to identify associated parties and therefore </w:t>
      </w:r>
      <w:r>
        <w:t>remove the possibility</w:t>
      </w:r>
      <w:r w:rsidRPr="009E593B">
        <w:t xml:space="preserve"> that they </w:t>
      </w:r>
      <w:r>
        <w:t>can</w:t>
      </w:r>
      <w:r w:rsidRPr="009E593B">
        <w:t xml:space="preserve"> collude in </w:t>
      </w:r>
      <w:r>
        <w:t>relation to an allocation process</w:t>
      </w:r>
      <w:r w:rsidRPr="009E593B">
        <w:t>.</w:t>
      </w:r>
    </w:p>
    <w:p w14:paraId="54946FB4" w14:textId="6E8B26B9" w:rsidR="00F06777" w:rsidRDefault="00F06777" w:rsidP="00F06777">
      <w:pPr>
        <w:pStyle w:val="Paragraph"/>
      </w:pPr>
      <w:r>
        <w:t>However,</w:t>
      </w:r>
      <w:r w:rsidRPr="00294715">
        <w:t xml:space="preserve"> the associates process (which is primarily for the implementation of allocation limits) </w:t>
      </w:r>
      <w:r>
        <w:t xml:space="preserve">should not be confused </w:t>
      </w:r>
      <w:r w:rsidRPr="00294715">
        <w:t xml:space="preserve">with collusion </w:t>
      </w:r>
      <w:r>
        <w:t xml:space="preserve">provisions under the </w:t>
      </w:r>
      <w:r w:rsidRPr="00637E1B">
        <w:rPr>
          <w:iCs/>
        </w:rPr>
        <w:t>Competition and Consumer Act</w:t>
      </w:r>
      <w:r w:rsidRPr="00294715">
        <w:t xml:space="preserve"> (which apply more broadly). One way the ACMA has </w:t>
      </w:r>
      <w:r w:rsidR="000B39EB">
        <w:t xml:space="preserve">strengthened </w:t>
      </w:r>
      <w:r>
        <w:t>the collusion provisions</w:t>
      </w:r>
      <w:r w:rsidRPr="00294715">
        <w:t xml:space="preserve"> is to impose confidentiality requirements on bidders and their related persons. </w:t>
      </w:r>
      <w:r>
        <w:t>The ACMA consulted on applicants making</w:t>
      </w:r>
      <w:r w:rsidRPr="00294715">
        <w:t xml:space="preserve"> a further positive statement </w:t>
      </w:r>
      <w:r>
        <w:t xml:space="preserve">about not having engaged in collusive conduct, which is prohibited by the </w:t>
      </w:r>
      <w:r w:rsidRPr="00637E1B">
        <w:rPr>
          <w:iCs/>
        </w:rPr>
        <w:t>Competition and Consumer Act</w:t>
      </w:r>
      <w:r>
        <w:t>,</w:t>
      </w:r>
      <w:r w:rsidR="00637960">
        <w:t xml:space="preserve"> </w:t>
      </w:r>
      <w:r>
        <w:t>as part of the application process</w:t>
      </w:r>
      <w:r w:rsidRPr="00294715">
        <w:t>.</w:t>
      </w:r>
      <w:r w:rsidRPr="008C48F3">
        <w:t xml:space="preserve"> </w:t>
      </w:r>
    </w:p>
    <w:p w14:paraId="27EE27A8" w14:textId="3F809CE4" w:rsidR="00CF0DF7" w:rsidRPr="00736F20" w:rsidRDefault="00F06777" w:rsidP="00F06777">
      <w:pPr>
        <w:pStyle w:val="Paragraph"/>
        <w:rPr>
          <w:rFonts w:eastAsia="Times New Roman"/>
          <w:b/>
          <w:szCs w:val="20"/>
        </w:rPr>
      </w:pPr>
      <w:r>
        <w:t xml:space="preserve">Given the different focuses of the </w:t>
      </w:r>
      <w:r w:rsidR="000B39EB">
        <w:t xml:space="preserve">2 </w:t>
      </w:r>
      <w:r>
        <w:t xml:space="preserve">proposals, the ACMA </w:t>
      </w:r>
      <w:r w:rsidR="0065336F">
        <w:t xml:space="preserve">is </w:t>
      </w:r>
      <w:r w:rsidR="00053BD8">
        <w:t>retaining the</w:t>
      </w:r>
      <w:r>
        <w:t xml:space="preserve"> definitions of associates and affiliations included in the allocation determination for the purposes of the allocation limits. </w:t>
      </w:r>
      <w:r w:rsidR="00CF0DF7">
        <w:t xml:space="preserve"> </w:t>
      </w:r>
    </w:p>
    <w:p w14:paraId="55F57081" w14:textId="50CD852F" w:rsidR="000B39EB" w:rsidRDefault="006F109C" w:rsidP="002C2CC5">
      <w:pPr>
        <w:pStyle w:val="Heading2"/>
        <w:keepLines/>
      </w:pPr>
      <w:bookmarkStart w:id="30" w:name="_Toc139280838"/>
      <w:r w:rsidRPr="008432DD">
        <w:t>Collusion provisions</w:t>
      </w:r>
      <w:bookmarkEnd w:id="30"/>
    </w:p>
    <w:p w14:paraId="0984AC35" w14:textId="0454D40E" w:rsidR="000B39EB" w:rsidRDefault="000B39EB" w:rsidP="002C2CC5">
      <w:pPr>
        <w:pStyle w:val="Paragraph"/>
        <w:keepNext/>
        <w:keepLines/>
      </w:pPr>
      <w:r>
        <w:t>In response to submissions on the draft allocation and technical instruments for the 3.4/3.7 GHz spectrum auction, the ACMA undertook a further consultation on proposed collusion provisions from 15–22 May 2023.</w:t>
      </w:r>
    </w:p>
    <w:p w14:paraId="2FDE5605" w14:textId="2D222C16" w:rsidR="00406C72" w:rsidRDefault="00406C72" w:rsidP="002C2CC5">
      <w:pPr>
        <w:pStyle w:val="Heading3"/>
        <w:keepLines/>
        <w:spacing w:after="120"/>
      </w:pPr>
      <w:bookmarkStart w:id="31" w:name="_Toc139280839"/>
      <w:r>
        <w:t>Issues for comment</w:t>
      </w:r>
      <w:bookmarkEnd w:id="31"/>
      <w:r w:rsidRPr="008432DD">
        <w:t xml:space="preserve"> </w:t>
      </w:r>
    </w:p>
    <w:p w14:paraId="421BF81F" w14:textId="77777777" w:rsidR="000B39EB" w:rsidRPr="00FF78AC" w:rsidRDefault="000B39EB" w:rsidP="002C2CC5">
      <w:pPr>
        <w:pStyle w:val="Paragraph"/>
        <w:keepNext/>
        <w:keepLines/>
      </w:pPr>
      <w:r>
        <w:t>W</w:t>
      </w:r>
      <w:r w:rsidRPr="00FF78AC">
        <w:t>e propose</w:t>
      </w:r>
      <w:r>
        <w:t>d</w:t>
      </w:r>
      <w:r w:rsidRPr="00FF78AC">
        <w:t xml:space="preserve"> to require those seeking to apply to participate in the auction to give the ACMA a deed </w:t>
      </w:r>
      <w:r>
        <w:t xml:space="preserve">of acknowledgement </w:t>
      </w:r>
      <w:r w:rsidRPr="00FF78AC">
        <w:t>that contain</w:t>
      </w:r>
      <w:r>
        <w:t>ed</w:t>
      </w:r>
      <w:r w:rsidRPr="00FF78AC">
        <w:t xml:space="preserve"> the following clause:</w:t>
      </w:r>
    </w:p>
    <w:p w14:paraId="460AA723" w14:textId="77777777" w:rsidR="000B39EB" w:rsidRPr="009703D9" w:rsidRDefault="000B39EB" w:rsidP="00B75210">
      <w:pPr>
        <w:pStyle w:val="Paragraph"/>
        <w:spacing w:after="120"/>
      </w:pPr>
      <w:r w:rsidRPr="009703D9">
        <w:t>1          Collusion and Anti-Competitive Conduct</w:t>
      </w:r>
    </w:p>
    <w:p w14:paraId="21BAB672" w14:textId="77777777" w:rsidR="000B39EB" w:rsidRPr="00FF78AC" w:rsidRDefault="000B39EB" w:rsidP="00B75210">
      <w:pPr>
        <w:pStyle w:val="Paragraph"/>
        <w:spacing w:after="120"/>
      </w:pPr>
      <w:r w:rsidRPr="00FF78AC">
        <w:t xml:space="preserve">1.1       The Applicant warrants that the Applicant, and, where acting on behalf of the Applicant, its officers, employees, agents, contractors, subcontractors and associates, have not engaged in any conduct that would, or might reasonably be construed to, contravene any provision in Division 1 of Part IV of the </w:t>
      </w:r>
      <w:r w:rsidRPr="00FF78AC">
        <w:rPr>
          <w:i/>
        </w:rPr>
        <w:t>Competition and Consumer Act 2010</w:t>
      </w:r>
      <w:r w:rsidRPr="00FF78AC">
        <w:t xml:space="preserve"> in relation to the allocation determination or the allocation of spectrum licences in the 3.4/3.7 GHz bands.</w:t>
      </w:r>
    </w:p>
    <w:p w14:paraId="12F5E6E5" w14:textId="2D43EB4C" w:rsidR="000B39EB" w:rsidRPr="00FF78AC" w:rsidRDefault="000B39EB" w:rsidP="00B75210">
      <w:pPr>
        <w:pStyle w:val="Paragraph"/>
        <w:spacing w:after="120"/>
      </w:pPr>
      <w:r w:rsidRPr="00FF78AC">
        <w:t xml:space="preserve">1.2       The Applicant further warrants that if, from the date of this </w:t>
      </w:r>
      <w:r w:rsidR="00AA2345">
        <w:t>d</w:t>
      </w:r>
      <w:r w:rsidRPr="00FF78AC">
        <w:t>eed to the date of publication of allocation results under [section 90] of the Determination, the Applicant is put on notice of any actual or suspected contravention described in 1.1 above, the Applicant will notify the ACMA in writing of that contravention, within 48 hours of such notice.</w:t>
      </w:r>
    </w:p>
    <w:p w14:paraId="7EA78A7F" w14:textId="2A553225" w:rsidR="000B39EB" w:rsidRDefault="000B39EB" w:rsidP="000B39EB">
      <w:pPr>
        <w:pStyle w:val="Paragraph"/>
      </w:pPr>
      <w:r w:rsidRPr="00FF78AC">
        <w:t xml:space="preserve">1.3       The Applicant acknowledges and agrees that the ACMA may give documents or information, including confidential documents and confidential information, to a person where that information may be relevant to any actual or suspected contraventions described in 1.1, without notice to the Applicant. Without limiting this clause, the ACMA may give documents or information to the Australian Competition and Consumer </w:t>
      </w:r>
      <w:r w:rsidR="00053BD8" w:rsidRPr="00FF78AC">
        <w:t>Commission and</w:t>
      </w:r>
      <w:r w:rsidRPr="00FF78AC">
        <w:t xml:space="preserve"> disclose any document or information in relation to that contravention. This clause does not limit or affect the exercise of any function or power the ACMA has to disclose documents or information to any person.</w:t>
      </w:r>
    </w:p>
    <w:p w14:paraId="7C7929E3" w14:textId="77777777" w:rsidR="000B39EB" w:rsidRPr="00FF78AC" w:rsidRDefault="000B39EB" w:rsidP="000B39EB">
      <w:pPr>
        <w:pStyle w:val="Paragraph"/>
      </w:pPr>
      <w:r>
        <w:lastRenderedPageBreak/>
        <w:t>T</w:t>
      </w:r>
      <w:r w:rsidRPr="009112C6">
        <w:t xml:space="preserve">he proposed wording above </w:t>
      </w:r>
      <w:r>
        <w:t>was</w:t>
      </w:r>
      <w:r w:rsidRPr="009112C6">
        <w:t xml:space="preserve"> prepared separately from the entire deed. An applicant’s obligations and responsibilities in relation to the deed will need to take the entire deed into account, and </w:t>
      </w:r>
      <w:r>
        <w:t xml:space="preserve">it was noted </w:t>
      </w:r>
      <w:r w:rsidRPr="009112C6">
        <w:t>the proposed text may be slightly modified to adapt better to the remainder of the deed.</w:t>
      </w:r>
    </w:p>
    <w:p w14:paraId="4F48DE21" w14:textId="77777777" w:rsidR="000B39EB" w:rsidRDefault="000B39EB" w:rsidP="00B75210">
      <w:pPr>
        <w:pStyle w:val="Heading4"/>
      </w:pPr>
      <w:r>
        <w:t xml:space="preserve">Proposed form and timing of the requirement  </w:t>
      </w:r>
    </w:p>
    <w:p w14:paraId="397E6AC9" w14:textId="77777777" w:rsidR="000B39EB" w:rsidRPr="00321937" w:rsidRDefault="000B39EB" w:rsidP="00B75210">
      <w:pPr>
        <w:pStyle w:val="Paragraphbeforelist"/>
      </w:pPr>
      <w:r w:rsidRPr="00321937">
        <w:t>We considered the most suitable approach for imposing the collusion requirement on an applicant. The options considered were:</w:t>
      </w:r>
    </w:p>
    <w:p w14:paraId="41D36FD8" w14:textId="77777777" w:rsidR="000B39EB" w:rsidRPr="00321937" w:rsidRDefault="000B39EB" w:rsidP="00B75210">
      <w:pPr>
        <w:pStyle w:val="Paragraph"/>
        <w:numPr>
          <w:ilvl w:val="0"/>
          <w:numId w:val="162"/>
        </w:numPr>
        <w:spacing w:after="80"/>
        <w:ind w:left="426" w:hanging="426"/>
      </w:pPr>
      <w:r w:rsidRPr="00321937">
        <w:t>a statement in a separate form</w:t>
      </w:r>
      <w:r>
        <w:t xml:space="preserve">; or </w:t>
      </w:r>
    </w:p>
    <w:p w14:paraId="35512B43" w14:textId="2869EEA2" w:rsidR="000B39EB" w:rsidRDefault="000B39EB" w:rsidP="000B39EB">
      <w:pPr>
        <w:pStyle w:val="ListParagraph"/>
        <w:numPr>
          <w:ilvl w:val="0"/>
          <w:numId w:val="162"/>
        </w:numPr>
        <w:ind w:left="426" w:hanging="426"/>
      </w:pPr>
      <w:r w:rsidRPr="00321937">
        <w:t>an obligation in the deed of acknowledgement.</w:t>
      </w:r>
    </w:p>
    <w:p w14:paraId="18EB8F43" w14:textId="2A6EF8B2" w:rsidR="000B39EB" w:rsidRPr="000B39EB" w:rsidDel="007E1DF6" w:rsidRDefault="00B20C7A" w:rsidP="00B75210">
      <w:pPr>
        <w:pStyle w:val="Heading3"/>
        <w:keepLines/>
      </w:pPr>
      <w:bookmarkStart w:id="32" w:name="_Toc139280840"/>
      <w:r w:rsidRPr="00913A17">
        <w:t>Responses to issues for comment</w:t>
      </w:r>
      <w:r>
        <w:t xml:space="preserve"> and the ACMA’s views</w:t>
      </w:r>
      <w:bookmarkEnd w:id="32"/>
    </w:p>
    <w:p w14:paraId="2B05AC32" w14:textId="07CD9FF9" w:rsidR="00AB5BA3" w:rsidRPr="00B20C7A" w:rsidRDefault="001C31ED" w:rsidP="00B75210">
      <w:pPr>
        <w:pStyle w:val="Heading4"/>
        <w:keepNext/>
        <w:keepLines/>
        <w:spacing w:before="120"/>
      </w:pPr>
      <w:r w:rsidRPr="00B20C7A">
        <w:t>Form and timing of the requirement</w:t>
      </w:r>
    </w:p>
    <w:p w14:paraId="4211E169" w14:textId="6193823B" w:rsidR="00982940" w:rsidRDefault="00F3684D" w:rsidP="00B75210">
      <w:pPr>
        <w:pStyle w:val="Paragraphbeforelist"/>
        <w:keepNext/>
        <w:keepLines/>
      </w:pPr>
      <w:r>
        <w:t xml:space="preserve">The ACMA received 3 public submissions to the collusion provision consultation. </w:t>
      </w:r>
      <w:r w:rsidR="00F247E1">
        <w:t xml:space="preserve">Two </w:t>
      </w:r>
      <w:r w:rsidR="006A1655">
        <w:t>of the</w:t>
      </w:r>
      <w:r w:rsidR="00F247E1">
        <w:t>se</w:t>
      </w:r>
      <w:r w:rsidR="006A1655">
        <w:t xml:space="preserve"> supported </w:t>
      </w:r>
      <w:r w:rsidR="00885930">
        <w:t xml:space="preserve">the inclusion of the </w:t>
      </w:r>
      <w:r w:rsidR="00885930" w:rsidRPr="00B20C7A">
        <w:t>statement</w:t>
      </w:r>
      <w:r w:rsidR="00885930">
        <w:t xml:space="preserve"> in the </w:t>
      </w:r>
      <w:r w:rsidR="00F247E1">
        <w:t>d</w:t>
      </w:r>
      <w:r w:rsidR="00885930">
        <w:t>eed of ackno</w:t>
      </w:r>
      <w:r w:rsidR="001058CC">
        <w:t>wledgement form</w:t>
      </w:r>
      <w:r w:rsidR="008D2389">
        <w:t xml:space="preserve"> </w:t>
      </w:r>
      <w:r w:rsidR="00F247E1">
        <w:t xml:space="preserve">but suggested the following </w:t>
      </w:r>
      <w:r w:rsidR="00875324">
        <w:t>changes to the statement</w:t>
      </w:r>
      <w:r w:rsidR="002443C2">
        <w:t>:</w:t>
      </w:r>
    </w:p>
    <w:p w14:paraId="3B64A866" w14:textId="6D04D6B0" w:rsidR="00C340AA" w:rsidRDefault="00F247E1" w:rsidP="00B75210">
      <w:pPr>
        <w:pStyle w:val="Bulletlevel1"/>
      </w:pPr>
      <w:r>
        <w:t>R</w:t>
      </w:r>
      <w:r w:rsidR="00C340AA" w:rsidRPr="00C340AA">
        <w:t>eplac</w:t>
      </w:r>
      <w:r w:rsidR="00595F10">
        <w:t>ing</w:t>
      </w:r>
      <w:r w:rsidR="00C340AA" w:rsidRPr="00C340AA">
        <w:t> </w:t>
      </w:r>
      <w:r>
        <w:t>‘</w:t>
      </w:r>
      <w:r w:rsidR="00C340AA" w:rsidRPr="00C340AA">
        <w:t>might</w:t>
      </w:r>
      <w:r>
        <w:t>’</w:t>
      </w:r>
      <w:r w:rsidR="00C340AA" w:rsidRPr="00C340AA">
        <w:t xml:space="preserve"> by </w:t>
      </w:r>
      <w:r>
        <w:t>‘</w:t>
      </w:r>
      <w:r w:rsidR="00C340AA" w:rsidRPr="00C340AA">
        <w:t>would</w:t>
      </w:r>
      <w:r>
        <w:t>’</w:t>
      </w:r>
      <w:r w:rsidR="00C340AA" w:rsidRPr="00C340AA">
        <w:t xml:space="preserve"> in </w:t>
      </w:r>
      <w:r w:rsidRPr="00C340AA">
        <w:t>th</w:t>
      </w:r>
      <w:r>
        <w:t>is</w:t>
      </w:r>
      <w:r w:rsidRPr="00C340AA">
        <w:t xml:space="preserve"> </w:t>
      </w:r>
      <w:r w:rsidR="00C340AA" w:rsidRPr="00C340AA">
        <w:t>te</w:t>
      </w:r>
      <w:r>
        <w:t>x</w:t>
      </w:r>
      <w:r w:rsidR="00C340AA" w:rsidRPr="00C340AA">
        <w:t>t</w:t>
      </w:r>
      <w:r>
        <w:t>:</w:t>
      </w:r>
      <w:r w:rsidR="00C340AA" w:rsidRPr="00C340AA">
        <w:t xml:space="preserve"> </w:t>
      </w:r>
      <w:r>
        <w:t xml:space="preserve">‘… </w:t>
      </w:r>
      <w:r w:rsidR="00C340AA" w:rsidRPr="00C340AA">
        <w:t xml:space="preserve">have not engaged in any conduct that would, or might reasonably be construed to contravene any provision in Division 1 of Part IV of the </w:t>
      </w:r>
      <w:r w:rsidR="00C340AA" w:rsidRPr="00B75210">
        <w:rPr>
          <w:i/>
          <w:iCs/>
        </w:rPr>
        <w:t>Competition and Consumer Act 2010</w:t>
      </w:r>
      <w:r>
        <w:t xml:space="preserve"> </w:t>
      </w:r>
      <w:r w:rsidR="00C340AA" w:rsidRPr="00C340AA">
        <w:t>…</w:t>
      </w:r>
      <w:r>
        <w:t>’</w:t>
      </w:r>
      <w:r w:rsidR="00C340AA" w:rsidRPr="00C340AA">
        <w:t>. </w:t>
      </w:r>
      <w:r w:rsidR="00595F10">
        <w:t xml:space="preserve">This </w:t>
      </w:r>
      <w:r w:rsidR="00F9142B">
        <w:t>submission also suggested</w:t>
      </w:r>
      <w:r w:rsidR="00C340AA" w:rsidRPr="00CD760B">
        <w:t xml:space="preserve"> 5 working days for a right</w:t>
      </w:r>
      <w:r>
        <w:t>-</w:t>
      </w:r>
      <w:r w:rsidR="00C340AA" w:rsidRPr="00CD760B">
        <w:t>of</w:t>
      </w:r>
      <w:r>
        <w:t>-</w:t>
      </w:r>
      <w:r w:rsidR="00C340AA" w:rsidRPr="00CD760B">
        <w:t>reply to cartel conduct notifications. </w:t>
      </w:r>
    </w:p>
    <w:p w14:paraId="6CE37AF2" w14:textId="6DAD1BAA" w:rsidR="00233E98" w:rsidRPr="008B29F4" w:rsidRDefault="00F247E1" w:rsidP="00B75210">
      <w:pPr>
        <w:pStyle w:val="Bulletlevel1"/>
      </w:pPr>
      <w:r>
        <w:t>Providing c</w:t>
      </w:r>
      <w:r w:rsidR="00233E98" w:rsidRPr="0016197E">
        <w:t xml:space="preserve">larity around </w:t>
      </w:r>
      <w:r>
        <w:t xml:space="preserve">the </w:t>
      </w:r>
      <w:r w:rsidR="00233E98" w:rsidRPr="0016197E">
        <w:t xml:space="preserve">meaning of </w:t>
      </w:r>
      <w:r>
        <w:t>‘</w:t>
      </w:r>
      <w:r w:rsidR="00233E98" w:rsidRPr="0016197E">
        <w:t>suspected contravention</w:t>
      </w:r>
      <w:r>
        <w:t>’</w:t>
      </w:r>
      <w:r w:rsidR="00233E98" w:rsidRPr="008B29F4">
        <w:t>. </w:t>
      </w:r>
    </w:p>
    <w:p w14:paraId="6DF07C0A" w14:textId="649AAB5C" w:rsidR="00233E98" w:rsidRPr="0016197E" w:rsidRDefault="00F247E1" w:rsidP="00B75210">
      <w:pPr>
        <w:pStyle w:val="Bulletlevel1"/>
      </w:pPr>
      <w:r>
        <w:t>Replacing the r</w:t>
      </w:r>
      <w:r w:rsidR="00233E98" w:rsidRPr="0016197E">
        <w:t>eference to ‘48 hours’ with ‘2 working days’. </w:t>
      </w:r>
    </w:p>
    <w:p w14:paraId="4E59C945" w14:textId="4F9CC734" w:rsidR="007A77CA" w:rsidRPr="00DE720B" w:rsidRDefault="00A13486" w:rsidP="00B75210">
      <w:pPr>
        <w:pStyle w:val="Bulletlevel1last"/>
      </w:pPr>
      <w:r>
        <w:t xml:space="preserve">Specifying that </w:t>
      </w:r>
      <w:r w:rsidR="00F247E1">
        <w:t xml:space="preserve">the </w:t>
      </w:r>
      <w:r w:rsidR="00233E98" w:rsidRPr="00DE720B">
        <w:t>ACMA</w:t>
      </w:r>
      <w:r w:rsidR="00E84333">
        <w:t xml:space="preserve"> may </w:t>
      </w:r>
      <w:r w:rsidR="00233E98" w:rsidRPr="00DE720B">
        <w:t xml:space="preserve">give confidential information </w:t>
      </w:r>
      <w:r w:rsidR="00E84333" w:rsidRPr="00DE720B">
        <w:t xml:space="preserve">only </w:t>
      </w:r>
      <w:r w:rsidR="00233E98" w:rsidRPr="00DE720B">
        <w:t>to the ACCC.</w:t>
      </w:r>
    </w:p>
    <w:p w14:paraId="44BEA43D" w14:textId="00840085" w:rsidR="00110E82" w:rsidRDefault="004D7CF6" w:rsidP="0094105A">
      <w:pPr>
        <w:pStyle w:val="Paragraphbeforelist"/>
      </w:pPr>
      <w:r>
        <w:t>The third submission</w:t>
      </w:r>
      <w:r w:rsidR="00A42BCC">
        <w:t xml:space="preserve"> did not provide comment on </w:t>
      </w:r>
      <w:r w:rsidR="007C4EA4">
        <w:t xml:space="preserve">whether there </w:t>
      </w:r>
      <w:r w:rsidR="000A2BCF">
        <w:t xml:space="preserve">should be a separate form or an obligation in the deed of acknowledgement. This submission </w:t>
      </w:r>
      <w:r w:rsidR="00AF01B7">
        <w:t>stated that</w:t>
      </w:r>
      <w:r w:rsidR="00855C8E">
        <w:t>:</w:t>
      </w:r>
      <w:r w:rsidR="00B02DCB">
        <w:t xml:space="preserve"> </w:t>
      </w:r>
    </w:p>
    <w:p w14:paraId="099A21D6" w14:textId="4CE7ED41" w:rsidR="00CD760B" w:rsidRDefault="00F247E1" w:rsidP="0094105A">
      <w:pPr>
        <w:pStyle w:val="Bulletlevel1"/>
      </w:pPr>
      <w:r>
        <w:t xml:space="preserve">they </w:t>
      </w:r>
      <w:r w:rsidR="00B02DCB">
        <w:t xml:space="preserve">did not agree that the </w:t>
      </w:r>
      <w:r w:rsidR="00110E82">
        <w:t xml:space="preserve">statement was </w:t>
      </w:r>
      <w:r w:rsidR="00EB4E7D">
        <w:t>necessary</w:t>
      </w:r>
    </w:p>
    <w:p w14:paraId="2534C7CE" w14:textId="624FF422" w:rsidR="00D90059" w:rsidRDefault="00F247E1" w:rsidP="0094105A">
      <w:pPr>
        <w:pStyle w:val="Bulletlevel1"/>
      </w:pPr>
      <w:r>
        <w:t>t</w:t>
      </w:r>
      <w:r w:rsidR="00837B44">
        <w:t>he use of</w:t>
      </w:r>
      <w:r w:rsidR="00492990">
        <w:t xml:space="preserve"> ‘might</w:t>
      </w:r>
      <w:r w:rsidR="00233F60">
        <w:t xml:space="preserve"> be reasonably con</w:t>
      </w:r>
      <w:r w:rsidR="00376259">
        <w:t>strued</w:t>
      </w:r>
      <w:r w:rsidR="00492990">
        <w:t>’ in the te</w:t>
      </w:r>
      <w:r w:rsidR="00B20C7A">
        <w:t>x</w:t>
      </w:r>
      <w:r w:rsidR="00492990">
        <w:t>t is unclear</w:t>
      </w:r>
      <w:r w:rsidR="00EB4E7D">
        <w:t>.</w:t>
      </w:r>
    </w:p>
    <w:p w14:paraId="6D89D4AE" w14:textId="3609E5FB" w:rsidR="006A2F0C" w:rsidRPr="00EA054B" w:rsidRDefault="00B20C7A" w:rsidP="0094105A">
      <w:pPr>
        <w:pStyle w:val="Bulletlevel1last"/>
        <w:rPr>
          <w:rFonts w:eastAsia="Times New Roman"/>
        </w:rPr>
      </w:pPr>
      <w:r>
        <w:rPr>
          <w:rFonts w:eastAsia="Times New Roman"/>
        </w:rPr>
        <w:t xml:space="preserve">they </w:t>
      </w:r>
      <w:r w:rsidR="00F97512" w:rsidRPr="00EA054B">
        <w:rPr>
          <w:rFonts w:eastAsia="Times New Roman"/>
        </w:rPr>
        <w:t xml:space="preserve">had concerns </w:t>
      </w:r>
      <w:r>
        <w:rPr>
          <w:rFonts w:eastAsia="Times New Roman"/>
        </w:rPr>
        <w:t>about</w:t>
      </w:r>
      <w:r w:rsidRPr="00EA054B">
        <w:rPr>
          <w:rFonts w:eastAsia="Times New Roman"/>
        </w:rPr>
        <w:t xml:space="preserve"> </w:t>
      </w:r>
      <w:r w:rsidR="00F97512" w:rsidRPr="00EA054B">
        <w:rPr>
          <w:rFonts w:eastAsia="Times New Roman"/>
        </w:rPr>
        <w:t xml:space="preserve">the obligation to </w:t>
      </w:r>
      <w:r w:rsidR="00A5055F" w:rsidRPr="00EA054B">
        <w:rPr>
          <w:rFonts w:eastAsia="Times New Roman"/>
        </w:rPr>
        <w:t>notify the ACMA</w:t>
      </w:r>
      <w:r w:rsidR="00233F60" w:rsidRPr="00EA054B">
        <w:rPr>
          <w:rFonts w:eastAsia="Times New Roman"/>
        </w:rPr>
        <w:t xml:space="preserve"> </w:t>
      </w:r>
      <w:r w:rsidR="00E83B3F" w:rsidRPr="00EA054B">
        <w:rPr>
          <w:rFonts w:eastAsia="Times New Roman"/>
        </w:rPr>
        <w:t xml:space="preserve">in writing of any actual or </w:t>
      </w:r>
      <w:r w:rsidR="007E6537" w:rsidRPr="00EA054B">
        <w:rPr>
          <w:rStyle w:val="normaltextrun"/>
          <w:color w:val="000000"/>
          <w:szCs w:val="20"/>
          <w:shd w:val="clear" w:color="auto" w:fill="FFFFFF"/>
        </w:rPr>
        <w:t xml:space="preserve">suspected contravention within 48 hours. </w:t>
      </w:r>
      <w:r>
        <w:rPr>
          <w:rStyle w:val="normaltextrun"/>
          <w:color w:val="000000"/>
          <w:szCs w:val="20"/>
          <w:shd w:val="clear" w:color="auto" w:fill="FFFFFF"/>
        </w:rPr>
        <w:t>They</w:t>
      </w:r>
      <w:r w:rsidRPr="00EA054B">
        <w:rPr>
          <w:rStyle w:val="normaltextrun"/>
          <w:color w:val="000000"/>
          <w:szCs w:val="20"/>
          <w:shd w:val="clear" w:color="auto" w:fill="FFFFFF"/>
        </w:rPr>
        <w:t xml:space="preserve"> </w:t>
      </w:r>
      <w:r w:rsidR="00DE720B" w:rsidRPr="00EA054B">
        <w:rPr>
          <w:rStyle w:val="normaltextrun"/>
          <w:color w:val="000000"/>
          <w:szCs w:val="20"/>
          <w:shd w:val="clear" w:color="auto" w:fill="FFFFFF"/>
        </w:rPr>
        <w:t>asserted that t</w:t>
      </w:r>
      <w:r w:rsidR="007E6537" w:rsidRPr="00EA054B">
        <w:rPr>
          <w:rStyle w:val="normaltextrun"/>
          <w:color w:val="000000"/>
          <w:szCs w:val="20"/>
          <w:shd w:val="clear" w:color="auto" w:fill="FFFFFF"/>
        </w:rPr>
        <w:t xml:space="preserve">his obligation could interfere with an applicant’s ability to seek immunity in respect of cartel conduct under the ACCC Immunity and Cooperation Policy for Cartel Conduct (October 2019) (ACCC </w:t>
      </w:r>
      <w:r w:rsidR="007E6537" w:rsidRPr="0094105A">
        <w:rPr>
          <w:rStyle w:val="normaltextrun"/>
        </w:rPr>
        <w:t>Immunity</w:t>
      </w:r>
      <w:r w:rsidR="007E6537" w:rsidRPr="00EA054B">
        <w:rPr>
          <w:rStyle w:val="normaltextrun"/>
          <w:color w:val="000000"/>
          <w:szCs w:val="20"/>
          <w:shd w:val="clear" w:color="auto" w:fill="FFFFFF"/>
        </w:rPr>
        <w:t xml:space="preserve"> Policy).</w:t>
      </w:r>
    </w:p>
    <w:p w14:paraId="787002A6" w14:textId="1599544D" w:rsidR="006A2F0C" w:rsidRPr="006A2F0C" w:rsidRDefault="006A2F0C" w:rsidP="0094105A">
      <w:pPr>
        <w:pStyle w:val="Heading4"/>
      </w:pPr>
      <w:r w:rsidRPr="006A2F0C">
        <w:t>ACMA view</w:t>
      </w:r>
    </w:p>
    <w:p w14:paraId="7EF0526D" w14:textId="60AC934D" w:rsidR="001C31ED" w:rsidRPr="001C31ED" w:rsidRDefault="00084AFF" w:rsidP="0094105A">
      <w:pPr>
        <w:pStyle w:val="Paragraph"/>
      </w:pPr>
      <w:r>
        <w:t xml:space="preserve">Following consideration of </w:t>
      </w:r>
      <w:r w:rsidR="00CD6C21">
        <w:t xml:space="preserve">submissions to the consultation and further ACMA analysis, we consider that existing </w:t>
      </w:r>
      <w:r w:rsidR="00B35FDE">
        <w:t xml:space="preserve">protections </w:t>
      </w:r>
      <w:r w:rsidR="002F7EB0">
        <w:t>against collusive behaviour</w:t>
      </w:r>
      <w:r w:rsidR="00F82F1B">
        <w:t xml:space="preserve"> are sufficiently </w:t>
      </w:r>
      <w:r w:rsidR="008732FF">
        <w:t>robust withou</w:t>
      </w:r>
      <w:r w:rsidR="007E0B41">
        <w:t xml:space="preserve">t the need </w:t>
      </w:r>
      <w:r w:rsidR="00EA77B8">
        <w:t>for the additional affirmation</w:t>
      </w:r>
      <w:r w:rsidR="00C244C2">
        <w:t>.</w:t>
      </w:r>
    </w:p>
    <w:p w14:paraId="49EF4370" w14:textId="67E81237" w:rsidR="009169FE" w:rsidRDefault="00062C03" w:rsidP="002F3F49">
      <w:pPr>
        <w:pStyle w:val="Heading2"/>
      </w:pPr>
      <w:bookmarkStart w:id="33" w:name="_Toc139280841"/>
      <w:r w:rsidRPr="00FF1636">
        <w:t>Technical instruments</w:t>
      </w:r>
      <w:bookmarkEnd w:id="33"/>
    </w:p>
    <w:p w14:paraId="6D70EC6C" w14:textId="1B68C3A2" w:rsidR="00406C72" w:rsidRDefault="00406C72" w:rsidP="00406C72">
      <w:pPr>
        <w:pStyle w:val="Heading3"/>
        <w:spacing w:before="120" w:after="120"/>
      </w:pPr>
      <w:bookmarkStart w:id="34" w:name="_Toc139280842"/>
      <w:r>
        <w:t>Issues for comment</w:t>
      </w:r>
      <w:bookmarkEnd w:id="34"/>
      <w:r w:rsidRPr="008432DD">
        <w:t xml:space="preserve"> </w:t>
      </w:r>
    </w:p>
    <w:p w14:paraId="584EB25D" w14:textId="3531D23D" w:rsidR="00406C72" w:rsidRDefault="00406C72" w:rsidP="0094105A">
      <w:pPr>
        <w:pStyle w:val="Paragraph"/>
      </w:pPr>
      <w:r w:rsidRPr="0094105A">
        <w:rPr>
          <w:b/>
          <w:bCs/>
          <w:i/>
          <w:iCs/>
        </w:rPr>
        <w:t>Coexistence of radio altimeters with wireless broadband:</w:t>
      </w:r>
      <w:r>
        <w:t xml:space="preserve"> </w:t>
      </w:r>
      <w:r w:rsidRPr="00F73689">
        <w:t>Alongside the consultation paper, we published a report on coexistence between radio altimeters and WBB. Published at Appendix A of the consultation paper was a list of separate questions aimed at eliciting evidence to assist us in making final decisions around the technical framework to manage coexistence between wireless broadband and radio altimeters.</w:t>
      </w:r>
    </w:p>
    <w:p w14:paraId="535B3424" w14:textId="4D21477E" w:rsidR="00406C72" w:rsidRPr="00406C72" w:rsidRDefault="00406C72" w:rsidP="0094105A">
      <w:r w:rsidRPr="0094105A">
        <w:rPr>
          <w:b/>
          <w:bCs/>
          <w:i/>
          <w:iCs/>
        </w:rPr>
        <w:t>Spectrum licence technical framework:</w:t>
      </w:r>
      <w:r>
        <w:rPr>
          <w:b/>
          <w:bCs/>
        </w:rPr>
        <w:t xml:space="preserve"> </w:t>
      </w:r>
      <w:r w:rsidRPr="00FF1636">
        <w:t>We s</w:t>
      </w:r>
      <w:r>
        <w:t>ought</w:t>
      </w:r>
      <w:r w:rsidRPr="00FF1636">
        <w:t xml:space="preserve"> comments on the proposed technical framework, including relevant aspects of draft RALI MS47 as they relate to spectrum licences.</w:t>
      </w:r>
    </w:p>
    <w:p w14:paraId="0FFB78F7" w14:textId="77777777" w:rsidR="00B20C7A" w:rsidRPr="000B39EB" w:rsidDel="007E1DF6" w:rsidRDefault="00B20C7A" w:rsidP="00B20C7A">
      <w:pPr>
        <w:pStyle w:val="Heading3"/>
        <w:keepLines/>
      </w:pPr>
      <w:bookmarkStart w:id="35" w:name="_Toc139280843"/>
      <w:r w:rsidRPr="00913A17">
        <w:lastRenderedPageBreak/>
        <w:t>Responses to issues for comment</w:t>
      </w:r>
      <w:r>
        <w:t xml:space="preserve"> and the ACMA’s views</w:t>
      </w:r>
      <w:bookmarkEnd w:id="35"/>
    </w:p>
    <w:p w14:paraId="2959BF10" w14:textId="2B677AD9" w:rsidR="000A7ED7" w:rsidRPr="00FF1636" w:rsidRDefault="00B20C7A" w:rsidP="006054E0">
      <w:pPr>
        <w:pStyle w:val="Paragraph"/>
      </w:pPr>
      <w:r>
        <w:t>Ten</w:t>
      </w:r>
      <w:r w:rsidRPr="00FF1636">
        <w:t xml:space="preserve"> </w:t>
      </w:r>
      <w:r w:rsidR="000A7ED7" w:rsidRPr="00FF1636">
        <w:t xml:space="preserve">submissions commented on the proposed changes to the </w:t>
      </w:r>
      <w:r w:rsidR="000D2456">
        <w:t>3400</w:t>
      </w:r>
      <w:r w:rsidR="00406C72">
        <w:t>–</w:t>
      </w:r>
      <w:r w:rsidR="000D2456">
        <w:t xml:space="preserve">3800 MHz spectrum licence </w:t>
      </w:r>
      <w:r w:rsidR="000A7ED7" w:rsidRPr="00FF1636">
        <w:t>technical framework</w:t>
      </w:r>
      <w:r w:rsidR="000A7ED7" w:rsidRPr="00D8354C">
        <w:t>.</w:t>
      </w:r>
      <w:r w:rsidR="000A7ED7" w:rsidRPr="00FF1636">
        <w:t xml:space="preserve"> Submissions were generally supportive of the proposals</w:t>
      </w:r>
      <w:r w:rsidR="000A7ED7">
        <w:t xml:space="preserve">, but there were some </w:t>
      </w:r>
      <w:r w:rsidR="00406C72">
        <w:t xml:space="preserve">other </w:t>
      </w:r>
      <w:r w:rsidR="000A7ED7">
        <w:t xml:space="preserve">substantive proposals </w:t>
      </w:r>
      <w:r w:rsidR="00406C72">
        <w:t xml:space="preserve">offered </w:t>
      </w:r>
      <w:r w:rsidR="000A7ED7">
        <w:t>and editorial suggestions.</w:t>
      </w:r>
    </w:p>
    <w:p w14:paraId="5F60FEDC" w14:textId="0F747DC0" w:rsidR="00552598" w:rsidRPr="00F73689" w:rsidRDefault="00552598" w:rsidP="009158EF">
      <w:pPr>
        <w:pStyle w:val="Heading4"/>
      </w:pPr>
      <w:r w:rsidRPr="00F73689">
        <w:t>Coexistence of radio altimeters with wireless broadband</w:t>
      </w:r>
    </w:p>
    <w:p w14:paraId="40EAB6D6" w14:textId="69C44234" w:rsidR="0070754B" w:rsidRPr="00FF1636" w:rsidRDefault="00D37179" w:rsidP="00D90DFA">
      <w:pPr>
        <w:pStyle w:val="Paragraph"/>
      </w:pPr>
      <w:r w:rsidRPr="00FF1636">
        <w:t>A summary of submissions as well as the outcomes of the consultation are provided in</w:t>
      </w:r>
      <w:r w:rsidR="00406C72">
        <w:t xml:space="preserve"> the</w:t>
      </w:r>
      <w:r w:rsidRPr="00FF1636">
        <w:t xml:space="preserve"> </w:t>
      </w:r>
      <w:hyperlink r:id="rId56" w:history="1">
        <w:r w:rsidR="00406C72">
          <w:rPr>
            <w:rStyle w:val="Hyperlink"/>
            <w:i/>
          </w:rPr>
          <w:t>Wireless broadband and radio altimeter coexistence</w:t>
        </w:r>
        <w:r w:rsidR="00406C72" w:rsidRPr="009158EF">
          <w:rPr>
            <w:rStyle w:val="Hyperlink"/>
          </w:rPr>
          <w:t xml:space="preserve"> </w:t>
        </w:r>
        <w:r w:rsidR="00406C72" w:rsidRPr="009158EF">
          <w:rPr>
            <w:rStyle w:val="Hyperlink"/>
            <w:iCs/>
          </w:rPr>
          <w:t>outcomes paper</w:t>
        </w:r>
      </w:hyperlink>
      <w:r w:rsidRPr="00FF1636">
        <w:rPr>
          <w:i/>
        </w:rPr>
        <w:t xml:space="preserve"> </w:t>
      </w:r>
      <w:r w:rsidRPr="00FF1636">
        <w:t>(th</w:t>
      </w:r>
      <w:r w:rsidRPr="00E42EE1">
        <w:t>e RA outcomes paper).</w:t>
      </w:r>
    </w:p>
    <w:p w14:paraId="52E38A2D" w14:textId="4A1D2843" w:rsidR="0070754B" w:rsidRPr="00406C72" w:rsidRDefault="00266D2A" w:rsidP="009158EF">
      <w:pPr>
        <w:pStyle w:val="Heading4"/>
      </w:pPr>
      <w:r w:rsidRPr="00406C72">
        <w:t xml:space="preserve">Technical conditions on </w:t>
      </w:r>
      <w:r w:rsidR="00230658" w:rsidRPr="00406C72">
        <w:t xml:space="preserve">the </w:t>
      </w:r>
      <w:r w:rsidR="0070754B" w:rsidRPr="00406C72">
        <w:t>spectrum licence</w:t>
      </w:r>
      <w:r w:rsidR="00C70330" w:rsidRPr="00406C72">
        <w:t xml:space="preserve"> (</w:t>
      </w:r>
      <w:r w:rsidR="000B1781" w:rsidRPr="00406C72">
        <w:t xml:space="preserve">as </w:t>
      </w:r>
      <w:r w:rsidR="00C70330" w:rsidRPr="00406C72">
        <w:t>detailed in the marketing plan)</w:t>
      </w:r>
    </w:p>
    <w:p w14:paraId="61E90D5D" w14:textId="7A86B7AE" w:rsidR="00266D2A" w:rsidRPr="00FF1636" w:rsidRDefault="00266D2A" w:rsidP="0048302D">
      <w:pPr>
        <w:pStyle w:val="Bulletlevel1"/>
      </w:pPr>
      <w:r w:rsidRPr="00FF1636">
        <w:t xml:space="preserve">Submissions identified </w:t>
      </w:r>
      <w:r w:rsidR="00660D4E" w:rsidRPr="00FF1636">
        <w:t>a possible</w:t>
      </w:r>
      <w:r w:rsidRPr="00FF1636">
        <w:t xml:space="preserve"> error</w:t>
      </w:r>
      <w:r w:rsidR="00454AC2" w:rsidRPr="00FF1636">
        <w:t xml:space="preserve"> to the spurious emission limits </w:t>
      </w:r>
      <w:r w:rsidR="001E3A21" w:rsidRPr="00FF1636">
        <w:t xml:space="preserve">detailed in </w:t>
      </w:r>
      <w:r w:rsidR="00661383" w:rsidRPr="00FF1636">
        <w:t>T</w:t>
      </w:r>
      <w:r w:rsidR="001E3A21" w:rsidRPr="00FF1636">
        <w:t xml:space="preserve">able </w:t>
      </w:r>
      <w:r w:rsidR="00661383" w:rsidRPr="00FF1636">
        <w:t xml:space="preserve">4 at Schedule 6 </w:t>
      </w:r>
      <w:r w:rsidR="00EC424F" w:rsidRPr="00FF1636">
        <w:t xml:space="preserve">of the Marketing Plan. </w:t>
      </w:r>
      <w:r w:rsidR="00665044" w:rsidRPr="00FF1636">
        <w:t xml:space="preserve">3GPP specifications define a limit of </w:t>
      </w:r>
      <w:r w:rsidR="00406C72">
        <w:noBreakHyphen/>
      </w:r>
      <w:r w:rsidR="00665044" w:rsidRPr="00FF1636">
        <w:t xml:space="preserve">30 dBm/MHz </w:t>
      </w:r>
      <w:r w:rsidR="00660D4E" w:rsidRPr="00FF1636">
        <w:t>for spurious emission</w:t>
      </w:r>
      <w:r w:rsidR="00406C72">
        <w:t>s</w:t>
      </w:r>
      <w:r w:rsidR="00660D4E" w:rsidRPr="00FF1636">
        <w:t xml:space="preserve"> </w:t>
      </w:r>
      <w:r w:rsidR="00665044" w:rsidRPr="00FF1636">
        <w:t xml:space="preserve">in the </w:t>
      </w:r>
      <w:r w:rsidR="00660D4E" w:rsidRPr="00FF1636">
        <w:t>1</w:t>
      </w:r>
      <w:r w:rsidR="00406C72">
        <w:t>–</w:t>
      </w:r>
      <w:r w:rsidR="00660D4E" w:rsidRPr="00FF1636">
        <w:t xml:space="preserve">19 GHz frequency range. However, </w:t>
      </w:r>
      <w:r w:rsidR="00CB01CB" w:rsidRPr="00FF1636">
        <w:t>T</w:t>
      </w:r>
      <w:r w:rsidR="00660D4E" w:rsidRPr="00FF1636">
        <w:t xml:space="preserve">able 4 </w:t>
      </w:r>
      <w:r w:rsidR="00CB01CB" w:rsidRPr="00FF1636">
        <w:t xml:space="preserve">specified </w:t>
      </w:r>
      <w:r w:rsidR="00660D4E" w:rsidRPr="00FF1636">
        <w:t xml:space="preserve">a limit of -36 dBm/MHz. </w:t>
      </w:r>
    </w:p>
    <w:p w14:paraId="1AE4A28A" w14:textId="7588BB1E" w:rsidR="00E0131E" w:rsidRPr="00FF1636" w:rsidRDefault="00DD63D9" w:rsidP="0048302D">
      <w:pPr>
        <w:pStyle w:val="Bulletlevel1"/>
      </w:pPr>
      <w:r>
        <w:t>The mobile industry</w:t>
      </w:r>
      <w:r w:rsidR="00E0131E" w:rsidRPr="00FF1636">
        <w:t xml:space="preserve"> supported the ACMA’s preferred approach to not include </w:t>
      </w:r>
      <w:r w:rsidR="00D15773" w:rsidRPr="00FF1636">
        <w:t xml:space="preserve">the clause in Licence Schedule 4 of the sample </w:t>
      </w:r>
      <w:r w:rsidR="0075737A" w:rsidRPr="00FF1636">
        <w:t>licence</w:t>
      </w:r>
      <w:r w:rsidR="00586DCF" w:rsidRPr="00FF1636">
        <w:t xml:space="preserve"> </w:t>
      </w:r>
      <w:r w:rsidR="00406C72">
        <w:t>that</w:t>
      </w:r>
      <w:r w:rsidR="00406C72" w:rsidRPr="00FF1636">
        <w:t xml:space="preserve"> </w:t>
      </w:r>
      <w:r w:rsidR="006C0A54" w:rsidRPr="00FF1636">
        <w:t>reference</w:t>
      </w:r>
      <w:r w:rsidR="00B771CC" w:rsidRPr="00FF1636">
        <w:t>s</w:t>
      </w:r>
      <w:r w:rsidR="006C0A54" w:rsidRPr="00FF1636">
        <w:t xml:space="preserve"> </w:t>
      </w:r>
      <w:r w:rsidR="00406C72">
        <w:t xml:space="preserve">the </w:t>
      </w:r>
      <w:r w:rsidR="006C0A54" w:rsidRPr="00FF1636">
        <w:t>proposed new Part 13 of</w:t>
      </w:r>
      <w:r w:rsidR="000F2E0A" w:rsidRPr="00FF1636">
        <w:t xml:space="preserve"> the</w:t>
      </w:r>
      <w:r w:rsidR="006C0A54" w:rsidRPr="00FF1636">
        <w:t xml:space="preserve"> </w:t>
      </w:r>
      <w:hyperlink r:id="rId57" w:history="1">
        <w:r w:rsidR="0038243E" w:rsidRPr="0048302D">
          <w:rPr>
            <w:rStyle w:val="Hyperlink"/>
          </w:rPr>
          <w:t>Radiocommunications Advisory Guidelines (Managing Interference from Spectrum Licensed Transmitters – 3.4 GHz Band) 2015</w:t>
        </w:r>
      </w:hyperlink>
      <w:r w:rsidR="0038243E" w:rsidRPr="00FF1636">
        <w:t xml:space="preserve"> (‘RAG Tx’)</w:t>
      </w:r>
      <w:r w:rsidR="000F2E0A" w:rsidRPr="00FF1636">
        <w:t>. The</w:t>
      </w:r>
      <w:r w:rsidR="00366FED" w:rsidRPr="00FF1636">
        <w:t xml:space="preserve"> clause and </w:t>
      </w:r>
      <w:r w:rsidR="00707F45" w:rsidRPr="00FF1636">
        <w:t>new Part</w:t>
      </w:r>
      <w:r w:rsidR="00CB62EE" w:rsidRPr="00FF1636">
        <w:t xml:space="preserve"> provided</w:t>
      </w:r>
      <w:r w:rsidR="0075737A" w:rsidRPr="00FF1636">
        <w:t xml:space="preserve"> </w:t>
      </w:r>
      <w:r w:rsidR="00247EE2" w:rsidRPr="00FF1636">
        <w:t xml:space="preserve">guidance on the management of interference </w:t>
      </w:r>
      <w:r w:rsidR="00F45FA0" w:rsidRPr="00FF1636">
        <w:t>to aeronautical radionavigation services.</w:t>
      </w:r>
      <w:r w:rsidR="0026144C" w:rsidRPr="00FF1636">
        <w:t xml:space="preserve"> </w:t>
      </w:r>
      <w:r w:rsidR="00C265A9" w:rsidRPr="00FF1636">
        <w:t xml:space="preserve">It was </w:t>
      </w:r>
      <w:r w:rsidR="004F7701" w:rsidRPr="00FF1636">
        <w:t xml:space="preserve">argued </w:t>
      </w:r>
      <w:r w:rsidR="00406C72">
        <w:t xml:space="preserve">that </w:t>
      </w:r>
      <w:r w:rsidR="004F7701" w:rsidRPr="00FF1636">
        <w:t xml:space="preserve">there is no such clause </w:t>
      </w:r>
      <w:r w:rsidR="00CF1597" w:rsidRPr="00FF1636">
        <w:t>on</w:t>
      </w:r>
      <w:r w:rsidR="004F7701" w:rsidRPr="00FF1636">
        <w:t xml:space="preserve"> existing 3.4 GHz spectrum licences</w:t>
      </w:r>
      <w:r w:rsidR="00CF1597" w:rsidRPr="00FF1636">
        <w:t xml:space="preserve">. </w:t>
      </w:r>
      <w:r w:rsidR="00B10068" w:rsidRPr="00FF1636">
        <w:t>A</w:t>
      </w:r>
      <w:r w:rsidR="00CF1597" w:rsidRPr="00FF1636">
        <w:t>pply</w:t>
      </w:r>
      <w:r w:rsidR="00005361" w:rsidRPr="00FF1636">
        <w:t>ing</w:t>
      </w:r>
      <w:r w:rsidR="00CF1597" w:rsidRPr="00FF1636">
        <w:t xml:space="preserve"> it to new licences in the 3.7</w:t>
      </w:r>
      <w:r w:rsidR="00E42EE1">
        <w:t>–</w:t>
      </w:r>
      <w:r w:rsidR="00CF1597" w:rsidRPr="00FF1636">
        <w:t>3.8 GHz frequency range</w:t>
      </w:r>
      <w:r w:rsidR="00D453B3" w:rsidRPr="00FF1636">
        <w:t xml:space="preserve"> could impact any future spectrum licence defragmentation process. </w:t>
      </w:r>
      <w:r w:rsidR="00CF1597" w:rsidRPr="00FF1636">
        <w:t xml:space="preserve"> </w:t>
      </w:r>
      <w:r w:rsidR="004F7701" w:rsidRPr="00FF1636">
        <w:t xml:space="preserve"> </w:t>
      </w:r>
    </w:p>
    <w:p w14:paraId="062BD492" w14:textId="711DC3A3" w:rsidR="00FC4D43" w:rsidRPr="00FF1636" w:rsidRDefault="00DD63D9" w:rsidP="0048302D">
      <w:pPr>
        <w:pStyle w:val="Bulletlevel1last"/>
      </w:pPr>
      <w:r>
        <w:t xml:space="preserve">One </w:t>
      </w:r>
      <w:r w:rsidR="00097786">
        <w:t>submission</w:t>
      </w:r>
      <w:r w:rsidR="00097786" w:rsidRPr="00FF1636">
        <w:t xml:space="preserve"> </w:t>
      </w:r>
      <w:r w:rsidR="00DE198E" w:rsidRPr="00FF1636">
        <w:t xml:space="preserve">recommended that the synchronisation condition on the sample licence at Schedule 6 of the Marketing Plan </w:t>
      </w:r>
      <w:r w:rsidR="00E05200" w:rsidRPr="00FF1636">
        <w:t xml:space="preserve">be expanded to </w:t>
      </w:r>
      <w:r w:rsidR="00FC4D43" w:rsidRPr="00FF1636">
        <w:t xml:space="preserve">include reference to </w:t>
      </w:r>
      <w:r w:rsidR="00FE6546" w:rsidRPr="00FF1636">
        <w:t xml:space="preserve">3GPP specifications related to 5G. </w:t>
      </w:r>
      <w:r w:rsidR="00730DC1" w:rsidRPr="00FF1636">
        <w:t xml:space="preserve">This includes reference </w:t>
      </w:r>
      <w:r w:rsidR="008E4F31" w:rsidRPr="00FF1636">
        <w:t xml:space="preserve">to </w:t>
      </w:r>
      <w:r w:rsidR="003A6B67" w:rsidRPr="00FF1636">
        <w:t>a suitable</w:t>
      </w:r>
      <w:r w:rsidR="000D0BA2" w:rsidRPr="00FF1636">
        <w:t xml:space="preserve"> </w:t>
      </w:r>
      <w:r w:rsidR="00E156C0" w:rsidRPr="00FF1636">
        <w:t xml:space="preserve">5G </w:t>
      </w:r>
      <w:r w:rsidR="000D0BA2" w:rsidRPr="00FF1636">
        <w:t>special subframe configuration and uplink-downlink configuration case.</w:t>
      </w:r>
      <w:r w:rsidR="00730DC1" w:rsidRPr="00FF1636">
        <w:t xml:space="preserve"> </w:t>
      </w:r>
    </w:p>
    <w:p w14:paraId="6DE2235E" w14:textId="77777777" w:rsidR="005966AF" w:rsidRDefault="005966AF" w:rsidP="00EB368E">
      <w:pPr>
        <w:pStyle w:val="Heading4"/>
      </w:pPr>
      <w:r>
        <w:t>ACMA view</w:t>
      </w:r>
    </w:p>
    <w:p w14:paraId="34D6ADB6" w14:textId="77777777" w:rsidR="00406C72" w:rsidRDefault="00B5195E" w:rsidP="0048302D">
      <w:pPr>
        <w:pStyle w:val="Paragraph"/>
      </w:pPr>
      <w:r>
        <w:t xml:space="preserve">We note that </w:t>
      </w:r>
      <w:r w:rsidR="00DD7F5E">
        <w:t xml:space="preserve">submissions were generally supportive of the </w:t>
      </w:r>
      <w:r w:rsidR="00CD686F">
        <w:t>proposed</w:t>
      </w:r>
      <w:r w:rsidR="00BA3082">
        <w:t xml:space="preserve"> conditions on the spectrum licence.</w:t>
      </w:r>
      <w:r w:rsidR="00CD686F">
        <w:t xml:space="preserve"> </w:t>
      </w:r>
    </w:p>
    <w:p w14:paraId="1773D239" w14:textId="55EB0975" w:rsidR="005966AF" w:rsidRDefault="00BA3082" w:rsidP="0048302D">
      <w:pPr>
        <w:pStyle w:val="Paragraphbeforelist"/>
      </w:pPr>
      <w:r>
        <w:t xml:space="preserve">After considering </w:t>
      </w:r>
      <w:r w:rsidR="00D34379">
        <w:t xml:space="preserve">consultation </w:t>
      </w:r>
      <w:r>
        <w:t xml:space="preserve">submission </w:t>
      </w:r>
      <w:r w:rsidR="00A9387B">
        <w:t xml:space="preserve">we have decided to </w:t>
      </w:r>
      <w:r w:rsidR="005966AF">
        <w:t>adopt th</w:t>
      </w:r>
      <w:r w:rsidR="00A9387B">
        <w:t>ose</w:t>
      </w:r>
      <w:r w:rsidR="005966AF">
        <w:t xml:space="preserve"> technical conditions with the following changes:</w:t>
      </w:r>
    </w:p>
    <w:p w14:paraId="51549EF6" w14:textId="04300461" w:rsidR="005966AF" w:rsidRDefault="005966AF" w:rsidP="0048302D">
      <w:pPr>
        <w:pStyle w:val="Bulletlevel1"/>
      </w:pPr>
      <w:r>
        <w:t>The spurious emissions limit for the 1</w:t>
      </w:r>
      <w:r w:rsidR="00E42EE1">
        <w:t>–</w:t>
      </w:r>
      <w:r>
        <w:t>19 GHz frequency range in Table 4 at Schedule 6 of the Marketing Plan was corrected to align with 3GPP specifications.</w:t>
      </w:r>
    </w:p>
    <w:p w14:paraId="36631D6F" w14:textId="4124A028" w:rsidR="005966AF" w:rsidRDefault="005966AF" w:rsidP="0048302D">
      <w:pPr>
        <w:pStyle w:val="Bulletlevel1"/>
      </w:pPr>
      <w:r>
        <w:t xml:space="preserve">To align with decisions in the RA outcomes paper, the following </w:t>
      </w:r>
      <w:r w:rsidR="00E42EE1">
        <w:t xml:space="preserve">2 </w:t>
      </w:r>
      <w:r>
        <w:t xml:space="preserve">conditions are included at the end of Licence Schedule 4 of the sample spectrum licence: </w:t>
      </w:r>
    </w:p>
    <w:p w14:paraId="136CEB8A" w14:textId="4AD9FDB8" w:rsidR="005966AF" w:rsidRDefault="005966AF" w:rsidP="0048302D">
      <w:pPr>
        <w:pStyle w:val="Bulletlevel2"/>
      </w:pPr>
      <w:r>
        <w:t>Radiocommunications transmitters operating in the 3700–3800 MHz frequency range not to exceed a total EIRP of 72 dBm/5 MHz.</w:t>
      </w:r>
    </w:p>
    <w:p w14:paraId="5494DA28" w14:textId="3134301A" w:rsidR="005966AF" w:rsidRDefault="005966AF" w:rsidP="0048302D">
      <w:pPr>
        <w:pStyle w:val="Bulletlevel2last"/>
      </w:pPr>
      <w:r>
        <w:t xml:space="preserve">A spectrum licensee must provide protection in the manner set out in Part 13 of the </w:t>
      </w:r>
      <w:r w:rsidR="003102A1" w:rsidRPr="003102A1">
        <w:rPr>
          <w:iCs/>
        </w:rPr>
        <w:t>RAG Tx</w:t>
      </w:r>
      <w:r>
        <w:t xml:space="preserve">, or any instrument made under section 262 of the </w:t>
      </w:r>
      <w:r w:rsidR="00EE1EA9" w:rsidRPr="00C60907">
        <w:t xml:space="preserve">Radiocommunications </w:t>
      </w:r>
      <w:r>
        <w:t xml:space="preserve">Act that replaces those guidelines, as in force from time to time. In summary, spectrum licensees will be required to ensure that radiocommunications transmitters in the 3700–3800 MHz frequency range operate in a manner that is consistent with the requirements for </w:t>
      </w:r>
      <w:r w:rsidR="00E42EE1">
        <w:t>a</w:t>
      </w:r>
      <w:r>
        <w:t>rea-wide licences (AWL</w:t>
      </w:r>
      <w:r w:rsidR="00E42EE1">
        <w:t>s</w:t>
      </w:r>
      <w:r>
        <w:t xml:space="preserve">) under </w:t>
      </w:r>
      <w:hyperlink r:id="rId58" w:history="1">
        <w:r w:rsidRPr="00071B2C">
          <w:rPr>
            <w:rStyle w:val="Hyperlink"/>
          </w:rPr>
          <w:t>RALI MS47</w:t>
        </w:r>
      </w:hyperlink>
      <w:r>
        <w:t xml:space="preserve"> regarding radio altimeters. RALI MS47 describes interim mitigations for radio altimeters that apply until 31 March 2026.</w:t>
      </w:r>
    </w:p>
    <w:p w14:paraId="78D73026" w14:textId="77777777" w:rsidR="007F014D" w:rsidRDefault="005966AF" w:rsidP="0048302D">
      <w:pPr>
        <w:pStyle w:val="Paragraph"/>
      </w:pPr>
      <w:r>
        <w:t xml:space="preserve">We considered the proposal to include reference to 3GPP specifications related to 5G in the synchronisation condition at Licence Schedule 4 of the sample spectrum licence. However, it is our view that Note 1 associated with this condition already addresses this issue. Therefore, no changes are required. </w:t>
      </w:r>
    </w:p>
    <w:p w14:paraId="6D82263E" w14:textId="4DAB3BD4" w:rsidR="005966AF" w:rsidRDefault="00521CAD" w:rsidP="00E40721">
      <w:pPr>
        <w:pStyle w:val="Paragraph"/>
      </w:pPr>
      <w:r w:rsidRPr="00F73689">
        <w:lastRenderedPageBreak/>
        <w:t>To provide a consistent technical framework across the 3400</w:t>
      </w:r>
      <w:r w:rsidR="00E42EE1">
        <w:t>–</w:t>
      </w:r>
      <w:r w:rsidRPr="00F73689">
        <w:t xml:space="preserve">3800 MHz band, we </w:t>
      </w:r>
      <w:r w:rsidR="009F5AB4" w:rsidRPr="00F73689">
        <w:t xml:space="preserve">will </w:t>
      </w:r>
      <w:r w:rsidR="002A1B9A">
        <w:t xml:space="preserve">soon </w:t>
      </w:r>
      <w:r w:rsidR="009F5AB4" w:rsidRPr="00F73689">
        <w:t>seek to</w:t>
      </w:r>
      <w:r w:rsidR="00036A12" w:rsidRPr="00F73689">
        <w:t xml:space="preserve"> </w:t>
      </w:r>
      <w:r w:rsidR="00C06ECA" w:rsidRPr="00F73689">
        <w:t>update</w:t>
      </w:r>
      <w:r w:rsidR="003005E6" w:rsidRPr="00F73689">
        <w:t xml:space="preserve"> </w:t>
      </w:r>
      <w:r w:rsidR="00EA5D2E" w:rsidRPr="00F73689">
        <w:t>relevant technical conditions on</w:t>
      </w:r>
      <w:r w:rsidR="0039664A" w:rsidRPr="00F73689">
        <w:t xml:space="preserve"> </w:t>
      </w:r>
      <w:r w:rsidR="004D55B2" w:rsidRPr="00F73689">
        <w:t>existing 3400</w:t>
      </w:r>
      <w:r w:rsidR="00E42EE1">
        <w:t>–</w:t>
      </w:r>
      <w:r w:rsidR="004D55B2" w:rsidRPr="00F73689">
        <w:t>3800 MHz band spectrum licensees</w:t>
      </w:r>
      <w:r w:rsidR="00480D65" w:rsidRPr="00F73689">
        <w:t xml:space="preserve"> with agreement </w:t>
      </w:r>
      <w:r w:rsidR="00DD2A16" w:rsidRPr="00F73689">
        <w:t xml:space="preserve">from spectrum licensees </w:t>
      </w:r>
      <w:r w:rsidR="0074755A" w:rsidRPr="00F73689">
        <w:t xml:space="preserve">under section 72 of the </w:t>
      </w:r>
      <w:r w:rsidR="00EE1EA9" w:rsidRPr="00C60907">
        <w:t xml:space="preserve">Radiocommunications </w:t>
      </w:r>
      <w:r w:rsidR="0074755A" w:rsidRPr="00F73689">
        <w:t>Act</w:t>
      </w:r>
      <w:r w:rsidR="00C9397C" w:rsidRPr="00F73689">
        <w:t>.</w:t>
      </w:r>
      <w:r w:rsidR="00D533F4">
        <w:t xml:space="preserve"> </w:t>
      </w:r>
      <w:r w:rsidR="001F6177">
        <w:t xml:space="preserve">This will include </w:t>
      </w:r>
      <w:r w:rsidR="0094487A">
        <w:t>identified</w:t>
      </w:r>
      <w:r w:rsidR="001F6177" w:rsidRPr="00FB2462">
        <w:t xml:space="preserve"> </w:t>
      </w:r>
      <w:r w:rsidR="001F6177">
        <w:t xml:space="preserve">changes to </w:t>
      </w:r>
      <w:r w:rsidR="004A3B82">
        <w:t>core conditions</w:t>
      </w:r>
      <w:r w:rsidR="00E42EE1">
        <w:t>,</w:t>
      </w:r>
      <w:r w:rsidR="004A3B82">
        <w:t xml:space="preserve"> as well as other </w:t>
      </w:r>
      <w:r w:rsidR="00DC3424">
        <w:t xml:space="preserve">relevant </w:t>
      </w:r>
      <w:r w:rsidR="004A3B82">
        <w:t>conditions on the licence</w:t>
      </w:r>
      <w:r w:rsidR="00FB2462">
        <w:t xml:space="preserve"> to align with outcomes </w:t>
      </w:r>
      <w:r w:rsidR="00FB049E">
        <w:t>identified in this paper</w:t>
      </w:r>
      <w:r w:rsidR="004A3B82">
        <w:t xml:space="preserve">. </w:t>
      </w:r>
      <w:r w:rsidR="003E3A55">
        <w:t>It will not include band</w:t>
      </w:r>
      <w:r w:rsidR="00E42EE1">
        <w:t>-</w:t>
      </w:r>
      <w:r w:rsidR="003E3A55">
        <w:t>specific changes such as those identified for the 3700</w:t>
      </w:r>
      <w:r w:rsidR="00E42EE1">
        <w:t>–</w:t>
      </w:r>
      <w:r w:rsidR="003E3A55">
        <w:t xml:space="preserve">3800 MHz band </w:t>
      </w:r>
      <w:r w:rsidR="00E42EE1">
        <w:t>t</w:t>
      </w:r>
      <w:r w:rsidR="003E3A55">
        <w:t xml:space="preserve">o </w:t>
      </w:r>
      <w:r w:rsidR="002C2CC5">
        <w:t>manage</w:t>
      </w:r>
      <w:r w:rsidR="003E3A55">
        <w:t xml:space="preserve"> coexistence with </w:t>
      </w:r>
      <w:r w:rsidR="00F23B73">
        <w:t>radio altimeters.</w:t>
      </w:r>
      <w:r w:rsidR="003E3A55">
        <w:t xml:space="preserve"> </w:t>
      </w:r>
      <w:r w:rsidR="005966AF">
        <w:t xml:space="preserve"> </w:t>
      </w:r>
    </w:p>
    <w:p w14:paraId="61BE8FEF" w14:textId="1AE191AC" w:rsidR="0070754B" w:rsidRPr="00FF1636" w:rsidRDefault="00BD04F9" w:rsidP="00792585">
      <w:pPr>
        <w:pStyle w:val="Heading4"/>
        <w:keepNext/>
      </w:pPr>
      <w:r w:rsidRPr="00FF1636">
        <w:t>The u</w:t>
      </w:r>
      <w:r w:rsidR="0070754B" w:rsidRPr="00FF1636">
        <w:t xml:space="preserve">nacceptable levels of interference </w:t>
      </w:r>
      <w:r w:rsidR="0070754B" w:rsidRPr="00E42EE1">
        <w:t>determination</w:t>
      </w:r>
      <w:r w:rsidR="0070754B" w:rsidRPr="00FF1636">
        <w:t xml:space="preserve"> </w:t>
      </w:r>
    </w:p>
    <w:p w14:paraId="66A4B856" w14:textId="11434CCB" w:rsidR="0070754B" w:rsidRPr="00FF1636" w:rsidRDefault="000D0333" w:rsidP="00792585">
      <w:pPr>
        <w:pStyle w:val="Paragraph"/>
      </w:pPr>
      <w:r w:rsidRPr="00FF1636">
        <w:t>Submissions were supportive of the changes proposed</w:t>
      </w:r>
      <w:r w:rsidR="003528BB" w:rsidRPr="00FF1636">
        <w:t>.</w:t>
      </w:r>
      <w:r w:rsidRPr="00FF1636">
        <w:t xml:space="preserve"> </w:t>
      </w:r>
      <w:r w:rsidR="0049036D" w:rsidRPr="00FF1636">
        <w:t>No alternative proposals were made.</w:t>
      </w:r>
    </w:p>
    <w:p w14:paraId="6A407529" w14:textId="77777777" w:rsidR="00034A49" w:rsidRPr="00F73689" w:rsidRDefault="00034A49" w:rsidP="00792585">
      <w:pPr>
        <w:pStyle w:val="Heading4"/>
      </w:pPr>
      <w:r w:rsidRPr="00F73689">
        <w:t>ACMA view</w:t>
      </w:r>
    </w:p>
    <w:p w14:paraId="3B8FE176" w14:textId="6E9A6832" w:rsidR="00091F15" w:rsidRPr="00792585" w:rsidRDefault="00034A49" w:rsidP="00792585">
      <w:pPr>
        <w:ind w:right="16"/>
        <w:rPr>
          <w:rStyle w:val="ParagraphChar"/>
        </w:rPr>
      </w:pPr>
      <w:r>
        <w:rPr>
          <w:rFonts w:cs="Arial"/>
        </w:rPr>
        <w:t>W</w:t>
      </w:r>
      <w:r w:rsidRPr="00071D89">
        <w:rPr>
          <w:rFonts w:cs="Arial"/>
        </w:rPr>
        <w:t xml:space="preserve">e have </w:t>
      </w:r>
      <w:r w:rsidRPr="00792585">
        <w:rPr>
          <w:rStyle w:val="ParagraphChar"/>
        </w:rPr>
        <w:t xml:space="preserve">made the Radiocommunications (Unacceptable Levels of </w:t>
      </w:r>
      <w:r w:rsidR="00E42EE1" w:rsidRPr="00792585">
        <w:rPr>
          <w:rStyle w:val="ParagraphChar"/>
        </w:rPr>
        <w:t>Interference</w:t>
      </w:r>
      <w:r w:rsidR="00E42EE1">
        <w:rPr>
          <w:rStyle w:val="ParagraphChar"/>
        </w:rPr>
        <w:t xml:space="preserve"> </w:t>
      </w:r>
      <w:r w:rsidRPr="00792585">
        <w:rPr>
          <w:rStyle w:val="ParagraphChar"/>
        </w:rPr>
        <w:t>– 3.</w:t>
      </w:r>
      <w:r w:rsidR="00E42EE1" w:rsidRPr="00792585">
        <w:rPr>
          <w:rStyle w:val="ParagraphChar"/>
        </w:rPr>
        <w:t>4</w:t>
      </w:r>
      <w:r w:rsidR="00E42EE1">
        <w:rPr>
          <w:rStyle w:val="ParagraphChar"/>
        </w:rPr>
        <w:t> </w:t>
      </w:r>
      <w:r w:rsidRPr="00792585">
        <w:rPr>
          <w:rStyle w:val="ParagraphChar"/>
        </w:rPr>
        <w:t xml:space="preserve">GHz Band) Amendment Determination 2023 (No. 1) as consulted. </w:t>
      </w:r>
    </w:p>
    <w:p w14:paraId="5840A663" w14:textId="278F3278" w:rsidR="0070754B" w:rsidRPr="00FF1636" w:rsidRDefault="0070754B" w:rsidP="00792585">
      <w:pPr>
        <w:pStyle w:val="Heading4"/>
      </w:pPr>
      <w:r w:rsidRPr="00FF1636">
        <w:t xml:space="preserve">Managing interference from spectrum-licensed transmitters </w:t>
      </w:r>
    </w:p>
    <w:p w14:paraId="51995962" w14:textId="689DC4F6" w:rsidR="004A69A9" w:rsidRPr="00E42EE1" w:rsidRDefault="0085099D" w:rsidP="00E42EE1">
      <w:pPr>
        <w:pStyle w:val="Bulletlevel1"/>
      </w:pPr>
      <w:r w:rsidRPr="00FF1636">
        <w:t xml:space="preserve">The </w:t>
      </w:r>
      <w:r w:rsidR="00DD63D9" w:rsidRPr="00F1044A">
        <w:t xml:space="preserve">satellite </w:t>
      </w:r>
      <w:r w:rsidR="00DD63D9" w:rsidRPr="00E42EE1">
        <w:t>industry</w:t>
      </w:r>
      <w:r w:rsidRPr="00E42EE1">
        <w:t xml:space="preserve"> </w:t>
      </w:r>
      <w:r w:rsidR="00595447" w:rsidRPr="00E42EE1">
        <w:t xml:space="preserve">continues to have concerns </w:t>
      </w:r>
      <w:r w:rsidR="008953EE" w:rsidRPr="00E42EE1">
        <w:t>about</w:t>
      </w:r>
      <w:r w:rsidR="00595447" w:rsidRPr="00E42EE1">
        <w:t xml:space="preserve"> ongoing access to the satellite C-band</w:t>
      </w:r>
      <w:r w:rsidR="00EF3726" w:rsidRPr="00E42EE1">
        <w:t xml:space="preserve"> downlink spectrum in Australia. </w:t>
      </w:r>
      <w:r w:rsidR="00E42EE1">
        <w:t>They</w:t>
      </w:r>
      <w:r w:rsidR="00E42EE1" w:rsidRPr="00E42EE1">
        <w:t xml:space="preserve"> </w:t>
      </w:r>
      <w:r w:rsidR="00EF3726" w:rsidRPr="00E42EE1">
        <w:t xml:space="preserve">raised </w:t>
      </w:r>
      <w:r w:rsidR="0046581B" w:rsidRPr="00E42EE1">
        <w:t xml:space="preserve">further </w:t>
      </w:r>
      <w:r w:rsidR="00EF3726" w:rsidRPr="00E42EE1">
        <w:t xml:space="preserve">concerns </w:t>
      </w:r>
      <w:r w:rsidR="00E42EE1">
        <w:t>about</w:t>
      </w:r>
      <w:r w:rsidR="00E42EE1" w:rsidRPr="00E42EE1">
        <w:t xml:space="preserve"> </w:t>
      </w:r>
      <w:r w:rsidR="00EF3726" w:rsidRPr="00E42EE1">
        <w:t xml:space="preserve">the </w:t>
      </w:r>
      <w:r w:rsidR="00482F58" w:rsidRPr="00E42EE1">
        <w:t xml:space="preserve">assumed filtering </w:t>
      </w:r>
      <w:r w:rsidR="00860394" w:rsidRPr="00E42EE1">
        <w:t>apply</w:t>
      </w:r>
      <w:r w:rsidR="00E42EE1">
        <w:t>ing</w:t>
      </w:r>
      <w:r w:rsidR="00EB40FF" w:rsidRPr="00E42EE1">
        <w:t xml:space="preserve"> </w:t>
      </w:r>
      <w:r w:rsidR="00860394" w:rsidRPr="00E42EE1">
        <w:t xml:space="preserve">to </w:t>
      </w:r>
      <w:r w:rsidR="007A35BC" w:rsidRPr="00E42EE1">
        <w:t>all earth rec</w:t>
      </w:r>
      <w:r w:rsidR="00860394" w:rsidRPr="00E42EE1">
        <w:t>ei</w:t>
      </w:r>
      <w:r w:rsidR="007A35BC" w:rsidRPr="00E42EE1">
        <w:t>v</w:t>
      </w:r>
      <w:r w:rsidR="00795333" w:rsidRPr="00E42EE1">
        <w:t>e</w:t>
      </w:r>
      <w:r w:rsidR="007A35BC" w:rsidRPr="00E42EE1">
        <w:t xml:space="preserve"> stations licensed on</w:t>
      </w:r>
      <w:r w:rsidR="00E42EE1">
        <w:t>,</w:t>
      </w:r>
      <w:r w:rsidR="007A35BC" w:rsidRPr="00E42EE1">
        <w:t xml:space="preserve"> or after</w:t>
      </w:r>
      <w:r w:rsidR="00E42EE1">
        <w:t>,</w:t>
      </w:r>
      <w:r w:rsidR="007A35BC" w:rsidRPr="00E42EE1">
        <w:t xml:space="preserve"> 16 July 2022</w:t>
      </w:r>
      <w:r w:rsidR="000A5BCD" w:rsidRPr="00E42EE1">
        <w:t xml:space="preserve">, </w:t>
      </w:r>
      <w:r w:rsidR="004A44A0" w:rsidRPr="00E42EE1">
        <w:t xml:space="preserve">which is the date of effect for </w:t>
      </w:r>
      <w:r w:rsidR="00F1044A" w:rsidRPr="00E42EE1">
        <w:t>the re-allocation declaration.</w:t>
      </w:r>
      <w:r w:rsidR="00795333" w:rsidRPr="00E42EE1">
        <w:t xml:space="preserve"> </w:t>
      </w:r>
      <w:r w:rsidR="00812DD5" w:rsidRPr="00E42EE1">
        <w:t>The satellite industry</w:t>
      </w:r>
      <w:r w:rsidR="00DD66B3" w:rsidRPr="00E42EE1">
        <w:t xml:space="preserve"> </w:t>
      </w:r>
      <w:r w:rsidR="00390622" w:rsidRPr="00E42EE1">
        <w:t xml:space="preserve">argued </w:t>
      </w:r>
      <w:r w:rsidR="00401A17" w:rsidRPr="00E42EE1">
        <w:t>that operators</w:t>
      </w:r>
      <w:r w:rsidR="00390622" w:rsidRPr="00E42EE1">
        <w:t xml:space="preserve"> should</w:t>
      </w:r>
      <w:r w:rsidR="00401A17" w:rsidRPr="00E42EE1">
        <w:t xml:space="preserve"> be given reasonable time to </w:t>
      </w:r>
      <w:r w:rsidR="003A139D" w:rsidRPr="00E42EE1">
        <w:t>source and install</w:t>
      </w:r>
      <w:r w:rsidR="00401A17" w:rsidRPr="00E42EE1">
        <w:t xml:space="preserve"> </w:t>
      </w:r>
      <w:r w:rsidR="002A6653" w:rsidRPr="00E42EE1">
        <w:t>customised</w:t>
      </w:r>
      <w:r w:rsidR="006F6514" w:rsidRPr="00E42EE1">
        <w:t xml:space="preserve"> </w:t>
      </w:r>
      <w:r w:rsidR="00186221" w:rsidRPr="00E42EE1">
        <w:t xml:space="preserve">filters </w:t>
      </w:r>
      <w:r w:rsidR="002A6653" w:rsidRPr="00E42EE1">
        <w:t xml:space="preserve">before the </w:t>
      </w:r>
      <w:r w:rsidR="00186221" w:rsidRPr="00E42EE1">
        <w:t xml:space="preserve">upper frequency filter limit </w:t>
      </w:r>
      <w:r w:rsidR="002A6653" w:rsidRPr="00E42EE1">
        <w:t xml:space="preserve">is assumed for coordination purposes. </w:t>
      </w:r>
      <w:r w:rsidR="006832C8" w:rsidRPr="00E42EE1">
        <w:t>It</w:t>
      </w:r>
      <w:r w:rsidR="00390622" w:rsidRPr="00E42EE1">
        <w:t xml:space="preserve"> recommended</w:t>
      </w:r>
      <w:r w:rsidR="006832C8" w:rsidRPr="00E42EE1">
        <w:t xml:space="preserve"> that the upper filter limits should </w:t>
      </w:r>
      <w:r w:rsidR="00650D78" w:rsidRPr="00E42EE1">
        <w:t xml:space="preserve">apply after 16 July 2027. </w:t>
      </w:r>
    </w:p>
    <w:p w14:paraId="476A77C4" w14:textId="6B25C319" w:rsidR="0085099D" w:rsidRPr="00E42EE1" w:rsidRDefault="00812DD5" w:rsidP="00792585">
      <w:pPr>
        <w:pStyle w:val="Bulletlevel1"/>
      </w:pPr>
      <w:r w:rsidRPr="00E42EE1">
        <w:t>The mobile industry</w:t>
      </w:r>
      <w:r w:rsidR="0056371B" w:rsidRPr="00E42EE1">
        <w:t xml:space="preserve"> </w:t>
      </w:r>
      <w:r w:rsidR="009D3F5A" w:rsidRPr="00E42EE1">
        <w:t xml:space="preserve">proposed adopting </w:t>
      </w:r>
      <w:r w:rsidR="007F42D1" w:rsidRPr="00E42EE1">
        <w:t>a</w:t>
      </w:r>
      <w:r w:rsidR="009D3F5A" w:rsidRPr="00E42EE1">
        <w:t xml:space="preserve"> </w:t>
      </w:r>
      <w:r w:rsidR="00884334" w:rsidRPr="00E42EE1">
        <w:t xml:space="preserve">more stringent </w:t>
      </w:r>
      <w:r w:rsidR="003458F0" w:rsidRPr="00E42EE1">
        <w:t xml:space="preserve">earth station </w:t>
      </w:r>
      <w:r w:rsidR="001D7CF7" w:rsidRPr="00E42EE1">
        <w:t xml:space="preserve">filter </w:t>
      </w:r>
      <w:r w:rsidR="003458F0" w:rsidRPr="00E42EE1">
        <w:t>implemented</w:t>
      </w:r>
      <w:r w:rsidR="009D0AA8" w:rsidRPr="00E42EE1">
        <w:t xml:space="preserve"> by the </w:t>
      </w:r>
      <w:r w:rsidR="00505A1A" w:rsidRPr="00E42EE1">
        <w:t xml:space="preserve">US </w:t>
      </w:r>
      <w:r w:rsidR="006136E2" w:rsidRPr="00E42EE1">
        <w:t>Federal Communications Commission (</w:t>
      </w:r>
      <w:r w:rsidR="009D0AA8" w:rsidRPr="00E42EE1">
        <w:t>FCC</w:t>
      </w:r>
      <w:r w:rsidR="006136E2" w:rsidRPr="00E42EE1">
        <w:t>)</w:t>
      </w:r>
      <w:r w:rsidR="003458F0" w:rsidRPr="00E42EE1">
        <w:t xml:space="preserve"> in 2020</w:t>
      </w:r>
      <w:r w:rsidR="00236CF2" w:rsidRPr="00E42EE1">
        <w:t xml:space="preserve"> below 3820 MHz</w:t>
      </w:r>
      <w:r w:rsidR="003458F0" w:rsidRPr="00E42EE1">
        <w:t>.</w:t>
      </w:r>
      <w:r w:rsidR="00CC41FA" w:rsidRPr="00E42EE1">
        <w:t xml:space="preserve"> </w:t>
      </w:r>
      <w:r w:rsidR="003D5FB8" w:rsidRPr="00E42EE1">
        <w:t xml:space="preserve">They argued this represents </w:t>
      </w:r>
      <w:r w:rsidR="001236DC" w:rsidRPr="00E42EE1">
        <w:t>modern filter capabilities that are in use by the satellite industry</w:t>
      </w:r>
      <w:r w:rsidR="0046581B">
        <w:t xml:space="preserve"> and</w:t>
      </w:r>
      <w:r w:rsidR="0019500E" w:rsidRPr="00E42EE1">
        <w:t xml:space="preserve"> indicated that</w:t>
      </w:r>
      <w:r w:rsidR="00391A56" w:rsidRPr="00E42EE1">
        <w:t xml:space="preserve"> </w:t>
      </w:r>
      <w:r w:rsidR="00B64428" w:rsidRPr="00E42EE1">
        <w:t>adopting th</w:t>
      </w:r>
      <w:r w:rsidR="00842F8D" w:rsidRPr="00E42EE1">
        <w:t>e str</w:t>
      </w:r>
      <w:r w:rsidR="0086748E" w:rsidRPr="00E42EE1">
        <w:t xml:space="preserve">icter filter </w:t>
      </w:r>
      <w:r w:rsidR="00391A56" w:rsidRPr="00E42EE1">
        <w:t>would</w:t>
      </w:r>
      <w:r w:rsidR="0085632E" w:rsidRPr="00E42EE1">
        <w:t xml:space="preserve"> </w:t>
      </w:r>
      <w:r w:rsidR="00715094" w:rsidRPr="00E42EE1">
        <w:t xml:space="preserve">reduce </w:t>
      </w:r>
      <w:r w:rsidR="002B2B01" w:rsidRPr="00E42EE1">
        <w:t xml:space="preserve">the size of exclusion zones and </w:t>
      </w:r>
      <w:r w:rsidR="0085632E" w:rsidRPr="00E42EE1">
        <w:t xml:space="preserve">improve </w:t>
      </w:r>
      <w:r w:rsidR="00FE383F" w:rsidRPr="00E42EE1">
        <w:t xml:space="preserve">utility of the </w:t>
      </w:r>
      <w:r w:rsidR="00DF4FA0" w:rsidRPr="00E42EE1">
        <w:t>adjacent spectrum licence space.</w:t>
      </w:r>
      <w:r w:rsidR="001236DC" w:rsidRPr="00E42EE1">
        <w:t xml:space="preserve"> </w:t>
      </w:r>
    </w:p>
    <w:p w14:paraId="076F1EDA" w14:textId="670B0F8B" w:rsidR="003E04B4" w:rsidRPr="00E42EE1" w:rsidRDefault="00812DD5" w:rsidP="00792585">
      <w:pPr>
        <w:pStyle w:val="Bulletlevel1"/>
      </w:pPr>
      <w:r w:rsidRPr="00E42EE1">
        <w:t xml:space="preserve">One </w:t>
      </w:r>
      <w:r w:rsidR="0046581B" w:rsidRPr="00E42EE1">
        <w:t>submi</w:t>
      </w:r>
      <w:r w:rsidR="0046581B">
        <w:t>ssion</w:t>
      </w:r>
      <w:r w:rsidR="0046581B" w:rsidRPr="00E42EE1">
        <w:t xml:space="preserve"> </w:t>
      </w:r>
      <w:r w:rsidR="00711974" w:rsidRPr="00E42EE1">
        <w:t>requested that</w:t>
      </w:r>
      <w:r w:rsidR="003E04B4" w:rsidRPr="00E42EE1">
        <w:t xml:space="preserve"> </w:t>
      </w:r>
      <w:r w:rsidR="0098169A" w:rsidRPr="00E42EE1">
        <w:t xml:space="preserve">a note be added to the end of </w:t>
      </w:r>
      <w:r w:rsidR="003E04B4" w:rsidRPr="00E42EE1">
        <w:t>Subsection 4.3 (4)</w:t>
      </w:r>
      <w:r w:rsidR="0098169A" w:rsidRPr="00E42EE1">
        <w:t xml:space="preserve"> </w:t>
      </w:r>
      <w:r w:rsidR="00C9776B" w:rsidRPr="00E42EE1">
        <w:t xml:space="preserve">stating </w:t>
      </w:r>
      <w:r w:rsidR="006E021B" w:rsidRPr="00E42EE1">
        <w:t xml:space="preserve">that </w:t>
      </w:r>
      <w:r w:rsidR="00122E00" w:rsidRPr="00E42EE1">
        <w:t>within the re-allocat</w:t>
      </w:r>
      <w:r w:rsidR="008B4360" w:rsidRPr="00E42EE1">
        <w:t>ed</w:t>
      </w:r>
      <w:r w:rsidR="00122E00" w:rsidRPr="00E42EE1">
        <w:t xml:space="preserve"> spectrum space, </w:t>
      </w:r>
      <w:r w:rsidR="006E021B" w:rsidRPr="00E42EE1">
        <w:t xml:space="preserve">earth stations will not be permitted to </w:t>
      </w:r>
      <w:r w:rsidR="007D07F8" w:rsidRPr="00E42EE1">
        <w:t>continue operating or establish new operations after the re-allocation period</w:t>
      </w:r>
      <w:r w:rsidR="00122E00" w:rsidRPr="00E42EE1">
        <w:t xml:space="preserve"> has ended.</w:t>
      </w:r>
      <w:r w:rsidR="00D54FDF" w:rsidRPr="00E42EE1">
        <w:t xml:space="preserve"> </w:t>
      </w:r>
      <w:r w:rsidR="003E04B4" w:rsidRPr="00E42EE1">
        <w:t xml:space="preserve"> </w:t>
      </w:r>
    </w:p>
    <w:p w14:paraId="53CD8396" w14:textId="0C88FC7A" w:rsidR="00853029" w:rsidRPr="00FF1636" w:rsidRDefault="00E535F8" w:rsidP="00792585">
      <w:pPr>
        <w:pStyle w:val="Bulletlevel1"/>
      </w:pPr>
      <w:r>
        <w:t xml:space="preserve">One </w:t>
      </w:r>
      <w:r w:rsidR="0046581B">
        <w:t>submission</w:t>
      </w:r>
      <w:r w:rsidR="0046581B" w:rsidRPr="00FF1636">
        <w:t xml:space="preserve"> </w:t>
      </w:r>
      <w:r w:rsidR="00927EBD" w:rsidRPr="00FF1636">
        <w:t xml:space="preserve">proposed </w:t>
      </w:r>
      <w:r w:rsidR="0025257D" w:rsidRPr="00FF1636">
        <w:t xml:space="preserve">adding the word ‘incumbent’ or ‘legacy’ </w:t>
      </w:r>
      <w:r w:rsidR="00362344" w:rsidRPr="00FF1636">
        <w:t>before the term ‘broadband wireless access</w:t>
      </w:r>
      <w:r w:rsidR="00377B34" w:rsidRPr="00FF1636">
        <w:t>’</w:t>
      </w:r>
      <w:r w:rsidR="00362344" w:rsidRPr="00FF1636">
        <w:t xml:space="preserve"> (BWA) services in section 5.1</w:t>
      </w:r>
      <w:r w:rsidR="008266FC" w:rsidRPr="00FF1636">
        <w:t xml:space="preserve">. This is to differentiate </w:t>
      </w:r>
      <w:r w:rsidR="00C068D6" w:rsidRPr="00FF1636">
        <w:t>these services</w:t>
      </w:r>
      <w:r w:rsidR="008266FC" w:rsidRPr="00FF1636">
        <w:t xml:space="preserve"> from newer </w:t>
      </w:r>
      <w:r w:rsidR="0046581B">
        <w:t>WBB</w:t>
      </w:r>
      <w:r w:rsidR="008266FC" w:rsidRPr="00FF1636">
        <w:t xml:space="preserve"> services to be authorised under AWLs.</w:t>
      </w:r>
    </w:p>
    <w:p w14:paraId="433C1A6D" w14:textId="243D960D" w:rsidR="0070754B" w:rsidRDefault="00E535F8" w:rsidP="00792585">
      <w:pPr>
        <w:pStyle w:val="Bulletlevel1last"/>
      </w:pPr>
      <w:r>
        <w:t xml:space="preserve">One </w:t>
      </w:r>
      <w:r w:rsidR="0046581B">
        <w:t>submission</w:t>
      </w:r>
      <w:r w:rsidR="0046581B" w:rsidRPr="00FF1636">
        <w:t xml:space="preserve"> </w:t>
      </w:r>
      <w:r w:rsidR="00BF26FF" w:rsidRPr="00FF1636">
        <w:t xml:space="preserve">proposed deleting the note after section 6.2 as </w:t>
      </w:r>
      <w:r w:rsidR="00692519" w:rsidRPr="00FF1636">
        <w:t xml:space="preserve">it is </w:t>
      </w:r>
      <w:r w:rsidR="000676B0" w:rsidRPr="00FF1636">
        <w:t xml:space="preserve">already </w:t>
      </w:r>
      <w:r w:rsidR="00692519" w:rsidRPr="00FF1636">
        <w:t xml:space="preserve">clear Part 6 does not apply to the </w:t>
      </w:r>
      <w:r w:rsidR="006B3369" w:rsidRPr="00FF1636">
        <w:t>aeronautical radionavigation</w:t>
      </w:r>
      <w:r w:rsidR="00C05688" w:rsidRPr="00FF1636">
        <w:t xml:space="preserve"> service</w:t>
      </w:r>
      <w:r w:rsidR="00692519" w:rsidRPr="00FF1636">
        <w:t xml:space="preserve"> in the 4200</w:t>
      </w:r>
      <w:r w:rsidR="0046581B">
        <w:t>–</w:t>
      </w:r>
      <w:r w:rsidR="00692519" w:rsidRPr="00FF1636">
        <w:t>4400 MHz band</w:t>
      </w:r>
      <w:r w:rsidR="0085099D" w:rsidRPr="00FF1636">
        <w:t>.</w:t>
      </w:r>
    </w:p>
    <w:p w14:paraId="33F54FAD" w14:textId="77777777" w:rsidR="00B21CAD" w:rsidRDefault="00B21CAD" w:rsidP="00792585">
      <w:pPr>
        <w:pStyle w:val="Heading4"/>
      </w:pPr>
      <w:r>
        <w:t>ACMA view</w:t>
      </w:r>
    </w:p>
    <w:p w14:paraId="16BADE33" w14:textId="77777777" w:rsidR="0046581B" w:rsidRDefault="00B21CAD" w:rsidP="00792585">
      <w:pPr>
        <w:pStyle w:val="Paragraph"/>
      </w:pPr>
      <w:r>
        <w:t xml:space="preserve">While submissions were broadly supportive of the changes proposed to </w:t>
      </w:r>
      <w:r w:rsidR="00C91E54">
        <w:rPr>
          <w:iCs/>
        </w:rPr>
        <w:t>the</w:t>
      </w:r>
      <w:r>
        <w:t xml:space="preserve"> RAG Tx, there were some exceptions as detailed above. </w:t>
      </w:r>
    </w:p>
    <w:p w14:paraId="64FE641B" w14:textId="1AA7141A" w:rsidR="00B21CAD" w:rsidRDefault="00B21CAD" w:rsidP="00792585">
      <w:pPr>
        <w:pStyle w:val="Paragraphbeforelist"/>
      </w:pPr>
      <w:r>
        <w:t xml:space="preserve">The ACMA has considered comments </w:t>
      </w:r>
      <w:r w:rsidR="00A83A2E">
        <w:t xml:space="preserve">made in consultation submissions and </w:t>
      </w:r>
      <w:r>
        <w:t>made the follow decisions:</w:t>
      </w:r>
    </w:p>
    <w:p w14:paraId="0E534BDC" w14:textId="7AE09905" w:rsidR="00B21CAD" w:rsidRDefault="00B21CAD" w:rsidP="00792585">
      <w:pPr>
        <w:pStyle w:val="Bulletlevel1"/>
      </w:pPr>
      <w:r>
        <w:t xml:space="preserve">We acknowledge comments made by the satellite industry regarding the timeframes that earth station filter performance from the upper frequency limit are assumed to apply from and </w:t>
      </w:r>
      <w:r w:rsidR="0046581B">
        <w:t xml:space="preserve">their </w:t>
      </w:r>
      <w:r>
        <w:t xml:space="preserve">preference for operators to have a reasonable timeframe to source and install customised filters. We note that the proposed date of application is set to apply from 16 July 2022. This corresponds to the date the re-allocation declaration commenced. </w:t>
      </w:r>
    </w:p>
    <w:p w14:paraId="2C91E78D" w14:textId="77777777" w:rsidR="00B21CAD" w:rsidRDefault="00B21CAD" w:rsidP="00792585">
      <w:pPr>
        <w:pStyle w:val="Bulletlevel1"/>
        <w:numPr>
          <w:ilvl w:val="0"/>
          <w:numId w:val="0"/>
        </w:numPr>
        <w:ind w:left="295"/>
      </w:pPr>
      <w:r>
        <w:lastRenderedPageBreak/>
        <w:t xml:space="preserve">The ACMA has restricted access to the relevant spectrum since before this date. We have ensured that any earth receive licence issued since 16 July 2022 either expires before the auction of spectrum licences commences or that operators are aware of the assumed filter requirements. This ensures existing earth receive licences either won’t be impacted or are issued on the basis that the updated filter provisions apply. In addition, it is expected that prospective licensees will be aware of the filter requirements and can take this into account when applying for licences.  </w:t>
      </w:r>
    </w:p>
    <w:p w14:paraId="746CE1A3" w14:textId="64A51653" w:rsidR="00B21CAD" w:rsidRDefault="00B21CAD" w:rsidP="00792585">
      <w:pPr>
        <w:pStyle w:val="Bulletlevel1"/>
      </w:pPr>
      <w:r>
        <w:t>We consider there is merit to the arguments made by the mobile industry to adopt the stricter FCC earth station filter requirement. Adoption of this requirement by the FCC suggests there is equipment available that is capable of achieving the stricter limits. Also</w:t>
      </w:r>
      <w:r w:rsidR="0046581B">
        <w:t>,</w:t>
      </w:r>
      <w:r>
        <w:t xml:space="preserve"> adoption of a</w:t>
      </w:r>
      <w:r>
        <w:rPr>
          <w:rFonts w:eastAsia="Arial"/>
        </w:rPr>
        <w:t xml:space="preserve"> stricter filter requirement will help reduce the level of spectrum denial between </w:t>
      </w:r>
      <w:r>
        <w:t>earth stations and spectrum licence devices</w:t>
      </w:r>
      <w:r w:rsidR="0046581B">
        <w:t>,</w:t>
      </w:r>
      <w:r>
        <w:t xml:space="preserve"> thereby increasing spectrum utility. This is particularly useful in populated areas where the density of service deployments is expected to be greater.  </w:t>
      </w:r>
    </w:p>
    <w:p w14:paraId="10192D1E" w14:textId="06A0D198" w:rsidR="00B21CAD" w:rsidRDefault="00B21CAD" w:rsidP="00792585">
      <w:pPr>
        <w:pStyle w:val="Bulletlevel1"/>
        <w:numPr>
          <w:ilvl w:val="0"/>
          <w:numId w:val="0"/>
        </w:numPr>
        <w:ind w:left="295"/>
      </w:pPr>
      <w:r>
        <w:t>As we did not formally consult on changes to the earth station filter requirement in the consultation paper</w:t>
      </w:r>
      <w:r w:rsidR="0046581B">
        <w:t>,</w:t>
      </w:r>
      <w:r>
        <w:t xml:space="preserve"> and given the FCC filter requirement presents a significant change from the current filter performance, we do not consider it appropriate to make the changes as an outcome to this process. However, we are consulting on the change as part of the </w:t>
      </w:r>
      <w:hyperlink r:id="rId59" w:history="1">
        <w:r w:rsidR="0046581B">
          <w:rPr>
            <w:rStyle w:val="Hyperlink"/>
          </w:rPr>
          <w:t>area-wide apparatus licences in the 3.8 GHz band in metropolitan and regional Australia – licensing, allocation process, technical framework and pricing arrangements</w:t>
        </w:r>
      </w:hyperlink>
      <w:r>
        <w:t xml:space="preserve"> consultation process. This will ensure all interested and potentially affected stakeholders have an opportunity to consider and comment on the proposed changes. </w:t>
      </w:r>
      <w:r w:rsidR="006C07C7">
        <w:t xml:space="preserve">We intend </w:t>
      </w:r>
      <w:r>
        <w:t xml:space="preserve">is to make a decision on any additional changes to the RAG Tx before the auction for 3.4/3.7 GHz licences commences. </w:t>
      </w:r>
    </w:p>
    <w:p w14:paraId="30E497F7" w14:textId="5814DD5D" w:rsidR="00B21CAD" w:rsidRDefault="00B21CAD" w:rsidP="007102AC">
      <w:pPr>
        <w:pStyle w:val="Bulletlevel1"/>
      </w:pPr>
      <w:r>
        <w:t>To align with decisions outlined in the RA outcomes paper, the proposed new Part 13 to the RAG Tx (guidance on managing interference with radio altimeters) has been maintained</w:t>
      </w:r>
      <w:r w:rsidR="006C07C7">
        <w:t>, but</w:t>
      </w:r>
      <w:r>
        <w:t xml:space="preserve"> with the following updated protection requirements: </w:t>
      </w:r>
    </w:p>
    <w:p w14:paraId="4CA69DD2" w14:textId="42981982" w:rsidR="00B21CAD" w:rsidRDefault="00B21CAD" w:rsidP="007102AC">
      <w:pPr>
        <w:pStyle w:val="Bulletlevel2"/>
      </w:pPr>
      <w:r>
        <w:t>For spectrum licences, the operation of radiocommunications transmitters in the 3700–3800 MHz frequency range must adhere to the same coexistence with radio altimeters requirements that apply to an area-wide licence as detailed in RALI MS47. As specified in RALI MS47, this requirement only applies until 31 March 2026.</w:t>
      </w:r>
    </w:p>
    <w:p w14:paraId="2F0158E2" w14:textId="1447D052" w:rsidR="00B21CAD" w:rsidRDefault="00B21CAD" w:rsidP="00F73689">
      <w:pPr>
        <w:pStyle w:val="Paragraph"/>
        <w:numPr>
          <w:ilvl w:val="0"/>
          <w:numId w:val="65"/>
        </w:numPr>
        <w:spacing w:after="120"/>
      </w:pPr>
      <w:r>
        <w:t>We do not intend to include a note at the end of Subsection 4.3 (4) as proposed by</w:t>
      </w:r>
      <w:r w:rsidR="00C36F73">
        <w:t xml:space="preserve"> one submission</w:t>
      </w:r>
      <w:r>
        <w:t xml:space="preserve">. We have already notified all earth station licensees affected by the re-allocation declaration that their licences will be cancelled at the end of the re-allocation period. We also ensure that any new licences issued are aware of this. We consider there is no need for an additional note in the RAG Tx. </w:t>
      </w:r>
    </w:p>
    <w:p w14:paraId="61BB968A" w14:textId="7B2AB86B" w:rsidR="00B21CAD" w:rsidRDefault="00B21CAD" w:rsidP="00B21CAD">
      <w:pPr>
        <w:pStyle w:val="Paragraph"/>
        <w:numPr>
          <w:ilvl w:val="0"/>
          <w:numId w:val="65"/>
        </w:numPr>
      </w:pPr>
      <w:r>
        <w:t xml:space="preserve">We do not intend to insert the word ‘incumbent’ or ‘legacy’ before the term ‘broadband wireless access’ (BWA) in section 5.1 as proposed by one </w:t>
      </w:r>
      <w:r w:rsidR="006C07C7">
        <w:t>submission</w:t>
      </w:r>
      <w:r>
        <w:t xml:space="preserve">. This is because arrangements for the issue of new point-to-multipoint licences outside of the Australian Spectrum Map Grid are still in place. These arrangements will support the deployment of services operating in offshore territories, the Torres Strait Islands </w:t>
      </w:r>
      <w:r w:rsidR="006C07C7">
        <w:t>and</w:t>
      </w:r>
      <w:r>
        <w:t xml:space="preserve"> offshore mining platforms. </w:t>
      </w:r>
    </w:p>
    <w:p w14:paraId="6C6424A4" w14:textId="0EC33E9D" w:rsidR="00B21CAD" w:rsidRPr="00FF1636" w:rsidRDefault="00B21CAD" w:rsidP="00F73689">
      <w:pPr>
        <w:pStyle w:val="Paragraph"/>
      </w:pPr>
      <w:r>
        <w:t xml:space="preserve">After considering submissions, we have made the </w:t>
      </w:r>
      <w:r w:rsidRPr="007102AC">
        <w:rPr>
          <w:iCs/>
        </w:rPr>
        <w:t>Radiocommunications Advisory Guidelines (Managing Interference from Spectrum Licensed Transmitters – 3.4 GHz Band) Variation 2023 (No. 1)</w:t>
      </w:r>
      <w:r w:rsidRPr="006C07C7">
        <w:rPr>
          <w:iCs/>
        </w:rPr>
        <w:t xml:space="preserve"> </w:t>
      </w:r>
      <w:r>
        <w:t xml:space="preserve">as consulted with the changes detailed above. </w:t>
      </w:r>
      <w:r w:rsidR="00914F94">
        <w:t xml:space="preserve">We note that </w:t>
      </w:r>
      <w:r>
        <w:t xml:space="preserve">additional proposed changes </w:t>
      </w:r>
      <w:r w:rsidR="00914F94">
        <w:t xml:space="preserve">are </w:t>
      </w:r>
      <w:r>
        <w:t xml:space="preserve">being consulted on as part of the </w:t>
      </w:r>
      <w:hyperlink r:id="rId60" w:history="1">
        <w:r w:rsidR="006C07C7">
          <w:rPr>
            <w:rStyle w:val="Hyperlink"/>
          </w:rPr>
          <w:t>area-wide apparatus licences in the 3.8 GHz band in metropolitan and regional Australia – licensing, allocation process, technical framework and pricing arrangements</w:t>
        </w:r>
      </w:hyperlink>
      <w:r w:rsidR="006C07C7">
        <w:t xml:space="preserve"> consultation process.</w:t>
      </w:r>
    </w:p>
    <w:p w14:paraId="73CEA81A" w14:textId="1E7F8391" w:rsidR="0070754B" w:rsidRPr="00FF1636" w:rsidRDefault="0070754B" w:rsidP="00340360">
      <w:pPr>
        <w:pStyle w:val="Heading4"/>
        <w:keepNext/>
      </w:pPr>
      <w:r w:rsidRPr="00FF1636">
        <w:lastRenderedPageBreak/>
        <w:t>Managing interference to spectrum-</w:t>
      </w:r>
      <w:r w:rsidRPr="006C07C7">
        <w:t>licensed</w:t>
      </w:r>
      <w:r w:rsidRPr="00FF1636">
        <w:t xml:space="preserve"> receivers </w:t>
      </w:r>
    </w:p>
    <w:p w14:paraId="5A13EBD9" w14:textId="6B96434C" w:rsidR="0070754B" w:rsidRPr="00FF1636" w:rsidRDefault="00E535F8" w:rsidP="007102AC">
      <w:pPr>
        <w:pStyle w:val="Bulletlevel1"/>
      </w:pPr>
      <w:r>
        <w:t xml:space="preserve">One </w:t>
      </w:r>
      <w:r w:rsidR="006C07C7" w:rsidRPr="006C07C7">
        <w:t>submi</w:t>
      </w:r>
      <w:r w:rsidR="006C07C7">
        <w:t>ssion</w:t>
      </w:r>
      <w:r w:rsidR="006C07C7" w:rsidRPr="006C07C7">
        <w:t xml:space="preserve"> </w:t>
      </w:r>
      <w:r w:rsidR="001E1C09" w:rsidRPr="006C07C7">
        <w:t>p</w:t>
      </w:r>
      <w:r w:rsidR="0070754B" w:rsidRPr="006C07C7">
        <w:t xml:space="preserve">roposed </w:t>
      </w:r>
      <w:r w:rsidR="00D911C3" w:rsidRPr="006C07C7">
        <w:t xml:space="preserve">amendments to the definition of </w:t>
      </w:r>
      <w:r w:rsidR="00ED379C" w:rsidRPr="006C07C7">
        <w:t>‘receiver</w:t>
      </w:r>
      <w:r w:rsidR="0070754B" w:rsidRPr="006C07C7">
        <w:t xml:space="preserve"> blocking</w:t>
      </w:r>
      <w:r w:rsidR="00ED379C" w:rsidRPr="006C07C7">
        <w:t>’</w:t>
      </w:r>
      <w:r w:rsidR="0060280C" w:rsidRPr="006C07C7">
        <w:t xml:space="preserve"> to assist with </w:t>
      </w:r>
      <w:r w:rsidR="00FD4A99" w:rsidRPr="00097786">
        <w:t>understanding</w:t>
      </w:r>
      <w:r w:rsidR="0070754B" w:rsidRPr="00FF1636">
        <w:t>.</w:t>
      </w:r>
    </w:p>
    <w:p w14:paraId="1EBBC651" w14:textId="7365BAC3" w:rsidR="00FF0B30" w:rsidRDefault="00E535F8" w:rsidP="007102AC">
      <w:pPr>
        <w:pStyle w:val="Bulletlevel1last"/>
      </w:pPr>
      <w:r>
        <w:t xml:space="preserve">One </w:t>
      </w:r>
      <w:r w:rsidR="00097786">
        <w:t>submission</w:t>
      </w:r>
      <w:r w:rsidR="00097786" w:rsidRPr="00FF1636">
        <w:t xml:space="preserve"> </w:t>
      </w:r>
      <w:r w:rsidR="00ED379C" w:rsidRPr="00FF1636">
        <w:t xml:space="preserve">proposed </w:t>
      </w:r>
      <w:r w:rsidR="00FF0B30" w:rsidRPr="00FF1636">
        <w:t>the receiver performance characteristics be updated to the format recently adopted for the 850/900 MHz and 2 GHz band technical frameworks</w:t>
      </w:r>
    </w:p>
    <w:p w14:paraId="2402AED1" w14:textId="77777777" w:rsidR="003B079C" w:rsidRPr="00F73689" w:rsidRDefault="003B079C" w:rsidP="007102AC">
      <w:pPr>
        <w:pStyle w:val="Heading4"/>
        <w:keepNext/>
      </w:pPr>
      <w:r w:rsidRPr="00F73689">
        <w:t>ACMA view</w:t>
      </w:r>
    </w:p>
    <w:p w14:paraId="73340D81" w14:textId="6F024BD8" w:rsidR="003B079C" w:rsidRPr="00FF1636" w:rsidRDefault="003B079C" w:rsidP="006C07C7">
      <w:pPr>
        <w:pStyle w:val="Paragraph"/>
      </w:pPr>
      <w:r>
        <w:t>As s</w:t>
      </w:r>
      <w:r w:rsidRPr="00FF1636">
        <w:t xml:space="preserve">ubmissions were broadly </w:t>
      </w:r>
      <w:r w:rsidRPr="006C07C7">
        <w:t>supportive</w:t>
      </w:r>
      <w:r w:rsidRPr="00FF1636">
        <w:t xml:space="preserve"> of the changes </w:t>
      </w:r>
      <w:r w:rsidR="002903F4">
        <w:t>consulted on,</w:t>
      </w:r>
      <w:r w:rsidR="00A96979">
        <w:t xml:space="preserve"> we have</w:t>
      </w:r>
      <w:r w:rsidRPr="00FF1636">
        <w:t xml:space="preserve"> decided to make the Radiocommunications Advisory Guidelines (Managing Interference to Spectrum Licensed Receivers – 3.4 GHz Band) Variation 2023 (No. 1) as consulted</w:t>
      </w:r>
      <w:r w:rsidR="006C07C7">
        <w:t>,</w:t>
      </w:r>
      <w:r w:rsidRPr="00FF1636">
        <w:t xml:space="preserve"> with a minor amendment to the definition of ‘receiver blocking’.</w:t>
      </w:r>
    </w:p>
    <w:p w14:paraId="494BCE28" w14:textId="4AF7D1A6" w:rsidR="0070754B" w:rsidRPr="006C07C7" w:rsidRDefault="0070754B" w:rsidP="007102AC">
      <w:pPr>
        <w:pStyle w:val="Heading4"/>
      </w:pPr>
      <w:r w:rsidRPr="006C07C7">
        <w:t>Other aspects relevant to the</w:t>
      </w:r>
      <w:r w:rsidR="00BD04F9" w:rsidRPr="006C07C7">
        <w:t xml:space="preserve"> technical</w:t>
      </w:r>
      <w:r w:rsidRPr="006C07C7">
        <w:t xml:space="preserve"> framework</w:t>
      </w:r>
    </w:p>
    <w:p w14:paraId="598E331A" w14:textId="34D3675F" w:rsidR="00AF6409" w:rsidRPr="006C07C7" w:rsidRDefault="00A0200D" w:rsidP="007102AC">
      <w:pPr>
        <w:pStyle w:val="Bulletlevel1"/>
      </w:pPr>
      <w:r w:rsidRPr="006C07C7">
        <w:t xml:space="preserve">One </w:t>
      </w:r>
      <w:r w:rsidR="00097786">
        <w:t>submission asserted</w:t>
      </w:r>
      <w:r w:rsidR="007E03A1" w:rsidRPr="006C07C7">
        <w:t xml:space="preserve"> that </w:t>
      </w:r>
      <w:r w:rsidR="0053786E" w:rsidRPr="006C07C7">
        <w:t>AWL operators should</w:t>
      </w:r>
      <w:r w:rsidR="00847FAB" w:rsidRPr="006C07C7">
        <w:t xml:space="preserve"> have flexibility </w:t>
      </w:r>
      <w:r w:rsidR="0053786E" w:rsidRPr="006C07C7">
        <w:t>to synchronise with 3.4</w:t>
      </w:r>
      <w:r w:rsidR="00BD374C" w:rsidRPr="006C07C7">
        <w:t> </w:t>
      </w:r>
      <w:r w:rsidR="0053786E" w:rsidRPr="006C07C7">
        <w:t xml:space="preserve">GHz spectrum licensees to </w:t>
      </w:r>
      <w:r w:rsidR="00876884" w:rsidRPr="006C07C7">
        <w:t xml:space="preserve">apply the less stringent device boundary criterion (DBC). </w:t>
      </w:r>
      <w:r w:rsidR="00A87C03" w:rsidRPr="006C07C7">
        <w:t xml:space="preserve">They argued the </w:t>
      </w:r>
      <w:r w:rsidR="009223A2" w:rsidRPr="006C07C7">
        <w:t xml:space="preserve">more stringent DBC could be a barrier </w:t>
      </w:r>
      <w:r w:rsidR="00E50284" w:rsidRPr="006C07C7">
        <w:t xml:space="preserve">for new entrants due to the additional isolation required </w:t>
      </w:r>
      <w:r w:rsidR="00193FC2" w:rsidRPr="006C07C7">
        <w:t xml:space="preserve">at the geographical boundary of spectrum licences. </w:t>
      </w:r>
    </w:p>
    <w:p w14:paraId="7C30A4B4" w14:textId="544E94BC" w:rsidR="0070754B" w:rsidRPr="006C07C7" w:rsidRDefault="00A0200D" w:rsidP="007102AC">
      <w:pPr>
        <w:pStyle w:val="Bulletlevel1"/>
      </w:pPr>
      <w:r w:rsidRPr="006C07C7">
        <w:t>The mobile industry</w:t>
      </w:r>
      <w:r w:rsidR="0056371B" w:rsidRPr="006C07C7">
        <w:t xml:space="preserve"> </w:t>
      </w:r>
      <w:r w:rsidR="00862007" w:rsidRPr="006C07C7">
        <w:t xml:space="preserve">argued </w:t>
      </w:r>
      <w:r w:rsidR="00AA58BA" w:rsidRPr="006C07C7">
        <w:t xml:space="preserve">that </w:t>
      </w:r>
      <w:r w:rsidR="00A260FB" w:rsidRPr="006C07C7">
        <w:t xml:space="preserve">in the unlikely event </w:t>
      </w:r>
      <w:r w:rsidR="00F32C1D" w:rsidRPr="006C07C7">
        <w:t>interference occurs between a spectrum</w:t>
      </w:r>
      <w:r w:rsidR="006C07C7">
        <w:t>-</w:t>
      </w:r>
      <w:r w:rsidR="00F32C1D" w:rsidRPr="006C07C7">
        <w:t>licen</w:t>
      </w:r>
      <w:r w:rsidR="006C07C7">
        <w:t>s</w:t>
      </w:r>
      <w:r w:rsidR="00F32C1D" w:rsidRPr="006C07C7">
        <w:t>e</w:t>
      </w:r>
      <w:r w:rsidR="006C07C7">
        <w:t>d</w:t>
      </w:r>
      <w:r w:rsidR="00F32C1D" w:rsidRPr="006C07C7">
        <w:t xml:space="preserve"> service and an AWL service, </w:t>
      </w:r>
      <w:r w:rsidR="00C103BB" w:rsidRPr="006C07C7">
        <w:t>and both are complying with their licence conditions, the spectrum</w:t>
      </w:r>
      <w:r w:rsidR="006C07C7">
        <w:t>-</w:t>
      </w:r>
      <w:r w:rsidR="00C103BB" w:rsidRPr="006C07C7">
        <w:t>licen</w:t>
      </w:r>
      <w:r w:rsidR="006C07C7">
        <w:t>s</w:t>
      </w:r>
      <w:r w:rsidR="00C103BB" w:rsidRPr="006C07C7">
        <w:t>e</w:t>
      </w:r>
      <w:r w:rsidR="006C07C7">
        <w:t>d</w:t>
      </w:r>
      <w:r w:rsidR="00C103BB" w:rsidRPr="006C07C7">
        <w:t xml:space="preserve"> service should have priority. </w:t>
      </w:r>
    </w:p>
    <w:p w14:paraId="08C63F4B" w14:textId="4BDC177E" w:rsidR="009271A8" w:rsidRPr="006C07C7" w:rsidRDefault="005F5420" w:rsidP="007102AC">
      <w:pPr>
        <w:pStyle w:val="Bulletlevel1"/>
      </w:pPr>
      <w:r w:rsidRPr="006C07C7">
        <w:t>The mobile industry</w:t>
      </w:r>
      <w:r w:rsidR="0056371B" w:rsidRPr="006C07C7">
        <w:t xml:space="preserve"> </w:t>
      </w:r>
      <w:r w:rsidR="0075297E" w:rsidRPr="006C07C7">
        <w:t>requested that the multimode appr</w:t>
      </w:r>
      <w:r w:rsidR="00D33F6D" w:rsidRPr="006C07C7">
        <w:t>o</w:t>
      </w:r>
      <w:r w:rsidR="0075297E" w:rsidRPr="006C07C7">
        <w:t>ach of registering multiple sectored antennas under a single stat</w:t>
      </w:r>
      <w:r w:rsidR="001410F3" w:rsidRPr="006C07C7">
        <w:t>i</w:t>
      </w:r>
      <w:r w:rsidR="0075297E" w:rsidRPr="006C07C7">
        <w:t xml:space="preserve">on </w:t>
      </w:r>
      <w:r w:rsidR="001410F3" w:rsidRPr="006C07C7">
        <w:t>w</w:t>
      </w:r>
      <w:r w:rsidR="0075297E" w:rsidRPr="006C07C7">
        <w:t xml:space="preserve">ith no azimuth </w:t>
      </w:r>
      <w:r w:rsidR="002B7C8D" w:rsidRPr="006C07C7">
        <w:t xml:space="preserve">be removed from RALI MS47. </w:t>
      </w:r>
      <w:r w:rsidR="00D33F6D" w:rsidRPr="006C07C7">
        <w:t xml:space="preserve">Such an approach </w:t>
      </w:r>
      <w:r w:rsidR="002B7C8D" w:rsidRPr="006C07C7">
        <w:t xml:space="preserve">can result in reduced </w:t>
      </w:r>
      <w:r w:rsidR="00B10A20" w:rsidRPr="006C07C7">
        <w:t xml:space="preserve">efficiency of spectrum use. </w:t>
      </w:r>
    </w:p>
    <w:p w14:paraId="06FDF28A" w14:textId="65ACD526" w:rsidR="00B10A20" w:rsidRPr="006C07C7" w:rsidRDefault="00927EBC" w:rsidP="006C07C7">
      <w:pPr>
        <w:pStyle w:val="Bulletlevel1"/>
      </w:pPr>
      <w:r w:rsidRPr="006C07C7">
        <w:t xml:space="preserve">The mobile industry </w:t>
      </w:r>
      <w:r w:rsidR="00DE6DD7" w:rsidRPr="006C07C7">
        <w:t>considered</w:t>
      </w:r>
      <w:r w:rsidR="009412E1" w:rsidRPr="006C07C7">
        <w:t xml:space="preserve"> that the minimum </w:t>
      </w:r>
      <w:r w:rsidR="00E5753C" w:rsidRPr="006C07C7">
        <w:t>Hierarchical Cell Identifier Scheme (</w:t>
      </w:r>
      <w:r w:rsidR="009412E1" w:rsidRPr="006C07C7">
        <w:t>HCIS</w:t>
      </w:r>
      <w:r w:rsidR="00E5753C" w:rsidRPr="006C07C7">
        <w:t>)</w:t>
      </w:r>
      <w:r w:rsidR="009412E1" w:rsidRPr="006C07C7">
        <w:t xml:space="preserve"> unit size for AWLs in the </w:t>
      </w:r>
      <w:r w:rsidR="008253F7" w:rsidRPr="006C07C7">
        <w:t xml:space="preserve">3.4–4.0 </w:t>
      </w:r>
      <w:r w:rsidR="009412E1" w:rsidRPr="006C07C7">
        <w:t>GHz frequency band should be HCIS Level 1.</w:t>
      </w:r>
    </w:p>
    <w:p w14:paraId="5E957038" w14:textId="1A6B7D06" w:rsidR="005A5284" w:rsidRPr="00FF1636" w:rsidRDefault="00927EBC" w:rsidP="007102AC">
      <w:pPr>
        <w:pStyle w:val="Bulletlevel1last"/>
      </w:pPr>
      <w:r>
        <w:t>The mobile industry</w:t>
      </w:r>
      <w:r w:rsidR="0065386F" w:rsidRPr="00FF1636">
        <w:t xml:space="preserve"> expressed concerns with the determination of the licence issue dates</w:t>
      </w:r>
      <w:r w:rsidR="00C20593" w:rsidRPr="00FF1636">
        <w:t xml:space="preserve"> when</w:t>
      </w:r>
      <w:r w:rsidR="001F5F95" w:rsidRPr="00FF1636">
        <w:t xml:space="preserve"> coordinating with services where this is important (</w:t>
      </w:r>
      <w:r w:rsidR="00053BD8">
        <w:t>for example,</w:t>
      </w:r>
      <w:r w:rsidR="001F5F95" w:rsidRPr="00FF1636">
        <w:t xml:space="preserve"> first-in-time coordination)</w:t>
      </w:r>
      <w:r w:rsidR="00C20593" w:rsidRPr="00FF1636">
        <w:t xml:space="preserve">. </w:t>
      </w:r>
      <w:r w:rsidR="00C74945" w:rsidRPr="00FF1636">
        <w:t xml:space="preserve">They argued it is not uncommon for apparatus licences </w:t>
      </w:r>
      <w:r w:rsidR="004345C0" w:rsidRPr="00FF1636">
        <w:t xml:space="preserve">to not be renewed within </w:t>
      </w:r>
      <w:r w:rsidR="009072EF" w:rsidRPr="00FF1636">
        <w:t xml:space="preserve">a </w:t>
      </w:r>
      <w:r w:rsidR="00053BD8" w:rsidRPr="00FF1636">
        <w:t>60-day</w:t>
      </w:r>
      <w:r w:rsidR="009072EF" w:rsidRPr="00FF1636">
        <w:t xml:space="preserve"> period after they expire. When such licences are renewed, they are provided with a new licence number and issue date.</w:t>
      </w:r>
      <w:r w:rsidR="00E756ED" w:rsidRPr="00FF1636">
        <w:t xml:space="preserve"> </w:t>
      </w:r>
      <w:r w:rsidR="00D354C9" w:rsidRPr="00FF1636">
        <w:t>This makes it difficult for licensees to check if they are afforded protection and correctly carry ou</w:t>
      </w:r>
      <w:r w:rsidR="00E05BCC" w:rsidRPr="00FF1636">
        <w:t>t</w:t>
      </w:r>
      <w:r w:rsidR="00D354C9" w:rsidRPr="00FF1636">
        <w:t xml:space="preserve"> coordination</w:t>
      </w:r>
      <w:r w:rsidR="00E05BCC" w:rsidRPr="00FF1636">
        <w:t xml:space="preserve">. </w:t>
      </w:r>
      <w:r w:rsidR="00D354C9" w:rsidRPr="00FF1636">
        <w:t xml:space="preserve"> </w:t>
      </w:r>
    </w:p>
    <w:p w14:paraId="4FFCCA19" w14:textId="0696BE2A" w:rsidR="001A49DF" w:rsidRPr="006A2F0C" w:rsidRDefault="001A49DF" w:rsidP="00E77BE5">
      <w:pPr>
        <w:pStyle w:val="Heading4"/>
        <w:keepNext/>
        <w:keepLines/>
      </w:pPr>
      <w:r w:rsidRPr="006A2F0C">
        <w:t>ACMA view</w:t>
      </w:r>
    </w:p>
    <w:p w14:paraId="26A40400" w14:textId="799ADAF2" w:rsidR="000C7A85" w:rsidRPr="00FF1636" w:rsidRDefault="000C7A85" w:rsidP="00E77BE5">
      <w:pPr>
        <w:pStyle w:val="Paragraph"/>
        <w:keepNext/>
        <w:keepLines/>
        <w:spacing w:after="120"/>
        <w:rPr>
          <w:highlight w:val="yellow"/>
        </w:rPr>
      </w:pPr>
      <w:r w:rsidRPr="00FF1636">
        <w:t xml:space="preserve">The ACMA has considered comments made </w:t>
      </w:r>
      <w:r w:rsidR="00466B42">
        <w:t xml:space="preserve">in consultation submissions </w:t>
      </w:r>
      <w:r w:rsidRPr="00FF1636">
        <w:t xml:space="preserve">and made the follow decisions: </w:t>
      </w:r>
      <w:r w:rsidRPr="00FF1636">
        <w:rPr>
          <w:highlight w:val="yellow"/>
        </w:rPr>
        <w:t xml:space="preserve"> </w:t>
      </w:r>
    </w:p>
    <w:p w14:paraId="7D3A3E1A" w14:textId="77777777" w:rsidR="000C7A85" w:rsidRPr="00FF1636" w:rsidRDefault="000C7A85" w:rsidP="00E77BE5">
      <w:pPr>
        <w:pStyle w:val="Paragraph"/>
        <w:keepNext/>
        <w:keepLines/>
        <w:numPr>
          <w:ilvl w:val="0"/>
          <w:numId w:val="65"/>
        </w:numPr>
        <w:spacing w:after="120"/>
      </w:pPr>
      <w:r w:rsidRPr="00FF1636">
        <w:t>We have reviewed requests to provide flexibility for AWL operators to synchronise with services operating under a spectrum licence so the less stringent DBC could be applied. We consider there is already flexibility in the technical framework to enable AWL operators to apply the less stringent DBC, or any other criteria, at the geographical boundary of a spectrum licence. This can be achieved via negotiation with the relevant spectrum licensee. We have not made any changes to these arrangements as a result of this consultation process.</w:t>
      </w:r>
    </w:p>
    <w:p w14:paraId="3E6D5DF0" w14:textId="7860389C" w:rsidR="000C7A85" w:rsidRPr="00FF1636" w:rsidRDefault="000C7A85" w:rsidP="00466B42">
      <w:pPr>
        <w:pStyle w:val="Paragraph"/>
        <w:numPr>
          <w:ilvl w:val="0"/>
          <w:numId w:val="65"/>
        </w:numPr>
        <w:spacing w:after="120"/>
      </w:pPr>
      <w:r>
        <w:t>The mobile industry</w:t>
      </w:r>
      <w:r w:rsidRPr="00FF1636">
        <w:t xml:space="preserve"> argued that in the unlikely event interference occurs between a </w:t>
      </w:r>
      <w:r w:rsidRPr="00C9029A">
        <w:t>spectrum</w:t>
      </w:r>
      <w:r w:rsidR="006C07C7" w:rsidRPr="007102AC">
        <w:t>-</w:t>
      </w:r>
      <w:r w:rsidRPr="00C9029A">
        <w:t>licen</w:t>
      </w:r>
      <w:r w:rsidR="00C9029A" w:rsidRPr="007102AC">
        <w:t>s</w:t>
      </w:r>
      <w:r w:rsidRPr="00C9029A">
        <w:t>e</w:t>
      </w:r>
      <w:r w:rsidR="006C07C7" w:rsidRPr="00C9029A">
        <w:t>d</w:t>
      </w:r>
      <w:r w:rsidRPr="00FF1636">
        <w:t xml:space="preserve"> service and an AWL service, and both are complying with their licence conditions, the spectrum licence service should have priority. The ACMA does not support this proposal and </w:t>
      </w:r>
      <w:r>
        <w:t>considers</w:t>
      </w:r>
      <w:r w:rsidRPr="00FF1636">
        <w:t xml:space="preserve"> </w:t>
      </w:r>
      <w:r>
        <w:t>i</w:t>
      </w:r>
      <w:r w:rsidRPr="00FF1636">
        <w:t xml:space="preserve">t reasonable that, similar to spectrum licences, primary services operating under an apparatus licence be provided with a degree of certainty regarding the management of interference and ongoing access to and use of the spectrum. </w:t>
      </w:r>
    </w:p>
    <w:p w14:paraId="04B988A6" w14:textId="4067B078" w:rsidR="000C7A85" w:rsidRPr="00FF1636" w:rsidRDefault="000C7A85" w:rsidP="00466B42">
      <w:pPr>
        <w:pStyle w:val="Paragraph"/>
        <w:spacing w:after="120"/>
        <w:ind w:left="360"/>
      </w:pPr>
      <w:r w:rsidRPr="00FF1636">
        <w:lastRenderedPageBreak/>
        <w:t xml:space="preserve">As part of this consultation process, we have implemented additional measures, to provide a higher level of protection and isolation for 3.4 GHz spectrum licences </w:t>
      </w:r>
      <w:r>
        <w:t>in future</w:t>
      </w:r>
      <w:r w:rsidRPr="00FF1636">
        <w:t>. This includes a stricter DBC requirement for all new apparatus</w:t>
      </w:r>
      <w:r w:rsidR="006C07C7">
        <w:t>-</w:t>
      </w:r>
      <w:r w:rsidRPr="00FF1636">
        <w:t>licensed transmitters and a 15 MHz restricted</w:t>
      </w:r>
      <w:r w:rsidR="006C07C7">
        <w:t>-</w:t>
      </w:r>
      <w:r w:rsidRPr="00FF1636">
        <w:t>use band with AWLs. Both spectrum and apparatus licensees are expected to work within these requirements. In the event interference does occur</w:t>
      </w:r>
      <w:r w:rsidR="006C07C7">
        <w:t>,</w:t>
      </w:r>
      <w:r w:rsidRPr="00FF1636">
        <w:t xml:space="preserve"> then relevant parties should first seek to find an amicable solution. If this is not possible</w:t>
      </w:r>
      <w:r w:rsidR="006504C6">
        <w:t>,</w:t>
      </w:r>
      <w:r w:rsidRPr="00FF1636">
        <w:t xml:space="preserve"> there are formal mechanisms available for the ACMA to investigate and resolve the issue.     </w:t>
      </w:r>
    </w:p>
    <w:p w14:paraId="5CBBEE38" w14:textId="77EF9B92" w:rsidR="000C7A85" w:rsidRPr="00FF1636" w:rsidRDefault="000C7A85" w:rsidP="00466B42">
      <w:pPr>
        <w:pStyle w:val="Paragraph"/>
        <w:numPr>
          <w:ilvl w:val="0"/>
          <w:numId w:val="65"/>
        </w:numPr>
        <w:spacing w:after="120"/>
      </w:pPr>
      <w:r w:rsidRPr="00FF1636">
        <w:t xml:space="preserve">We have removed from </w:t>
      </w:r>
      <w:hyperlink r:id="rId61" w:history="1">
        <w:r w:rsidRPr="00D34D9C">
          <w:rPr>
            <w:rStyle w:val="Hyperlink"/>
          </w:rPr>
          <w:t>RALI MS47</w:t>
        </w:r>
      </w:hyperlink>
      <w:r w:rsidRPr="00FF1636">
        <w:t xml:space="preserve"> the ability to register multiple sectored antennas under a single station. We agree with comments made that this could result in more efficient use of the spectrum. This is because there will be a more accurate reflection of spectrum use for coordination purposes. </w:t>
      </w:r>
    </w:p>
    <w:p w14:paraId="30AEB0BD" w14:textId="7484E4CF" w:rsidR="000C7A85" w:rsidRPr="00FF1636" w:rsidRDefault="000C7A85" w:rsidP="00902748">
      <w:pPr>
        <w:pStyle w:val="Paragraph"/>
        <w:numPr>
          <w:ilvl w:val="0"/>
          <w:numId w:val="65"/>
        </w:numPr>
        <w:spacing w:after="120"/>
      </w:pPr>
      <w:r w:rsidRPr="00FF1636">
        <w:t xml:space="preserve">Some submissions </w:t>
      </w:r>
      <w:r>
        <w:t>advocated use of</w:t>
      </w:r>
      <w:r w:rsidRPr="00FF1636">
        <w:t xml:space="preserve"> HCIS Level 1 cells as the minimum geographical area (and ‘building block’) for AWLs in the </w:t>
      </w:r>
      <w:r w:rsidR="008253F7">
        <w:t xml:space="preserve">3.4–4.0 </w:t>
      </w:r>
      <w:r w:rsidRPr="00FF1636">
        <w:t>GHz band. However, this did not form part of the issues for consideration in the consultation paper</w:t>
      </w:r>
      <w:r w:rsidR="006504C6">
        <w:t xml:space="preserve">, </w:t>
      </w:r>
      <w:r w:rsidRPr="00FF1636">
        <w:t xml:space="preserve">which was focused on allocation and technical instruments for the auction of spectrum licence in the 3.4/3.7 GHz bands. </w:t>
      </w:r>
    </w:p>
    <w:p w14:paraId="38BF06B2" w14:textId="0072126C" w:rsidR="000C7A85" w:rsidRPr="00FF1636" w:rsidRDefault="000C7A85" w:rsidP="00902748">
      <w:pPr>
        <w:pStyle w:val="Paragraph"/>
        <w:spacing w:after="120"/>
        <w:ind w:left="360"/>
      </w:pPr>
      <w:r w:rsidRPr="00FF1636">
        <w:t xml:space="preserve">The issue was considered as part of the </w:t>
      </w:r>
      <w:hyperlink r:id="rId62" w:history="1">
        <w:r w:rsidRPr="00FF1636">
          <w:rPr>
            <w:rStyle w:val="Hyperlink"/>
          </w:rPr>
          <w:t>allocation of AWLs in the 3.4–4.0 GHz band in remote Australia</w:t>
        </w:r>
      </w:hyperlink>
      <w:r w:rsidRPr="00FF1636">
        <w:t xml:space="preserve"> consultation process. It also forms part of the issues being considered in the </w:t>
      </w:r>
      <w:hyperlink r:id="rId63" w:history="1">
        <w:r w:rsidR="006504C6">
          <w:rPr>
            <w:rStyle w:val="Hyperlink"/>
          </w:rPr>
          <w:t>allocation of AWLs in the 3.4–4.0 GHz band in regional and metropolitan areas</w:t>
        </w:r>
      </w:hyperlink>
      <w:r w:rsidRPr="00FF1636">
        <w:t xml:space="preserve"> consultation process. Interested stakeholders are directed to those consultation processes for further information. </w:t>
      </w:r>
    </w:p>
    <w:p w14:paraId="1370B1CF" w14:textId="19174410" w:rsidR="000C7A85" w:rsidRPr="00FF1636" w:rsidRDefault="000C7A85" w:rsidP="007102AC">
      <w:pPr>
        <w:pStyle w:val="Bulletlevel1last"/>
      </w:pPr>
      <w:r>
        <w:t>The mobile industry</w:t>
      </w:r>
      <w:r w:rsidRPr="00FF1636">
        <w:t xml:space="preserve"> expressed concerns with the determination of apparatus licence issue dates when coordinating with services where this is important (</w:t>
      </w:r>
      <w:r w:rsidR="006504C6">
        <w:t xml:space="preserve">for example, </w:t>
      </w:r>
      <w:r w:rsidRPr="00FF1636">
        <w:t>first-in-time coordination). After reviewing the arguments presented</w:t>
      </w:r>
      <w:r w:rsidR="006504C6">
        <w:t>,</w:t>
      </w:r>
      <w:r w:rsidRPr="00FF1636">
        <w:t xml:space="preserve"> we consider our proposal made in the consultation paper is the most practical way forward. That is, the date a service operating under an apparatus licence was originally (or first) issued should be applied. If a licensee makes any variations to the technical parameters of a licence (that could affect coordination)</w:t>
      </w:r>
      <w:r w:rsidR="005D4DA3">
        <w:t>,</w:t>
      </w:r>
      <w:r w:rsidRPr="00FF1636">
        <w:t xml:space="preserve"> the issue date will be considered to have changed. Operators and accredited persons are capable of keeping records of relevant information in this regard. </w:t>
      </w:r>
      <w:r w:rsidR="005D4DA3">
        <w:t>If</w:t>
      </w:r>
      <w:r w:rsidRPr="00FF1636">
        <w:t xml:space="preserve"> there is uncertainty </w:t>
      </w:r>
      <w:r w:rsidR="005D4DA3">
        <w:t>about</w:t>
      </w:r>
      <w:r w:rsidR="005D4DA3" w:rsidRPr="00FF1636">
        <w:t xml:space="preserve"> </w:t>
      </w:r>
      <w:r w:rsidRPr="00FF1636">
        <w:t xml:space="preserve">the date an apparatus licence was originally issued, guidance from the ACMA can be sought. </w:t>
      </w:r>
    </w:p>
    <w:p w14:paraId="1468597F" w14:textId="77777777" w:rsidR="009169FE" w:rsidRPr="00FF1636" w:rsidRDefault="009169FE" w:rsidP="002F3F49">
      <w:pPr>
        <w:pStyle w:val="Bulletlevel1"/>
        <w:numPr>
          <w:ilvl w:val="0"/>
          <w:numId w:val="0"/>
        </w:numPr>
        <w:spacing w:line="276" w:lineRule="auto"/>
        <w:ind w:left="295" w:hanging="295"/>
      </w:pPr>
    </w:p>
    <w:p w14:paraId="123A5469" w14:textId="5AF4B394" w:rsidR="00ED4B31" w:rsidRPr="0086263A" w:rsidRDefault="00ED4B31">
      <w:pPr>
        <w:spacing w:after="0" w:line="240" w:lineRule="auto"/>
        <w:rPr>
          <w:rFonts w:cs="Arial"/>
          <w:b/>
          <w:sz w:val="28"/>
          <w:szCs w:val="28"/>
        </w:rPr>
      </w:pPr>
      <w:r w:rsidRPr="0086263A">
        <w:rPr>
          <w:rFonts w:cs="Arial"/>
          <w:b/>
          <w:sz w:val="28"/>
          <w:szCs w:val="28"/>
        </w:rPr>
        <w:br w:type="page"/>
      </w:r>
    </w:p>
    <w:p w14:paraId="1573722E" w14:textId="7249218E" w:rsidR="00715722" w:rsidRPr="00FF1636" w:rsidRDefault="00E62E21" w:rsidP="00715722">
      <w:pPr>
        <w:pStyle w:val="Heading1"/>
      </w:pPr>
      <w:bookmarkStart w:id="36" w:name="_Toc139280844"/>
      <w:r w:rsidRPr="00FF1636">
        <w:lastRenderedPageBreak/>
        <w:t>Next steps</w:t>
      </w:r>
      <w:bookmarkEnd w:id="36"/>
    </w:p>
    <w:p w14:paraId="3D7455C5" w14:textId="5BFFB45E" w:rsidR="007B3A32" w:rsidRPr="00FF1636" w:rsidRDefault="00E312EE" w:rsidP="007102AC">
      <w:pPr>
        <w:rPr>
          <w:rFonts w:cs="Arial"/>
        </w:rPr>
      </w:pPr>
      <w:r w:rsidRPr="00FF1636">
        <w:rPr>
          <w:rFonts w:cs="Arial"/>
        </w:rPr>
        <w:t>T</w:t>
      </w:r>
      <w:r w:rsidR="006A0E4A" w:rsidRPr="00FF1636">
        <w:rPr>
          <w:rFonts w:cs="Arial"/>
        </w:rPr>
        <w:t>he</w:t>
      </w:r>
      <w:r w:rsidR="006A0E4A" w:rsidRPr="00FF1636" w:rsidDel="00DF1A45">
        <w:rPr>
          <w:rFonts w:cs="Arial"/>
        </w:rPr>
        <w:t xml:space="preserve"> </w:t>
      </w:r>
      <w:r w:rsidR="006A0E4A" w:rsidRPr="00FF1636">
        <w:rPr>
          <w:rFonts w:cs="Arial"/>
        </w:rPr>
        <w:t>next steps for the 3.4/3.7 GHz band spectrum licence auction</w:t>
      </w:r>
      <w:r w:rsidRPr="00FF1636">
        <w:rPr>
          <w:rFonts w:cs="Arial"/>
        </w:rPr>
        <w:t xml:space="preserve"> are detailed in the table below</w:t>
      </w:r>
      <w:r w:rsidR="00DF1A45" w:rsidRPr="00FF1636">
        <w:rPr>
          <w:rFonts w:cs="Arial"/>
        </w:rPr>
        <w:t xml:space="preserve">. </w:t>
      </w:r>
      <w:r w:rsidR="008D0E43">
        <w:rPr>
          <w:rFonts w:cs="Arial"/>
        </w:rPr>
        <w:t>We</w:t>
      </w:r>
      <w:r w:rsidR="00D977D8" w:rsidRPr="00FF1636">
        <w:rPr>
          <w:rFonts w:cs="Arial"/>
        </w:rPr>
        <w:t xml:space="preserve"> </w:t>
      </w:r>
      <w:r w:rsidR="007B3A32" w:rsidRPr="00FF1636">
        <w:rPr>
          <w:rFonts w:cs="Arial"/>
        </w:rPr>
        <w:t>a</w:t>
      </w:r>
      <w:r w:rsidR="00D977D8" w:rsidRPr="00FF1636">
        <w:rPr>
          <w:rFonts w:cs="Arial"/>
        </w:rPr>
        <w:t xml:space="preserve">re also </w:t>
      </w:r>
      <w:r w:rsidR="007B3A32" w:rsidRPr="00FF1636">
        <w:rPr>
          <w:rFonts w:cs="Arial"/>
        </w:rPr>
        <w:t>considering</w:t>
      </w:r>
      <w:r w:rsidR="00D977D8" w:rsidRPr="00FF1636">
        <w:rPr>
          <w:rFonts w:cs="Arial"/>
        </w:rPr>
        <w:t xml:space="preserve"> additional changes to the RAG Tx</w:t>
      </w:r>
      <w:r w:rsidR="007B3A32" w:rsidRPr="00FF1636">
        <w:rPr>
          <w:rFonts w:cs="Arial"/>
        </w:rPr>
        <w:t xml:space="preserve"> as part of the </w:t>
      </w:r>
      <w:hyperlink r:id="rId64" w:history="1">
        <w:r w:rsidR="005D4DA3" w:rsidRPr="007102AC">
          <w:rPr>
            <w:rStyle w:val="Hyperlink"/>
            <w:rFonts w:cs="Arial"/>
          </w:rPr>
          <w:t>allocation of area-wide apparatus licences in the 3.8 GHz band</w:t>
        </w:r>
        <w:r w:rsidR="005D4DA3" w:rsidRPr="007102AC">
          <w:rPr>
            <w:rStyle w:val="Hyperlink"/>
            <w:rFonts w:cs="Arial"/>
            <w:u w:val="none"/>
          </w:rPr>
          <w:t xml:space="preserve"> </w:t>
        </w:r>
      </w:hyperlink>
      <w:r w:rsidR="007B3A32" w:rsidRPr="00FF1636">
        <w:rPr>
          <w:rFonts w:cs="Arial"/>
        </w:rPr>
        <w:t xml:space="preserve">consultation process. </w:t>
      </w:r>
      <w:r w:rsidR="005D4DA3">
        <w:rPr>
          <w:rFonts w:cs="Arial"/>
        </w:rPr>
        <w:t>We</w:t>
      </w:r>
      <w:r w:rsidR="005D4DA3" w:rsidRPr="00FF1636">
        <w:rPr>
          <w:rFonts w:cs="Arial"/>
        </w:rPr>
        <w:t xml:space="preserve"> inten</w:t>
      </w:r>
      <w:r w:rsidR="005D4DA3">
        <w:rPr>
          <w:rFonts w:cs="Arial"/>
        </w:rPr>
        <w:t>d</w:t>
      </w:r>
      <w:r w:rsidR="005D4DA3" w:rsidRPr="00FF1636">
        <w:rPr>
          <w:rFonts w:cs="Arial"/>
        </w:rPr>
        <w:t xml:space="preserve"> </w:t>
      </w:r>
      <w:r w:rsidR="007B3A32" w:rsidRPr="00FF1636">
        <w:rPr>
          <w:rFonts w:cs="Arial"/>
        </w:rPr>
        <w:t xml:space="preserve">to make a decision on any additional changes to the RAG Tx </w:t>
      </w:r>
      <w:r w:rsidR="002F081D" w:rsidRPr="00FF1636">
        <w:rPr>
          <w:rFonts w:cs="Arial"/>
        </w:rPr>
        <w:t>in Q3 2023</w:t>
      </w:r>
      <w:r w:rsidRPr="00FF1636">
        <w:rPr>
          <w:rFonts w:cs="Arial"/>
        </w:rPr>
        <w:t xml:space="preserve"> – </w:t>
      </w:r>
      <w:r w:rsidR="005D4DA3">
        <w:rPr>
          <w:rFonts w:cs="Arial"/>
        </w:rPr>
        <w:t>that is,</w:t>
      </w:r>
      <w:r w:rsidRPr="00FF1636">
        <w:rPr>
          <w:rFonts w:cs="Arial"/>
        </w:rPr>
        <w:t xml:space="preserve"> </w:t>
      </w:r>
      <w:r w:rsidR="007B3A32" w:rsidRPr="00FF1636">
        <w:rPr>
          <w:rFonts w:cs="Arial"/>
        </w:rPr>
        <w:t>before the auction for 3.4/3.7 GHz licences commences.</w:t>
      </w:r>
    </w:p>
    <w:tbl>
      <w:tblPr>
        <w:tblStyle w:val="TableGrid"/>
        <w:tblW w:w="0" w:type="auto"/>
        <w:tblCellMar>
          <w:top w:w="85" w:type="dxa"/>
          <w:left w:w="57" w:type="dxa"/>
          <w:bottom w:w="85" w:type="dxa"/>
          <w:right w:w="57" w:type="dxa"/>
        </w:tblCellMar>
        <w:tblLook w:val="04A0" w:firstRow="1" w:lastRow="0" w:firstColumn="1" w:lastColumn="0" w:noHBand="0" w:noVBand="1"/>
      </w:tblPr>
      <w:tblGrid>
        <w:gridCol w:w="5764"/>
        <w:gridCol w:w="1846"/>
        <w:gridCol w:w="51"/>
      </w:tblGrid>
      <w:tr w:rsidR="0031694C" w14:paraId="3A6AF94E" w14:textId="77777777" w:rsidTr="00FE79D7">
        <w:trPr>
          <w:gridAfter w:val="1"/>
          <w:wAfter w:w="51" w:type="dxa"/>
        </w:trPr>
        <w:tc>
          <w:tcPr>
            <w:tcW w:w="5807" w:type="dxa"/>
            <w:shd w:val="clear" w:color="auto" w:fill="404040" w:themeFill="text1" w:themeFillTint="BF"/>
          </w:tcPr>
          <w:p w14:paraId="0BC8C278" w14:textId="16203830" w:rsidR="0031694C" w:rsidRPr="00FF78AC" w:rsidRDefault="002E5E4C" w:rsidP="00FE79D7">
            <w:pPr>
              <w:spacing w:after="0"/>
              <w:rPr>
                <w:rFonts w:cs="Arial"/>
                <w:b/>
              </w:rPr>
            </w:pPr>
            <w:r w:rsidRPr="00FE79D7">
              <w:rPr>
                <w:rFonts w:cs="Arial"/>
                <w:b/>
                <w:color w:val="FFFFFF" w:themeColor="background1"/>
              </w:rPr>
              <w:t>Event</w:t>
            </w:r>
          </w:p>
        </w:tc>
        <w:tc>
          <w:tcPr>
            <w:tcW w:w="1854" w:type="dxa"/>
            <w:shd w:val="clear" w:color="auto" w:fill="404040" w:themeFill="text1" w:themeFillTint="BF"/>
          </w:tcPr>
          <w:p w14:paraId="2FD93249" w14:textId="4BEEFC0F" w:rsidR="0031694C" w:rsidRPr="00FF78AC" w:rsidRDefault="00C04B8D" w:rsidP="00FE79D7">
            <w:pPr>
              <w:spacing w:after="0"/>
              <w:rPr>
                <w:rFonts w:cs="Arial"/>
                <w:b/>
              </w:rPr>
            </w:pPr>
            <w:r w:rsidRPr="00FE79D7">
              <w:rPr>
                <w:rFonts w:cs="Arial"/>
                <w:b/>
                <w:color w:val="FFFFFF" w:themeColor="background1"/>
              </w:rPr>
              <w:t>Date</w:t>
            </w:r>
          </w:p>
        </w:tc>
      </w:tr>
      <w:tr w:rsidR="0031694C" w14:paraId="1AAC8EC8" w14:textId="77777777" w:rsidTr="00FE79D7">
        <w:tc>
          <w:tcPr>
            <w:tcW w:w="5807" w:type="dxa"/>
          </w:tcPr>
          <w:p w14:paraId="34EAF68F" w14:textId="1E62B12A" w:rsidR="0031694C" w:rsidRPr="00FF1636" w:rsidRDefault="00747114" w:rsidP="00FE79D7">
            <w:pPr>
              <w:spacing w:after="0"/>
              <w:rPr>
                <w:rFonts w:cs="Arial"/>
              </w:rPr>
            </w:pPr>
            <w:r w:rsidRPr="00FF1636">
              <w:rPr>
                <w:rFonts w:cs="Arial"/>
              </w:rPr>
              <w:t xml:space="preserve">The ACMA will </w:t>
            </w:r>
            <w:r w:rsidRPr="00FE79D7">
              <w:rPr>
                <w:rFonts w:cs="Arial"/>
                <w:b/>
                <w:bCs/>
              </w:rPr>
              <w:t xml:space="preserve">advertise the auction, publish the </w:t>
            </w:r>
            <w:r w:rsidR="005D4DA3" w:rsidRPr="00FE79D7">
              <w:rPr>
                <w:rFonts w:cs="Arial"/>
                <w:b/>
                <w:bCs/>
              </w:rPr>
              <w:t>a</w:t>
            </w:r>
            <w:r w:rsidRPr="00FE79D7">
              <w:rPr>
                <w:rFonts w:cs="Arial"/>
                <w:b/>
                <w:bCs/>
              </w:rPr>
              <w:t xml:space="preserve">pplicant </w:t>
            </w:r>
            <w:r w:rsidR="005D4DA3" w:rsidRPr="00FE79D7">
              <w:rPr>
                <w:rFonts w:cs="Arial"/>
                <w:b/>
                <w:bCs/>
              </w:rPr>
              <w:t>i</w:t>
            </w:r>
            <w:r w:rsidRPr="00FE79D7">
              <w:rPr>
                <w:rFonts w:cs="Arial"/>
                <w:b/>
                <w:bCs/>
              </w:rPr>
              <w:t xml:space="preserve">nformation </w:t>
            </w:r>
            <w:r w:rsidR="005D4DA3" w:rsidRPr="00FE79D7">
              <w:rPr>
                <w:rFonts w:cs="Arial"/>
                <w:b/>
                <w:bCs/>
              </w:rPr>
              <w:t>p</w:t>
            </w:r>
            <w:r w:rsidRPr="00FE79D7">
              <w:rPr>
                <w:rFonts w:cs="Arial"/>
                <w:b/>
                <w:bCs/>
              </w:rPr>
              <w:t>ack (AIP) and invite applications to participate in the 3.4/3.7 GHz bands auction</w:t>
            </w:r>
            <w:r w:rsidRPr="00FF1636">
              <w:rPr>
                <w:rFonts w:cs="Arial"/>
              </w:rPr>
              <w:t xml:space="preserve">. The AIP will give potential bidders information </w:t>
            </w:r>
            <w:r w:rsidR="005D4DA3">
              <w:rPr>
                <w:rFonts w:cs="Arial"/>
              </w:rPr>
              <w:t>about</w:t>
            </w:r>
            <w:r w:rsidRPr="00FF1636">
              <w:rPr>
                <w:rFonts w:cs="Arial"/>
              </w:rPr>
              <w:t xml:space="preserve"> whether to participate, and if they choose to do so, how to participate. Starting prices, set prices for leftover lots, lot ratings and the value of each eligibility point will also be published at the same time.</w:t>
            </w:r>
          </w:p>
        </w:tc>
        <w:tc>
          <w:tcPr>
            <w:tcW w:w="1854" w:type="dxa"/>
            <w:gridSpan w:val="2"/>
          </w:tcPr>
          <w:p w14:paraId="3501A1E5" w14:textId="38F48CFE" w:rsidR="0031694C" w:rsidRPr="003D5C38" w:rsidRDefault="00747114" w:rsidP="0031694C">
            <w:pPr>
              <w:rPr>
                <w:rFonts w:cs="Arial"/>
              </w:rPr>
            </w:pPr>
            <w:r w:rsidRPr="002C2CC5">
              <w:rPr>
                <w:rFonts w:cs="Arial"/>
              </w:rPr>
              <w:t>Applications open July 2023</w:t>
            </w:r>
          </w:p>
        </w:tc>
      </w:tr>
      <w:tr w:rsidR="00747114" w14:paraId="0DB5E2EA" w14:textId="77777777" w:rsidTr="00FE79D7">
        <w:tc>
          <w:tcPr>
            <w:tcW w:w="5807" w:type="dxa"/>
          </w:tcPr>
          <w:p w14:paraId="1A13A6DC" w14:textId="77777777" w:rsidR="007C0795" w:rsidRPr="00FF1636" w:rsidRDefault="007C0795" w:rsidP="00FE79D7">
            <w:pPr>
              <w:pStyle w:val="Paragraphbeforelist"/>
              <w:rPr>
                <w:sz w:val="18"/>
                <w:szCs w:val="18"/>
              </w:rPr>
            </w:pPr>
            <w:r>
              <w:rPr>
                <w:rStyle w:val="normaltextrun"/>
                <w:szCs w:val="20"/>
              </w:rPr>
              <w:t xml:space="preserve">By the </w:t>
            </w:r>
            <w:r w:rsidRPr="00FE79D7">
              <w:rPr>
                <w:rStyle w:val="normaltextrun"/>
                <w:b/>
                <w:bCs/>
                <w:szCs w:val="20"/>
              </w:rPr>
              <w:t>application deadline</w:t>
            </w:r>
            <w:r>
              <w:rPr>
                <w:rStyle w:val="normaltextrun"/>
                <w:szCs w:val="20"/>
              </w:rPr>
              <w:t>, applicants are required to:</w:t>
            </w:r>
            <w:r>
              <w:rPr>
                <w:rStyle w:val="eop"/>
                <w:szCs w:val="20"/>
              </w:rPr>
              <w:t> </w:t>
            </w:r>
          </w:p>
          <w:p w14:paraId="7EF4FC77" w14:textId="77777777" w:rsidR="007C0795" w:rsidRDefault="007C0795" w:rsidP="00FE79D7">
            <w:pPr>
              <w:pStyle w:val="Bulletlevel1"/>
            </w:pPr>
            <w:r>
              <w:rPr>
                <w:rStyle w:val="normaltextrun"/>
                <w:szCs w:val="20"/>
              </w:rPr>
              <w:t>submit a completed application form</w:t>
            </w:r>
            <w:r>
              <w:rPr>
                <w:rStyle w:val="eop"/>
                <w:szCs w:val="20"/>
              </w:rPr>
              <w:t> </w:t>
            </w:r>
          </w:p>
          <w:p w14:paraId="17866A6D" w14:textId="77777777" w:rsidR="007C0795" w:rsidRDefault="007C0795" w:rsidP="00FE79D7">
            <w:pPr>
              <w:pStyle w:val="Bulletlevel1"/>
            </w:pPr>
            <w:r>
              <w:rPr>
                <w:rStyle w:val="normaltextrun"/>
                <w:szCs w:val="20"/>
              </w:rPr>
              <w:t>submit a completed deed of acknowledgement form</w:t>
            </w:r>
            <w:r>
              <w:rPr>
                <w:rStyle w:val="eop"/>
                <w:szCs w:val="20"/>
              </w:rPr>
              <w:t> </w:t>
            </w:r>
          </w:p>
          <w:p w14:paraId="1AADA18E" w14:textId="77777777" w:rsidR="007C0795" w:rsidRDefault="007C0795" w:rsidP="00FE79D7">
            <w:pPr>
              <w:pStyle w:val="Bulletlevel1"/>
            </w:pPr>
            <w:r>
              <w:rPr>
                <w:rStyle w:val="normaltextrun"/>
                <w:szCs w:val="20"/>
              </w:rPr>
              <w:t>submit a completed deed of confidentiality form</w:t>
            </w:r>
            <w:r>
              <w:rPr>
                <w:rStyle w:val="eop"/>
                <w:szCs w:val="20"/>
              </w:rPr>
              <w:t> </w:t>
            </w:r>
          </w:p>
          <w:p w14:paraId="211E3B3E" w14:textId="0A4CA0DF" w:rsidR="00747114" w:rsidRPr="005D4DA3" w:rsidRDefault="007C0795" w:rsidP="00FE79D7">
            <w:pPr>
              <w:pStyle w:val="Bulletlevel1"/>
              <w:spacing w:after="0"/>
            </w:pPr>
            <w:r>
              <w:rPr>
                <w:rStyle w:val="normaltextrun"/>
                <w:szCs w:val="20"/>
              </w:rPr>
              <w:t>pay the application fee.</w:t>
            </w:r>
            <w:r>
              <w:rPr>
                <w:rStyle w:val="eop"/>
                <w:szCs w:val="20"/>
              </w:rPr>
              <w:t> </w:t>
            </w:r>
          </w:p>
        </w:tc>
        <w:tc>
          <w:tcPr>
            <w:tcW w:w="1854" w:type="dxa"/>
            <w:gridSpan w:val="2"/>
          </w:tcPr>
          <w:p w14:paraId="1FD3717F" w14:textId="1B00AEC6" w:rsidR="00747114" w:rsidRPr="002C2CC5" w:rsidRDefault="007C0795" w:rsidP="00747114">
            <w:pPr>
              <w:rPr>
                <w:rFonts w:cs="Arial"/>
              </w:rPr>
            </w:pPr>
            <w:r w:rsidRPr="002C2CC5">
              <w:rPr>
                <w:rFonts w:cs="Arial"/>
              </w:rPr>
              <w:t>Application</w:t>
            </w:r>
            <w:r w:rsidR="00FE6AFF" w:rsidRPr="002C2CC5">
              <w:rPr>
                <w:rFonts w:cs="Arial"/>
              </w:rPr>
              <w:t xml:space="preserve">s close </w:t>
            </w:r>
            <w:r w:rsidRPr="002C2CC5">
              <w:rPr>
                <w:rFonts w:cs="Arial"/>
              </w:rPr>
              <w:t xml:space="preserve">July 2023 </w:t>
            </w:r>
          </w:p>
        </w:tc>
      </w:tr>
      <w:tr w:rsidR="002D55D1" w14:paraId="64378EC9" w14:textId="77777777" w:rsidTr="00FE79D7">
        <w:tc>
          <w:tcPr>
            <w:tcW w:w="5807" w:type="dxa"/>
          </w:tcPr>
          <w:p w14:paraId="21685A1B" w14:textId="77777777" w:rsidR="002D55D1" w:rsidRPr="00FF1636" w:rsidRDefault="002D55D1" w:rsidP="00FE79D7">
            <w:pPr>
              <w:pStyle w:val="Paragraphbeforelist"/>
              <w:rPr>
                <w:sz w:val="18"/>
                <w:szCs w:val="18"/>
              </w:rPr>
            </w:pPr>
            <w:r>
              <w:rPr>
                <w:rStyle w:val="normaltextrun"/>
                <w:szCs w:val="20"/>
              </w:rPr>
              <w:t xml:space="preserve">By the </w:t>
            </w:r>
            <w:r w:rsidRPr="00FE79D7">
              <w:rPr>
                <w:rStyle w:val="normaltextrun"/>
                <w:b/>
                <w:bCs/>
                <w:szCs w:val="20"/>
              </w:rPr>
              <w:t>eligibility deadline</w:t>
            </w:r>
            <w:r>
              <w:rPr>
                <w:rStyle w:val="normaltextrun"/>
                <w:szCs w:val="20"/>
              </w:rPr>
              <w:t>, applicants are required to:</w:t>
            </w:r>
            <w:r>
              <w:rPr>
                <w:rStyle w:val="eop"/>
                <w:szCs w:val="20"/>
              </w:rPr>
              <w:t> </w:t>
            </w:r>
          </w:p>
          <w:p w14:paraId="3B5580F2" w14:textId="77777777" w:rsidR="002D55D1" w:rsidRDefault="002D55D1" w:rsidP="00FE79D7">
            <w:pPr>
              <w:pStyle w:val="Bulletlevel1"/>
            </w:pPr>
            <w:r>
              <w:rPr>
                <w:rStyle w:val="normaltextrun"/>
                <w:szCs w:val="20"/>
              </w:rPr>
              <w:t>submit a completed eligibility nomination form</w:t>
            </w:r>
            <w:r>
              <w:rPr>
                <w:rStyle w:val="eop"/>
                <w:szCs w:val="20"/>
              </w:rPr>
              <w:t> </w:t>
            </w:r>
          </w:p>
          <w:p w14:paraId="5A409429" w14:textId="77777777" w:rsidR="002D55D1" w:rsidRDefault="002D55D1" w:rsidP="00FE79D7">
            <w:pPr>
              <w:pStyle w:val="Bulletlevel1"/>
            </w:pPr>
            <w:r>
              <w:rPr>
                <w:rStyle w:val="normaltextrun"/>
                <w:szCs w:val="20"/>
              </w:rPr>
              <w:t>(for eligible applicants) elect whether to take up the leftover lot(s)</w:t>
            </w:r>
            <w:r>
              <w:rPr>
                <w:rStyle w:val="eop"/>
                <w:szCs w:val="20"/>
              </w:rPr>
              <w:t> </w:t>
            </w:r>
          </w:p>
          <w:p w14:paraId="7FC55C10" w14:textId="37AF6D44" w:rsidR="002D55D1" w:rsidRPr="005D4DA3" w:rsidRDefault="002D55D1" w:rsidP="00FE79D7">
            <w:pPr>
              <w:pStyle w:val="Bulletlevel1"/>
              <w:spacing w:after="0"/>
              <w:rPr>
                <w:rStyle w:val="normaltextrun"/>
                <w:szCs w:val="20"/>
              </w:rPr>
            </w:pPr>
            <w:r>
              <w:rPr>
                <w:rStyle w:val="normaltextrun"/>
                <w:szCs w:val="20"/>
              </w:rPr>
              <w:t>pay the required eligibility payment or provide a deed of financial security, or a combination of both.</w:t>
            </w:r>
            <w:r>
              <w:rPr>
                <w:rStyle w:val="eop"/>
                <w:szCs w:val="20"/>
              </w:rPr>
              <w:t> </w:t>
            </w:r>
          </w:p>
        </w:tc>
        <w:tc>
          <w:tcPr>
            <w:tcW w:w="1854" w:type="dxa"/>
            <w:gridSpan w:val="2"/>
          </w:tcPr>
          <w:p w14:paraId="5169D5B0" w14:textId="16F23B94" w:rsidR="002D55D1" w:rsidRPr="002C2CC5" w:rsidRDefault="00E634FA" w:rsidP="00747114">
            <w:pPr>
              <w:rPr>
                <w:rFonts w:cs="Arial"/>
              </w:rPr>
            </w:pPr>
            <w:r w:rsidRPr="002C2CC5">
              <w:rPr>
                <w:rFonts w:cs="Arial"/>
              </w:rPr>
              <w:t xml:space="preserve">September 2023 </w:t>
            </w:r>
          </w:p>
        </w:tc>
      </w:tr>
      <w:tr w:rsidR="00E634FA" w14:paraId="650FFA65" w14:textId="77777777" w:rsidTr="00FE79D7">
        <w:tc>
          <w:tcPr>
            <w:tcW w:w="5807" w:type="dxa"/>
          </w:tcPr>
          <w:p w14:paraId="268E1763" w14:textId="000A7387" w:rsidR="00E634FA" w:rsidRDefault="00E634FA" w:rsidP="002D55D1">
            <w:pPr>
              <w:pStyle w:val="paragraph0"/>
              <w:spacing w:before="0" w:beforeAutospacing="0" w:after="0" w:afterAutospacing="0"/>
              <w:textAlignment w:val="baseline"/>
              <w:rPr>
                <w:rStyle w:val="normaltextrun"/>
                <w:rFonts w:ascii="Arial" w:hAnsi="Arial" w:cs="Arial"/>
                <w:sz w:val="20"/>
                <w:szCs w:val="20"/>
              </w:rPr>
            </w:pPr>
            <w:r w:rsidRPr="00FE79D7">
              <w:rPr>
                <w:rStyle w:val="normaltextrun"/>
                <w:rFonts w:ascii="Arial" w:hAnsi="Arial" w:cs="Arial"/>
                <w:b/>
                <w:bCs/>
                <w:sz w:val="20"/>
                <w:szCs w:val="20"/>
              </w:rPr>
              <w:t>Auction system training and mock auctions held</w:t>
            </w:r>
            <w:r>
              <w:rPr>
                <w:rStyle w:val="normaltextrun"/>
                <w:rFonts w:ascii="Arial" w:hAnsi="Arial" w:cs="Arial"/>
                <w:sz w:val="20"/>
                <w:szCs w:val="20"/>
              </w:rPr>
              <w:t xml:space="preserve"> to familiarise registered bidders with the auction system </w:t>
            </w:r>
          </w:p>
        </w:tc>
        <w:tc>
          <w:tcPr>
            <w:tcW w:w="1854" w:type="dxa"/>
            <w:gridSpan w:val="2"/>
          </w:tcPr>
          <w:p w14:paraId="3424063C" w14:textId="0144AFDA" w:rsidR="00E634FA" w:rsidRPr="002C2CC5" w:rsidRDefault="00E634FA" w:rsidP="00FE79D7">
            <w:pPr>
              <w:spacing w:after="0"/>
              <w:rPr>
                <w:rFonts w:cs="Arial"/>
              </w:rPr>
            </w:pPr>
            <w:r w:rsidRPr="002C2CC5">
              <w:rPr>
                <w:rFonts w:cs="Arial"/>
              </w:rPr>
              <w:t xml:space="preserve">After the eligibility deadline </w:t>
            </w:r>
          </w:p>
        </w:tc>
      </w:tr>
      <w:tr w:rsidR="00E634FA" w14:paraId="50A8B657" w14:textId="77777777" w:rsidTr="00FE79D7">
        <w:tc>
          <w:tcPr>
            <w:tcW w:w="5807" w:type="dxa"/>
          </w:tcPr>
          <w:p w14:paraId="634F94ED" w14:textId="25144032" w:rsidR="00E634FA" w:rsidRPr="00FE79D7" w:rsidRDefault="00E634FA" w:rsidP="005D4DA3">
            <w:pPr>
              <w:pStyle w:val="paragraph0"/>
              <w:spacing w:before="0" w:beforeAutospacing="0" w:after="0" w:afterAutospacing="0"/>
              <w:textAlignment w:val="baseline"/>
              <w:rPr>
                <w:rStyle w:val="normaltextrun"/>
                <w:rFonts w:ascii="Arial" w:hAnsi="Arial" w:cs="Arial"/>
                <w:b/>
                <w:bCs/>
                <w:sz w:val="20"/>
                <w:szCs w:val="20"/>
              </w:rPr>
            </w:pPr>
            <w:r w:rsidRPr="00FE79D7">
              <w:rPr>
                <w:rStyle w:val="normaltextrun"/>
                <w:rFonts w:ascii="Arial" w:hAnsi="Arial" w:cs="Arial"/>
                <w:b/>
                <w:bCs/>
                <w:sz w:val="20"/>
                <w:szCs w:val="20"/>
              </w:rPr>
              <w:t xml:space="preserve">Estimated auction commencement </w:t>
            </w:r>
          </w:p>
        </w:tc>
        <w:tc>
          <w:tcPr>
            <w:tcW w:w="1854" w:type="dxa"/>
            <w:gridSpan w:val="2"/>
          </w:tcPr>
          <w:p w14:paraId="7F112AED" w14:textId="72AB0524" w:rsidR="00E634FA" w:rsidRPr="002C2CC5" w:rsidRDefault="001C79DB" w:rsidP="00FE79D7">
            <w:pPr>
              <w:spacing w:after="0"/>
              <w:rPr>
                <w:rFonts w:cs="Arial"/>
              </w:rPr>
            </w:pPr>
            <w:r w:rsidRPr="002C2CC5">
              <w:rPr>
                <w:rFonts w:cs="Arial"/>
              </w:rPr>
              <w:t xml:space="preserve">Late </w:t>
            </w:r>
            <w:r w:rsidR="00E634FA" w:rsidRPr="002C2CC5">
              <w:rPr>
                <w:rFonts w:cs="Arial"/>
              </w:rPr>
              <w:t xml:space="preserve">October 2023 </w:t>
            </w:r>
          </w:p>
        </w:tc>
      </w:tr>
    </w:tbl>
    <w:p w14:paraId="5704406A" w14:textId="77777777" w:rsidR="0031694C" w:rsidRPr="00FF1636" w:rsidRDefault="0031694C" w:rsidP="00FE79D7">
      <w:pPr>
        <w:spacing w:after="120"/>
        <w:rPr>
          <w:rFonts w:cs="Arial"/>
        </w:rPr>
      </w:pPr>
    </w:p>
    <w:p w14:paraId="3096DA7C" w14:textId="01C6F3A8" w:rsidR="006A0E4A" w:rsidRPr="00FF1636" w:rsidRDefault="00EE65BD" w:rsidP="0031694C">
      <w:pPr>
        <w:rPr>
          <w:rFonts w:cs="Arial"/>
        </w:rPr>
      </w:pPr>
      <w:r>
        <w:rPr>
          <w:rFonts w:cs="Arial"/>
        </w:rPr>
        <w:t>O</w:t>
      </w:r>
      <w:r w:rsidR="00B82BF1" w:rsidRPr="00FF1636">
        <w:rPr>
          <w:rFonts w:cs="Arial"/>
        </w:rPr>
        <w:t>ther</w:t>
      </w:r>
      <w:r w:rsidR="006A0E4A" w:rsidRPr="00FF1636">
        <w:rPr>
          <w:rFonts w:cs="Arial"/>
        </w:rPr>
        <w:t xml:space="preserve"> planned activities in the wider </w:t>
      </w:r>
      <w:r w:rsidR="008253F7">
        <w:rPr>
          <w:rFonts w:cs="Arial"/>
        </w:rPr>
        <w:t xml:space="preserve">3.4–4.0 </w:t>
      </w:r>
      <w:r w:rsidR="006A0E4A" w:rsidRPr="00FF1636">
        <w:rPr>
          <w:rFonts w:cs="Arial"/>
        </w:rPr>
        <w:t>GHz band allocations</w:t>
      </w:r>
      <w:r>
        <w:rPr>
          <w:rFonts w:cs="Arial"/>
        </w:rPr>
        <w:t xml:space="preserve"> are outlined below</w:t>
      </w:r>
      <w:r w:rsidR="005358CE">
        <w:rPr>
          <w:rFonts w:cs="Arial"/>
        </w:rPr>
        <w:t xml:space="preserve">. More information about allocating the </w:t>
      </w:r>
      <w:r w:rsidR="008253F7">
        <w:rPr>
          <w:rFonts w:cs="Arial"/>
        </w:rPr>
        <w:t xml:space="preserve">3.4–4.0 </w:t>
      </w:r>
      <w:r w:rsidR="005358CE">
        <w:rPr>
          <w:rFonts w:cs="Arial"/>
        </w:rPr>
        <w:t xml:space="preserve">GHz band is on </w:t>
      </w:r>
      <w:hyperlink r:id="rId65" w:history="1">
        <w:r w:rsidR="005358CE" w:rsidRPr="005358CE">
          <w:rPr>
            <w:rStyle w:val="Hyperlink"/>
            <w:rFonts w:cs="Arial"/>
          </w:rPr>
          <w:t>the ACMA’s website</w:t>
        </w:r>
      </w:hyperlink>
      <w:r w:rsidR="005358CE">
        <w:rPr>
          <w:rFonts w:cs="Arial"/>
        </w:rPr>
        <w:t>.</w:t>
      </w:r>
    </w:p>
    <w:tbl>
      <w:tblPr>
        <w:tblStyle w:val="TableGrid"/>
        <w:tblW w:w="0" w:type="auto"/>
        <w:tblCellMar>
          <w:top w:w="85" w:type="dxa"/>
          <w:left w:w="57" w:type="dxa"/>
          <w:bottom w:w="85" w:type="dxa"/>
          <w:right w:w="57" w:type="dxa"/>
        </w:tblCellMar>
        <w:tblLook w:val="04A0" w:firstRow="1" w:lastRow="0" w:firstColumn="1" w:lastColumn="0" w:noHBand="0" w:noVBand="1"/>
      </w:tblPr>
      <w:tblGrid>
        <w:gridCol w:w="5763"/>
        <w:gridCol w:w="1898"/>
      </w:tblGrid>
      <w:tr w:rsidR="00B82BF1" w:rsidRPr="002216C9" w14:paraId="1491B93A" w14:textId="77777777" w:rsidTr="002C2CC5">
        <w:trPr>
          <w:tblHeader/>
        </w:trPr>
        <w:tc>
          <w:tcPr>
            <w:tcW w:w="5763" w:type="dxa"/>
            <w:shd w:val="clear" w:color="auto" w:fill="404040" w:themeFill="text1" w:themeFillTint="BF"/>
          </w:tcPr>
          <w:p w14:paraId="27F0F562" w14:textId="2860164A" w:rsidR="00B82BF1" w:rsidRPr="00FE79D7" w:rsidRDefault="0010288A" w:rsidP="00FE79D7">
            <w:pPr>
              <w:spacing w:after="0"/>
              <w:rPr>
                <w:rFonts w:cs="Arial"/>
                <w:b/>
                <w:color w:val="FFFFFF" w:themeColor="background1"/>
              </w:rPr>
            </w:pPr>
            <w:r w:rsidRPr="00FE79D7">
              <w:rPr>
                <w:rFonts w:cs="Arial"/>
                <w:b/>
                <w:color w:val="FFFFFF" w:themeColor="background1"/>
              </w:rPr>
              <w:t>Event</w:t>
            </w:r>
          </w:p>
        </w:tc>
        <w:tc>
          <w:tcPr>
            <w:tcW w:w="1898" w:type="dxa"/>
            <w:shd w:val="clear" w:color="auto" w:fill="404040" w:themeFill="text1" w:themeFillTint="BF"/>
          </w:tcPr>
          <w:p w14:paraId="62027D67" w14:textId="30D1ACCD" w:rsidR="00B82BF1" w:rsidRPr="00FE79D7" w:rsidRDefault="00B82BF1" w:rsidP="00FE79D7">
            <w:pPr>
              <w:spacing w:after="0"/>
              <w:rPr>
                <w:rFonts w:cs="Arial"/>
                <w:b/>
                <w:color w:val="FFFFFF" w:themeColor="background1"/>
              </w:rPr>
            </w:pPr>
            <w:r w:rsidRPr="00FE79D7">
              <w:rPr>
                <w:rFonts w:cs="Arial"/>
                <w:b/>
                <w:color w:val="FFFFFF" w:themeColor="background1"/>
              </w:rPr>
              <w:t>Date</w:t>
            </w:r>
          </w:p>
        </w:tc>
      </w:tr>
      <w:tr w:rsidR="00B82BF1" w14:paraId="476869BF" w14:textId="77777777" w:rsidTr="002C2CC5">
        <w:tc>
          <w:tcPr>
            <w:tcW w:w="7661" w:type="dxa"/>
            <w:gridSpan w:val="2"/>
            <w:shd w:val="clear" w:color="auto" w:fill="F2F2F2" w:themeFill="background1" w:themeFillShade="F2"/>
            <w:vAlign w:val="center"/>
          </w:tcPr>
          <w:p w14:paraId="65A6B486" w14:textId="653CF263" w:rsidR="00B82BF1" w:rsidRPr="00FF78AC" w:rsidRDefault="0069731B" w:rsidP="002C2CC5">
            <w:pPr>
              <w:keepNext/>
              <w:spacing w:after="0"/>
              <w:rPr>
                <w:rFonts w:cs="Arial"/>
                <w:b/>
              </w:rPr>
            </w:pPr>
            <w:r w:rsidRPr="00FF1636">
              <w:rPr>
                <w:rFonts w:cs="Arial"/>
                <w:b/>
              </w:rPr>
              <w:t>3400</w:t>
            </w:r>
            <w:r w:rsidR="00EE65BD" w:rsidRPr="00FF1636">
              <w:rPr>
                <w:rFonts w:cs="Arial"/>
                <w:b/>
              </w:rPr>
              <w:t>–</w:t>
            </w:r>
            <w:r w:rsidRPr="00FF1636">
              <w:rPr>
                <w:rFonts w:cs="Arial"/>
                <w:b/>
              </w:rPr>
              <w:t xml:space="preserve">4000 MHz remote </w:t>
            </w:r>
            <w:r w:rsidR="00EE65BD">
              <w:rPr>
                <w:rFonts w:cs="Arial"/>
                <w:b/>
              </w:rPr>
              <w:t>a</w:t>
            </w:r>
            <w:r w:rsidRPr="00FF1636">
              <w:rPr>
                <w:rFonts w:cs="Arial"/>
                <w:b/>
              </w:rPr>
              <w:t>rea-wide apparatus licence allocation</w:t>
            </w:r>
          </w:p>
        </w:tc>
      </w:tr>
      <w:tr w:rsidR="00B82BF1" w14:paraId="66194696" w14:textId="77777777" w:rsidTr="002C2CC5">
        <w:tc>
          <w:tcPr>
            <w:tcW w:w="5763" w:type="dxa"/>
          </w:tcPr>
          <w:p w14:paraId="5E5F064E" w14:textId="126A6A64" w:rsidR="00B82BF1" w:rsidRPr="00FF1636" w:rsidRDefault="00B43FF9" w:rsidP="00FE79D7">
            <w:pPr>
              <w:pStyle w:val="Bulletlevel1"/>
            </w:pPr>
            <w:r w:rsidRPr="00FF1636">
              <w:t>Making relevant regulatory and technical instruments and releasing the final applicant information package (AIP)</w:t>
            </w:r>
            <w:r w:rsidR="00EE65BD">
              <w:t>.</w:t>
            </w:r>
            <w:r w:rsidRPr="00FF1636">
              <w:t xml:space="preserve"> </w:t>
            </w:r>
            <w:r w:rsidR="00A82163" w:rsidRPr="00FF1636">
              <w:t xml:space="preserve"> </w:t>
            </w:r>
          </w:p>
          <w:p w14:paraId="2A461BB1" w14:textId="465A4F4A" w:rsidR="00B82BF1" w:rsidRPr="00FF1636" w:rsidRDefault="00EC213F" w:rsidP="00FE79D7">
            <w:pPr>
              <w:pStyle w:val="Bulletlevel1"/>
              <w:spacing w:after="0"/>
            </w:pPr>
            <w:r w:rsidRPr="00FF1636">
              <w:t>Allocation</w:t>
            </w:r>
            <w:r w:rsidR="00C968B8" w:rsidRPr="00FF1636">
              <w:t xml:space="preserve"> will </w:t>
            </w:r>
            <w:r w:rsidRPr="00FF1636">
              <w:t>begin</w:t>
            </w:r>
            <w:r w:rsidR="00C968B8" w:rsidRPr="00FF1636">
              <w:t xml:space="preserve"> 4 weeks after publication of the AIP.</w:t>
            </w:r>
          </w:p>
        </w:tc>
        <w:tc>
          <w:tcPr>
            <w:tcW w:w="1898" w:type="dxa"/>
          </w:tcPr>
          <w:p w14:paraId="5EA11E6E" w14:textId="352DC8BB" w:rsidR="00B82BF1" w:rsidRPr="00FF78AC" w:rsidRDefault="00D4244F" w:rsidP="00FE79D7">
            <w:pPr>
              <w:spacing w:after="0"/>
              <w:rPr>
                <w:rFonts w:cs="Arial"/>
                <w:highlight w:val="yellow"/>
              </w:rPr>
            </w:pPr>
            <w:hyperlink r:id="rId66" w:history="1">
              <w:r w:rsidR="00A81F69" w:rsidRPr="001173AD">
                <w:rPr>
                  <w:rStyle w:val="Hyperlink"/>
                  <w:rFonts w:cs="Arial"/>
                </w:rPr>
                <w:t>Applications are open</w:t>
              </w:r>
            </w:hyperlink>
            <w:r w:rsidR="00A81F69" w:rsidRPr="001173AD">
              <w:rPr>
                <w:rFonts w:cs="Arial"/>
              </w:rPr>
              <w:t xml:space="preserve"> from </w:t>
            </w:r>
            <w:r w:rsidR="00920335" w:rsidRPr="00FE79D7">
              <w:rPr>
                <w:rFonts w:cs="Arial"/>
                <w:b/>
                <w:bCs/>
              </w:rPr>
              <w:t>10</w:t>
            </w:r>
            <w:r w:rsidR="00EE65BD" w:rsidRPr="00FE79D7">
              <w:rPr>
                <w:rFonts w:cs="Arial"/>
                <w:b/>
                <w:bCs/>
              </w:rPr>
              <w:t xml:space="preserve"> am</w:t>
            </w:r>
            <w:r w:rsidR="00920335" w:rsidRPr="00FE79D7">
              <w:rPr>
                <w:rFonts w:cs="Arial"/>
                <w:b/>
                <w:bCs/>
              </w:rPr>
              <w:t xml:space="preserve"> </w:t>
            </w:r>
            <w:r w:rsidR="00EE65BD" w:rsidRPr="00FE79D7">
              <w:rPr>
                <w:rFonts w:cs="Arial"/>
                <w:b/>
                <w:bCs/>
              </w:rPr>
              <w:t>(</w:t>
            </w:r>
            <w:r w:rsidR="00920335" w:rsidRPr="00FE79D7">
              <w:rPr>
                <w:rFonts w:cs="Arial"/>
                <w:b/>
                <w:bCs/>
              </w:rPr>
              <w:t>AEST</w:t>
            </w:r>
            <w:r w:rsidR="00EE65BD" w:rsidRPr="00FE79D7">
              <w:rPr>
                <w:rFonts w:cs="Arial"/>
                <w:b/>
                <w:bCs/>
              </w:rPr>
              <w:t>)</w:t>
            </w:r>
            <w:r w:rsidR="00920335" w:rsidRPr="00FE79D7">
              <w:rPr>
                <w:rFonts w:cs="Arial"/>
                <w:b/>
                <w:bCs/>
              </w:rPr>
              <w:t xml:space="preserve"> 17 July 2023</w:t>
            </w:r>
            <w:r w:rsidR="00920335" w:rsidRPr="001173AD">
              <w:rPr>
                <w:rFonts w:cs="Arial"/>
              </w:rPr>
              <w:t xml:space="preserve"> to</w:t>
            </w:r>
            <w:r w:rsidR="00920335" w:rsidRPr="00FE79D7">
              <w:rPr>
                <w:rFonts w:cs="Arial"/>
                <w:b/>
                <w:bCs/>
              </w:rPr>
              <w:t xml:space="preserve"> 5</w:t>
            </w:r>
            <w:r w:rsidR="00EE65BD" w:rsidRPr="00FE79D7">
              <w:rPr>
                <w:rFonts w:cs="Arial"/>
                <w:b/>
                <w:bCs/>
              </w:rPr>
              <w:t xml:space="preserve"> pm (</w:t>
            </w:r>
            <w:r w:rsidR="00920335" w:rsidRPr="00FE79D7">
              <w:rPr>
                <w:rFonts w:cs="Arial"/>
                <w:b/>
                <w:bCs/>
              </w:rPr>
              <w:t>AEST</w:t>
            </w:r>
            <w:r w:rsidR="00EE65BD" w:rsidRPr="00FE79D7">
              <w:rPr>
                <w:rFonts w:cs="Arial"/>
                <w:b/>
                <w:bCs/>
              </w:rPr>
              <w:t>)</w:t>
            </w:r>
            <w:r w:rsidR="00920335" w:rsidRPr="00FE79D7">
              <w:rPr>
                <w:rFonts w:cs="Arial"/>
                <w:b/>
                <w:bCs/>
              </w:rPr>
              <w:t xml:space="preserve"> 31 July 2023</w:t>
            </w:r>
            <w:r w:rsidR="00EC213F" w:rsidRPr="001173AD">
              <w:rPr>
                <w:rFonts w:cs="Arial"/>
              </w:rPr>
              <w:t xml:space="preserve"> </w:t>
            </w:r>
          </w:p>
        </w:tc>
      </w:tr>
      <w:tr w:rsidR="00EC213F" w14:paraId="2A17CA06" w14:textId="77777777" w:rsidTr="002C2CC5">
        <w:tc>
          <w:tcPr>
            <w:tcW w:w="7661" w:type="dxa"/>
            <w:gridSpan w:val="2"/>
            <w:shd w:val="clear" w:color="auto" w:fill="F2F2F2" w:themeFill="background1" w:themeFillShade="F2"/>
          </w:tcPr>
          <w:p w14:paraId="58C8CAC5" w14:textId="62E4BBB7" w:rsidR="00EC213F" w:rsidRPr="00FF1636" w:rsidRDefault="0010288A" w:rsidP="00FE79D7">
            <w:pPr>
              <w:keepNext/>
              <w:spacing w:after="0"/>
              <w:rPr>
                <w:rFonts w:cs="Arial"/>
                <w:highlight w:val="yellow"/>
              </w:rPr>
            </w:pPr>
            <w:r w:rsidRPr="00FF1636">
              <w:rPr>
                <w:rFonts w:cs="Arial"/>
                <w:b/>
              </w:rPr>
              <w:lastRenderedPageBreak/>
              <w:t>3750</w:t>
            </w:r>
            <w:r w:rsidR="00EE65BD" w:rsidRPr="00FF1636">
              <w:rPr>
                <w:rFonts w:cs="Arial"/>
                <w:b/>
              </w:rPr>
              <w:t>–</w:t>
            </w:r>
            <w:r w:rsidRPr="00FF1636">
              <w:rPr>
                <w:rFonts w:cs="Arial"/>
                <w:b/>
              </w:rPr>
              <w:t xml:space="preserve">3950 MHz metropolitan/regional </w:t>
            </w:r>
            <w:r w:rsidR="00EE65BD">
              <w:rPr>
                <w:rFonts w:cs="Arial"/>
                <w:b/>
              </w:rPr>
              <w:t>a</w:t>
            </w:r>
            <w:r w:rsidRPr="00FF1636">
              <w:rPr>
                <w:rFonts w:cs="Arial"/>
                <w:b/>
              </w:rPr>
              <w:t xml:space="preserve">rea-wide apparatus licence allocation </w:t>
            </w:r>
          </w:p>
        </w:tc>
      </w:tr>
      <w:tr w:rsidR="0014009D" w14:paraId="1B54523E" w14:textId="77777777" w:rsidTr="002C2CC5">
        <w:tc>
          <w:tcPr>
            <w:tcW w:w="5763" w:type="dxa"/>
          </w:tcPr>
          <w:p w14:paraId="0A383484" w14:textId="3620347B" w:rsidR="0014009D" w:rsidRPr="00FF1636" w:rsidRDefault="0014009D" w:rsidP="00FE79D7">
            <w:pPr>
              <w:pStyle w:val="Bulletlevel1"/>
              <w:spacing w:after="0"/>
            </w:pPr>
            <w:r w:rsidRPr="00FF1636">
              <w:t>Consult on the draft AIP, which contains the proposed allocation process, allocation limits, pricing arrangements, and technical framework</w:t>
            </w:r>
            <w:r w:rsidR="00EE65BD">
              <w:t>.</w:t>
            </w:r>
            <w:r w:rsidRPr="00FF1636">
              <w:t xml:space="preserve"> </w:t>
            </w:r>
          </w:p>
        </w:tc>
        <w:tc>
          <w:tcPr>
            <w:tcW w:w="1898" w:type="dxa"/>
          </w:tcPr>
          <w:p w14:paraId="2943710A" w14:textId="2FB71653" w:rsidR="0014009D" w:rsidRPr="00FF1636" w:rsidRDefault="00D4244F" w:rsidP="00FE79D7">
            <w:pPr>
              <w:spacing w:after="0"/>
              <w:rPr>
                <w:rFonts w:cs="Arial"/>
                <w:highlight w:val="yellow"/>
              </w:rPr>
            </w:pPr>
            <w:hyperlink r:id="rId67" w:history="1">
              <w:r w:rsidR="00344BF3" w:rsidRPr="00DB3342">
                <w:rPr>
                  <w:rStyle w:val="Hyperlink"/>
                  <w:rFonts w:cs="Arial"/>
                </w:rPr>
                <w:t>Consultation</w:t>
              </w:r>
              <w:r w:rsidR="00DB3342" w:rsidRPr="00DB3342">
                <w:rPr>
                  <w:rStyle w:val="Hyperlink"/>
                  <w:rFonts w:cs="Arial"/>
                </w:rPr>
                <w:t xml:space="preserve"> is open</w:t>
              </w:r>
            </w:hyperlink>
            <w:r w:rsidR="00DB3342" w:rsidRPr="00DB3342">
              <w:rPr>
                <w:rFonts w:cs="Arial"/>
              </w:rPr>
              <w:t xml:space="preserve"> from </w:t>
            </w:r>
            <w:r w:rsidR="00DB3342" w:rsidRPr="00FE79D7">
              <w:rPr>
                <w:rFonts w:cs="Arial"/>
                <w:b/>
                <w:bCs/>
              </w:rPr>
              <w:t>20 June 2023</w:t>
            </w:r>
            <w:r w:rsidR="00DB3342" w:rsidRPr="00DB3342">
              <w:rPr>
                <w:rFonts w:cs="Arial"/>
              </w:rPr>
              <w:t xml:space="preserve"> to 1</w:t>
            </w:r>
            <w:r w:rsidR="00DB3342" w:rsidRPr="00FE79D7">
              <w:rPr>
                <w:rFonts w:cs="Arial"/>
                <w:b/>
                <w:bCs/>
              </w:rPr>
              <w:t xml:space="preserve"> August 2023</w:t>
            </w:r>
          </w:p>
        </w:tc>
      </w:tr>
      <w:tr w:rsidR="006C6633" w14:paraId="5CDB3581" w14:textId="77777777" w:rsidTr="002C2CC5">
        <w:tc>
          <w:tcPr>
            <w:tcW w:w="5763" w:type="dxa"/>
          </w:tcPr>
          <w:p w14:paraId="4C3A14C3" w14:textId="1485B0BF" w:rsidR="006C6633" w:rsidRPr="00FF1636" w:rsidRDefault="00977BDB" w:rsidP="00FE79D7">
            <w:pPr>
              <w:pStyle w:val="Bulletlevel1"/>
              <w:spacing w:after="0"/>
            </w:pPr>
            <w:r w:rsidRPr="00FF1636">
              <w:t xml:space="preserve">Publish consultation outcomes in relation to </w:t>
            </w:r>
            <w:r w:rsidR="00E312EE" w:rsidRPr="00FF1636">
              <w:t xml:space="preserve">the additional </w:t>
            </w:r>
            <w:r w:rsidRPr="00FF1636">
              <w:t>RAG Tx changes</w:t>
            </w:r>
            <w:r w:rsidR="00EE65BD">
              <w:t>.</w:t>
            </w:r>
          </w:p>
        </w:tc>
        <w:tc>
          <w:tcPr>
            <w:tcW w:w="1898" w:type="dxa"/>
          </w:tcPr>
          <w:p w14:paraId="6B3B4BE3" w14:textId="600777A6" w:rsidR="006C6633" w:rsidRPr="0099593C" w:rsidRDefault="0055270E">
            <w:pPr>
              <w:rPr>
                <w:rFonts w:cs="Arial"/>
              </w:rPr>
            </w:pPr>
            <w:r w:rsidRPr="0099593C">
              <w:rPr>
                <w:rFonts w:cs="Arial"/>
              </w:rPr>
              <w:t>Q3 2023</w:t>
            </w:r>
          </w:p>
        </w:tc>
      </w:tr>
      <w:tr w:rsidR="00C853A2" w14:paraId="3108C300" w14:textId="77777777" w:rsidTr="002C2CC5">
        <w:tc>
          <w:tcPr>
            <w:tcW w:w="5763" w:type="dxa"/>
          </w:tcPr>
          <w:p w14:paraId="4CC30C59" w14:textId="77777777" w:rsidR="00C853A2" w:rsidRPr="00FF1636" w:rsidRDefault="00C853A2" w:rsidP="00FE79D7">
            <w:pPr>
              <w:pStyle w:val="Bulletlevel1"/>
            </w:pPr>
            <w:r w:rsidRPr="00FF1636">
              <w:t xml:space="preserve">Publish </w:t>
            </w:r>
            <w:r w:rsidR="000A61E0" w:rsidRPr="00FF1636">
              <w:t xml:space="preserve">AIP and relevant technical and regulatory instruments.  </w:t>
            </w:r>
          </w:p>
          <w:p w14:paraId="42FD26F5" w14:textId="3735A2B1" w:rsidR="000A61E0" w:rsidRPr="00FF1636" w:rsidRDefault="004B4483" w:rsidP="00FE79D7">
            <w:pPr>
              <w:pStyle w:val="Bulletlevel1"/>
            </w:pPr>
            <w:r w:rsidRPr="00FF1636">
              <w:t xml:space="preserve">Allocation window opens 4 weeks after </w:t>
            </w:r>
            <w:r w:rsidR="00EE65BD">
              <w:t xml:space="preserve">the </w:t>
            </w:r>
            <w:r w:rsidRPr="00FF1636">
              <w:t>AIP is published</w:t>
            </w:r>
            <w:r w:rsidR="00EE65BD">
              <w:t>.</w:t>
            </w:r>
            <w:r w:rsidRPr="00FF1636">
              <w:t xml:space="preserve"> </w:t>
            </w:r>
          </w:p>
        </w:tc>
        <w:tc>
          <w:tcPr>
            <w:tcW w:w="1898" w:type="dxa"/>
          </w:tcPr>
          <w:p w14:paraId="04CC69F0" w14:textId="1457EE78" w:rsidR="00C853A2" w:rsidRPr="0099593C" w:rsidRDefault="004B4483" w:rsidP="00FE79D7">
            <w:pPr>
              <w:spacing w:after="0"/>
              <w:rPr>
                <w:rFonts w:cs="Arial"/>
              </w:rPr>
            </w:pPr>
            <w:r w:rsidRPr="0099593C">
              <w:rPr>
                <w:rFonts w:cs="Arial"/>
              </w:rPr>
              <w:t>Q1 2024</w:t>
            </w:r>
          </w:p>
        </w:tc>
      </w:tr>
      <w:tr w:rsidR="0014009D" w14:paraId="3BFFCA6A" w14:textId="77777777" w:rsidTr="002C2CC5">
        <w:tc>
          <w:tcPr>
            <w:tcW w:w="7661" w:type="dxa"/>
            <w:gridSpan w:val="2"/>
            <w:shd w:val="clear" w:color="auto" w:fill="F2F2F2" w:themeFill="background1" w:themeFillShade="F2"/>
          </w:tcPr>
          <w:p w14:paraId="18ACE5FD" w14:textId="441154A6" w:rsidR="0014009D" w:rsidRPr="00FE79D7" w:rsidRDefault="00252CF9" w:rsidP="00FE79D7">
            <w:pPr>
              <w:pStyle w:val="Paragraph"/>
              <w:spacing w:after="0"/>
              <w:rPr>
                <w:b/>
                <w:bCs/>
              </w:rPr>
            </w:pPr>
            <w:r w:rsidRPr="00FE79D7">
              <w:rPr>
                <w:b/>
                <w:bCs/>
              </w:rPr>
              <w:t>3950</w:t>
            </w:r>
            <w:r w:rsidR="00EE65BD" w:rsidRPr="00FE79D7">
              <w:rPr>
                <w:b/>
                <w:bCs/>
              </w:rPr>
              <w:t>–</w:t>
            </w:r>
            <w:r w:rsidRPr="00FE79D7">
              <w:rPr>
                <w:b/>
                <w:bCs/>
              </w:rPr>
              <w:t xml:space="preserve">4000 MHz band regional/metropolitan restricted cell apparatus license allocation </w:t>
            </w:r>
            <w:r w:rsidR="00EE65BD" w:rsidRPr="00FE79D7">
              <w:rPr>
                <w:b/>
                <w:bCs/>
              </w:rPr>
              <w:t xml:space="preserve">and </w:t>
            </w:r>
            <w:r w:rsidRPr="00FE79D7">
              <w:rPr>
                <w:b/>
                <w:bCs/>
              </w:rPr>
              <w:t>3400</w:t>
            </w:r>
            <w:r w:rsidR="00EE65BD" w:rsidRPr="00FE79D7">
              <w:rPr>
                <w:b/>
                <w:bCs/>
              </w:rPr>
              <w:t>–</w:t>
            </w:r>
            <w:r w:rsidRPr="00FE79D7">
              <w:rPr>
                <w:b/>
                <w:bCs/>
              </w:rPr>
              <w:t xml:space="preserve">3.750 MHz band </w:t>
            </w:r>
            <w:r w:rsidR="00C853A2" w:rsidRPr="00FE79D7">
              <w:rPr>
                <w:b/>
                <w:bCs/>
              </w:rPr>
              <w:t>‘urban excise’ areas apparatus licence allocation</w:t>
            </w:r>
          </w:p>
        </w:tc>
      </w:tr>
      <w:tr w:rsidR="0014009D" w14:paraId="4310C6AA" w14:textId="77777777" w:rsidTr="002C2CC5">
        <w:tc>
          <w:tcPr>
            <w:tcW w:w="5763" w:type="dxa"/>
          </w:tcPr>
          <w:p w14:paraId="326B3A81" w14:textId="28E4F36C" w:rsidR="0014009D" w:rsidRPr="00FF1636" w:rsidRDefault="0014009D" w:rsidP="00FE79D7">
            <w:pPr>
              <w:pStyle w:val="Bulletlevel1"/>
              <w:spacing w:after="0"/>
            </w:pPr>
            <w:r w:rsidRPr="00FF1636">
              <w:t xml:space="preserve">Convene a technical liaison group to develop the technical arrangements that support licensing and use of this spectrum. </w:t>
            </w:r>
          </w:p>
        </w:tc>
        <w:tc>
          <w:tcPr>
            <w:tcW w:w="1898" w:type="dxa"/>
          </w:tcPr>
          <w:p w14:paraId="56B04340" w14:textId="28FAB2F1" w:rsidR="0014009D" w:rsidRPr="0099593C" w:rsidRDefault="005B7DF6" w:rsidP="00FE79D7">
            <w:pPr>
              <w:spacing w:after="0"/>
              <w:rPr>
                <w:rFonts w:cs="Arial"/>
              </w:rPr>
            </w:pPr>
            <w:r w:rsidRPr="0099593C">
              <w:rPr>
                <w:rFonts w:cs="Arial"/>
              </w:rPr>
              <w:t>Q3 2023</w:t>
            </w:r>
          </w:p>
        </w:tc>
      </w:tr>
    </w:tbl>
    <w:p w14:paraId="65E29486" w14:textId="77777777" w:rsidR="006A0E4A" w:rsidRPr="00FF1636" w:rsidRDefault="006A0E4A" w:rsidP="00FF78AC"/>
    <w:p w14:paraId="676C15EA" w14:textId="1E021CA8" w:rsidR="005B37D9" w:rsidRPr="00FF1636" w:rsidRDefault="005B37D9" w:rsidP="00FF78AC"/>
    <w:sectPr w:rsidR="005B37D9" w:rsidRPr="00FF1636" w:rsidSect="00C77380">
      <w:headerReference w:type="even" r:id="rId68"/>
      <w:headerReference w:type="default" r:id="rId69"/>
      <w:footerReference w:type="even" r:id="rId70"/>
      <w:footerReference w:type="default" r:id="rId7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FC4FD" w14:textId="77777777" w:rsidR="00754C04" w:rsidRDefault="00754C04">
      <w:r>
        <w:separator/>
      </w:r>
    </w:p>
  </w:endnote>
  <w:endnote w:type="continuationSeparator" w:id="0">
    <w:p w14:paraId="2BD47EE9" w14:textId="77777777" w:rsidR="00754C04" w:rsidRDefault="00754C04">
      <w:r>
        <w:continuationSeparator/>
      </w:r>
    </w:p>
  </w:endnote>
  <w:endnote w:type="continuationNotice" w:id="1">
    <w:p w14:paraId="5F184C99" w14:textId="77777777" w:rsidR="00754C04" w:rsidRDefault="00754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BCEFF" w14:textId="77777777" w:rsidR="00D4244F" w:rsidRDefault="00D4244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176C4" w14:textId="05145FE2" w:rsidR="00C053A1" w:rsidRPr="00801DAE"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BB242F">
      <w:rPr>
        <w:rFonts w:cs="Arial"/>
        <w:b/>
        <w:spacing w:val="-16"/>
        <w:sz w:val="20"/>
        <w:szCs w:val="20"/>
      </w:rPr>
      <w:t>a</w:t>
    </w:r>
    <w:r w:rsidRPr="00BB242F">
      <w:rPr>
        <w:rFonts w:cs="Arial"/>
        <w:b/>
        <w:spacing w:val="-15"/>
        <w:sz w:val="20"/>
        <w:szCs w:val="20"/>
      </w:rPr>
      <w:t>c</w:t>
    </w:r>
    <w:r w:rsidRPr="00BB242F">
      <w:rPr>
        <w:rFonts w:cs="Arial"/>
        <w:b/>
        <w:spacing w:val="-16"/>
        <w:sz w:val="20"/>
        <w:szCs w:val="20"/>
      </w:rPr>
      <w:t>m</w:t>
    </w:r>
    <w:r w:rsidRPr="00BB242F">
      <w:rPr>
        <w:rFonts w:cs="Arial"/>
        <w:b/>
        <w:spacing w:val="-14"/>
        <w:sz w:val="20"/>
        <w:szCs w:val="20"/>
      </w:rPr>
      <w:t>a</w:t>
    </w:r>
    <w:r w:rsidRPr="00801DAE">
      <w:rPr>
        <w:rFonts w:cs="Arial"/>
      </w:rPr>
      <w:tab/>
      <w:t xml:space="preserve"> |</w:t>
    </w:r>
    <w:r w:rsidRPr="00801DAE">
      <w:rPr>
        <w:rFonts w:cs="Arial"/>
      </w:rPr>
      <w:tab/>
    </w:r>
    <w:r w:rsidRPr="00801DAE">
      <w:rPr>
        <w:rFonts w:cs="Arial"/>
        <w:color w:val="505050"/>
      </w:rPr>
      <w:fldChar w:fldCharType="begin"/>
    </w:r>
    <w:r w:rsidRPr="00FF78AC">
      <w:rPr>
        <w:rFonts w:cs="Arial"/>
        <w:color w:val="505050"/>
      </w:rPr>
      <w:instrText xml:space="preserve"> PAGE  \* Arabic  \* MERGEFORMAT </w:instrText>
    </w:r>
    <w:r w:rsidRPr="00801DAE">
      <w:rPr>
        <w:rFonts w:cs="Arial"/>
        <w:color w:val="505050"/>
      </w:rPr>
      <w:fldChar w:fldCharType="separate"/>
    </w:r>
    <w:r w:rsidR="00D4244F">
      <w:rPr>
        <w:rFonts w:cs="Arial"/>
        <w:noProof/>
        <w:color w:val="505050"/>
      </w:rPr>
      <w:t>17</w:t>
    </w:r>
    <w:r w:rsidRPr="00801DAE">
      <w:rPr>
        <w:rFonts w:cs="Arial"/>
        <w:color w:val="505050"/>
      </w:rPr>
      <w:fldChar w:fldCharType="end"/>
    </w:r>
  </w:p>
  <w:p w14:paraId="2BD62A00" w14:textId="77777777" w:rsidR="00C053A1" w:rsidRPr="00A5474E" w:rsidRDefault="00C053A1"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17A88" w14:textId="77777777" w:rsidR="005E250B" w:rsidRDefault="005E250B" w:rsidP="005E250B">
    <w:pPr>
      <w:pStyle w:val="Footer"/>
      <w:jc w:val="right"/>
    </w:pPr>
    <w:r w:rsidRPr="005E250B">
      <w:rPr>
        <w:noProof/>
        <w:vertAlign w:val="subscript"/>
      </w:rPr>
      <w:drawing>
        <wp:inline distT="0" distB="0" distL="0" distR="0" wp14:anchorId="3910758B" wp14:editId="477A2059">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987A" w14:textId="77777777" w:rsidR="00D4244F" w:rsidRDefault="00D424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7C8C" w14:textId="77777777" w:rsidR="00C053A1" w:rsidRDefault="00C053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95D4" w14:textId="77777777" w:rsidR="00C053A1" w:rsidRDefault="00C053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F8475"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78592988"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F55A"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11A55211"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3A6C" w14:textId="136D6E98"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4244F">
      <w:rPr>
        <w:noProof/>
        <w:color w:val="505050"/>
      </w:rPr>
      <w:t>iii</w:t>
    </w:r>
    <w:r w:rsidRPr="002E4DDC">
      <w:rPr>
        <w:color w:val="505050"/>
      </w:rPr>
      <w:fldChar w:fldCharType="end"/>
    </w:r>
  </w:p>
  <w:p w14:paraId="7BF31A78" w14:textId="77777777" w:rsidR="00C053A1" w:rsidRPr="00A5474E" w:rsidRDefault="00C053A1"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2EA5" w14:textId="28449685" w:rsidR="00C053A1" w:rsidRPr="00FF78AC" w:rsidRDefault="00C053A1" w:rsidP="00B43262">
    <w:pPr>
      <w:pStyle w:val="FooterLeft"/>
      <w:framePr w:wrap="around" w:x="1141" w:y="16166"/>
      <w:tabs>
        <w:tab w:val="clear" w:pos="113"/>
        <w:tab w:val="right" w:pos="397"/>
      </w:tabs>
    </w:pPr>
    <w:r w:rsidRPr="00801DAE">
      <w:fldChar w:fldCharType="begin"/>
    </w:r>
    <w:r w:rsidRPr="00FF78AC">
      <w:instrText xml:space="preserve"> PAGE  \* Arabic  \* MERGEFORMAT </w:instrText>
    </w:r>
    <w:r w:rsidRPr="00801DAE">
      <w:fldChar w:fldCharType="separate"/>
    </w:r>
    <w:r w:rsidR="00D4244F">
      <w:rPr>
        <w:noProof/>
      </w:rPr>
      <w:t>16</w:t>
    </w:r>
    <w:r w:rsidRPr="00801DAE">
      <w:fldChar w:fldCharType="end"/>
    </w:r>
    <w:r w:rsidRPr="00FF78AC">
      <w:tab/>
      <w:t>|</w:t>
    </w:r>
    <w:r w:rsidRPr="00FF78AC">
      <w:tab/>
    </w:r>
    <w:r w:rsidRPr="00FF78AC">
      <w:rPr>
        <w:b/>
        <w:spacing w:val="-16"/>
        <w:sz w:val="20"/>
        <w:szCs w:val="20"/>
      </w:rPr>
      <w:t>a</w:t>
    </w:r>
    <w:r w:rsidRPr="00FF78AC">
      <w:rPr>
        <w:b/>
        <w:spacing w:val="-15"/>
        <w:sz w:val="20"/>
        <w:szCs w:val="20"/>
      </w:rPr>
      <w:t>c</w:t>
    </w:r>
    <w:r w:rsidRPr="00FF78AC">
      <w:rPr>
        <w:b/>
        <w:spacing w:val="-16"/>
        <w:sz w:val="20"/>
        <w:szCs w:val="20"/>
      </w:rPr>
      <w:t>m</w:t>
    </w:r>
    <w:r w:rsidRPr="00FF78AC">
      <w:rPr>
        <w:b/>
        <w:spacing w:val="-14"/>
        <w:sz w:val="20"/>
        <w:szCs w:val="20"/>
      </w:rPr>
      <w:t>a</w:t>
    </w:r>
  </w:p>
  <w:p w14:paraId="2ACA3135"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9783B" w14:textId="77777777" w:rsidR="00754C04" w:rsidRDefault="00754C04" w:rsidP="00EA0969">
      <w:pPr>
        <w:spacing w:after="0"/>
      </w:pPr>
      <w:r>
        <w:separator/>
      </w:r>
    </w:p>
  </w:footnote>
  <w:footnote w:type="continuationSeparator" w:id="0">
    <w:p w14:paraId="1CEC8674" w14:textId="77777777" w:rsidR="00754C04" w:rsidRDefault="00754C04">
      <w:r>
        <w:continuationSeparator/>
      </w:r>
    </w:p>
  </w:footnote>
  <w:footnote w:type="continuationNotice" w:id="1">
    <w:p w14:paraId="3B3AD16A" w14:textId="77777777" w:rsidR="00754C04" w:rsidRDefault="00754C04">
      <w:pPr>
        <w:spacing w:after="0" w:line="240" w:lineRule="auto"/>
      </w:pPr>
    </w:p>
  </w:footnote>
  <w:footnote w:id="2">
    <w:p w14:paraId="34A37F0F" w14:textId="117E27D7" w:rsidR="008A5F13" w:rsidRDefault="008A5F13">
      <w:pPr>
        <w:pStyle w:val="FootnoteText"/>
      </w:pPr>
      <w:r w:rsidRPr="0041655D">
        <w:rPr>
          <w:rStyle w:val="FootnoteReference"/>
          <w:rFonts w:ascii="Arial" w:hAnsi="Arial" w:cs="Arial"/>
        </w:rPr>
        <w:footnoteRef/>
      </w:r>
      <w:r w:rsidRPr="002775FF">
        <w:rPr>
          <w:rFonts w:cs="Arial"/>
        </w:rPr>
        <w:t xml:space="preserve"> </w:t>
      </w:r>
      <w:r w:rsidR="00CC3650">
        <w:rPr>
          <w:rFonts w:eastAsia="Times New Roman"/>
        </w:rPr>
        <w:t xml:space="preserve">A minimum spectrum requirement is a mechanism that allows a bidder to avoid winning lots of the product less than the minimum specified, which would be used by a bidder </w:t>
      </w:r>
      <w:r w:rsidR="002775FF">
        <w:rPr>
          <w:rFonts w:eastAsia="Times New Roman"/>
        </w:rPr>
        <w:t xml:space="preserve">that </w:t>
      </w:r>
      <w:r w:rsidR="00CC3650">
        <w:rPr>
          <w:rFonts w:eastAsia="Times New Roman"/>
        </w:rPr>
        <w:t xml:space="preserve">considered anything less than the minimum to be an unviable amount of spectrum. A minimum spectrum requirement of 2 means that bidders </w:t>
      </w:r>
      <w:r w:rsidR="002775FF">
        <w:rPr>
          <w:rFonts w:eastAsia="Times New Roman"/>
        </w:rPr>
        <w:t xml:space="preserve">that </w:t>
      </w:r>
      <w:r w:rsidR="00CC3650">
        <w:rPr>
          <w:rFonts w:eastAsia="Times New Roman"/>
        </w:rPr>
        <w:t>select the requirement won’t be left with 1 lot of a product.</w:t>
      </w:r>
    </w:p>
  </w:footnote>
  <w:footnote w:id="3">
    <w:p w14:paraId="723EF322" w14:textId="77777777" w:rsidR="00CD364C" w:rsidRPr="00DB579B" w:rsidRDefault="00CD364C" w:rsidP="00CD364C">
      <w:pPr>
        <w:pStyle w:val="FootnoteText"/>
        <w:rPr>
          <w:rFonts w:cs="Arial"/>
        </w:rPr>
      </w:pPr>
      <w:r w:rsidRPr="00DB579B">
        <w:rPr>
          <w:rStyle w:val="FootnoteReference"/>
          <w:rFonts w:ascii="Arial" w:hAnsi="Arial" w:cs="Arial"/>
        </w:rPr>
        <w:footnoteRef/>
      </w:r>
      <w:r w:rsidRPr="00DB579B">
        <w:rPr>
          <w:rFonts w:cs="Arial"/>
        </w:rPr>
        <w:t xml:space="preserve"> ACCC, </w:t>
      </w:r>
      <w:r w:rsidRPr="00DB579B">
        <w:rPr>
          <w:rFonts w:cs="Arial"/>
          <w:i/>
        </w:rPr>
        <w:t>Allocation limits advice for the 3.4 GHz and 3.7 GHz spectrum allocation</w:t>
      </w:r>
      <w:r w:rsidRPr="00DB579B">
        <w:rPr>
          <w:rFonts w:cs="Arial"/>
        </w:rPr>
        <w:t>, p. 17</w:t>
      </w:r>
    </w:p>
  </w:footnote>
  <w:footnote w:id="4">
    <w:p w14:paraId="7C23A76D" w14:textId="77777777" w:rsidR="00BB6B8F" w:rsidRPr="00DB579B" w:rsidRDefault="00BB6B8F" w:rsidP="00BB6B8F">
      <w:pPr>
        <w:pStyle w:val="FootnoteText"/>
        <w:rPr>
          <w:rFonts w:cs="Arial"/>
        </w:rPr>
      </w:pPr>
      <w:r w:rsidRPr="00DB579B">
        <w:rPr>
          <w:rStyle w:val="FootnoteReference"/>
          <w:rFonts w:ascii="Arial" w:hAnsi="Arial" w:cs="Arial"/>
        </w:rPr>
        <w:footnoteRef/>
      </w:r>
      <w:r w:rsidRPr="00DB579B">
        <w:rPr>
          <w:rFonts w:cs="Arial"/>
        </w:rPr>
        <w:t xml:space="preserve"> ACCC advice, p. 6.</w:t>
      </w:r>
    </w:p>
  </w:footnote>
  <w:footnote w:id="5">
    <w:p w14:paraId="7EDAFBA0" w14:textId="77777777" w:rsidR="00BB6B8F" w:rsidRPr="00DB579B" w:rsidRDefault="00BB6B8F" w:rsidP="00BB6B8F">
      <w:pPr>
        <w:pStyle w:val="FootnoteText"/>
        <w:rPr>
          <w:rFonts w:cs="Arial"/>
        </w:rPr>
      </w:pPr>
      <w:r w:rsidRPr="00DB579B">
        <w:rPr>
          <w:rStyle w:val="FootnoteReference"/>
          <w:rFonts w:ascii="Arial" w:hAnsi="Arial" w:cs="Arial"/>
        </w:rPr>
        <w:footnoteRef/>
      </w:r>
      <w:r w:rsidRPr="00DB579B">
        <w:rPr>
          <w:rFonts w:cs="Arial"/>
        </w:rPr>
        <w:t xml:space="preserve"> ACCC advice, p. 17.</w:t>
      </w:r>
    </w:p>
  </w:footnote>
  <w:footnote w:id="6">
    <w:p w14:paraId="31F43338" w14:textId="77777777" w:rsidR="00BB6B8F" w:rsidRPr="00DB579B" w:rsidRDefault="00BB6B8F" w:rsidP="00BB6B8F">
      <w:pPr>
        <w:pStyle w:val="FootnoteText"/>
        <w:rPr>
          <w:rFonts w:cs="Arial"/>
        </w:rPr>
      </w:pPr>
      <w:r w:rsidRPr="00DB579B">
        <w:rPr>
          <w:rStyle w:val="FootnoteReference"/>
          <w:rFonts w:ascii="Arial" w:hAnsi="Arial" w:cs="Arial"/>
        </w:rPr>
        <w:footnoteRef/>
      </w:r>
      <w:r w:rsidRPr="00DB579B">
        <w:rPr>
          <w:rFonts w:cs="Arial"/>
        </w:rPr>
        <w:t xml:space="preserve"> ACCC advice, p. 15</w:t>
      </w:r>
    </w:p>
  </w:footnote>
  <w:footnote w:id="7">
    <w:p w14:paraId="005DBC32" w14:textId="152D1939" w:rsidR="00BB6B8F" w:rsidRPr="00DB579B" w:rsidRDefault="00BB6B8F" w:rsidP="00BB6B8F">
      <w:pPr>
        <w:pStyle w:val="FootnoteText"/>
        <w:rPr>
          <w:rFonts w:cs="Arial"/>
        </w:rPr>
      </w:pPr>
      <w:r w:rsidRPr="00DB579B">
        <w:rPr>
          <w:rStyle w:val="FootnoteReference"/>
          <w:rFonts w:ascii="Arial" w:hAnsi="Arial" w:cs="Arial"/>
        </w:rPr>
        <w:footnoteRef/>
      </w:r>
      <w:r w:rsidRPr="00DB579B">
        <w:rPr>
          <w:rFonts w:cs="Arial"/>
        </w:rPr>
        <w:t xml:space="preserve"> ACCC advice, p. 14</w:t>
      </w:r>
      <w:r w:rsidR="00601568">
        <w:rPr>
          <w:rFonts w:eastAsia="Times New Roman" w:cs="Arial"/>
        </w:rPr>
        <w:t>–</w:t>
      </w:r>
      <w:r w:rsidRPr="00DB579B">
        <w:rPr>
          <w:rFonts w:cs="Arial"/>
        </w:rPr>
        <w:t>15.</w:t>
      </w:r>
    </w:p>
  </w:footnote>
  <w:footnote w:id="8">
    <w:p w14:paraId="27097D44" w14:textId="77777777" w:rsidR="00BB6B8F" w:rsidRPr="00DB579B" w:rsidRDefault="00BB6B8F" w:rsidP="00BB6B8F">
      <w:pPr>
        <w:pStyle w:val="FootnoteText"/>
        <w:rPr>
          <w:rFonts w:cs="Arial"/>
        </w:rPr>
      </w:pPr>
      <w:r w:rsidRPr="00DB579B">
        <w:rPr>
          <w:rStyle w:val="FootnoteReference"/>
          <w:rFonts w:ascii="Arial" w:hAnsi="Arial" w:cs="Arial"/>
        </w:rPr>
        <w:footnoteRef/>
      </w:r>
      <w:r w:rsidRPr="00DB579B">
        <w:rPr>
          <w:rFonts w:cs="Arial"/>
        </w:rPr>
        <w:t xml:space="preserve"> ACCC advice, p. 15.</w:t>
      </w:r>
    </w:p>
  </w:footnote>
  <w:footnote w:id="9">
    <w:p w14:paraId="32176EE6" w14:textId="4351AE09" w:rsidR="00BB6B8F" w:rsidRPr="00CA3641" w:rsidRDefault="00BB6B8F" w:rsidP="00BB6B8F">
      <w:pPr>
        <w:pStyle w:val="FootnoteText"/>
        <w:rPr>
          <w:rFonts w:cs="Arial"/>
        </w:rPr>
      </w:pPr>
      <w:r w:rsidRPr="00CA3641">
        <w:rPr>
          <w:rStyle w:val="FootnoteReference"/>
          <w:rFonts w:ascii="Arial" w:hAnsi="Arial" w:cs="Arial"/>
        </w:rPr>
        <w:footnoteRef/>
      </w:r>
      <w:r w:rsidRPr="00CA3641">
        <w:rPr>
          <w:rFonts w:cs="Arial"/>
        </w:rPr>
        <w:t xml:space="preserve"> In some regional areas, only the 3.4–3.75 GHz band will be allocated for spectrum licensing. In these regions, a limit of 160 MHz would equal 45.7% of the spectrum available for spectrum licensing.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CAA9" w14:textId="77777777" w:rsidR="00D4244F" w:rsidRDefault="00D42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67546" w14:textId="77777777" w:rsidR="00C053A1" w:rsidRPr="00A5474E" w:rsidRDefault="0021426C" w:rsidP="00A5474E">
    <w:pPr>
      <w:pStyle w:val="Header"/>
    </w:pPr>
    <w:r>
      <w:rPr>
        <w:noProof/>
      </w:rPr>
      <w:drawing>
        <wp:inline distT="0" distB="0" distL="0" distR="0" wp14:anchorId="66ACBF0A" wp14:editId="0C29C252">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A82DB" w14:textId="77777777" w:rsidR="00C053A1" w:rsidRPr="00A5474E" w:rsidRDefault="00C053A1" w:rsidP="00594E9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254D" w14:textId="5AFCB120"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51A10" w14:textId="77777777" w:rsidR="00C053A1" w:rsidRDefault="00C053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CF43E42" w14:textId="77777777">
      <w:trPr>
        <w:trHeight w:hRule="exact" w:val="988"/>
      </w:trPr>
      <w:tc>
        <w:tcPr>
          <w:tcW w:w="7678" w:type="dxa"/>
          <w:shd w:val="clear" w:color="auto" w:fill="auto"/>
        </w:tcPr>
        <w:p w14:paraId="06E792B8" w14:textId="77777777" w:rsidR="00971914" w:rsidRDefault="00971914" w:rsidP="00971914">
          <w:pPr>
            <w:pStyle w:val="Header"/>
          </w:pPr>
        </w:p>
      </w:tc>
    </w:tr>
    <w:tr w:rsidR="00971914" w14:paraId="07D877AF" w14:textId="77777777">
      <w:tc>
        <w:tcPr>
          <w:tcW w:w="7678" w:type="dxa"/>
          <w:shd w:val="clear" w:color="auto" w:fill="auto"/>
        </w:tcPr>
        <w:p w14:paraId="41056AA1" w14:textId="77777777" w:rsidR="00971914" w:rsidRDefault="00971914" w:rsidP="00971914">
          <w:pPr>
            <w:pStyle w:val="GridTable31"/>
          </w:pPr>
          <w:r>
            <w:t xml:space="preserve">Contents </w:t>
          </w:r>
          <w:r w:rsidRPr="00915B1C">
            <w:rPr>
              <w:b w:val="0"/>
              <w:spacing w:val="0"/>
              <w:sz w:val="28"/>
              <w:szCs w:val="28"/>
            </w:rPr>
            <w:t>(Continued)</w:t>
          </w:r>
        </w:p>
      </w:tc>
    </w:tr>
    <w:tr w:rsidR="00971914" w14:paraId="0436899C" w14:textId="77777777">
      <w:trPr>
        <w:trHeight w:val="1220"/>
      </w:trPr>
      <w:tc>
        <w:tcPr>
          <w:tcW w:w="7678" w:type="dxa"/>
          <w:shd w:val="clear" w:color="auto" w:fill="auto"/>
        </w:tcPr>
        <w:p w14:paraId="16743C35" w14:textId="77777777" w:rsidR="00971914" w:rsidRDefault="00971914" w:rsidP="00971914"/>
      </w:tc>
    </w:tr>
  </w:tbl>
  <w:p w14:paraId="3B49DCAB" w14:textId="77777777" w:rsidR="00971914" w:rsidRDefault="00971914"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D98E2E0" w14:textId="77777777">
      <w:trPr>
        <w:trHeight w:hRule="exact" w:val="988"/>
      </w:trPr>
      <w:tc>
        <w:tcPr>
          <w:tcW w:w="7678" w:type="dxa"/>
          <w:shd w:val="clear" w:color="auto" w:fill="auto"/>
        </w:tcPr>
        <w:p w14:paraId="68688A92" w14:textId="77777777" w:rsidR="00971914" w:rsidRDefault="00971914" w:rsidP="00971914">
          <w:pPr>
            <w:pStyle w:val="Header"/>
          </w:pPr>
        </w:p>
      </w:tc>
    </w:tr>
    <w:tr w:rsidR="00971914" w14:paraId="04CC2DCA" w14:textId="77777777">
      <w:tc>
        <w:tcPr>
          <w:tcW w:w="7678" w:type="dxa"/>
          <w:shd w:val="clear" w:color="auto" w:fill="auto"/>
        </w:tcPr>
        <w:p w14:paraId="3D446B11" w14:textId="77777777" w:rsidR="00971914" w:rsidRDefault="00971914" w:rsidP="00971914">
          <w:pPr>
            <w:pStyle w:val="GridTable31"/>
          </w:pPr>
          <w:r>
            <w:t xml:space="preserve">Contents </w:t>
          </w:r>
          <w:r w:rsidRPr="00915B1C">
            <w:rPr>
              <w:b w:val="0"/>
              <w:spacing w:val="0"/>
              <w:sz w:val="28"/>
              <w:szCs w:val="28"/>
            </w:rPr>
            <w:t>(Continued)</w:t>
          </w:r>
        </w:p>
      </w:tc>
    </w:tr>
    <w:tr w:rsidR="00971914" w14:paraId="71E276E8" w14:textId="77777777">
      <w:trPr>
        <w:trHeight w:val="1220"/>
      </w:trPr>
      <w:tc>
        <w:tcPr>
          <w:tcW w:w="7678" w:type="dxa"/>
          <w:shd w:val="clear" w:color="auto" w:fill="auto"/>
        </w:tcPr>
        <w:p w14:paraId="28056438" w14:textId="77777777" w:rsidR="00971914" w:rsidRDefault="00971914" w:rsidP="00971914"/>
      </w:tc>
    </w:tr>
  </w:tbl>
  <w:p w14:paraId="17F895D3" w14:textId="77777777" w:rsidR="00C053A1" w:rsidRPr="00A5474E" w:rsidRDefault="00C053A1"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807D" w14:textId="77777777" w:rsidR="00C053A1" w:rsidRDefault="00C053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8EBC0"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48F2E316"/>
    <w:lvl w:ilvl="0">
      <w:start w:val="1"/>
      <w:numFmt w:val="bullet"/>
      <w:pStyle w:val="ListBullet2"/>
      <w:lvlText w:val="&gt;"/>
      <w:lvlJc w:val="left"/>
      <w:pPr>
        <w:tabs>
          <w:tab w:val="num" w:pos="845"/>
        </w:tabs>
        <w:ind w:left="845" w:hanging="544"/>
      </w:pPr>
      <w:rPr>
        <w:rFonts w:ascii="HelveticaNeueLT Std" w:hAnsi="HelveticaNeueLT Std"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CA6E7922"/>
    <w:lvl w:ilvl="0">
      <w:start w:val="1"/>
      <w:numFmt w:val="bullet"/>
      <w:pStyle w:val="ListBullet"/>
      <w:lvlText w:val="&gt;"/>
      <w:lvlJc w:val="left"/>
      <w:pPr>
        <w:tabs>
          <w:tab w:val="num" w:pos="295"/>
        </w:tabs>
        <w:ind w:left="295" w:hanging="295"/>
      </w:pPr>
      <w:rPr>
        <w:rFonts w:ascii="Arial" w:hAnsi="Arial" w:cs="Arial" w:hint="default"/>
        <w:sz w:val="20"/>
      </w:rPr>
    </w:lvl>
  </w:abstractNum>
  <w:abstractNum w:abstractNumId="4" w15:restartNumberingAfterBreak="0">
    <w:nsid w:val="00265AE9"/>
    <w:multiLevelType w:val="hybridMultilevel"/>
    <w:tmpl w:val="625CD824"/>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0C47DBE"/>
    <w:multiLevelType w:val="hybridMultilevel"/>
    <w:tmpl w:val="C422F2E2"/>
    <w:lvl w:ilvl="0" w:tplc="9CD2D3DA">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7" w15:restartNumberingAfterBreak="0">
    <w:nsid w:val="05036893"/>
    <w:multiLevelType w:val="hybridMultilevel"/>
    <w:tmpl w:val="4B289DC0"/>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8" w15:restartNumberingAfterBreak="0">
    <w:nsid w:val="05B7623E"/>
    <w:multiLevelType w:val="multilevel"/>
    <w:tmpl w:val="59A0C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715907"/>
    <w:multiLevelType w:val="hybridMultilevel"/>
    <w:tmpl w:val="47C24938"/>
    <w:lvl w:ilvl="0" w:tplc="FFFFFFFF">
      <w:start w:val="1"/>
      <w:numFmt w:val="bullet"/>
      <w:lvlText w:val="&gt;"/>
      <w:lvlJc w:val="left"/>
      <w:pPr>
        <w:ind w:left="720" w:hanging="360"/>
      </w:pPr>
      <w:rPr>
        <w:rFonts w:ascii="Cambria" w:hAnsi="Cambria" w:hint="default"/>
      </w:rPr>
    </w:lvl>
    <w:lvl w:ilvl="1" w:tplc="FFFFFFFF">
      <w:start w:val="1"/>
      <w:numFmt w:val="bullet"/>
      <w:lvlText w:val="o"/>
      <w:lvlJc w:val="left"/>
      <w:pPr>
        <w:ind w:left="1440" w:hanging="360"/>
      </w:pPr>
      <w:rPr>
        <w:rFonts w:ascii="Cambria Math" w:hAnsi="Cambria Math" w:cs="Cambria Math" w:hint="default"/>
      </w:rPr>
    </w:lvl>
    <w:lvl w:ilvl="2" w:tplc="9CD2D3DA">
      <w:start w:val="1"/>
      <w:numFmt w:val="bullet"/>
      <w:lvlText w:val="&gt;"/>
      <w:lvlJc w:val="left"/>
      <w:pPr>
        <w:ind w:left="2160" w:hanging="360"/>
      </w:pPr>
      <w:rPr>
        <w:rFonts w:ascii="Cambria" w:hAnsi="Cambria" w:hint="default"/>
      </w:rPr>
    </w:lvl>
    <w:lvl w:ilvl="3" w:tplc="FFFFFFFF" w:tentative="1">
      <w:start w:val="1"/>
      <w:numFmt w:val="bullet"/>
      <w:lvlText w:val=""/>
      <w:lvlJc w:val="left"/>
      <w:pPr>
        <w:ind w:left="2880" w:hanging="360"/>
      </w:pPr>
      <w:rPr>
        <w:rFonts w:ascii="Segoe UI" w:hAnsi="Segoe UI" w:hint="default"/>
      </w:rPr>
    </w:lvl>
    <w:lvl w:ilvl="4" w:tplc="FFFFFFFF" w:tentative="1">
      <w:start w:val="1"/>
      <w:numFmt w:val="bullet"/>
      <w:lvlText w:val="o"/>
      <w:lvlJc w:val="left"/>
      <w:pPr>
        <w:ind w:left="3600" w:hanging="360"/>
      </w:pPr>
      <w:rPr>
        <w:rFonts w:ascii="Cambria Math" w:hAnsi="Cambria Math" w:cs="Cambria Math" w:hint="default"/>
      </w:rPr>
    </w:lvl>
    <w:lvl w:ilvl="5" w:tplc="FFFFFFFF" w:tentative="1">
      <w:start w:val="1"/>
      <w:numFmt w:val="bullet"/>
      <w:lvlText w:val=""/>
      <w:lvlJc w:val="left"/>
      <w:pPr>
        <w:ind w:left="4320" w:hanging="360"/>
      </w:pPr>
      <w:rPr>
        <w:rFonts w:ascii="HelveticaNeueLT Std" w:hAnsi="HelveticaNeueLT Std" w:hint="default"/>
      </w:rPr>
    </w:lvl>
    <w:lvl w:ilvl="6" w:tplc="FFFFFFFF" w:tentative="1">
      <w:start w:val="1"/>
      <w:numFmt w:val="bullet"/>
      <w:lvlText w:val=""/>
      <w:lvlJc w:val="left"/>
      <w:pPr>
        <w:ind w:left="5040" w:hanging="360"/>
      </w:pPr>
      <w:rPr>
        <w:rFonts w:ascii="Segoe UI" w:hAnsi="Segoe UI" w:hint="default"/>
      </w:rPr>
    </w:lvl>
    <w:lvl w:ilvl="7" w:tplc="FFFFFFFF" w:tentative="1">
      <w:start w:val="1"/>
      <w:numFmt w:val="bullet"/>
      <w:lvlText w:val="o"/>
      <w:lvlJc w:val="left"/>
      <w:pPr>
        <w:ind w:left="5760" w:hanging="360"/>
      </w:pPr>
      <w:rPr>
        <w:rFonts w:ascii="Cambria Math" w:hAnsi="Cambria Math" w:cs="Cambria Math" w:hint="default"/>
      </w:rPr>
    </w:lvl>
    <w:lvl w:ilvl="8" w:tplc="FFFFFFFF" w:tentative="1">
      <w:start w:val="1"/>
      <w:numFmt w:val="bullet"/>
      <w:lvlText w:val=""/>
      <w:lvlJc w:val="left"/>
      <w:pPr>
        <w:ind w:left="6480" w:hanging="360"/>
      </w:pPr>
      <w:rPr>
        <w:rFonts w:ascii="HelveticaNeueLT Std" w:hAnsi="HelveticaNeueLT Std" w:hint="default"/>
      </w:rPr>
    </w:lvl>
  </w:abstractNum>
  <w:abstractNum w:abstractNumId="10" w15:restartNumberingAfterBreak="0">
    <w:nsid w:val="087C268C"/>
    <w:multiLevelType w:val="hybridMultilevel"/>
    <w:tmpl w:val="E0A6CA9A"/>
    <w:lvl w:ilvl="0" w:tplc="44EEC084">
      <w:start w:val="1"/>
      <w:numFmt w:val="bullet"/>
      <w:lvlText w:val="&gt;"/>
      <w:lvlJc w:val="left"/>
      <w:pPr>
        <w:ind w:left="720" w:hanging="360"/>
      </w:pPr>
      <w:rPr>
        <w:rFonts w:ascii="MS Gothic" w:hAnsi="MS Gothic"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1" w15:restartNumberingAfterBreak="0">
    <w:nsid w:val="0BBF4798"/>
    <w:multiLevelType w:val="multilevel"/>
    <w:tmpl w:val="A3C8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732F57"/>
    <w:multiLevelType w:val="multilevel"/>
    <w:tmpl w:val="955C82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419F3"/>
    <w:multiLevelType w:val="hybridMultilevel"/>
    <w:tmpl w:val="5078860E"/>
    <w:lvl w:ilvl="0" w:tplc="856E6310">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C1274"/>
    <w:multiLevelType w:val="hybridMultilevel"/>
    <w:tmpl w:val="55061D5A"/>
    <w:lvl w:ilvl="0" w:tplc="9CD2D3DA">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B05E0D"/>
    <w:multiLevelType w:val="hybridMultilevel"/>
    <w:tmpl w:val="EA58F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D276D2"/>
    <w:multiLevelType w:val="hybridMultilevel"/>
    <w:tmpl w:val="39E45562"/>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7" w15:restartNumberingAfterBreak="0">
    <w:nsid w:val="14083D86"/>
    <w:multiLevelType w:val="hybridMultilevel"/>
    <w:tmpl w:val="14509CA0"/>
    <w:lvl w:ilvl="0" w:tplc="856E6310">
      <w:start w:val="1"/>
      <w:numFmt w:val="bullet"/>
      <w:lvlText w:val="&gt;"/>
      <w:lvlJc w:val="left"/>
      <w:pPr>
        <w:ind w:left="720" w:hanging="360"/>
      </w:pPr>
      <w:rPr>
        <w:rFonts w:ascii="Cambria" w:hAnsi="Cambri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4B345A"/>
    <w:multiLevelType w:val="hybridMultilevel"/>
    <w:tmpl w:val="48485788"/>
    <w:lvl w:ilvl="0" w:tplc="9CD2D3DA">
      <w:start w:val="1"/>
      <w:numFmt w:val="bullet"/>
      <w:lvlText w:val="&gt;"/>
      <w:lvlJc w:val="left"/>
      <w:pPr>
        <w:ind w:left="360" w:hanging="360"/>
      </w:pPr>
      <w:rPr>
        <w:rFonts w:ascii="Cambria" w:hAnsi="Cambria" w:hint="default"/>
      </w:rPr>
    </w:lvl>
    <w:lvl w:ilvl="1" w:tplc="0C090003">
      <w:start w:val="1"/>
      <w:numFmt w:val="bullet"/>
      <w:lvlText w:val="o"/>
      <w:lvlJc w:val="left"/>
      <w:pPr>
        <w:ind w:left="1080" w:hanging="360"/>
      </w:pPr>
      <w:rPr>
        <w:rFonts w:ascii="Cambria Math" w:hAnsi="Cambria Math" w:cs="Cambria Math" w:hint="default"/>
      </w:rPr>
    </w:lvl>
    <w:lvl w:ilvl="2" w:tplc="0C090005" w:tentative="1">
      <w:start w:val="1"/>
      <w:numFmt w:val="bullet"/>
      <w:lvlText w:val=""/>
      <w:lvlJc w:val="left"/>
      <w:pPr>
        <w:ind w:left="1800" w:hanging="360"/>
      </w:pPr>
      <w:rPr>
        <w:rFonts w:ascii="HelveticaNeueLT Std" w:hAnsi="HelveticaNeueLT Std" w:hint="default"/>
      </w:rPr>
    </w:lvl>
    <w:lvl w:ilvl="3" w:tplc="0C090001" w:tentative="1">
      <w:start w:val="1"/>
      <w:numFmt w:val="bullet"/>
      <w:lvlText w:val=""/>
      <w:lvlJc w:val="left"/>
      <w:pPr>
        <w:ind w:left="2520" w:hanging="360"/>
      </w:pPr>
      <w:rPr>
        <w:rFonts w:ascii="Segoe UI" w:hAnsi="Segoe UI" w:hint="default"/>
      </w:rPr>
    </w:lvl>
    <w:lvl w:ilvl="4" w:tplc="0C090003" w:tentative="1">
      <w:start w:val="1"/>
      <w:numFmt w:val="bullet"/>
      <w:lvlText w:val="o"/>
      <w:lvlJc w:val="left"/>
      <w:pPr>
        <w:ind w:left="3240" w:hanging="360"/>
      </w:pPr>
      <w:rPr>
        <w:rFonts w:ascii="Cambria Math" w:hAnsi="Cambria Math" w:cs="Cambria Math" w:hint="default"/>
      </w:rPr>
    </w:lvl>
    <w:lvl w:ilvl="5" w:tplc="0C090005" w:tentative="1">
      <w:start w:val="1"/>
      <w:numFmt w:val="bullet"/>
      <w:lvlText w:val=""/>
      <w:lvlJc w:val="left"/>
      <w:pPr>
        <w:ind w:left="3960" w:hanging="360"/>
      </w:pPr>
      <w:rPr>
        <w:rFonts w:ascii="HelveticaNeueLT Std" w:hAnsi="HelveticaNeueLT Std" w:hint="default"/>
      </w:rPr>
    </w:lvl>
    <w:lvl w:ilvl="6" w:tplc="0C090001" w:tentative="1">
      <w:start w:val="1"/>
      <w:numFmt w:val="bullet"/>
      <w:lvlText w:val=""/>
      <w:lvlJc w:val="left"/>
      <w:pPr>
        <w:ind w:left="4680" w:hanging="360"/>
      </w:pPr>
      <w:rPr>
        <w:rFonts w:ascii="Segoe UI" w:hAnsi="Segoe UI" w:hint="default"/>
      </w:rPr>
    </w:lvl>
    <w:lvl w:ilvl="7" w:tplc="0C090003" w:tentative="1">
      <w:start w:val="1"/>
      <w:numFmt w:val="bullet"/>
      <w:lvlText w:val="o"/>
      <w:lvlJc w:val="left"/>
      <w:pPr>
        <w:ind w:left="5400" w:hanging="360"/>
      </w:pPr>
      <w:rPr>
        <w:rFonts w:ascii="Cambria Math" w:hAnsi="Cambria Math" w:cs="Cambria Math" w:hint="default"/>
      </w:rPr>
    </w:lvl>
    <w:lvl w:ilvl="8" w:tplc="0C090005" w:tentative="1">
      <w:start w:val="1"/>
      <w:numFmt w:val="bullet"/>
      <w:lvlText w:val=""/>
      <w:lvlJc w:val="left"/>
      <w:pPr>
        <w:ind w:left="6120" w:hanging="360"/>
      </w:pPr>
      <w:rPr>
        <w:rFonts w:ascii="HelveticaNeueLT Std" w:hAnsi="HelveticaNeueLT Std" w:hint="default"/>
      </w:rPr>
    </w:lvl>
  </w:abstractNum>
  <w:abstractNum w:abstractNumId="19" w15:restartNumberingAfterBreak="0">
    <w:nsid w:val="14D31D89"/>
    <w:multiLevelType w:val="hybridMultilevel"/>
    <w:tmpl w:val="BE4C051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54B13D9"/>
    <w:multiLevelType w:val="hybridMultilevel"/>
    <w:tmpl w:val="59A47A08"/>
    <w:lvl w:ilvl="0" w:tplc="856E6310">
      <w:start w:val="1"/>
      <w:numFmt w:val="bullet"/>
      <w:lvlText w:val="&gt;"/>
      <w:lvlJc w:val="left"/>
      <w:pPr>
        <w:ind w:left="360" w:hanging="360"/>
      </w:pPr>
      <w:rPr>
        <w:rFonts w:ascii="Cambria" w:hAnsi="Cambri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6282F80"/>
    <w:multiLevelType w:val="hybridMultilevel"/>
    <w:tmpl w:val="E780D9AA"/>
    <w:lvl w:ilvl="0" w:tplc="9CD2D3DA">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710F00"/>
    <w:multiLevelType w:val="multilevel"/>
    <w:tmpl w:val="6D76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8A939F0"/>
    <w:multiLevelType w:val="multilevel"/>
    <w:tmpl w:val="C9D204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8C56A9"/>
    <w:multiLevelType w:val="hybridMultilevel"/>
    <w:tmpl w:val="B22A918A"/>
    <w:lvl w:ilvl="0" w:tplc="6EC058B2">
      <w:start w:val="1"/>
      <w:numFmt w:val="bullet"/>
      <w:lvlText w:val=""/>
      <w:lvlJc w:val="left"/>
      <w:pPr>
        <w:ind w:left="360" w:hanging="360"/>
      </w:pPr>
      <w:rPr>
        <w:rFonts w:ascii="Segoe UI" w:hAnsi="Segoe UI" w:hint="default"/>
        <w:b w:val="0"/>
        <w:bCs w:val="0"/>
      </w:rPr>
    </w:lvl>
    <w:lvl w:ilvl="1" w:tplc="0C090003" w:tentative="1">
      <w:start w:val="1"/>
      <w:numFmt w:val="bullet"/>
      <w:lvlText w:val="o"/>
      <w:lvlJc w:val="left"/>
      <w:pPr>
        <w:ind w:left="1080" w:hanging="360"/>
      </w:pPr>
      <w:rPr>
        <w:rFonts w:ascii="Cambria Math" w:hAnsi="Cambria Math" w:cs="Cambria Math" w:hint="default"/>
      </w:rPr>
    </w:lvl>
    <w:lvl w:ilvl="2" w:tplc="0C090005" w:tentative="1">
      <w:start w:val="1"/>
      <w:numFmt w:val="bullet"/>
      <w:lvlText w:val=""/>
      <w:lvlJc w:val="left"/>
      <w:pPr>
        <w:ind w:left="1800" w:hanging="360"/>
      </w:pPr>
      <w:rPr>
        <w:rFonts w:ascii="HelveticaNeueLT Std" w:hAnsi="HelveticaNeueLT Std" w:hint="default"/>
      </w:rPr>
    </w:lvl>
    <w:lvl w:ilvl="3" w:tplc="0C090001" w:tentative="1">
      <w:start w:val="1"/>
      <w:numFmt w:val="bullet"/>
      <w:lvlText w:val=""/>
      <w:lvlJc w:val="left"/>
      <w:pPr>
        <w:ind w:left="2520" w:hanging="360"/>
      </w:pPr>
      <w:rPr>
        <w:rFonts w:ascii="Segoe UI" w:hAnsi="Segoe UI" w:hint="default"/>
      </w:rPr>
    </w:lvl>
    <w:lvl w:ilvl="4" w:tplc="0C090003" w:tentative="1">
      <w:start w:val="1"/>
      <w:numFmt w:val="bullet"/>
      <w:lvlText w:val="o"/>
      <w:lvlJc w:val="left"/>
      <w:pPr>
        <w:ind w:left="3240" w:hanging="360"/>
      </w:pPr>
      <w:rPr>
        <w:rFonts w:ascii="Cambria Math" w:hAnsi="Cambria Math" w:cs="Cambria Math" w:hint="default"/>
      </w:rPr>
    </w:lvl>
    <w:lvl w:ilvl="5" w:tplc="0C090005" w:tentative="1">
      <w:start w:val="1"/>
      <w:numFmt w:val="bullet"/>
      <w:lvlText w:val=""/>
      <w:lvlJc w:val="left"/>
      <w:pPr>
        <w:ind w:left="3960" w:hanging="360"/>
      </w:pPr>
      <w:rPr>
        <w:rFonts w:ascii="HelveticaNeueLT Std" w:hAnsi="HelveticaNeueLT Std" w:hint="default"/>
      </w:rPr>
    </w:lvl>
    <w:lvl w:ilvl="6" w:tplc="0C090001" w:tentative="1">
      <w:start w:val="1"/>
      <w:numFmt w:val="bullet"/>
      <w:lvlText w:val=""/>
      <w:lvlJc w:val="left"/>
      <w:pPr>
        <w:ind w:left="4680" w:hanging="360"/>
      </w:pPr>
      <w:rPr>
        <w:rFonts w:ascii="Segoe UI" w:hAnsi="Segoe UI" w:hint="default"/>
      </w:rPr>
    </w:lvl>
    <w:lvl w:ilvl="7" w:tplc="0C090003" w:tentative="1">
      <w:start w:val="1"/>
      <w:numFmt w:val="bullet"/>
      <w:lvlText w:val="o"/>
      <w:lvlJc w:val="left"/>
      <w:pPr>
        <w:ind w:left="5400" w:hanging="360"/>
      </w:pPr>
      <w:rPr>
        <w:rFonts w:ascii="Cambria Math" w:hAnsi="Cambria Math" w:cs="Cambria Math" w:hint="default"/>
      </w:rPr>
    </w:lvl>
    <w:lvl w:ilvl="8" w:tplc="0C090005" w:tentative="1">
      <w:start w:val="1"/>
      <w:numFmt w:val="bullet"/>
      <w:lvlText w:val=""/>
      <w:lvlJc w:val="left"/>
      <w:pPr>
        <w:ind w:left="6120" w:hanging="360"/>
      </w:pPr>
      <w:rPr>
        <w:rFonts w:ascii="HelveticaNeueLT Std" w:hAnsi="HelveticaNeueLT Std" w:hint="default"/>
      </w:rPr>
    </w:lvl>
  </w:abstractNum>
  <w:abstractNum w:abstractNumId="25" w15:restartNumberingAfterBreak="0">
    <w:nsid w:val="1DDD5A82"/>
    <w:multiLevelType w:val="hybridMultilevel"/>
    <w:tmpl w:val="E3724BC4"/>
    <w:lvl w:ilvl="0" w:tplc="9CD2D3DA">
      <w:start w:val="1"/>
      <w:numFmt w:val="bullet"/>
      <w:lvlText w:val="&gt;"/>
      <w:lvlJc w:val="left"/>
      <w:pPr>
        <w:ind w:left="720" w:hanging="360"/>
      </w:pPr>
      <w:rPr>
        <w:rFonts w:ascii="Cambria" w:hAnsi="Cambria" w:hint="default"/>
      </w:rPr>
    </w:lvl>
    <w:lvl w:ilvl="1" w:tplc="0C090003">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26" w15:restartNumberingAfterBreak="0">
    <w:nsid w:val="1DF02C3C"/>
    <w:multiLevelType w:val="multilevel"/>
    <w:tmpl w:val="5E24E7B8"/>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
      <w:lvlJc w:val="left"/>
      <w:pPr>
        <w:tabs>
          <w:tab w:val="num" w:pos="1440"/>
        </w:tabs>
        <w:ind w:left="1440" w:hanging="360"/>
      </w:pPr>
      <w:rPr>
        <w:rFonts w:ascii="Segoe UI" w:hAnsi="Segoe UI" w:hint="default"/>
        <w:sz w:val="20"/>
      </w:rPr>
    </w:lvl>
    <w:lvl w:ilvl="2" w:tentative="1">
      <w:start w:val="1"/>
      <w:numFmt w:val="bullet"/>
      <w:lvlText w:val=""/>
      <w:lvlJc w:val="left"/>
      <w:pPr>
        <w:tabs>
          <w:tab w:val="num" w:pos="2160"/>
        </w:tabs>
        <w:ind w:left="2160" w:hanging="360"/>
      </w:pPr>
      <w:rPr>
        <w:rFonts w:ascii="Segoe UI" w:hAnsi="Segoe UI" w:hint="default"/>
        <w:sz w:val="20"/>
      </w:rPr>
    </w:lvl>
    <w:lvl w:ilvl="3" w:tentative="1">
      <w:start w:val="1"/>
      <w:numFmt w:val="bullet"/>
      <w:lvlText w:val=""/>
      <w:lvlJc w:val="left"/>
      <w:pPr>
        <w:tabs>
          <w:tab w:val="num" w:pos="2880"/>
        </w:tabs>
        <w:ind w:left="2880" w:hanging="360"/>
      </w:pPr>
      <w:rPr>
        <w:rFonts w:ascii="Segoe UI" w:hAnsi="Segoe UI" w:hint="default"/>
        <w:sz w:val="20"/>
      </w:rPr>
    </w:lvl>
    <w:lvl w:ilvl="4" w:tentative="1">
      <w:start w:val="1"/>
      <w:numFmt w:val="bullet"/>
      <w:lvlText w:val=""/>
      <w:lvlJc w:val="left"/>
      <w:pPr>
        <w:tabs>
          <w:tab w:val="num" w:pos="3600"/>
        </w:tabs>
        <w:ind w:left="3600" w:hanging="360"/>
      </w:pPr>
      <w:rPr>
        <w:rFonts w:ascii="Segoe UI" w:hAnsi="Segoe UI" w:hint="default"/>
        <w:sz w:val="20"/>
      </w:rPr>
    </w:lvl>
    <w:lvl w:ilvl="5" w:tentative="1">
      <w:start w:val="1"/>
      <w:numFmt w:val="bullet"/>
      <w:lvlText w:val=""/>
      <w:lvlJc w:val="left"/>
      <w:pPr>
        <w:tabs>
          <w:tab w:val="num" w:pos="4320"/>
        </w:tabs>
        <w:ind w:left="4320" w:hanging="360"/>
      </w:pPr>
      <w:rPr>
        <w:rFonts w:ascii="Segoe UI" w:hAnsi="Segoe UI" w:hint="default"/>
        <w:sz w:val="20"/>
      </w:rPr>
    </w:lvl>
    <w:lvl w:ilvl="6" w:tentative="1">
      <w:start w:val="1"/>
      <w:numFmt w:val="bullet"/>
      <w:lvlText w:val=""/>
      <w:lvlJc w:val="left"/>
      <w:pPr>
        <w:tabs>
          <w:tab w:val="num" w:pos="5040"/>
        </w:tabs>
        <w:ind w:left="5040" w:hanging="360"/>
      </w:pPr>
      <w:rPr>
        <w:rFonts w:ascii="Segoe UI" w:hAnsi="Segoe UI" w:hint="default"/>
        <w:sz w:val="20"/>
      </w:rPr>
    </w:lvl>
    <w:lvl w:ilvl="7" w:tentative="1">
      <w:start w:val="1"/>
      <w:numFmt w:val="bullet"/>
      <w:lvlText w:val=""/>
      <w:lvlJc w:val="left"/>
      <w:pPr>
        <w:tabs>
          <w:tab w:val="num" w:pos="5760"/>
        </w:tabs>
        <w:ind w:left="5760" w:hanging="360"/>
      </w:pPr>
      <w:rPr>
        <w:rFonts w:ascii="Segoe UI" w:hAnsi="Segoe UI" w:hint="default"/>
        <w:sz w:val="20"/>
      </w:rPr>
    </w:lvl>
    <w:lvl w:ilvl="8" w:tentative="1">
      <w:start w:val="1"/>
      <w:numFmt w:val="bullet"/>
      <w:lvlText w:val=""/>
      <w:lvlJc w:val="left"/>
      <w:pPr>
        <w:tabs>
          <w:tab w:val="num" w:pos="6480"/>
        </w:tabs>
        <w:ind w:left="6480" w:hanging="360"/>
      </w:pPr>
      <w:rPr>
        <w:rFonts w:ascii="Segoe UI" w:hAnsi="Segoe UI" w:hint="default"/>
        <w:sz w:val="20"/>
      </w:rPr>
    </w:lvl>
  </w:abstractNum>
  <w:abstractNum w:abstractNumId="27" w15:restartNumberingAfterBreak="0">
    <w:nsid w:val="1DF91872"/>
    <w:multiLevelType w:val="hybridMultilevel"/>
    <w:tmpl w:val="16F049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EF72639"/>
    <w:multiLevelType w:val="multilevel"/>
    <w:tmpl w:val="10247A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2D3978"/>
    <w:multiLevelType w:val="hybridMultilevel"/>
    <w:tmpl w:val="E59AFF8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06866EB"/>
    <w:multiLevelType w:val="hybridMultilevel"/>
    <w:tmpl w:val="1E38CBFC"/>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31" w15:restartNumberingAfterBreak="0">
    <w:nsid w:val="219504D2"/>
    <w:multiLevelType w:val="hybridMultilevel"/>
    <w:tmpl w:val="20CA552C"/>
    <w:lvl w:ilvl="0" w:tplc="0C090001">
      <w:start w:val="1"/>
      <w:numFmt w:val="bullet"/>
      <w:lvlText w:val=""/>
      <w:lvlJc w:val="left"/>
      <w:pPr>
        <w:ind w:left="720" w:hanging="360"/>
      </w:pPr>
      <w:rPr>
        <w:rFonts w:ascii="Segoe UI" w:hAnsi="Segoe UI"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32" w15:restartNumberingAfterBreak="0">
    <w:nsid w:val="22DF7DDC"/>
    <w:multiLevelType w:val="multilevel"/>
    <w:tmpl w:val="82F4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FE764D"/>
    <w:multiLevelType w:val="hybridMultilevel"/>
    <w:tmpl w:val="993C072C"/>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34" w15:restartNumberingAfterBreak="0">
    <w:nsid w:val="245C0425"/>
    <w:multiLevelType w:val="hybridMultilevel"/>
    <w:tmpl w:val="6164CCA0"/>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35" w15:restartNumberingAfterBreak="0">
    <w:nsid w:val="24A57BFF"/>
    <w:multiLevelType w:val="hybridMultilevel"/>
    <w:tmpl w:val="D84A30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5920FBA"/>
    <w:multiLevelType w:val="hybridMultilevel"/>
    <w:tmpl w:val="76B20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6385B1C"/>
    <w:multiLevelType w:val="hybridMultilevel"/>
    <w:tmpl w:val="5CA0BCF2"/>
    <w:lvl w:ilvl="0" w:tplc="856E6310">
      <w:start w:val="1"/>
      <w:numFmt w:val="bullet"/>
      <w:lvlText w:val="&gt;"/>
      <w:lvlJc w:val="left"/>
      <w:pPr>
        <w:ind w:left="720" w:hanging="360"/>
      </w:pPr>
      <w:rPr>
        <w:rFonts w:ascii="Cambria" w:hAnsi="Cambria"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7C26A9C"/>
    <w:multiLevelType w:val="multilevel"/>
    <w:tmpl w:val="6A8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8A622B4"/>
    <w:multiLevelType w:val="multilevel"/>
    <w:tmpl w:val="16E2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C30582"/>
    <w:multiLevelType w:val="hybridMultilevel"/>
    <w:tmpl w:val="19924C74"/>
    <w:lvl w:ilvl="0" w:tplc="856E6310">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93B78EA"/>
    <w:multiLevelType w:val="hybridMultilevel"/>
    <w:tmpl w:val="E656F7EC"/>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43" w15:restartNumberingAfterBreak="0">
    <w:nsid w:val="2A5D7534"/>
    <w:multiLevelType w:val="multilevel"/>
    <w:tmpl w:val="4216A74C"/>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
      <w:lvlJc w:val="left"/>
      <w:pPr>
        <w:tabs>
          <w:tab w:val="num" w:pos="1440"/>
        </w:tabs>
        <w:ind w:left="1440" w:hanging="360"/>
      </w:pPr>
      <w:rPr>
        <w:rFonts w:ascii="Segoe UI" w:hAnsi="Segoe UI" w:hint="default"/>
        <w:sz w:val="20"/>
      </w:rPr>
    </w:lvl>
    <w:lvl w:ilvl="2" w:tentative="1">
      <w:start w:val="1"/>
      <w:numFmt w:val="bullet"/>
      <w:lvlText w:val=""/>
      <w:lvlJc w:val="left"/>
      <w:pPr>
        <w:tabs>
          <w:tab w:val="num" w:pos="2160"/>
        </w:tabs>
        <w:ind w:left="2160" w:hanging="360"/>
      </w:pPr>
      <w:rPr>
        <w:rFonts w:ascii="Segoe UI" w:hAnsi="Segoe UI" w:hint="default"/>
        <w:sz w:val="20"/>
      </w:rPr>
    </w:lvl>
    <w:lvl w:ilvl="3" w:tentative="1">
      <w:start w:val="1"/>
      <w:numFmt w:val="bullet"/>
      <w:lvlText w:val=""/>
      <w:lvlJc w:val="left"/>
      <w:pPr>
        <w:tabs>
          <w:tab w:val="num" w:pos="2880"/>
        </w:tabs>
        <w:ind w:left="2880" w:hanging="360"/>
      </w:pPr>
      <w:rPr>
        <w:rFonts w:ascii="Segoe UI" w:hAnsi="Segoe UI" w:hint="default"/>
        <w:sz w:val="20"/>
      </w:rPr>
    </w:lvl>
    <w:lvl w:ilvl="4" w:tentative="1">
      <w:start w:val="1"/>
      <w:numFmt w:val="bullet"/>
      <w:lvlText w:val=""/>
      <w:lvlJc w:val="left"/>
      <w:pPr>
        <w:tabs>
          <w:tab w:val="num" w:pos="3600"/>
        </w:tabs>
        <w:ind w:left="3600" w:hanging="360"/>
      </w:pPr>
      <w:rPr>
        <w:rFonts w:ascii="Segoe UI" w:hAnsi="Segoe UI" w:hint="default"/>
        <w:sz w:val="20"/>
      </w:rPr>
    </w:lvl>
    <w:lvl w:ilvl="5" w:tentative="1">
      <w:start w:val="1"/>
      <w:numFmt w:val="bullet"/>
      <w:lvlText w:val=""/>
      <w:lvlJc w:val="left"/>
      <w:pPr>
        <w:tabs>
          <w:tab w:val="num" w:pos="4320"/>
        </w:tabs>
        <w:ind w:left="4320" w:hanging="360"/>
      </w:pPr>
      <w:rPr>
        <w:rFonts w:ascii="Segoe UI" w:hAnsi="Segoe UI" w:hint="default"/>
        <w:sz w:val="20"/>
      </w:rPr>
    </w:lvl>
    <w:lvl w:ilvl="6" w:tentative="1">
      <w:start w:val="1"/>
      <w:numFmt w:val="bullet"/>
      <w:lvlText w:val=""/>
      <w:lvlJc w:val="left"/>
      <w:pPr>
        <w:tabs>
          <w:tab w:val="num" w:pos="5040"/>
        </w:tabs>
        <w:ind w:left="5040" w:hanging="360"/>
      </w:pPr>
      <w:rPr>
        <w:rFonts w:ascii="Segoe UI" w:hAnsi="Segoe UI" w:hint="default"/>
        <w:sz w:val="20"/>
      </w:rPr>
    </w:lvl>
    <w:lvl w:ilvl="7" w:tentative="1">
      <w:start w:val="1"/>
      <w:numFmt w:val="bullet"/>
      <w:lvlText w:val=""/>
      <w:lvlJc w:val="left"/>
      <w:pPr>
        <w:tabs>
          <w:tab w:val="num" w:pos="5760"/>
        </w:tabs>
        <w:ind w:left="5760" w:hanging="360"/>
      </w:pPr>
      <w:rPr>
        <w:rFonts w:ascii="Segoe UI" w:hAnsi="Segoe UI" w:hint="default"/>
        <w:sz w:val="20"/>
      </w:rPr>
    </w:lvl>
    <w:lvl w:ilvl="8" w:tentative="1">
      <w:start w:val="1"/>
      <w:numFmt w:val="bullet"/>
      <w:lvlText w:val=""/>
      <w:lvlJc w:val="left"/>
      <w:pPr>
        <w:tabs>
          <w:tab w:val="num" w:pos="6480"/>
        </w:tabs>
        <w:ind w:left="6480" w:hanging="360"/>
      </w:pPr>
      <w:rPr>
        <w:rFonts w:ascii="Segoe UI" w:hAnsi="Segoe UI" w:hint="default"/>
        <w:sz w:val="20"/>
      </w:rPr>
    </w:lvl>
  </w:abstractNum>
  <w:abstractNum w:abstractNumId="44" w15:restartNumberingAfterBreak="0">
    <w:nsid w:val="2C840A85"/>
    <w:multiLevelType w:val="hybridMultilevel"/>
    <w:tmpl w:val="AE3CA5BA"/>
    <w:lvl w:ilvl="0" w:tplc="0C090001">
      <w:start w:val="1"/>
      <w:numFmt w:val="bullet"/>
      <w:lvlText w:val=""/>
      <w:lvlJc w:val="left"/>
      <w:pPr>
        <w:ind w:left="720" w:hanging="360"/>
      </w:pPr>
      <w:rPr>
        <w:rFonts w:ascii="Segoe UI" w:hAnsi="Segoe UI"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45" w15:restartNumberingAfterBreak="0">
    <w:nsid w:val="2D560351"/>
    <w:multiLevelType w:val="hybridMultilevel"/>
    <w:tmpl w:val="D4CC3230"/>
    <w:lvl w:ilvl="0" w:tplc="856E6310">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7" w15:restartNumberingAfterBreak="0">
    <w:nsid w:val="2EF936AC"/>
    <w:multiLevelType w:val="hybridMultilevel"/>
    <w:tmpl w:val="64EE64CC"/>
    <w:lvl w:ilvl="0" w:tplc="9CD2D3DA">
      <w:start w:val="1"/>
      <w:numFmt w:val="bullet"/>
      <w:lvlText w:val="&gt;"/>
      <w:lvlJc w:val="left"/>
      <w:pPr>
        <w:ind w:left="742" w:hanging="360"/>
      </w:pPr>
      <w:rPr>
        <w:rFonts w:ascii="Cambria" w:hAnsi="Cambria" w:hint="default"/>
      </w:rPr>
    </w:lvl>
    <w:lvl w:ilvl="1" w:tplc="0C090003" w:tentative="1">
      <w:start w:val="1"/>
      <w:numFmt w:val="bullet"/>
      <w:lvlText w:val="o"/>
      <w:lvlJc w:val="left"/>
      <w:pPr>
        <w:ind w:left="1462" w:hanging="360"/>
      </w:pPr>
      <w:rPr>
        <w:rFonts w:ascii="Cambria Math" w:hAnsi="Cambria Math" w:cs="Cambria Math" w:hint="default"/>
      </w:rPr>
    </w:lvl>
    <w:lvl w:ilvl="2" w:tplc="0C090005" w:tentative="1">
      <w:start w:val="1"/>
      <w:numFmt w:val="bullet"/>
      <w:lvlText w:val=""/>
      <w:lvlJc w:val="left"/>
      <w:pPr>
        <w:ind w:left="2182" w:hanging="360"/>
      </w:pPr>
      <w:rPr>
        <w:rFonts w:ascii="HelveticaNeueLT Std" w:hAnsi="HelveticaNeueLT Std" w:hint="default"/>
      </w:rPr>
    </w:lvl>
    <w:lvl w:ilvl="3" w:tplc="0C090001" w:tentative="1">
      <w:start w:val="1"/>
      <w:numFmt w:val="bullet"/>
      <w:lvlText w:val=""/>
      <w:lvlJc w:val="left"/>
      <w:pPr>
        <w:ind w:left="2902" w:hanging="360"/>
      </w:pPr>
      <w:rPr>
        <w:rFonts w:ascii="Segoe UI" w:hAnsi="Segoe UI" w:hint="default"/>
      </w:rPr>
    </w:lvl>
    <w:lvl w:ilvl="4" w:tplc="0C090003" w:tentative="1">
      <w:start w:val="1"/>
      <w:numFmt w:val="bullet"/>
      <w:lvlText w:val="o"/>
      <w:lvlJc w:val="left"/>
      <w:pPr>
        <w:ind w:left="3622" w:hanging="360"/>
      </w:pPr>
      <w:rPr>
        <w:rFonts w:ascii="Cambria Math" w:hAnsi="Cambria Math" w:cs="Cambria Math" w:hint="default"/>
      </w:rPr>
    </w:lvl>
    <w:lvl w:ilvl="5" w:tplc="0C090005" w:tentative="1">
      <w:start w:val="1"/>
      <w:numFmt w:val="bullet"/>
      <w:lvlText w:val=""/>
      <w:lvlJc w:val="left"/>
      <w:pPr>
        <w:ind w:left="4342" w:hanging="360"/>
      </w:pPr>
      <w:rPr>
        <w:rFonts w:ascii="HelveticaNeueLT Std" w:hAnsi="HelveticaNeueLT Std" w:hint="default"/>
      </w:rPr>
    </w:lvl>
    <w:lvl w:ilvl="6" w:tplc="0C090001" w:tentative="1">
      <w:start w:val="1"/>
      <w:numFmt w:val="bullet"/>
      <w:lvlText w:val=""/>
      <w:lvlJc w:val="left"/>
      <w:pPr>
        <w:ind w:left="5062" w:hanging="360"/>
      </w:pPr>
      <w:rPr>
        <w:rFonts w:ascii="Segoe UI" w:hAnsi="Segoe UI" w:hint="default"/>
      </w:rPr>
    </w:lvl>
    <w:lvl w:ilvl="7" w:tplc="0C090003" w:tentative="1">
      <w:start w:val="1"/>
      <w:numFmt w:val="bullet"/>
      <w:lvlText w:val="o"/>
      <w:lvlJc w:val="left"/>
      <w:pPr>
        <w:ind w:left="5782" w:hanging="360"/>
      </w:pPr>
      <w:rPr>
        <w:rFonts w:ascii="Cambria Math" w:hAnsi="Cambria Math" w:cs="Cambria Math" w:hint="default"/>
      </w:rPr>
    </w:lvl>
    <w:lvl w:ilvl="8" w:tplc="0C090005" w:tentative="1">
      <w:start w:val="1"/>
      <w:numFmt w:val="bullet"/>
      <w:lvlText w:val=""/>
      <w:lvlJc w:val="left"/>
      <w:pPr>
        <w:ind w:left="6502" w:hanging="360"/>
      </w:pPr>
      <w:rPr>
        <w:rFonts w:ascii="HelveticaNeueLT Std" w:hAnsi="HelveticaNeueLT Std" w:hint="default"/>
      </w:rPr>
    </w:lvl>
  </w:abstractNum>
  <w:abstractNum w:abstractNumId="48" w15:restartNumberingAfterBreak="0">
    <w:nsid w:val="2F5A5080"/>
    <w:multiLevelType w:val="hybridMultilevel"/>
    <w:tmpl w:val="BE2AF6CE"/>
    <w:lvl w:ilvl="0" w:tplc="D05E2434">
      <w:start w:val="1"/>
      <w:numFmt w:val="bullet"/>
      <w:lvlText w:val="●"/>
      <w:lvlJc w:val="left"/>
      <w:pPr>
        <w:ind w:left="357" w:hanging="357"/>
      </w:pPr>
      <w:rPr>
        <w:rFonts w:ascii="Cambria" w:hAnsi="Cambria" w:cs="Cambria" w:hint="default"/>
        <w:sz w:val="20"/>
        <w:szCs w:val="20"/>
      </w:rPr>
    </w:lvl>
    <w:lvl w:ilvl="1" w:tplc="04090003">
      <w:start w:val="1"/>
      <w:numFmt w:val="bullet"/>
      <w:lvlText w:val="o"/>
      <w:lvlJc w:val="left"/>
      <w:pPr>
        <w:tabs>
          <w:tab w:val="num" w:pos="1728"/>
        </w:tabs>
        <w:ind w:left="1728" w:hanging="360"/>
      </w:pPr>
      <w:rPr>
        <w:rFonts w:ascii="Cambria Math" w:hAnsi="Cambria Math" w:cs="MS Mincho" w:hint="default"/>
      </w:rPr>
    </w:lvl>
    <w:lvl w:ilvl="2" w:tplc="04090005">
      <w:start w:val="1"/>
      <w:numFmt w:val="bullet"/>
      <w:lvlText w:val=""/>
      <w:lvlJc w:val="left"/>
      <w:pPr>
        <w:tabs>
          <w:tab w:val="num" w:pos="2448"/>
        </w:tabs>
        <w:ind w:left="2448" w:hanging="360"/>
      </w:pPr>
      <w:rPr>
        <w:rFonts w:ascii="HelveticaNeueLT Std" w:hAnsi="HelveticaNeueLT Std" w:hint="default"/>
      </w:rPr>
    </w:lvl>
    <w:lvl w:ilvl="3" w:tplc="04090001">
      <w:start w:val="1"/>
      <w:numFmt w:val="bullet"/>
      <w:lvlText w:val=""/>
      <w:lvlJc w:val="left"/>
      <w:pPr>
        <w:tabs>
          <w:tab w:val="num" w:pos="3168"/>
        </w:tabs>
        <w:ind w:left="3168" w:hanging="360"/>
      </w:pPr>
      <w:rPr>
        <w:rFonts w:ascii="Segoe UI" w:hAnsi="Segoe UI" w:hint="default"/>
      </w:rPr>
    </w:lvl>
    <w:lvl w:ilvl="4" w:tplc="04090003">
      <w:start w:val="1"/>
      <w:numFmt w:val="bullet"/>
      <w:lvlText w:val="o"/>
      <w:lvlJc w:val="left"/>
      <w:pPr>
        <w:tabs>
          <w:tab w:val="num" w:pos="3888"/>
        </w:tabs>
        <w:ind w:left="3888" w:hanging="360"/>
      </w:pPr>
      <w:rPr>
        <w:rFonts w:ascii="Cambria Math" w:hAnsi="Cambria Math" w:cs="MS Mincho" w:hint="default"/>
      </w:rPr>
    </w:lvl>
    <w:lvl w:ilvl="5" w:tplc="04090005">
      <w:start w:val="1"/>
      <w:numFmt w:val="bullet"/>
      <w:lvlText w:val=""/>
      <w:lvlJc w:val="left"/>
      <w:pPr>
        <w:tabs>
          <w:tab w:val="num" w:pos="4608"/>
        </w:tabs>
        <w:ind w:left="4608" w:hanging="360"/>
      </w:pPr>
      <w:rPr>
        <w:rFonts w:ascii="HelveticaNeueLT Std" w:hAnsi="HelveticaNeueLT Std" w:hint="default"/>
      </w:rPr>
    </w:lvl>
    <w:lvl w:ilvl="6" w:tplc="04090001">
      <w:start w:val="1"/>
      <w:numFmt w:val="bullet"/>
      <w:lvlText w:val=""/>
      <w:lvlJc w:val="left"/>
      <w:pPr>
        <w:tabs>
          <w:tab w:val="num" w:pos="5328"/>
        </w:tabs>
        <w:ind w:left="5328" w:hanging="360"/>
      </w:pPr>
      <w:rPr>
        <w:rFonts w:ascii="Segoe UI" w:hAnsi="Segoe UI" w:hint="default"/>
      </w:rPr>
    </w:lvl>
    <w:lvl w:ilvl="7" w:tplc="04090003">
      <w:start w:val="1"/>
      <w:numFmt w:val="bullet"/>
      <w:lvlText w:val="o"/>
      <w:lvlJc w:val="left"/>
      <w:pPr>
        <w:tabs>
          <w:tab w:val="num" w:pos="6048"/>
        </w:tabs>
        <w:ind w:left="6048" w:hanging="360"/>
      </w:pPr>
      <w:rPr>
        <w:rFonts w:ascii="Cambria Math" w:hAnsi="Cambria Math" w:cs="MS Mincho" w:hint="default"/>
      </w:rPr>
    </w:lvl>
    <w:lvl w:ilvl="8" w:tplc="04090005">
      <w:start w:val="1"/>
      <w:numFmt w:val="bullet"/>
      <w:lvlText w:val=""/>
      <w:lvlJc w:val="left"/>
      <w:pPr>
        <w:tabs>
          <w:tab w:val="num" w:pos="6768"/>
        </w:tabs>
        <w:ind w:left="6768" w:hanging="360"/>
      </w:pPr>
      <w:rPr>
        <w:rFonts w:ascii="HelveticaNeueLT Std" w:hAnsi="HelveticaNeueLT Std" w:hint="default"/>
      </w:rPr>
    </w:lvl>
  </w:abstractNum>
  <w:abstractNum w:abstractNumId="49" w15:restartNumberingAfterBreak="0">
    <w:nsid w:val="31536D5D"/>
    <w:multiLevelType w:val="hybridMultilevel"/>
    <w:tmpl w:val="295AD748"/>
    <w:lvl w:ilvl="0" w:tplc="F066FAB8">
      <w:start w:val="2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1763EE2"/>
    <w:multiLevelType w:val="multilevel"/>
    <w:tmpl w:val="25465A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080A44"/>
    <w:multiLevelType w:val="hybridMultilevel"/>
    <w:tmpl w:val="19201F4C"/>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52" w15:restartNumberingAfterBreak="0">
    <w:nsid w:val="320B106D"/>
    <w:multiLevelType w:val="hybridMultilevel"/>
    <w:tmpl w:val="CC3A501E"/>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53" w15:restartNumberingAfterBreak="0">
    <w:nsid w:val="32DD1124"/>
    <w:multiLevelType w:val="hybridMultilevel"/>
    <w:tmpl w:val="99443920"/>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54" w15:restartNumberingAfterBreak="0">
    <w:nsid w:val="331D1EE8"/>
    <w:multiLevelType w:val="hybridMultilevel"/>
    <w:tmpl w:val="B8145CE6"/>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55" w15:restartNumberingAfterBreak="0">
    <w:nsid w:val="33CF4216"/>
    <w:multiLevelType w:val="hybridMultilevel"/>
    <w:tmpl w:val="6E68FDB6"/>
    <w:lvl w:ilvl="0" w:tplc="FFFFFFFF">
      <w:start w:val="1"/>
      <w:numFmt w:val="bullet"/>
      <w:lvlText w:val="&gt;"/>
      <w:lvlJc w:val="left"/>
      <w:pPr>
        <w:ind w:left="720" w:hanging="360"/>
      </w:pPr>
      <w:rPr>
        <w:rFonts w:ascii="Cambria" w:hAnsi="Cambria" w:hint="default"/>
      </w:rPr>
    </w:lvl>
    <w:lvl w:ilvl="1" w:tplc="856E6310">
      <w:start w:val="1"/>
      <w:numFmt w:val="bullet"/>
      <w:lvlText w:val="&gt;"/>
      <w:lvlJc w:val="left"/>
      <w:pPr>
        <w:ind w:left="1440" w:hanging="360"/>
      </w:pPr>
      <w:rPr>
        <w:rFonts w:ascii="Cambria" w:hAnsi="Cambria" w:hint="default"/>
      </w:rPr>
    </w:lvl>
    <w:lvl w:ilvl="2" w:tplc="FFFFFFFF">
      <w:start w:val="1"/>
      <w:numFmt w:val="bullet"/>
      <w:lvlText w:val="&gt;"/>
      <w:lvlJc w:val="left"/>
      <w:pPr>
        <w:ind w:left="2160" w:hanging="360"/>
      </w:pPr>
      <w:rPr>
        <w:rFonts w:ascii="Cambria" w:hAnsi="Cambria" w:hint="default"/>
      </w:rPr>
    </w:lvl>
    <w:lvl w:ilvl="3" w:tplc="FFFFFFFF">
      <w:start w:val="1"/>
      <w:numFmt w:val="bullet"/>
      <w:lvlText w:val=""/>
      <w:lvlJc w:val="left"/>
      <w:pPr>
        <w:ind w:left="2880" w:hanging="360"/>
      </w:pPr>
      <w:rPr>
        <w:rFonts w:ascii="Segoe UI" w:hAnsi="Segoe UI" w:hint="default"/>
      </w:rPr>
    </w:lvl>
    <w:lvl w:ilvl="4" w:tplc="FFFFFFFF" w:tentative="1">
      <w:start w:val="1"/>
      <w:numFmt w:val="bullet"/>
      <w:lvlText w:val="o"/>
      <w:lvlJc w:val="left"/>
      <w:pPr>
        <w:ind w:left="3600" w:hanging="360"/>
      </w:pPr>
      <w:rPr>
        <w:rFonts w:ascii="Cambria Math" w:hAnsi="Cambria Math" w:cs="Cambria Math" w:hint="default"/>
      </w:rPr>
    </w:lvl>
    <w:lvl w:ilvl="5" w:tplc="FFFFFFFF" w:tentative="1">
      <w:start w:val="1"/>
      <w:numFmt w:val="bullet"/>
      <w:lvlText w:val=""/>
      <w:lvlJc w:val="left"/>
      <w:pPr>
        <w:ind w:left="4320" w:hanging="360"/>
      </w:pPr>
      <w:rPr>
        <w:rFonts w:ascii="HelveticaNeueLT Std" w:hAnsi="HelveticaNeueLT Std" w:hint="default"/>
      </w:rPr>
    </w:lvl>
    <w:lvl w:ilvl="6" w:tplc="FFFFFFFF" w:tentative="1">
      <w:start w:val="1"/>
      <w:numFmt w:val="bullet"/>
      <w:lvlText w:val=""/>
      <w:lvlJc w:val="left"/>
      <w:pPr>
        <w:ind w:left="5040" w:hanging="360"/>
      </w:pPr>
      <w:rPr>
        <w:rFonts w:ascii="Segoe UI" w:hAnsi="Segoe UI" w:hint="default"/>
      </w:rPr>
    </w:lvl>
    <w:lvl w:ilvl="7" w:tplc="FFFFFFFF" w:tentative="1">
      <w:start w:val="1"/>
      <w:numFmt w:val="bullet"/>
      <w:lvlText w:val="o"/>
      <w:lvlJc w:val="left"/>
      <w:pPr>
        <w:ind w:left="5760" w:hanging="360"/>
      </w:pPr>
      <w:rPr>
        <w:rFonts w:ascii="Cambria Math" w:hAnsi="Cambria Math" w:cs="Cambria Math" w:hint="default"/>
      </w:rPr>
    </w:lvl>
    <w:lvl w:ilvl="8" w:tplc="FFFFFFFF" w:tentative="1">
      <w:start w:val="1"/>
      <w:numFmt w:val="bullet"/>
      <w:lvlText w:val=""/>
      <w:lvlJc w:val="left"/>
      <w:pPr>
        <w:ind w:left="6480" w:hanging="360"/>
      </w:pPr>
      <w:rPr>
        <w:rFonts w:ascii="HelveticaNeueLT Std" w:hAnsi="HelveticaNeueLT Std" w:hint="default"/>
      </w:rPr>
    </w:lvl>
  </w:abstractNum>
  <w:abstractNum w:abstractNumId="56" w15:restartNumberingAfterBreak="0">
    <w:nsid w:val="33D9500C"/>
    <w:multiLevelType w:val="hybridMultilevel"/>
    <w:tmpl w:val="3DC86E9C"/>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57" w15:restartNumberingAfterBreak="0">
    <w:nsid w:val="33DB0C6A"/>
    <w:multiLevelType w:val="hybridMultilevel"/>
    <w:tmpl w:val="E4F2D7D6"/>
    <w:lvl w:ilvl="0" w:tplc="856E6310">
      <w:start w:val="1"/>
      <w:numFmt w:val="bullet"/>
      <w:lvlText w:val="&gt;"/>
      <w:lvlJc w:val="left"/>
      <w:pPr>
        <w:ind w:left="360" w:hanging="360"/>
      </w:pPr>
      <w:rPr>
        <w:rFonts w:ascii="Cambria" w:hAnsi="Cambria" w:hint="default"/>
      </w:rPr>
    </w:lvl>
    <w:lvl w:ilvl="1" w:tplc="FFFFFFFF">
      <w:start w:val="1"/>
      <w:numFmt w:val="bullet"/>
      <w:lvlText w:val="o"/>
      <w:lvlJc w:val="left"/>
      <w:pPr>
        <w:ind w:left="1080" w:hanging="360"/>
      </w:pPr>
      <w:rPr>
        <w:rFonts w:ascii="Cambria Math" w:hAnsi="Cambria Math" w:cs="Cambria Math" w:hint="default"/>
      </w:rPr>
    </w:lvl>
    <w:lvl w:ilvl="2" w:tplc="FFFFFFFF" w:tentative="1">
      <w:start w:val="1"/>
      <w:numFmt w:val="bullet"/>
      <w:lvlText w:val=""/>
      <w:lvlJc w:val="left"/>
      <w:pPr>
        <w:ind w:left="1800" w:hanging="360"/>
      </w:pPr>
      <w:rPr>
        <w:rFonts w:ascii="HelveticaNeueLT Std" w:hAnsi="HelveticaNeueLT Std" w:hint="default"/>
      </w:rPr>
    </w:lvl>
    <w:lvl w:ilvl="3" w:tplc="FFFFFFFF" w:tentative="1">
      <w:start w:val="1"/>
      <w:numFmt w:val="bullet"/>
      <w:lvlText w:val=""/>
      <w:lvlJc w:val="left"/>
      <w:pPr>
        <w:ind w:left="2520" w:hanging="360"/>
      </w:pPr>
      <w:rPr>
        <w:rFonts w:ascii="Segoe UI" w:hAnsi="Segoe UI" w:hint="default"/>
      </w:rPr>
    </w:lvl>
    <w:lvl w:ilvl="4" w:tplc="FFFFFFFF" w:tentative="1">
      <w:start w:val="1"/>
      <w:numFmt w:val="bullet"/>
      <w:lvlText w:val="o"/>
      <w:lvlJc w:val="left"/>
      <w:pPr>
        <w:ind w:left="3240" w:hanging="360"/>
      </w:pPr>
      <w:rPr>
        <w:rFonts w:ascii="Cambria Math" w:hAnsi="Cambria Math" w:cs="Cambria Math" w:hint="default"/>
      </w:rPr>
    </w:lvl>
    <w:lvl w:ilvl="5" w:tplc="FFFFFFFF" w:tentative="1">
      <w:start w:val="1"/>
      <w:numFmt w:val="bullet"/>
      <w:lvlText w:val=""/>
      <w:lvlJc w:val="left"/>
      <w:pPr>
        <w:ind w:left="3960" w:hanging="360"/>
      </w:pPr>
      <w:rPr>
        <w:rFonts w:ascii="HelveticaNeueLT Std" w:hAnsi="HelveticaNeueLT Std" w:hint="default"/>
      </w:rPr>
    </w:lvl>
    <w:lvl w:ilvl="6" w:tplc="FFFFFFFF" w:tentative="1">
      <w:start w:val="1"/>
      <w:numFmt w:val="bullet"/>
      <w:lvlText w:val=""/>
      <w:lvlJc w:val="left"/>
      <w:pPr>
        <w:ind w:left="4680" w:hanging="360"/>
      </w:pPr>
      <w:rPr>
        <w:rFonts w:ascii="Segoe UI" w:hAnsi="Segoe UI" w:hint="default"/>
      </w:rPr>
    </w:lvl>
    <w:lvl w:ilvl="7" w:tplc="FFFFFFFF" w:tentative="1">
      <w:start w:val="1"/>
      <w:numFmt w:val="bullet"/>
      <w:lvlText w:val="o"/>
      <w:lvlJc w:val="left"/>
      <w:pPr>
        <w:ind w:left="5400" w:hanging="360"/>
      </w:pPr>
      <w:rPr>
        <w:rFonts w:ascii="Cambria Math" w:hAnsi="Cambria Math" w:cs="Cambria Math" w:hint="default"/>
      </w:rPr>
    </w:lvl>
    <w:lvl w:ilvl="8" w:tplc="FFFFFFFF" w:tentative="1">
      <w:start w:val="1"/>
      <w:numFmt w:val="bullet"/>
      <w:lvlText w:val=""/>
      <w:lvlJc w:val="left"/>
      <w:pPr>
        <w:ind w:left="6120" w:hanging="360"/>
      </w:pPr>
      <w:rPr>
        <w:rFonts w:ascii="HelveticaNeueLT Std" w:hAnsi="HelveticaNeueLT Std" w:hint="default"/>
      </w:rPr>
    </w:lvl>
  </w:abstractNum>
  <w:abstractNum w:abstractNumId="58" w15:restartNumberingAfterBreak="0">
    <w:nsid w:val="34086572"/>
    <w:multiLevelType w:val="hybridMultilevel"/>
    <w:tmpl w:val="1D26833E"/>
    <w:lvl w:ilvl="0" w:tplc="9CD2D3DA">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5CA359B"/>
    <w:multiLevelType w:val="hybridMultilevel"/>
    <w:tmpl w:val="5D969C8C"/>
    <w:lvl w:ilvl="0" w:tplc="856E6310">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7020905"/>
    <w:multiLevelType w:val="hybridMultilevel"/>
    <w:tmpl w:val="08CAA362"/>
    <w:lvl w:ilvl="0" w:tplc="F7984B48">
      <w:start w:val="1"/>
      <w:numFmt w:val="decimal"/>
      <w:lvlText w:val="%1."/>
      <w:lvlJc w:val="left"/>
      <w:pPr>
        <w:ind w:left="360" w:hanging="360"/>
      </w:pPr>
      <w:rPr>
        <w:rFonts w:ascii="Cambria" w:hAnsi="Cambria" w:cs="Cambria" w:hint="default"/>
        <w:b w:val="0"/>
        <w:bCs w:val="0"/>
        <w:i w:val="0"/>
        <w:iCs w:val="0"/>
      </w:rPr>
    </w:lvl>
    <w:lvl w:ilvl="1" w:tplc="23CA6CCA">
      <w:start w:val="1"/>
      <w:numFmt w:val="bullet"/>
      <w:lvlText w:val=""/>
      <w:lvlJc w:val="left"/>
      <w:pPr>
        <w:ind w:left="1400" w:hanging="362"/>
      </w:pPr>
      <w:rPr>
        <w:rFonts w:ascii="Segoe UI" w:hAnsi="Segoe UI"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398267D1"/>
    <w:multiLevelType w:val="multilevel"/>
    <w:tmpl w:val="31001D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A145446"/>
    <w:multiLevelType w:val="multilevel"/>
    <w:tmpl w:val="9FBA0C9E"/>
    <w:lvl w:ilvl="0">
      <w:start w:val="1"/>
      <w:numFmt w:val="decimal"/>
      <w:lvlText w:val="%1."/>
      <w:lvlJc w:val="left"/>
      <w:pPr>
        <w:ind w:left="360" w:hanging="360"/>
      </w:pPr>
      <w:rPr>
        <w:b/>
        <w:bCs/>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3B600180"/>
    <w:multiLevelType w:val="hybridMultilevel"/>
    <w:tmpl w:val="62E44BE4"/>
    <w:lvl w:ilvl="0" w:tplc="9CD2D3DA">
      <w:start w:val="1"/>
      <w:numFmt w:val="bullet"/>
      <w:lvlText w:val="&gt;"/>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3C1E7B41"/>
    <w:multiLevelType w:val="hybridMultilevel"/>
    <w:tmpl w:val="9160A4A2"/>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65" w15:restartNumberingAfterBreak="0">
    <w:nsid w:val="3CAC62F7"/>
    <w:multiLevelType w:val="hybridMultilevel"/>
    <w:tmpl w:val="BFC0C3BA"/>
    <w:lvl w:ilvl="0" w:tplc="856E6310">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CF84267"/>
    <w:multiLevelType w:val="hybridMultilevel"/>
    <w:tmpl w:val="43023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E016F7C"/>
    <w:multiLevelType w:val="hybridMultilevel"/>
    <w:tmpl w:val="91C4829A"/>
    <w:lvl w:ilvl="0" w:tplc="9CD2D3DA">
      <w:start w:val="1"/>
      <w:numFmt w:val="bullet"/>
      <w:lvlText w:val="&gt;"/>
      <w:lvlJc w:val="left"/>
      <w:pPr>
        <w:ind w:left="720" w:hanging="360"/>
      </w:pPr>
      <w:rPr>
        <w:rFonts w:ascii="Cambria" w:hAnsi="Cambria" w:hint="default"/>
      </w:rPr>
    </w:lvl>
    <w:lvl w:ilvl="1" w:tplc="0C090003">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68" w15:restartNumberingAfterBreak="0">
    <w:nsid w:val="3E144C97"/>
    <w:multiLevelType w:val="hybridMultilevel"/>
    <w:tmpl w:val="0B4E154A"/>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69" w15:restartNumberingAfterBreak="0">
    <w:nsid w:val="3E895979"/>
    <w:multiLevelType w:val="hybridMultilevel"/>
    <w:tmpl w:val="AEA2EB5A"/>
    <w:lvl w:ilvl="0" w:tplc="0C090001">
      <w:start w:val="3"/>
      <w:numFmt w:val="bullet"/>
      <w:lvlText w:val=""/>
      <w:lvlJc w:val="left"/>
      <w:pPr>
        <w:ind w:left="720" w:hanging="360"/>
      </w:pPr>
      <w:rPr>
        <w:rFonts w:ascii="Segoe UI" w:eastAsia="MS Mincho" w:hAnsi="Segoe UI" w:cs="MS Mincho"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70" w15:restartNumberingAfterBreak="0">
    <w:nsid w:val="3E992551"/>
    <w:multiLevelType w:val="hybridMultilevel"/>
    <w:tmpl w:val="9E140B9A"/>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71" w15:restartNumberingAfterBreak="0">
    <w:nsid w:val="40BA6EB7"/>
    <w:multiLevelType w:val="hybridMultilevel"/>
    <w:tmpl w:val="1B863AC8"/>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17E5310"/>
    <w:multiLevelType w:val="multilevel"/>
    <w:tmpl w:val="B71052AA"/>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
      <w:lvlJc w:val="left"/>
      <w:pPr>
        <w:tabs>
          <w:tab w:val="num" w:pos="1440"/>
        </w:tabs>
        <w:ind w:left="1440" w:hanging="360"/>
      </w:pPr>
      <w:rPr>
        <w:rFonts w:ascii="Segoe UI" w:hAnsi="Segoe UI" w:hint="default"/>
        <w:sz w:val="20"/>
      </w:rPr>
    </w:lvl>
    <w:lvl w:ilvl="2" w:tentative="1">
      <w:start w:val="1"/>
      <w:numFmt w:val="bullet"/>
      <w:lvlText w:val=""/>
      <w:lvlJc w:val="left"/>
      <w:pPr>
        <w:tabs>
          <w:tab w:val="num" w:pos="2160"/>
        </w:tabs>
        <w:ind w:left="2160" w:hanging="360"/>
      </w:pPr>
      <w:rPr>
        <w:rFonts w:ascii="Segoe UI" w:hAnsi="Segoe UI" w:hint="default"/>
        <w:sz w:val="20"/>
      </w:rPr>
    </w:lvl>
    <w:lvl w:ilvl="3" w:tentative="1">
      <w:start w:val="1"/>
      <w:numFmt w:val="bullet"/>
      <w:lvlText w:val=""/>
      <w:lvlJc w:val="left"/>
      <w:pPr>
        <w:tabs>
          <w:tab w:val="num" w:pos="2880"/>
        </w:tabs>
        <w:ind w:left="2880" w:hanging="360"/>
      </w:pPr>
      <w:rPr>
        <w:rFonts w:ascii="Segoe UI" w:hAnsi="Segoe UI" w:hint="default"/>
        <w:sz w:val="20"/>
      </w:rPr>
    </w:lvl>
    <w:lvl w:ilvl="4" w:tentative="1">
      <w:start w:val="1"/>
      <w:numFmt w:val="bullet"/>
      <w:lvlText w:val=""/>
      <w:lvlJc w:val="left"/>
      <w:pPr>
        <w:tabs>
          <w:tab w:val="num" w:pos="3600"/>
        </w:tabs>
        <w:ind w:left="3600" w:hanging="360"/>
      </w:pPr>
      <w:rPr>
        <w:rFonts w:ascii="Segoe UI" w:hAnsi="Segoe UI" w:hint="default"/>
        <w:sz w:val="20"/>
      </w:rPr>
    </w:lvl>
    <w:lvl w:ilvl="5" w:tentative="1">
      <w:start w:val="1"/>
      <w:numFmt w:val="bullet"/>
      <w:lvlText w:val=""/>
      <w:lvlJc w:val="left"/>
      <w:pPr>
        <w:tabs>
          <w:tab w:val="num" w:pos="4320"/>
        </w:tabs>
        <w:ind w:left="4320" w:hanging="360"/>
      </w:pPr>
      <w:rPr>
        <w:rFonts w:ascii="Segoe UI" w:hAnsi="Segoe UI" w:hint="default"/>
        <w:sz w:val="20"/>
      </w:rPr>
    </w:lvl>
    <w:lvl w:ilvl="6" w:tentative="1">
      <w:start w:val="1"/>
      <w:numFmt w:val="bullet"/>
      <w:lvlText w:val=""/>
      <w:lvlJc w:val="left"/>
      <w:pPr>
        <w:tabs>
          <w:tab w:val="num" w:pos="5040"/>
        </w:tabs>
        <w:ind w:left="5040" w:hanging="360"/>
      </w:pPr>
      <w:rPr>
        <w:rFonts w:ascii="Segoe UI" w:hAnsi="Segoe UI" w:hint="default"/>
        <w:sz w:val="20"/>
      </w:rPr>
    </w:lvl>
    <w:lvl w:ilvl="7" w:tentative="1">
      <w:start w:val="1"/>
      <w:numFmt w:val="bullet"/>
      <w:lvlText w:val=""/>
      <w:lvlJc w:val="left"/>
      <w:pPr>
        <w:tabs>
          <w:tab w:val="num" w:pos="5760"/>
        </w:tabs>
        <w:ind w:left="5760" w:hanging="360"/>
      </w:pPr>
      <w:rPr>
        <w:rFonts w:ascii="Segoe UI" w:hAnsi="Segoe UI" w:hint="default"/>
        <w:sz w:val="20"/>
      </w:rPr>
    </w:lvl>
    <w:lvl w:ilvl="8" w:tentative="1">
      <w:start w:val="1"/>
      <w:numFmt w:val="bullet"/>
      <w:lvlText w:val=""/>
      <w:lvlJc w:val="left"/>
      <w:pPr>
        <w:tabs>
          <w:tab w:val="num" w:pos="6480"/>
        </w:tabs>
        <w:ind w:left="6480" w:hanging="360"/>
      </w:pPr>
      <w:rPr>
        <w:rFonts w:ascii="Segoe UI" w:hAnsi="Segoe UI" w:hint="default"/>
        <w:sz w:val="20"/>
      </w:rPr>
    </w:lvl>
  </w:abstractNum>
  <w:abstractNum w:abstractNumId="73" w15:restartNumberingAfterBreak="0">
    <w:nsid w:val="44D27B2F"/>
    <w:multiLevelType w:val="hybridMultilevel"/>
    <w:tmpl w:val="0D7A81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4D97EEE"/>
    <w:multiLevelType w:val="hybridMultilevel"/>
    <w:tmpl w:val="6E703BFA"/>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75" w15:restartNumberingAfterBreak="0">
    <w:nsid w:val="45C43994"/>
    <w:multiLevelType w:val="hybridMultilevel"/>
    <w:tmpl w:val="2B6064E2"/>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76" w15:restartNumberingAfterBreak="0">
    <w:nsid w:val="45C43EDF"/>
    <w:multiLevelType w:val="hybridMultilevel"/>
    <w:tmpl w:val="70EEC1B0"/>
    <w:lvl w:ilvl="0" w:tplc="9CD2D3DA">
      <w:start w:val="1"/>
      <w:numFmt w:val="bullet"/>
      <w:lvlText w:val="&gt;"/>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7" w15:restartNumberingAfterBreak="0">
    <w:nsid w:val="48214CF9"/>
    <w:multiLevelType w:val="hybridMultilevel"/>
    <w:tmpl w:val="43F2273A"/>
    <w:lvl w:ilvl="0" w:tplc="9CD2D3DA">
      <w:start w:val="1"/>
      <w:numFmt w:val="bullet"/>
      <w:lvlText w:val="&gt;"/>
      <w:lvlJc w:val="left"/>
      <w:pPr>
        <w:ind w:left="742" w:hanging="360"/>
      </w:pPr>
      <w:rPr>
        <w:rFonts w:ascii="Cambria" w:hAnsi="Cambria" w:hint="default"/>
      </w:rPr>
    </w:lvl>
    <w:lvl w:ilvl="1" w:tplc="0C090003" w:tentative="1">
      <w:start w:val="1"/>
      <w:numFmt w:val="bullet"/>
      <w:lvlText w:val="o"/>
      <w:lvlJc w:val="left"/>
      <w:pPr>
        <w:ind w:left="1462" w:hanging="360"/>
      </w:pPr>
      <w:rPr>
        <w:rFonts w:ascii="Cambria Math" w:hAnsi="Cambria Math" w:cs="Cambria Math" w:hint="default"/>
      </w:rPr>
    </w:lvl>
    <w:lvl w:ilvl="2" w:tplc="0C090005" w:tentative="1">
      <w:start w:val="1"/>
      <w:numFmt w:val="bullet"/>
      <w:lvlText w:val=""/>
      <w:lvlJc w:val="left"/>
      <w:pPr>
        <w:ind w:left="2182" w:hanging="360"/>
      </w:pPr>
      <w:rPr>
        <w:rFonts w:ascii="HelveticaNeueLT Std" w:hAnsi="HelveticaNeueLT Std" w:hint="default"/>
      </w:rPr>
    </w:lvl>
    <w:lvl w:ilvl="3" w:tplc="0C090001" w:tentative="1">
      <w:start w:val="1"/>
      <w:numFmt w:val="bullet"/>
      <w:lvlText w:val=""/>
      <w:lvlJc w:val="left"/>
      <w:pPr>
        <w:ind w:left="2902" w:hanging="360"/>
      </w:pPr>
      <w:rPr>
        <w:rFonts w:ascii="Segoe UI" w:hAnsi="Segoe UI" w:hint="default"/>
      </w:rPr>
    </w:lvl>
    <w:lvl w:ilvl="4" w:tplc="0C090003" w:tentative="1">
      <w:start w:val="1"/>
      <w:numFmt w:val="bullet"/>
      <w:lvlText w:val="o"/>
      <w:lvlJc w:val="left"/>
      <w:pPr>
        <w:ind w:left="3622" w:hanging="360"/>
      </w:pPr>
      <w:rPr>
        <w:rFonts w:ascii="Cambria Math" w:hAnsi="Cambria Math" w:cs="Cambria Math" w:hint="default"/>
      </w:rPr>
    </w:lvl>
    <w:lvl w:ilvl="5" w:tplc="0C090005" w:tentative="1">
      <w:start w:val="1"/>
      <w:numFmt w:val="bullet"/>
      <w:lvlText w:val=""/>
      <w:lvlJc w:val="left"/>
      <w:pPr>
        <w:ind w:left="4342" w:hanging="360"/>
      </w:pPr>
      <w:rPr>
        <w:rFonts w:ascii="HelveticaNeueLT Std" w:hAnsi="HelveticaNeueLT Std" w:hint="default"/>
      </w:rPr>
    </w:lvl>
    <w:lvl w:ilvl="6" w:tplc="0C090001" w:tentative="1">
      <w:start w:val="1"/>
      <w:numFmt w:val="bullet"/>
      <w:lvlText w:val=""/>
      <w:lvlJc w:val="left"/>
      <w:pPr>
        <w:ind w:left="5062" w:hanging="360"/>
      </w:pPr>
      <w:rPr>
        <w:rFonts w:ascii="Segoe UI" w:hAnsi="Segoe UI" w:hint="default"/>
      </w:rPr>
    </w:lvl>
    <w:lvl w:ilvl="7" w:tplc="0C090003" w:tentative="1">
      <w:start w:val="1"/>
      <w:numFmt w:val="bullet"/>
      <w:lvlText w:val="o"/>
      <w:lvlJc w:val="left"/>
      <w:pPr>
        <w:ind w:left="5782" w:hanging="360"/>
      </w:pPr>
      <w:rPr>
        <w:rFonts w:ascii="Cambria Math" w:hAnsi="Cambria Math" w:cs="Cambria Math" w:hint="default"/>
      </w:rPr>
    </w:lvl>
    <w:lvl w:ilvl="8" w:tplc="0C090005" w:tentative="1">
      <w:start w:val="1"/>
      <w:numFmt w:val="bullet"/>
      <w:lvlText w:val=""/>
      <w:lvlJc w:val="left"/>
      <w:pPr>
        <w:ind w:left="6502" w:hanging="360"/>
      </w:pPr>
      <w:rPr>
        <w:rFonts w:ascii="HelveticaNeueLT Std" w:hAnsi="HelveticaNeueLT Std" w:hint="default"/>
      </w:rPr>
    </w:lvl>
  </w:abstractNum>
  <w:abstractNum w:abstractNumId="78" w15:restartNumberingAfterBreak="0">
    <w:nsid w:val="483C640C"/>
    <w:multiLevelType w:val="multilevel"/>
    <w:tmpl w:val="F94214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8970808"/>
    <w:multiLevelType w:val="hybridMultilevel"/>
    <w:tmpl w:val="7C344F7A"/>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80" w15:restartNumberingAfterBreak="0">
    <w:nsid w:val="48B0430D"/>
    <w:multiLevelType w:val="multilevel"/>
    <w:tmpl w:val="0D1E8AA2"/>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
      <w:lvlJc w:val="left"/>
      <w:pPr>
        <w:tabs>
          <w:tab w:val="num" w:pos="1440"/>
        </w:tabs>
        <w:ind w:left="1440" w:hanging="360"/>
      </w:pPr>
      <w:rPr>
        <w:rFonts w:ascii="Segoe UI" w:hAnsi="Segoe UI" w:hint="default"/>
        <w:sz w:val="20"/>
      </w:rPr>
    </w:lvl>
    <w:lvl w:ilvl="2" w:tentative="1">
      <w:start w:val="1"/>
      <w:numFmt w:val="bullet"/>
      <w:lvlText w:val=""/>
      <w:lvlJc w:val="left"/>
      <w:pPr>
        <w:tabs>
          <w:tab w:val="num" w:pos="2160"/>
        </w:tabs>
        <w:ind w:left="2160" w:hanging="360"/>
      </w:pPr>
      <w:rPr>
        <w:rFonts w:ascii="Segoe UI" w:hAnsi="Segoe UI" w:hint="default"/>
        <w:sz w:val="20"/>
      </w:rPr>
    </w:lvl>
    <w:lvl w:ilvl="3" w:tentative="1">
      <w:start w:val="1"/>
      <w:numFmt w:val="bullet"/>
      <w:lvlText w:val=""/>
      <w:lvlJc w:val="left"/>
      <w:pPr>
        <w:tabs>
          <w:tab w:val="num" w:pos="2880"/>
        </w:tabs>
        <w:ind w:left="2880" w:hanging="360"/>
      </w:pPr>
      <w:rPr>
        <w:rFonts w:ascii="Segoe UI" w:hAnsi="Segoe UI" w:hint="default"/>
        <w:sz w:val="20"/>
      </w:rPr>
    </w:lvl>
    <w:lvl w:ilvl="4" w:tentative="1">
      <w:start w:val="1"/>
      <w:numFmt w:val="bullet"/>
      <w:lvlText w:val=""/>
      <w:lvlJc w:val="left"/>
      <w:pPr>
        <w:tabs>
          <w:tab w:val="num" w:pos="3600"/>
        </w:tabs>
        <w:ind w:left="3600" w:hanging="360"/>
      </w:pPr>
      <w:rPr>
        <w:rFonts w:ascii="Segoe UI" w:hAnsi="Segoe UI" w:hint="default"/>
        <w:sz w:val="20"/>
      </w:rPr>
    </w:lvl>
    <w:lvl w:ilvl="5" w:tentative="1">
      <w:start w:val="1"/>
      <w:numFmt w:val="bullet"/>
      <w:lvlText w:val=""/>
      <w:lvlJc w:val="left"/>
      <w:pPr>
        <w:tabs>
          <w:tab w:val="num" w:pos="4320"/>
        </w:tabs>
        <w:ind w:left="4320" w:hanging="360"/>
      </w:pPr>
      <w:rPr>
        <w:rFonts w:ascii="Segoe UI" w:hAnsi="Segoe UI" w:hint="default"/>
        <w:sz w:val="20"/>
      </w:rPr>
    </w:lvl>
    <w:lvl w:ilvl="6" w:tentative="1">
      <w:start w:val="1"/>
      <w:numFmt w:val="bullet"/>
      <w:lvlText w:val=""/>
      <w:lvlJc w:val="left"/>
      <w:pPr>
        <w:tabs>
          <w:tab w:val="num" w:pos="5040"/>
        </w:tabs>
        <w:ind w:left="5040" w:hanging="360"/>
      </w:pPr>
      <w:rPr>
        <w:rFonts w:ascii="Segoe UI" w:hAnsi="Segoe UI" w:hint="default"/>
        <w:sz w:val="20"/>
      </w:rPr>
    </w:lvl>
    <w:lvl w:ilvl="7" w:tentative="1">
      <w:start w:val="1"/>
      <w:numFmt w:val="bullet"/>
      <w:lvlText w:val=""/>
      <w:lvlJc w:val="left"/>
      <w:pPr>
        <w:tabs>
          <w:tab w:val="num" w:pos="5760"/>
        </w:tabs>
        <w:ind w:left="5760" w:hanging="360"/>
      </w:pPr>
      <w:rPr>
        <w:rFonts w:ascii="Segoe UI" w:hAnsi="Segoe UI" w:hint="default"/>
        <w:sz w:val="20"/>
      </w:rPr>
    </w:lvl>
    <w:lvl w:ilvl="8" w:tentative="1">
      <w:start w:val="1"/>
      <w:numFmt w:val="bullet"/>
      <w:lvlText w:val=""/>
      <w:lvlJc w:val="left"/>
      <w:pPr>
        <w:tabs>
          <w:tab w:val="num" w:pos="6480"/>
        </w:tabs>
        <w:ind w:left="6480" w:hanging="360"/>
      </w:pPr>
      <w:rPr>
        <w:rFonts w:ascii="Segoe UI" w:hAnsi="Segoe UI" w:hint="default"/>
        <w:sz w:val="20"/>
      </w:rPr>
    </w:lvl>
  </w:abstractNum>
  <w:abstractNum w:abstractNumId="81" w15:restartNumberingAfterBreak="0">
    <w:nsid w:val="497262ED"/>
    <w:multiLevelType w:val="hybridMultilevel"/>
    <w:tmpl w:val="F3BE8B2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9981734"/>
    <w:multiLevelType w:val="hybridMultilevel"/>
    <w:tmpl w:val="93D6F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A3D393E"/>
    <w:multiLevelType w:val="multilevel"/>
    <w:tmpl w:val="8B62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A432FB2"/>
    <w:multiLevelType w:val="hybridMultilevel"/>
    <w:tmpl w:val="DEB0AD4C"/>
    <w:lvl w:ilvl="0" w:tplc="B46639F2">
      <w:start w:val="1"/>
      <w:numFmt w:val="bullet"/>
      <w:lvlText w:val="&gt;"/>
      <w:lvlJc w:val="left"/>
      <w:pPr>
        <w:ind w:left="947" w:hanging="360"/>
      </w:pPr>
      <w:rPr>
        <w:rFonts w:ascii="Arial" w:hAnsi="Arial" w:cs="Arial" w:hint="default"/>
      </w:rPr>
    </w:lvl>
    <w:lvl w:ilvl="1" w:tplc="0C090003">
      <w:start w:val="1"/>
      <w:numFmt w:val="bullet"/>
      <w:lvlText w:val="o"/>
      <w:lvlJc w:val="left"/>
      <w:pPr>
        <w:ind w:left="1667" w:hanging="360"/>
      </w:pPr>
      <w:rPr>
        <w:rFonts w:ascii="Cambria Math" w:hAnsi="Cambria Math" w:cs="Cambria Math" w:hint="default"/>
      </w:rPr>
    </w:lvl>
    <w:lvl w:ilvl="2" w:tplc="30DCCEC0">
      <w:numFmt w:val="bullet"/>
      <w:lvlText w:val=""/>
      <w:lvlJc w:val="left"/>
      <w:pPr>
        <w:ind w:left="2387" w:hanging="360"/>
      </w:pPr>
      <w:rPr>
        <w:rFonts w:ascii="HelveticaNeueLT Std" w:eastAsia="MS Mincho" w:hAnsi="HelveticaNeueLT Std" w:cs="MS Mincho" w:hint="default"/>
      </w:rPr>
    </w:lvl>
    <w:lvl w:ilvl="3" w:tplc="0C090001" w:tentative="1">
      <w:start w:val="1"/>
      <w:numFmt w:val="bullet"/>
      <w:lvlText w:val=""/>
      <w:lvlJc w:val="left"/>
      <w:pPr>
        <w:ind w:left="3107" w:hanging="360"/>
      </w:pPr>
      <w:rPr>
        <w:rFonts w:ascii="Segoe UI" w:hAnsi="Segoe UI" w:hint="default"/>
      </w:rPr>
    </w:lvl>
    <w:lvl w:ilvl="4" w:tplc="0C090003" w:tentative="1">
      <w:start w:val="1"/>
      <w:numFmt w:val="bullet"/>
      <w:lvlText w:val="o"/>
      <w:lvlJc w:val="left"/>
      <w:pPr>
        <w:ind w:left="3827" w:hanging="360"/>
      </w:pPr>
      <w:rPr>
        <w:rFonts w:ascii="Cambria Math" w:hAnsi="Cambria Math" w:cs="Cambria Math" w:hint="default"/>
      </w:rPr>
    </w:lvl>
    <w:lvl w:ilvl="5" w:tplc="0C090005" w:tentative="1">
      <w:start w:val="1"/>
      <w:numFmt w:val="bullet"/>
      <w:lvlText w:val=""/>
      <w:lvlJc w:val="left"/>
      <w:pPr>
        <w:ind w:left="4547" w:hanging="360"/>
      </w:pPr>
      <w:rPr>
        <w:rFonts w:ascii="HelveticaNeueLT Std" w:hAnsi="HelveticaNeueLT Std" w:hint="default"/>
      </w:rPr>
    </w:lvl>
    <w:lvl w:ilvl="6" w:tplc="0C090001" w:tentative="1">
      <w:start w:val="1"/>
      <w:numFmt w:val="bullet"/>
      <w:lvlText w:val=""/>
      <w:lvlJc w:val="left"/>
      <w:pPr>
        <w:ind w:left="5267" w:hanging="360"/>
      </w:pPr>
      <w:rPr>
        <w:rFonts w:ascii="Segoe UI" w:hAnsi="Segoe UI" w:hint="default"/>
      </w:rPr>
    </w:lvl>
    <w:lvl w:ilvl="7" w:tplc="0C090003" w:tentative="1">
      <w:start w:val="1"/>
      <w:numFmt w:val="bullet"/>
      <w:lvlText w:val="o"/>
      <w:lvlJc w:val="left"/>
      <w:pPr>
        <w:ind w:left="5987" w:hanging="360"/>
      </w:pPr>
      <w:rPr>
        <w:rFonts w:ascii="Cambria Math" w:hAnsi="Cambria Math" w:cs="Cambria Math" w:hint="default"/>
      </w:rPr>
    </w:lvl>
    <w:lvl w:ilvl="8" w:tplc="0C090005" w:tentative="1">
      <w:start w:val="1"/>
      <w:numFmt w:val="bullet"/>
      <w:lvlText w:val=""/>
      <w:lvlJc w:val="left"/>
      <w:pPr>
        <w:ind w:left="6707" w:hanging="360"/>
      </w:pPr>
      <w:rPr>
        <w:rFonts w:ascii="HelveticaNeueLT Std" w:hAnsi="HelveticaNeueLT Std" w:hint="default"/>
      </w:rPr>
    </w:lvl>
  </w:abstractNum>
  <w:abstractNum w:abstractNumId="85" w15:restartNumberingAfterBreak="0">
    <w:nsid w:val="4CED5ED6"/>
    <w:multiLevelType w:val="hybridMultilevel"/>
    <w:tmpl w:val="E850FB28"/>
    <w:lvl w:ilvl="0" w:tplc="E80CD9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EC515D2"/>
    <w:multiLevelType w:val="hybridMultilevel"/>
    <w:tmpl w:val="899821F8"/>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87" w15:restartNumberingAfterBreak="0">
    <w:nsid w:val="51E03D56"/>
    <w:multiLevelType w:val="hybridMultilevel"/>
    <w:tmpl w:val="8F00730A"/>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88" w15:restartNumberingAfterBreak="0">
    <w:nsid w:val="5345490D"/>
    <w:multiLevelType w:val="hybridMultilevel"/>
    <w:tmpl w:val="7F80B986"/>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89" w15:restartNumberingAfterBreak="0">
    <w:nsid w:val="53594500"/>
    <w:multiLevelType w:val="hybridMultilevel"/>
    <w:tmpl w:val="90E64BA6"/>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90" w15:restartNumberingAfterBreak="0">
    <w:nsid w:val="54521796"/>
    <w:multiLevelType w:val="hybridMultilevel"/>
    <w:tmpl w:val="13DAD608"/>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91" w15:restartNumberingAfterBreak="0">
    <w:nsid w:val="5464576F"/>
    <w:multiLevelType w:val="hybridMultilevel"/>
    <w:tmpl w:val="023E53C2"/>
    <w:lvl w:ilvl="0" w:tplc="9CD2D3DA">
      <w:start w:val="1"/>
      <w:numFmt w:val="bullet"/>
      <w:lvlText w:val="&gt;"/>
      <w:lvlJc w:val="left"/>
      <w:pPr>
        <w:ind w:left="784" w:hanging="360"/>
      </w:pPr>
      <w:rPr>
        <w:rFonts w:ascii="Cambria" w:hAnsi="Cambria" w:hint="default"/>
      </w:rPr>
    </w:lvl>
    <w:lvl w:ilvl="1" w:tplc="0C090003" w:tentative="1">
      <w:start w:val="1"/>
      <w:numFmt w:val="bullet"/>
      <w:lvlText w:val="o"/>
      <w:lvlJc w:val="left"/>
      <w:pPr>
        <w:ind w:left="1504" w:hanging="360"/>
      </w:pPr>
      <w:rPr>
        <w:rFonts w:ascii="Cambria Math" w:hAnsi="Cambria Math" w:cs="Cambria Math" w:hint="default"/>
      </w:rPr>
    </w:lvl>
    <w:lvl w:ilvl="2" w:tplc="0C090005" w:tentative="1">
      <w:start w:val="1"/>
      <w:numFmt w:val="bullet"/>
      <w:lvlText w:val=""/>
      <w:lvlJc w:val="left"/>
      <w:pPr>
        <w:ind w:left="2224" w:hanging="360"/>
      </w:pPr>
      <w:rPr>
        <w:rFonts w:ascii="HelveticaNeueLT Std" w:hAnsi="HelveticaNeueLT Std" w:hint="default"/>
      </w:rPr>
    </w:lvl>
    <w:lvl w:ilvl="3" w:tplc="0C090001" w:tentative="1">
      <w:start w:val="1"/>
      <w:numFmt w:val="bullet"/>
      <w:lvlText w:val=""/>
      <w:lvlJc w:val="left"/>
      <w:pPr>
        <w:ind w:left="2944" w:hanging="360"/>
      </w:pPr>
      <w:rPr>
        <w:rFonts w:ascii="Segoe UI" w:hAnsi="Segoe UI" w:hint="default"/>
      </w:rPr>
    </w:lvl>
    <w:lvl w:ilvl="4" w:tplc="0C090003" w:tentative="1">
      <w:start w:val="1"/>
      <w:numFmt w:val="bullet"/>
      <w:lvlText w:val="o"/>
      <w:lvlJc w:val="left"/>
      <w:pPr>
        <w:ind w:left="3664" w:hanging="360"/>
      </w:pPr>
      <w:rPr>
        <w:rFonts w:ascii="Cambria Math" w:hAnsi="Cambria Math" w:cs="Cambria Math" w:hint="default"/>
      </w:rPr>
    </w:lvl>
    <w:lvl w:ilvl="5" w:tplc="0C090005" w:tentative="1">
      <w:start w:val="1"/>
      <w:numFmt w:val="bullet"/>
      <w:lvlText w:val=""/>
      <w:lvlJc w:val="left"/>
      <w:pPr>
        <w:ind w:left="4384" w:hanging="360"/>
      </w:pPr>
      <w:rPr>
        <w:rFonts w:ascii="HelveticaNeueLT Std" w:hAnsi="HelveticaNeueLT Std" w:hint="default"/>
      </w:rPr>
    </w:lvl>
    <w:lvl w:ilvl="6" w:tplc="0C090001" w:tentative="1">
      <w:start w:val="1"/>
      <w:numFmt w:val="bullet"/>
      <w:lvlText w:val=""/>
      <w:lvlJc w:val="left"/>
      <w:pPr>
        <w:ind w:left="5104" w:hanging="360"/>
      </w:pPr>
      <w:rPr>
        <w:rFonts w:ascii="Segoe UI" w:hAnsi="Segoe UI" w:hint="default"/>
      </w:rPr>
    </w:lvl>
    <w:lvl w:ilvl="7" w:tplc="0C090003" w:tentative="1">
      <w:start w:val="1"/>
      <w:numFmt w:val="bullet"/>
      <w:lvlText w:val="o"/>
      <w:lvlJc w:val="left"/>
      <w:pPr>
        <w:ind w:left="5824" w:hanging="360"/>
      </w:pPr>
      <w:rPr>
        <w:rFonts w:ascii="Cambria Math" w:hAnsi="Cambria Math" w:cs="Cambria Math" w:hint="default"/>
      </w:rPr>
    </w:lvl>
    <w:lvl w:ilvl="8" w:tplc="0C090005" w:tentative="1">
      <w:start w:val="1"/>
      <w:numFmt w:val="bullet"/>
      <w:lvlText w:val=""/>
      <w:lvlJc w:val="left"/>
      <w:pPr>
        <w:ind w:left="6544" w:hanging="360"/>
      </w:pPr>
      <w:rPr>
        <w:rFonts w:ascii="HelveticaNeueLT Std" w:hAnsi="HelveticaNeueLT Std" w:hint="default"/>
      </w:rPr>
    </w:lvl>
  </w:abstractNum>
  <w:abstractNum w:abstractNumId="92" w15:restartNumberingAfterBreak="0">
    <w:nsid w:val="546A2210"/>
    <w:multiLevelType w:val="hybridMultilevel"/>
    <w:tmpl w:val="09B238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5846086"/>
    <w:multiLevelType w:val="hybridMultilevel"/>
    <w:tmpl w:val="7EC6E962"/>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94" w15:restartNumberingAfterBreak="0">
    <w:nsid w:val="55AA21F0"/>
    <w:multiLevelType w:val="hybridMultilevel"/>
    <w:tmpl w:val="6592243A"/>
    <w:lvl w:ilvl="0" w:tplc="0748AA9A">
      <w:start w:val="1"/>
      <w:numFmt w:val="decimal"/>
      <w:pStyle w:val="ACMATableHeader"/>
      <w:lvlText w:val="Table %1:"/>
      <w:lvlJc w:val="left"/>
      <w:pPr>
        <w:tabs>
          <w:tab w:val="num" w:pos="964"/>
        </w:tabs>
        <w:ind w:left="964" w:hanging="964"/>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7842708"/>
    <w:multiLevelType w:val="hybridMultilevel"/>
    <w:tmpl w:val="3514B4D0"/>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96" w15:restartNumberingAfterBreak="0">
    <w:nsid w:val="58337284"/>
    <w:multiLevelType w:val="hybridMultilevel"/>
    <w:tmpl w:val="182CB392"/>
    <w:lvl w:ilvl="0" w:tplc="9CD2D3DA">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97" w15:restartNumberingAfterBreak="0">
    <w:nsid w:val="586B3822"/>
    <w:multiLevelType w:val="multilevel"/>
    <w:tmpl w:val="6C1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A8C0036"/>
    <w:multiLevelType w:val="multilevel"/>
    <w:tmpl w:val="9EA82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B300BDF"/>
    <w:multiLevelType w:val="hybridMultilevel"/>
    <w:tmpl w:val="2AF2FB08"/>
    <w:lvl w:ilvl="0" w:tplc="9CD2D3DA">
      <w:start w:val="1"/>
      <w:numFmt w:val="bullet"/>
      <w:lvlText w:val="&gt;"/>
      <w:lvlJc w:val="left"/>
      <w:pPr>
        <w:ind w:left="928" w:hanging="360"/>
      </w:pPr>
      <w:rPr>
        <w:rFonts w:ascii="Cambria" w:hAnsi="Cambria" w:hint="default"/>
      </w:rPr>
    </w:lvl>
    <w:lvl w:ilvl="1" w:tplc="0C090003" w:tentative="1">
      <w:start w:val="1"/>
      <w:numFmt w:val="bullet"/>
      <w:lvlText w:val="o"/>
      <w:lvlJc w:val="left"/>
      <w:pPr>
        <w:ind w:left="1648" w:hanging="360"/>
      </w:pPr>
      <w:rPr>
        <w:rFonts w:ascii="Cambria Math" w:hAnsi="Cambria Math" w:cs="Cambria Math" w:hint="default"/>
      </w:rPr>
    </w:lvl>
    <w:lvl w:ilvl="2" w:tplc="0C090005" w:tentative="1">
      <w:start w:val="1"/>
      <w:numFmt w:val="bullet"/>
      <w:lvlText w:val=""/>
      <w:lvlJc w:val="left"/>
      <w:pPr>
        <w:ind w:left="2368" w:hanging="360"/>
      </w:pPr>
      <w:rPr>
        <w:rFonts w:ascii="HelveticaNeueLT Std" w:hAnsi="HelveticaNeueLT Std" w:hint="default"/>
      </w:rPr>
    </w:lvl>
    <w:lvl w:ilvl="3" w:tplc="0C090001" w:tentative="1">
      <w:start w:val="1"/>
      <w:numFmt w:val="bullet"/>
      <w:lvlText w:val=""/>
      <w:lvlJc w:val="left"/>
      <w:pPr>
        <w:ind w:left="3088" w:hanging="360"/>
      </w:pPr>
      <w:rPr>
        <w:rFonts w:ascii="Segoe UI" w:hAnsi="Segoe UI" w:hint="default"/>
      </w:rPr>
    </w:lvl>
    <w:lvl w:ilvl="4" w:tplc="0C090003" w:tentative="1">
      <w:start w:val="1"/>
      <w:numFmt w:val="bullet"/>
      <w:lvlText w:val="o"/>
      <w:lvlJc w:val="left"/>
      <w:pPr>
        <w:ind w:left="3808" w:hanging="360"/>
      </w:pPr>
      <w:rPr>
        <w:rFonts w:ascii="Cambria Math" w:hAnsi="Cambria Math" w:cs="Cambria Math" w:hint="default"/>
      </w:rPr>
    </w:lvl>
    <w:lvl w:ilvl="5" w:tplc="0C090005" w:tentative="1">
      <w:start w:val="1"/>
      <w:numFmt w:val="bullet"/>
      <w:lvlText w:val=""/>
      <w:lvlJc w:val="left"/>
      <w:pPr>
        <w:ind w:left="4528" w:hanging="360"/>
      </w:pPr>
      <w:rPr>
        <w:rFonts w:ascii="HelveticaNeueLT Std" w:hAnsi="HelveticaNeueLT Std" w:hint="default"/>
      </w:rPr>
    </w:lvl>
    <w:lvl w:ilvl="6" w:tplc="0C090001" w:tentative="1">
      <w:start w:val="1"/>
      <w:numFmt w:val="bullet"/>
      <w:lvlText w:val=""/>
      <w:lvlJc w:val="left"/>
      <w:pPr>
        <w:ind w:left="5248" w:hanging="360"/>
      </w:pPr>
      <w:rPr>
        <w:rFonts w:ascii="Segoe UI" w:hAnsi="Segoe UI" w:hint="default"/>
      </w:rPr>
    </w:lvl>
    <w:lvl w:ilvl="7" w:tplc="0C090003" w:tentative="1">
      <w:start w:val="1"/>
      <w:numFmt w:val="bullet"/>
      <w:lvlText w:val="o"/>
      <w:lvlJc w:val="left"/>
      <w:pPr>
        <w:ind w:left="5968" w:hanging="360"/>
      </w:pPr>
      <w:rPr>
        <w:rFonts w:ascii="Cambria Math" w:hAnsi="Cambria Math" w:cs="Cambria Math" w:hint="default"/>
      </w:rPr>
    </w:lvl>
    <w:lvl w:ilvl="8" w:tplc="0C090005" w:tentative="1">
      <w:start w:val="1"/>
      <w:numFmt w:val="bullet"/>
      <w:lvlText w:val=""/>
      <w:lvlJc w:val="left"/>
      <w:pPr>
        <w:ind w:left="6688" w:hanging="360"/>
      </w:pPr>
      <w:rPr>
        <w:rFonts w:ascii="HelveticaNeueLT Std" w:hAnsi="HelveticaNeueLT Std" w:hint="default"/>
      </w:rPr>
    </w:lvl>
  </w:abstractNum>
  <w:abstractNum w:abstractNumId="100" w15:restartNumberingAfterBreak="0">
    <w:nsid w:val="5E261037"/>
    <w:multiLevelType w:val="hybridMultilevel"/>
    <w:tmpl w:val="F2044DA8"/>
    <w:lvl w:ilvl="0" w:tplc="0C090001">
      <w:start w:val="50"/>
      <w:numFmt w:val="bullet"/>
      <w:lvlText w:val=""/>
      <w:lvlJc w:val="left"/>
      <w:pPr>
        <w:ind w:left="720" w:hanging="360"/>
      </w:pPr>
      <w:rPr>
        <w:rFonts w:ascii="Segoe UI" w:eastAsia="MS Mincho" w:hAnsi="Segoe UI" w:cs="MS Mincho"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01" w15:restartNumberingAfterBreak="0">
    <w:nsid w:val="60304F29"/>
    <w:multiLevelType w:val="hybridMultilevel"/>
    <w:tmpl w:val="204682B6"/>
    <w:lvl w:ilvl="0" w:tplc="66A8D32C">
      <w:start w:val="1"/>
      <w:numFmt w:val="bullet"/>
      <w:lvlText w:val=""/>
      <w:lvlJc w:val="left"/>
      <w:pPr>
        <w:ind w:left="1400" w:hanging="360"/>
      </w:pPr>
      <w:rPr>
        <w:rFonts w:ascii="Segoe UI" w:hAnsi="Segoe UI" w:hint="default"/>
      </w:rPr>
    </w:lvl>
    <w:lvl w:ilvl="1" w:tplc="0C090003">
      <w:start w:val="1"/>
      <w:numFmt w:val="bullet"/>
      <w:lvlText w:val="o"/>
      <w:lvlJc w:val="left"/>
      <w:pPr>
        <w:ind w:left="2120" w:hanging="360"/>
      </w:pPr>
      <w:rPr>
        <w:rFonts w:ascii="Cambria Math" w:hAnsi="Cambria Math" w:cs="Cambria Math" w:hint="default"/>
      </w:rPr>
    </w:lvl>
    <w:lvl w:ilvl="2" w:tplc="0C090005">
      <w:start w:val="1"/>
      <w:numFmt w:val="bullet"/>
      <w:lvlText w:val=""/>
      <w:lvlJc w:val="left"/>
      <w:pPr>
        <w:ind w:left="2840" w:hanging="360"/>
      </w:pPr>
      <w:rPr>
        <w:rFonts w:ascii="HelveticaNeueLT Std" w:hAnsi="HelveticaNeueLT Std" w:hint="default"/>
      </w:rPr>
    </w:lvl>
    <w:lvl w:ilvl="3" w:tplc="0C090001" w:tentative="1">
      <w:start w:val="1"/>
      <w:numFmt w:val="bullet"/>
      <w:lvlText w:val=""/>
      <w:lvlJc w:val="left"/>
      <w:pPr>
        <w:ind w:left="3560" w:hanging="360"/>
      </w:pPr>
      <w:rPr>
        <w:rFonts w:ascii="Segoe UI" w:hAnsi="Segoe UI" w:hint="default"/>
      </w:rPr>
    </w:lvl>
    <w:lvl w:ilvl="4" w:tplc="0C090003" w:tentative="1">
      <w:start w:val="1"/>
      <w:numFmt w:val="bullet"/>
      <w:lvlText w:val="o"/>
      <w:lvlJc w:val="left"/>
      <w:pPr>
        <w:ind w:left="4280" w:hanging="360"/>
      </w:pPr>
      <w:rPr>
        <w:rFonts w:ascii="Cambria Math" w:hAnsi="Cambria Math" w:cs="Cambria Math" w:hint="default"/>
      </w:rPr>
    </w:lvl>
    <w:lvl w:ilvl="5" w:tplc="0C090005" w:tentative="1">
      <w:start w:val="1"/>
      <w:numFmt w:val="bullet"/>
      <w:lvlText w:val=""/>
      <w:lvlJc w:val="left"/>
      <w:pPr>
        <w:ind w:left="5000" w:hanging="360"/>
      </w:pPr>
      <w:rPr>
        <w:rFonts w:ascii="HelveticaNeueLT Std" w:hAnsi="HelveticaNeueLT Std" w:hint="default"/>
      </w:rPr>
    </w:lvl>
    <w:lvl w:ilvl="6" w:tplc="0C090001" w:tentative="1">
      <w:start w:val="1"/>
      <w:numFmt w:val="bullet"/>
      <w:lvlText w:val=""/>
      <w:lvlJc w:val="left"/>
      <w:pPr>
        <w:ind w:left="5720" w:hanging="360"/>
      </w:pPr>
      <w:rPr>
        <w:rFonts w:ascii="Segoe UI" w:hAnsi="Segoe UI" w:hint="default"/>
      </w:rPr>
    </w:lvl>
    <w:lvl w:ilvl="7" w:tplc="0C090003" w:tentative="1">
      <w:start w:val="1"/>
      <w:numFmt w:val="bullet"/>
      <w:lvlText w:val="o"/>
      <w:lvlJc w:val="left"/>
      <w:pPr>
        <w:ind w:left="6440" w:hanging="360"/>
      </w:pPr>
      <w:rPr>
        <w:rFonts w:ascii="Cambria Math" w:hAnsi="Cambria Math" w:cs="Cambria Math" w:hint="default"/>
      </w:rPr>
    </w:lvl>
    <w:lvl w:ilvl="8" w:tplc="0C090005" w:tentative="1">
      <w:start w:val="1"/>
      <w:numFmt w:val="bullet"/>
      <w:lvlText w:val=""/>
      <w:lvlJc w:val="left"/>
      <w:pPr>
        <w:ind w:left="7160" w:hanging="360"/>
      </w:pPr>
      <w:rPr>
        <w:rFonts w:ascii="HelveticaNeueLT Std" w:hAnsi="HelveticaNeueLT Std" w:hint="default"/>
      </w:rPr>
    </w:lvl>
  </w:abstractNum>
  <w:abstractNum w:abstractNumId="102" w15:restartNumberingAfterBreak="0">
    <w:nsid w:val="616F1AD3"/>
    <w:multiLevelType w:val="multilevel"/>
    <w:tmpl w:val="0DB677CA"/>
    <w:lvl w:ilvl="0">
      <w:start w:val="1"/>
      <w:numFmt w:val="decimal"/>
      <w:lvlText w:val="%1."/>
      <w:lvlJc w:val="left"/>
      <w:pPr>
        <w:ind w:left="0" w:hanging="567"/>
      </w:pPr>
      <w:rPr>
        <w:rFonts w:hint="default"/>
      </w:rPr>
    </w:lvl>
    <w:lvl w:ilvl="1">
      <w:start w:val="1"/>
      <w:numFmt w:val="decimal"/>
      <w:lvlText w:val="%1.%2"/>
      <w:lvlJc w:val="left"/>
      <w:pPr>
        <w:tabs>
          <w:tab w:val="num" w:pos="567"/>
        </w:tabs>
        <w:ind w:left="0" w:hanging="567"/>
      </w:pPr>
      <w:rPr>
        <w:rFonts w:hint="default"/>
        <w:b w:val="0"/>
        <w:bCs/>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18D265B"/>
    <w:multiLevelType w:val="hybridMultilevel"/>
    <w:tmpl w:val="C85C0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1EB335B"/>
    <w:multiLevelType w:val="multilevel"/>
    <w:tmpl w:val="D6CA96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42C4049"/>
    <w:multiLevelType w:val="hybridMultilevel"/>
    <w:tmpl w:val="EF1807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4D93333"/>
    <w:multiLevelType w:val="hybridMultilevel"/>
    <w:tmpl w:val="854886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55B27DC"/>
    <w:multiLevelType w:val="hybridMultilevel"/>
    <w:tmpl w:val="DCA2B9B8"/>
    <w:lvl w:ilvl="0" w:tplc="0C090001">
      <w:start w:val="1"/>
      <w:numFmt w:val="bullet"/>
      <w:lvlText w:val=""/>
      <w:lvlJc w:val="left"/>
      <w:pPr>
        <w:ind w:left="720" w:hanging="360"/>
      </w:pPr>
      <w:rPr>
        <w:rFonts w:ascii="Segoe UI" w:hAnsi="Segoe UI"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10" w15:restartNumberingAfterBreak="0">
    <w:nsid w:val="66910301"/>
    <w:multiLevelType w:val="hybridMultilevel"/>
    <w:tmpl w:val="70E45CAC"/>
    <w:lvl w:ilvl="0" w:tplc="4ED24B06">
      <w:start w:val="2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66AF17ED"/>
    <w:multiLevelType w:val="hybridMultilevel"/>
    <w:tmpl w:val="16D43308"/>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12" w15:restartNumberingAfterBreak="0">
    <w:nsid w:val="67C6566F"/>
    <w:multiLevelType w:val="hybridMultilevel"/>
    <w:tmpl w:val="544EB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9A64DF4"/>
    <w:multiLevelType w:val="hybridMultilevel"/>
    <w:tmpl w:val="B3369CBC"/>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14" w15:restartNumberingAfterBreak="0">
    <w:nsid w:val="6A477B23"/>
    <w:multiLevelType w:val="hybridMultilevel"/>
    <w:tmpl w:val="946097C2"/>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15" w15:restartNumberingAfterBreak="0">
    <w:nsid w:val="6A9D589D"/>
    <w:multiLevelType w:val="hybridMultilevel"/>
    <w:tmpl w:val="730AA554"/>
    <w:lvl w:ilvl="0" w:tplc="FFFFFFFF">
      <w:start w:val="1"/>
      <w:numFmt w:val="bullet"/>
      <w:lvlText w:val="&gt;"/>
      <w:lvlJc w:val="left"/>
      <w:pPr>
        <w:ind w:left="720" w:hanging="360"/>
      </w:pPr>
      <w:rPr>
        <w:rFonts w:ascii="Cambria" w:hAnsi="Cambria" w:hint="default"/>
      </w:rPr>
    </w:lvl>
    <w:lvl w:ilvl="1" w:tplc="FFFFFFFF" w:tentative="1">
      <w:start w:val="1"/>
      <w:numFmt w:val="bullet"/>
      <w:lvlText w:val="o"/>
      <w:lvlJc w:val="left"/>
      <w:pPr>
        <w:ind w:left="1440" w:hanging="360"/>
      </w:pPr>
      <w:rPr>
        <w:rFonts w:ascii="Cambria Math" w:hAnsi="Cambria Math" w:cs="Cambria Math" w:hint="default"/>
      </w:rPr>
    </w:lvl>
    <w:lvl w:ilvl="2" w:tplc="9CD2D3DA">
      <w:start w:val="1"/>
      <w:numFmt w:val="bullet"/>
      <w:lvlText w:val="&gt;"/>
      <w:lvlJc w:val="left"/>
      <w:pPr>
        <w:ind w:left="2160" w:hanging="360"/>
      </w:pPr>
      <w:rPr>
        <w:rFonts w:ascii="Cambria" w:hAnsi="Cambria" w:hint="default"/>
      </w:rPr>
    </w:lvl>
    <w:lvl w:ilvl="3" w:tplc="FFFFFFFF" w:tentative="1">
      <w:start w:val="1"/>
      <w:numFmt w:val="bullet"/>
      <w:lvlText w:val=""/>
      <w:lvlJc w:val="left"/>
      <w:pPr>
        <w:ind w:left="2880" w:hanging="360"/>
      </w:pPr>
      <w:rPr>
        <w:rFonts w:ascii="Segoe UI" w:hAnsi="Segoe UI" w:hint="default"/>
      </w:rPr>
    </w:lvl>
    <w:lvl w:ilvl="4" w:tplc="FFFFFFFF" w:tentative="1">
      <w:start w:val="1"/>
      <w:numFmt w:val="bullet"/>
      <w:lvlText w:val="o"/>
      <w:lvlJc w:val="left"/>
      <w:pPr>
        <w:ind w:left="3600" w:hanging="360"/>
      </w:pPr>
      <w:rPr>
        <w:rFonts w:ascii="Cambria Math" w:hAnsi="Cambria Math" w:cs="Cambria Math" w:hint="default"/>
      </w:rPr>
    </w:lvl>
    <w:lvl w:ilvl="5" w:tplc="FFFFFFFF" w:tentative="1">
      <w:start w:val="1"/>
      <w:numFmt w:val="bullet"/>
      <w:lvlText w:val=""/>
      <w:lvlJc w:val="left"/>
      <w:pPr>
        <w:ind w:left="4320" w:hanging="360"/>
      </w:pPr>
      <w:rPr>
        <w:rFonts w:ascii="HelveticaNeueLT Std" w:hAnsi="HelveticaNeueLT Std" w:hint="default"/>
      </w:rPr>
    </w:lvl>
    <w:lvl w:ilvl="6" w:tplc="FFFFFFFF" w:tentative="1">
      <w:start w:val="1"/>
      <w:numFmt w:val="bullet"/>
      <w:lvlText w:val=""/>
      <w:lvlJc w:val="left"/>
      <w:pPr>
        <w:ind w:left="5040" w:hanging="360"/>
      </w:pPr>
      <w:rPr>
        <w:rFonts w:ascii="Segoe UI" w:hAnsi="Segoe UI" w:hint="default"/>
      </w:rPr>
    </w:lvl>
    <w:lvl w:ilvl="7" w:tplc="FFFFFFFF" w:tentative="1">
      <w:start w:val="1"/>
      <w:numFmt w:val="bullet"/>
      <w:lvlText w:val="o"/>
      <w:lvlJc w:val="left"/>
      <w:pPr>
        <w:ind w:left="5760" w:hanging="360"/>
      </w:pPr>
      <w:rPr>
        <w:rFonts w:ascii="Cambria Math" w:hAnsi="Cambria Math" w:cs="Cambria Math" w:hint="default"/>
      </w:rPr>
    </w:lvl>
    <w:lvl w:ilvl="8" w:tplc="FFFFFFFF" w:tentative="1">
      <w:start w:val="1"/>
      <w:numFmt w:val="bullet"/>
      <w:lvlText w:val=""/>
      <w:lvlJc w:val="left"/>
      <w:pPr>
        <w:ind w:left="6480" w:hanging="360"/>
      </w:pPr>
      <w:rPr>
        <w:rFonts w:ascii="HelveticaNeueLT Std" w:hAnsi="HelveticaNeueLT Std" w:hint="default"/>
      </w:rPr>
    </w:lvl>
  </w:abstractNum>
  <w:abstractNum w:abstractNumId="116" w15:restartNumberingAfterBreak="0">
    <w:nsid w:val="6AC714F2"/>
    <w:multiLevelType w:val="hybridMultilevel"/>
    <w:tmpl w:val="54FCC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B0C6D7D"/>
    <w:multiLevelType w:val="hybridMultilevel"/>
    <w:tmpl w:val="083407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BF71E4B"/>
    <w:multiLevelType w:val="hybridMultilevel"/>
    <w:tmpl w:val="B80C52A6"/>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19" w15:restartNumberingAfterBreak="0">
    <w:nsid w:val="6C1F2A42"/>
    <w:multiLevelType w:val="hybridMultilevel"/>
    <w:tmpl w:val="B3763664"/>
    <w:lvl w:ilvl="0" w:tplc="F2BA872A">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0" w15:restartNumberingAfterBreak="0">
    <w:nsid w:val="6CD5725D"/>
    <w:multiLevelType w:val="hybridMultilevel"/>
    <w:tmpl w:val="69D0ED14"/>
    <w:lvl w:ilvl="0" w:tplc="961C3AB8">
      <w:start w:val="1"/>
      <w:numFmt w:val="decimal"/>
      <w:lvlText w:val="Table %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D4C50B6"/>
    <w:multiLevelType w:val="hybridMultilevel"/>
    <w:tmpl w:val="31588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0280E9D"/>
    <w:multiLevelType w:val="multilevel"/>
    <w:tmpl w:val="82A8C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71517815"/>
    <w:multiLevelType w:val="hybridMultilevel"/>
    <w:tmpl w:val="06067F78"/>
    <w:lvl w:ilvl="0" w:tplc="F2BA87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1E352D0"/>
    <w:multiLevelType w:val="hybridMultilevel"/>
    <w:tmpl w:val="734CA298"/>
    <w:lvl w:ilvl="0" w:tplc="856E6310">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2B90560"/>
    <w:multiLevelType w:val="hybridMultilevel"/>
    <w:tmpl w:val="AC2A590A"/>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27" w15:restartNumberingAfterBreak="0">
    <w:nsid w:val="73457470"/>
    <w:multiLevelType w:val="hybridMultilevel"/>
    <w:tmpl w:val="66A432C6"/>
    <w:lvl w:ilvl="0" w:tplc="856E6310">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45E0778"/>
    <w:multiLevelType w:val="hybridMultilevel"/>
    <w:tmpl w:val="77A6892A"/>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29" w15:restartNumberingAfterBreak="0">
    <w:nsid w:val="747739A3"/>
    <w:multiLevelType w:val="hybridMultilevel"/>
    <w:tmpl w:val="CFE4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5AE5748"/>
    <w:multiLevelType w:val="hybridMultilevel"/>
    <w:tmpl w:val="78F25AD2"/>
    <w:lvl w:ilvl="0" w:tplc="B4105E2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7210DB0"/>
    <w:multiLevelType w:val="hybridMultilevel"/>
    <w:tmpl w:val="B094CF46"/>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32" w15:restartNumberingAfterBreak="0">
    <w:nsid w:val="78A47CD6"/>
    <w:multiLevelType w:val="hybridMultilevel"/>
    <w:tmpl w:val="E7265F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8C85120"/>
    <w:multiLevelType w:val="hybridMultilevel"/>
    <w:tmpl w:val="FE6E4F88"/>
    <w:lvl w:ilvl="0" w:tplc="9CD2D3DA">
      <w:start w:val="1"/>
      <w:numFmt w:val="bullet"/>
      <w:lvlText w:val="&gt;"/>
      <w:lvlJc w:val="left"/>
      <w:pPr>
        <w:ind w:left="720" w:hanging="360"/>
      </w:pPr>
      <w:rPr>
        <w:rFonts w:ascii="Cambria" w:hAnsi="Cambria" w:hint="default"/>
      </w:rPr>
    </w:lvl>
    <w:lvl w:ilvl="1" w:tplc="0C090003">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34" w15:restartNumberingAfterBreak="0">
    <w:nsid w:val="790174C1"/>
    <w:multiLevelType w:val="hybridMultilevel"/>
    <w:tmpl w:val="AC0E19DA"/>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35" w15:restartNumberingAfterBreak="0">
    <w:nsid w:val="798650C9"/>
    <w:multiLevelType w:val="hybridMultilevel"/>
    <w:tmpl w:val="EDAA380C"/>
    <w:lvl w:ilvl="0" w:tplc="9CD2D3DA">
      <w:start w:val="1"/>
      <w:numFmt w:val="bullet"/>
      <w:lvlText w:val="&gt;"/>
      <w:lvlJc w:val="left"/>
      <w:pPr>
        <w:ind w:left="1080" w:hanging="360"/>
      </w:pPr>
      <w:rPr>
        <w:rFonts w:ascii="Cambria" w:hAnsi="Cambria" w:hint="default"/>
      </w:rPr>
    </w:lvl>
    <w:lvl w:ilvl="1" w:tplc="0C090003" w:tentative="1">
      <w:start w:val="1"/>
      <w:numFmt w:val="bullet"/>
      <w:lvlText w:val="o"/>
      <w:lvlJc w:val="left"/>
      <w:pPr>
        <w:ind w:left="1800" w:hanging="360"/>
      </w:pPr>
      <w:rPr>
        <w:rFonts w:ascii="Cambria Math" w:hAnsi="Cambria Math" w:cs="Cambria Math" w:hint="default"/>
      </w:rPr>
    </w:lvl>
    <w:lvl w:ilvl="2" w:tplc="0C090005" w:tentative="1">
      <w:start w:val="1"/>
      <w:numFmt w:val="bullet"/>
      <w:lvlText w:val=""/>
      <w:lvlJc w:val="left"/>
      <w:pPr>
        <w:ind w:left="2520" w:hanging="360"/>
      </w:pPr>
      <w:rPr>
        <w:rFonts w:ascii="HelveticaNeueLT Std" w:hAnsi="HelveticaNeueLT Std" w:hint="default"/>
      </w:rPr>
    </w:lvl>
    <w:lvl w:ilvl="3" w:tplc="0C090001" w:tentative="1">
      <w:start w:val="1"/>
      <w:numFmt w:val="bullet"/>
      <w:lvlText w:val=""/>
      <w:lvlJc w:val="left"/>
      <w:pPr>
        <w:ind w:left="3240" w:hanging="360"/>
      </w:pPr>
      <w:rPr>
        <w:rFonts w:ascii="Segoe UI" w:hAnsi="Segoe UI" w:hint="default"/>
      </w:rPr>
    </w:lvl>
    <w:lvl w:ilvl="4" w:tplc="0C090003" w:tentative="1">
      <w:start w:val="1"/>
      <w:numFmt w:val="bullet"/>
      <w:lvlText w:val="o"/>
      <w:lvlJc w:val="left"/>
      <w:pPr>
        <w:ind w:left="3960" w:hanging="360"/>
      </w:pPr>
      <w:rPr>
        <w:rFonts w:ascii="Cambria Math" w:hAnsi="Cambria Math" w:cs="Cambria Math" w:hint="default"/>
      </w:rPr>
    </w:lvl>
    <w:lvl w:ilvl="5" w:tplc="0C090005" w:tentative="1">
      <w:start w:val="1"/>
      <w:numFmt w:val="bullet"/>
      <w:lvlText w:val=""/>
      <w:lvlJc w:val="left"/>
      <w:pPr>
        <w:ind w:left="4680" w:hanging="360"/>
      </w:pPr>
      <w:rPr>
        <w:rFonts w:ascii="HelveticaNeueLT Std" w:hAnsi="HelveticaNeueLT Std" w:hint="default"/>
      </w:rPr>
    </w:lvl>
    <w:lvl w:ilvl="6" w:tplc="0C090001" w:tentative="1">
      <w:start w:val="1"/>
      <w:numFmt w:val="bullet"/>
      <w:lvlText w:val=""/>
      <w:lvlJc w:val="left"/>
      <w:pPr>
        <w:ind w:left="5400" w:hanging="360"/>
      </w:pPr>
      <w:rPr>
        <w:rFonts w:ascii="Segoe UI" w:hAnsi="Segoe UI" w:hint="default"/>
      </w:rPr>
    </w:lvl>
    <w:lvl w:ilvl="7" w:tplc="0C090003" w:tentative="1">
      <w:start w:val="1"/>
      <w:numFmt w:val="bullet"/>
      <w:lvlText w:val="o"/>
      <w:lvlJc w:val="left"/>
      <w:pPr>
        <w:ind w:left="6120" w:hanging="360"/>
      </w:pPr>
      <w:rPr>
        <w:rFonts w:ascii="Cambria Math" w:hAnsi="Cambria Math" w:cs="Cambria Math" w:hint="default"/>
      </w:rPr>
    </w:lvl>
    <w:lvl w:ilvl="8" w:tplc="0C090005" w:tentative="1">
      <w:start w:val="1"/>
      <w:numFmt w:val="bullet"/>
      <w:lvlText w:val=""/>
      <w:lvlJc w:val="left"/>
      <w:pPr>
        <w:ind w:left="6840" w:hanging="360"/>
      </w:pPr>
      <w:rPr>
        <w:rFonts w:ascii="HelveticaNeueLT Std" w:hAnsi="HelveticaNeueLT Std" w:hint="default"/>
      </w:rPr>
    </w:lvl>
  </w:abstractNum>
  <w:abstractNum w:abstractNumId="136" w15:restartNumberingAfterBreak="0">
    <w:nsid w:val="7A3E7D72"/>
    <w:multiLevelType w:val="hybridMultilevel"/>
    <w:tmpl w:val="8E98007A"/>
    <w:lvl w:ilvl="0" w:tplc="E80CD9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A4F006E"/>
    <w:multiLevelType w:val="hybridMultilevel"/>
    <w:tmpl w:val="D980BEF6"/>
    <w:lvl w:ilvl="0" w:tplc="8ED63C6C">
      <w:start w:val="1"/>
      <w:numFmt w:val="bullet"/>
      <w:lvlText w:val="&gt;"/>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38" w15:restartNumberingAfterBreak="0">
    <w:nsid w:val="7A9D20BD"/>
    <w:multiLevelType w:val="hybridMultilevel"/>
    <w:tmpl w:val="6018D28E"/>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abstractNum w:abstractNumId="139" w15:restartNumberingAfterBreak="0">
    <w:nsid w:val="7C075B99"/>
    <w:multiLevelType w:val="multilevel"/>
    <w:tmpl w:val="72769694"/>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
      <w:lvlJc w:val="left"/>
      <w:pPr>
        <w:tabs>
          <w:tab w:val="num" w:pos="1440"/>
        </w:tabs>
        <w:ind w:left="1440" w:hanging="360"/>
      </w:pPr>
      <w:rPr>
        <w:rFonts w:ascii="Segoe UI" w:hAnsi="Segoe UI" w:hint="default"/>
        <w:sz w:val="20"/>
      </w:rPr>
    </w:lvl>
    <w:lvl w:ilvl="2" w:tentative="1">
      <w:start w:val="1"/>
      <w:numFmt w:val="bullet"/>
      <w:lvlText w:val=""/>
      <w:lvlJc w:val="left"/>
      <w:pPr>
        <w:tabs>
          <w:tab w:val="num" w:pos="2160"/>
        </w:tabs>
        <w:ind w:left="2160" w:hanging="360"/>
      </w:pPr>
      <w:rPr>
        <w:rFonts w:ascii="Segoe UI" w:hAnsi="Segoe UI" w:hint="default"/>
        <w:sz w:val="20"/>
      </w:rPr>
    </w:lvl>
    <w:lvl w:ilvl="3" w:tentative="1">
      <w:start w:val="1"/>
      <w:numFmt w:val="bullet"/>
      <w:lvlText w:val=""/>
      <w:lvlJc w:val="left"/>
      <w:pPr>
        <w:tabs>
          <w:tab w:val="num" w:pos="2880"/>
        </w:tabs>
        <w:ind w:left="2880" w:hanging="360"/>
      </w:pPr>
      <w:rPr>
        <w:rFonts w:ascii="Segoe UI" w:hAnsi="Segoe UI" w:hint="default"/>
        <w:sz w:val="20"/>
      </w:rPr>
    </w:lvl>
    <w:lvl w:ilvl="4" w:tentative="1">
      <w:start w:val="1"/>
      <w:numFmt w:val="bullet"/>
      <w:lvlText w:val=""/>
      <w:lvlJc w:val="left"/>
      <w:pPr>
        <w:tabs>
          <w:tab w:val="num" w:pos="3600"/>
        </w:tabs>
        <w:ind w:left="3600" w:hanging="360"/>
      </w:pPr>
      <w:rPr>
        <w:rFonts w:ascii="Segoe UI" w:hAnsi="Segoe UI" w:hint="default"/>
        <w:sz w:val="20"/>
      </w:rPr>
    </w:lvl>
    <w:lvl w:ilvl="5" w:tentative="1">
      <w:start w:val="1"/>
      <w:numFmt w:val="bullet"/>
      <w:lvlText w:val=""/>
      <w:lvlJc w:val="left"/>
      <w:pPr>
        <w:tabs>
          <w:tab w:val="num" w:pos="4320"/>
        </w:tabs>
        <w:ind w:left="4320" w:hanging="360"/>
      </w:pPr>
      <w:rPr>
        <w:rFonts w:ascii="Segoe UI" w:hAnsi="Segoe UI" w:hint="default"/>
        <w:sz w:val="20"/>
      </w:rPr>
    </w:lvl>
    <w:lvl w:ilvl="6" w:tentative="1">
      <w:start w:val="1"/>
      <w:numFmt w:val="bullet"/>
      <w:lvlText w:val=""/>
      <w:lvlJc w:val="left"/>
      <w:pPr>
        <w:tabs>
          <w:tab w:val="num" w:pos="5040"/>
        </w:tabs>
        <w:ind w:left="5040" w:hanging="360"/>
      </w:pPr>
      <w:rPr>
        <w:rFonts w:ascii="Segoe UI" w:hAnsi="Segoe UI" w:hint="default"/>
        <w:sz w:val="20"/>
      </w:rPr>
    </w:lvl>
    <w:lvl w:ilvl="7" w:tentative="1">
      <w:start w:val="1"/>
      <w:numFmt w:val="bullet"/>
      <w:lvlText w:val=""/>
      <w:lvlJc w:val="left"/>
      <w:pPr>
        <w:tabs>
          <w:tab w:val="num" w:pos="5760"/>
        </w:tabs>
        <w:ind w:left="5760" w:hanging="360"/>
      </w:pPr>
      <w:rPr>
        <w:rFonts w:ascii="Segoe UI" w:hAnsi="Segoe UI" w:hint="default"/>
        <w:sz w:val="20"/>
      </w:rPr>
    </w:lvl>
    <w:lvl w:ilvl="8" w:tentative="1">
      <w:start w:val="1"/>
      <w:numFmt w:val="bullet"/>
      <w:lvlText w:val=""/>
      <w:lvlJc w:val="left"/>
      <w:pPr>
        <w:tabs>
          <w:tab w:val="num" w:pos="6480"/>
        </w:tabs>
        <w:ind w:left="6480" w:hanging="360"/>
      </w:pPr>
      <w:rPr>
        <w:rFonts w:ascii="Segoe UI" w:hAnsi="Segoe UI" w:hint="default"/>
        <w:sz w:val="20"/>
      </w:rPr>
    </w:lvl>
  </w:abstractNum>
  <w:abstractNum w:abstractNumId="140" w15:restartNumberingAfterBreak="0">
    <w:nsid w:val="7C35618F"/>
    <w:multiLevelType w:val="hybridMultilevel"/>
    <w:tmpl w:val="1E26E9A2"/>
    <w:lvl w:ilvl="0" w:tplc="FFFFFFFF">
      <w:start w:val="1"/>
      <w:numFmt w:val="lowerLetter"/>
      <w:lvlText w:val="%1)"/>
      <w:lvlJc w:val="left"/>
      <w:pPr>
        <w:ind w:left="720" w:hanging="360"/>
      </w:pPr>
    </w:lvl>
    <w:lvl w:ilvl="1" w:tplc="2BFE3A0C">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0C090001">
      <w:start w:val="1"/>
      <w:numFmt w:val="bullet"/>
      <w:lvlText w:val=""/>
      <w:lvlJc w:val="left"/>
      <w:pPr>
        <w:ind w:left="2880" w:hanging="360"/>
      </w:pPr>
      <w:rPr>
        <w:rFonts w:ascii="Segoe UI" w:hAnsi="Segoe UI" w:hint="default"/>
      </w:rPr>
    </w:lvl>
    <w:lvl w:ilvl="4" w:tplc="E6EA2C1C">
      <w:numFmt w:val="bullet"/>
      <w:lvlText w:val=""/>
      <w:lvlJc w:val="left"/>
      <w:pPr>
        <w:ind w:left="3600" w:hanging="360"/>
      </w:pPr>
      <w:rPr>
        <w:rFonts w:ascii="HelveticaNeueLT Std" w:eastAsia="MS Mincho" w:hAnsi="HelveticaNeueLT Std" w:cs="Cambria" w:hint="default"/>
      </w:rPr>
    </w:lvl>
    <w:lvl w:ilvl="5" w:tplc="2D846CB6">
      <w:start w:val="1"/>
      <w:numFmt w:val="lowerLetter"/>
      <w:lvlText w:val="(%6)"/>
      <w:lvlJc w:val="left"/>
      <w:pPr>
        <w:ind w:left="4500" w:hanging="360"/>
      </w:pPr>
      <w:rPr>
        <w:rFonts w:hint="default"/>
      </w:rPr>
    </w:lvl>
    <w:lvl w:ilvl="6" w:tplc="A5C0627E">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C383E6F"/>
    <w:multiLevelType w:val="multilevel"/>
    <w:tmpl w:val="E3E2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DB00E9C"/>
    <w:multiLevelType w:val="multilevel"/>
    <w:tmpl w:val="3C982656"/>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
      <w:lvlJc w:val="left"/>
      <w:pPr>
        <w:tabs>
          <w:tab w:val="num" w:pos="1440"/>
        </w:tabs>
        <w:ind w:left="1440" w:hanging="360"/>
      </w:pPr>
      <w:rPr>
        <w:rFonts w:ascii="Segoe UI" w:hAnsi="Segoe UI" w:hint="default"/>
        <w:sz w:val="20"/>
      </w:rPr>
    </w:lvl>
    <w:lvl w:ilvl="2" w:tentative="1">
      <w:start w:val="1"/>
      <w:numFmt w:val="bullet"/>
      <w:lvlText w:val=""/>
      <w:lvlJc w:val="left"/>
      <w:pPr>
        <w:tabs>
          <w:tab w:val="num" w:pos="2160"/>
        </w:tabs>
        <w:ind w:left="2160" w:hanging="360"/>
      </w:pPr>
      <w:rPr>
        <w:rFonts w:ascii="Segoe UI" w:hAnsi="Segoe UI" w:hint="default"/>
        <w:sz w:val="20"/>
      </w:rPr>
    </w:lvl>
    <w:lvl w:ilvl="3" w:tentative="1">
      <w:start w:val="1"/>
      <w:numFmt w:val="bullet"/>
      <w:lvlText w:val=""/>
      <w:lvlJc w:val="left"/>
      <w:pPr>
        <w:tabs>
          <w:tab w:val="num" w:pos="2880"/>
        </w:tabs>
        <w:ind w:left="2880" w:hanging="360"/>
      </w:pPr>
      <w:rPr>
        <w:rFonts w:ascii="Segoe UI" w:hAnsi="Segoe UI" w:hint="default"/>
        <w:sz w:val="20"/>
      </w:rPr>
    </w:lvl>
    <w:lvl w:ilvl="4" w:tentative="1">
      <w:start w:val="1"/>
      <w:numFmt w:val="bullet"/>
      <w:lvlText w:val=""/>
      <w:lvlJc w:val="left"/>
      <w:pPr>
        <w:tabs>
          <w:tab w:val="num" w:pos="3600"/>
        </w:tabs>
        <w:ind w:left="3600" w:hanging="360"/>
      </w:pPr>
      <w:rPr>
        <w:rFonts w:ascii="Segoe UI" w:hAnsi="Segoe UI" w:hint="default"/>
        <w:sz w:val="20"/>
      </w:rPr>
    </w:lvl>
    <w:lvl w:ilvl="5" w:tentative="1">
      <w:start w:val="1"/>
      <w:numFmt w:val="bullet"/>
      <w:lvlText w:val=""/>
      <w:lvlJc w:val="left"/>
      <w:pPr>
        <w:tabs>
          <w:tab w:val="num" w:pos="4320"/>
        </w:tabs>
        <w:ind w:left="4320" w:hanging="360"/>
      </w:pPr>
      <w:rPr>
        <w:rFonts w:ascii="Segoe UI" w:hAnsi="Segoe UI" w:hint="default"/>
        <w:sz w:val="20"/>
      </w:rPr>
    </w:lvl>
    <w:lvl w:ilvl="6" w:tentative="1">
      <w:start w:val="1"/>
      <w:numFmt w:val="bullet"/>
      <w:lvlText w:val=""/>
      <w:lvlJc w:val="left"/>
      <w:pPr>
        <w:tabs>
          <w:tab w:val="num" w:pos="5040"/>
        </w:tabs>
        <w:ind w:left="5040" w:hanging="360"/>
      </w:pPr>
      <w:rPr>
        <w:rFonts w:ascii="Segoe UI" w:hAnsi="Segoe UI" w:hint="default"/>
        <w:sz w:val="20"/>
      </w:rPr>
    </w:lvl>
    <w:lvl w:ilvl="7" w:tentative="1">
      <w:start w:val="1"/>
      <w:numFmt w:val="bullet"/>
      <w:lvlText w:val=""/>
      <w:lvlJc w:val="left"/>
      <w:pPr>
        <w:tabs>
          <w:tab w:val="num" w:pos="5760"/>
        </w:tabs>
        <w:ind w:left="5760" w:hanging="360"/>
      </w:pPr>
      <w:rPr>
        <w:rFonts w:ascii="Segoe UI" w:hAnsi="Segoe UI" w:hint="default"/>
        <w:sz w:val="20"/>
      </w:rPr>
    </w:lvl>
    <w:lvl w:ilvl="8" w:tentative="1">
      <w:start w:val="1"/>
      <w:numFmt w:val="bullet"/>
      <w:lvlText w:val=""/>
      <w:lvlJc w:val="left"/>
      <w:pPr>
        <w:tabs>
          <w:tab w:val="num" w:pos="6480"/>
        </w:tabs>
        <w:ind w:left="6480" w:hanging="360"/>
      </w:pPr>
      <w:rPr>
        <w:rFonts w:ascii="Segoe UI" w:hAnsi="Segoe UI" w:hint="default"/>
        <w:sz w:val="20"/>
      </w:rPr>
    </w:lvl>
  </w:abstractNum>
  <w:abstractNum w:abstractNumId="143" w15:restartNumberingAfterBreak="0">
    <w:nsid w:val="7F286DB8"/>
    <w:multiLevelType w:val="multilevel"/>
    <w:tmpl w:val="125830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F99601E"/>
    <w:multiLevelType w:val="hybridMultilevel"/>
    <w:tmpl w:val="2F1A4632"/>
    <w:lvl w:ilvl="0" w:tplc="9CD2D3DA">
      <w:start w:val="1"/>
      <w:numFmt w:val="bullet"/>
      <w:lvlText w:val="&gt;"/>
      <w:lvlJc w:val="left"/>
      <w:pPr>
        <w:ind w:left="720" w:hanging="360"/>
      </w:pPr>
      <w:rPr>
        <w:rFonts w:ascii="Cambria" w:hAnsi="Cambria" w:hint="default"/>
      </w:rPr>
    </w:lvl>
    <w:lvl w:ilvl="1" w:tplc="0C090003" w:tentative="1">
      <w:start w:val="1"/>
      <w:numFmt w:val="bullet"/>
      <w:lvlText w:val="o"/>
      <w:lvlJc w:val="left"/>
      <w:pPr>
        <w:ind w:left="1440" w:hanging="360"/>
      </w:pPr>
      <w:rPr>
        <w:rFonts w:ascii="Cambria Math" w:hAnsi="Cambria Math" w:cs="Cambria Math" w:hint="default"/>
      </w:rPr>
    </w:lvl>
    <w:lvl w:ilvl="2" w:tplc="0C090005" w:tentative="1">
      <w:start w:val="1"/>
      <w:numFmt w:val="bullet"/>
      <w:lvlText w:val=""/>
      <w:lvlJc w:val="left"/>
      <w:pPr>
        <w:ind w:left="2160" w:hanging="360"/>
      </w:pPr>
      <w:rPr>
        <w:rFonts w:ascii="HelveticaNeueLT Std" w:hAnsi="HelveticaNeueLT Std"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Cambria Math" w:hAnsi="Cambria Math" w:cs="Cambria Math" w:hint="default"/>
      </w:rPr>
    </w:lvl>
    <w:lvl w:ilvl="5" w:tplc="0C090005" w:tentative="1">
      <w:start w:val="1"/>
      <w:numFmt w:val="bullet"/>
      <w:lvlText w:val=""/>
      <w:lvlJc w:val="left"/>
      <w:pPr>
        <w:ind w:left="4320" w:hanging="360"/>
      </w:pPr>
      <w:rPr>
        <w:rFonts w:ascii="HelveticaNeueLT Std" w:hAnsi="HelveticaNeueLT Std"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Cambria Math" w:hAnsi="Cambria Math" w:cs="Cambria Math" w:hint="default"/>
      </w:rPr>
    </w:lvl>
    <w:lvl w:ilvl="8" w:tplc="0C090005" w:tentative="1">
      <w:start w:val="1"/>
      <w:numFmt w:val="bullet"/>
      <w:lvlText w:val=""/>
      <w:lvlJc w:val="left"/>
      <w:pPr>
        <w:ind w:left="6480" w:hanging="360"/>
      </w:pPr>
      <w:rPr>
        <w:rFonts w:ascii="HelveticaNeueLT Std" w:hAnsi="HelveticaNeueLT Std" w:hint="default"/>
      </w:rPr>
    </w:lvl>
  </w:abstractNum>
  <w:num w:numId="1">
    <w:abstractNumId w:val="3"/>
  </w:num>
  <w:num w:numId="2">
    <w:abstractNumId w:val="1"/>
  </w:num>
  <w:num w:numId="3">
    <w:abstractNumId w:val="2"/>
  </w:num>
  <w:num w:numId="4">
    <w:abstractNumId w:val="0"/>
  </w:num>
  <w:num w:numId="5">
    <w:abstractNumId w:val="46"/>
  </w:num>
  <w:num w:numId="6">
    <w:abstractNumId w:val="108"/>
  </w:num>
  <w:num w:numId="7">
    <w:abstractNumId w:val="94"/>
  </w:num>
  <w:num w:numId="8">
    <w:abstractNumId w:val="105"/>
  </w:num>
  <w:num w:numId="9">
    <w:abstractNumId w:val="122"/>
  </w:num>
  <w:num w:numId="10">
    <w:abstractNumId w:val="10"/>
  </w:num>
  <w:num w:numId="11">
    <w:abstractNumId w:val="6"/>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48"/>
  </w:num>
  <w:num w:numId="17">
    <w:abstractNumId w:val="2"/>
    <w:lvlOverride w:ilvl="0">
      <w:startOverride w:val="1"/>
    </w:lvlOverride>
  </w:num>
  <w:num w:numId="18">
    <w:abstractNumId w:val="3"/>
  </w:num>
  <w:num w:numId="19">
    <w:abstractNumId w:val="3"/>
  </w:num>
  <w:num w:numId="20">
    <w:abstractNumId w:val="69"/>
  </w:num>
  <w:num w:numId="21">
    <w:abstractNumId w:val="101"/>
  </w:num>
  <w:num w:numId="22">
    <w:abstractNumId w:val="8"/>
  </w:num>
  <w:num w:numId="23">
    <w:abstractNumId w:val="98"/>
  </w:num>
  <w:num w:numId="24">
    <w:abstractNumId w:val="78"/>
  </w:num>
  <w:num w:numId="25">
    <w:abstractNumId w:val="39"/>
  </w:num>
  <w:num w:numId="26">
    <w:abstractNumId w:val="60"/>
  </w:num>
  <w:num w:numId="27">
    <w:abstractNumId w:val="29"/>
  </w:num>
  <w:num w:numId="28">
    <w:abstractNumId w:val="92"/>
  </w:num>
  <w:num w:numId="29">
    <w:abstractNumId w:val="27"/>
  </w:num>
  <w:num w:numId="30">
    <w:abstractNumId w:val="132"/>
  </w:num>
  <w:num w:numId="31">
    <w:abstractNumId w:val="117"/>
  </w:num>
  <w:num w:numId="32">
    <w:abstractNumId w:val="106"/>
  </w:num>
  <w:num w:numId="33">
    <w:abstractNumId w:val="35"/>
  </w:num>
  <w:num w:numId="34">
    <w:abstractNumId w:val="84"/>
  </w:num>
  <w:num w:numId="35">
    <w:abstractNumId w:val="137"/>
  </w:num>
  <w:num w:numId="36">
    <w:abstractNumId w:val="3"/>
  </w:num>
  <w:num w:numId="37">
    <w:abstractNumId w:val="110"/>
  </w:num>
  <w:num w:numId="38">
    <w:abstractNumId w:val="57"/>
  </w:num>
  <w:num w:numId="39">
    <w:abstractNumId w:val="102"/>
  </w:num>
  <w:num w:numId="40">
    <w:abstractNumId w:val="24"/>
  </w:num>
  <w:num w:numId="41">
    <w:abstractNumId w:val="3"/>
  </w:num>
  <w:num w:numId="42">
    <w:abstractNumId w:val="3"/>
  </w:num>
  <w:num w:numId="43">
    <w:abstractNumId w:val="3"/>
  </w:num>
  <w:num w:numId="44">
    <w:abstractNumId w:val="3"/>
  </w:num>
  <w:num w:numId="45">
    <w:abstractNumId w:val="3"/>
  </w:num>
  <w:num w:numId="46">
    <w:abstractNumId w:val="3"/>
  </w:num>
  <w:num w:numId="47">
    <w:abstractNumId w:val="49"/>
  </w:num>
  <w:num w:numId="48">
    <w:abstractNumId w:val="130"/>
  </w:num>
  <w:num w:numId="49">
    <w:abstractNumId w:val="50"/>
  </w:num>
  <w:num w:numId="50">
    <w:abstractNumId w:val="23"/>
  </w:num>
  <w:num w:numId="51">
    <w:abstractNumId w:val="142"/>
  </w:num>
  <w:num w:numId="52">
    <w:abstractNumId w:val="26"/>
  </w:num>
  <w:num w:numId="53">
    <w:abstractNumId w:val="12"/>
  </w:num>
  <w:num w:numId="54">
    <w:abstractNumId w:val="72"/>
  </w:num>
  <w:num w:numId="55">
    <w:abstractNumId w:val="143"/>
  </w:num>
  <w:num w:numId="56">
    <w:abstractNumId w:val="139"/>
  </w:num>
  <w:num w:numId="57">
    <w:abstractNumId w:val="28"/>
  </w:num>
  <w:num w:numId="58">
    <w:abstractNumId w:val="61"/>
  </w:num>
  <w:num w:numId="59">
    <w:abstractNumId w:val="104"/>
  </w:num>
  <w:num w:numId="60">
    <w:abstractNumId w:val="79"/>
  </w:num>
  <w:num w:numId="61">
    <w:abstractNumId w:val="74"/>
  </w:num>
  <w:num w:numId="62">
    <w:abstractNumId w:val="9"/>
  </w:num>
  <w:num w:numId="63">
    <w:abstractNumId w:val="52"/>
  </w:num>
  <w:num w:numId="64">
    <w:abstractNumId w:val="115"/>
  </w:num>
  <w:num w:numId="65">
    <w:abstractNumId w:val="18"/>
  </w:num>
  <w:num w:numId="66">
    <w:abstractNumId w:val="54"/>
  </w:num>
  <w:num w:numId="67">
    <w:abstractNumId w:val="33"/>
  </w:num>
  <w:num w:numId="68">
    <w:abstractNumId w:val="68"/>
  </w:num>
  <w:num w:numId="69">
    <w:abstractNumId w:val="133"/>
  </w:num>
  <w:num w:numId="70">
    <w:abstractNumId w:val="91"/>
  </w:num>
  <w:num w:numId="71">
    <w:abstractNumId w:val="67"/>
  </w:num>
  <w:num w:numId="72">
    <w:abstractNumId w:val="75"/>
  </w:num>
  <w:num w:numId="73">
    <w:abstractNumId w:val="144"/>
  </w:num>
  <w:num w:numId="74">
    <w:abstractNumId w:val="87"/>
  </w:num>
  <w:num w:numId="75">
    <w:abstractNumId w:val="89"/>
  </w:num>
  <w:num w:numId="76">
    <w:abstractNumId w:val="90"/>
  </w:num>
  <w:num w:numId="77">
    <w:abstractNumId w:val="135"/>
  </w:num>
  <w:num w:numId="78">
    <w:abstractNumId w:val="128"/>
  </w:num>
  <w:num w:numId="79">
    <w:abstractNumId w:val="118"/>
  </w:num>
  <w:num w:numId="80">
    <w:abstractNumId w:val="111"/>
  </w:num>
  <w:num w:numId="81">
    <w:abstractNumId w:val="30"/>
  </w:num>
  <w:num w:numId="82">
    <w:abstractNumId w:val="134"/>
  </w:num>
  <w:num w:numId="83">
    <w:abstractNumId w:val="25"/>
  </w:num>
  <w:num w:numId="84">
    <w:abstractNumId w:val="70"/>
  </w:num>
  <w:num w:numId="85">
    <w:abstractNumId w:val="93"/>
  </w:num>
  <w:num w:numId="86">
    <w:abstractNumId w:val="64"/>
  </w:num>
  <w:num w:numId="87">
    <w:abstractNumId w:val="88"/>
  </w:num>
  <w:num w:numId="88">
    <w:abstractNumId w:val="113"/>
  </w:num>
  <w:num w:numId="89">
    <w:abstractNumId w:val="56"/>
  </w:num>
  <w:num w:numId="90">
    <w:abstractNumId w:val="53"/>
  </w:num>
  <w:num w:numId="91">
    <w:abstractNumId w:val="96"/>
  </w:num>
  <w:num w:numId="92">
    <w:abstractNumId w:val="51"/>
  </w:num>
  <w:num w:numId="93">
    <w:abstractNumId w:val="126"/>
  </w:num>
  <w:num w:numId="94">
    <w:abstractNumId w:val="138"/>
  </w:num>
  <w:num w:numId="95">
    <w:abstractNumId w:val="99"/>
  </w:num>
  <w:num w:numId="96">
    <w:abstractNumId w:val="42"/>
  </w:num>
  <w:num w:numId="97">
    <w:abstractNumId w:val="95"/>
  </w:num>
  <w:num w:numId="98">
    <w:abstractNumId w:val="7"/>
  </w:num>
  <w:num w:numId="99">
    <w:abstractNumId w:val="114"/>
  </w:num>
  <w:num w:numId="100">
    <w:abstractNumId w:val="100"/>
  </w:num>
  <w:num w:numId="101">
    <w:abstractNumId w:val="36"/>
  </w:num>
  <w:num w:numId="102">
    <w:abstractNumId w:val="112"/>
  </w:num>
  <w:num w:numId="103">
    <w:abstractNumId w:val="131"/>
  </w:num>
  <w:num w:numId="104">
    <w:abstractNumId w:val="34"/>
  </w:num>
  <w:num w:numId="105">
    <w:abstractNumId w:val="109"/>
  </w:num>
  <w:num w:numId="106">
    <w:abstractNumId w:val="31"/>
  </w:num>
  <w:num w:numId="107">
    <w:abstractNumId w:val="81"/>
  </w:num>
  <w:num w:numId="108">
    <w:abstractNumId w:val="140"/>
  </w:num>
  <w:num w:numId="109">
    <w:abstractNumId w:val="43"/>
  </w:num>
  <w:num w:numId="110">
    <w:abstractNumId w:val="77"/>
  </w:num>
  <w:num w:numId="111">
    <w:abstractNumId w:val="80"/>
  </w:num>
  <w:num w:numId="112">
    <w:abstractNumId w:val="47"/>
  </w:num>
  <w:num w:numId="113">
    <w:abstractNumId w:val="86"/>
  </w:num>
  <w:num w:numId="114">
    <w:abstractNumId w:val="16"/>
  </w:num>
  <w:num w:numId="115">
    <w:abstractNumId w:val="107"/>
  </w:num>
  <w:num w:numId="116">
    <w:abstractNumId w:val="44"/>
  </w:num>
  <w:num w:numId="117">
    <w:abstractNumId w:val="120"/>
  </w:num>
  <w:num w:numId="118">
    <w:abstractNumId w:val="4"/>
  </w:num>
  <w:num w:numId="119">
    <w:abstractNumId w:val="116"/>
  </w:num>
  <w:num w:numId="120">
    <w:abstractNumId w:val="82"/>
  </w:num>
  <w:num w:numId="121">
    <w:abstractNumId w:val="71"/>
  </w:num>
  <w:num w:numId="122">
    <w:abstractNumId w:val="123"/>
  </w:num>
  <w:num w:numId="123">
    <w:abstractNumId w:val="19"/>
  </w:num>
  <w:num w:numId="124">
    <w:abstractNumId w:val="129"/>
  </w:num>
  <w:num w:numId="125">
    <w:abstractNumId w:val="17"/>
  </w:num>
  <w:num w:numId="126">
    <w:abstractNumId w:val="45"/>
  </w:num>
  <w:num w:numId="127">
    <w:abstractNumId w:val="41"/>
  </w:num>
  <w:num w:numId="128">
    <w:abstractNumId w:val="13"/>
  </w:num>
  <w:num w:numId="129">
    <w:abstractNumId w:val="127"/>
  </w:num>
  <w:num w:numId="130">
    <w:abstractNumId w:val="37"/>
  </w:num>
  <w:num w:numId="131">
    <w:abstractNumId w:val="40"/>
  </w:num>
  <w:num w:numId="132">
    <w:abstractNumId w:val="65"/>
  </w:num>
  <w:num w:numId="133">
    <w:abstractNumId w:val="125"/>
  </w:num>
  <w:num w:numId="134">
    <w:abstractNumId w:val="59"/>
  </w:num>
  <w:num w:numId="135">
    <w:abstractNumId w:val="22"/>
  </w:num>
  <w:num w:numId="136">
    <w:abstractNumId w:val="38"/>
  </w:num>
  <w:num w:numId="137">
    <w:abstractNumId w:val="97"/>
  </w:num>
  <w:num w:numId="138">
    <w:abstractNumId w:val="20"/>
  </w:num>
  <w:num w:numId="139">
    <w:abstractNumId w:val="136"/>
  </w:num>
  <w:num w:numId="140">
    <w:abstractNumId w:val="58"/>
  </w:num>
  <w:num w:numId="141">
    <w:abstractNumId w:val="11"/>
  </w:num>
  <w:num w:numId="142">
    <w:abstractNumId w:val="21"/>
  </w:num>
  <w:num w:numId="143">
    <w:abstractNumId w:val="141"/>
  </w:num>
  <w:num w:numId="144">
    <w:abstractNumId w:val="32"/>
  </w:num>
  <w:num w:numId="145">
    <w:abstractNumId w:val="5"/>
  </w:num>
  <w:num w:numId="146">
    <w:abstractNumId w:val="14"/>
  </w:num>
  <w:num w:numId="147">
    <w:abstractNumId w:val="83"/>
  </w:num>
  <w:num w:numId="148">
    <w:abstractNumId w:val="63"/>
  </w:num>
  <w:num w:numId="149">
    <w:abstractNumId w:val="76"/>
  </w:num>
  <w:num w:numId="150">
    <w:abstractNumId w:val="62"/>
  </w:num>
  <w:num w:numId="151">
    <w:abstractNumId w:val="119"/>
  </w:num>
  <w:num w:numId="152">
    <w:abstractNumId w:val="124"/>
  </w:num>
  <w:num w:numId="153">
    <w:abstractNumId w:val="15"/>
  </w:num>
  <w:num w:numId="154">
    <w:abstractNumId w:val="85"/>
  </w:num>
  <w:num w:numId="155">
    <w:abstractNumId w:val="66"/>
  </w:num>
  <w:num w:numId="156">
    <w:abstractNumId w:val="3"/>
  </w:num>
  <w:num w:numId="157">
    <w:abstractNumId w:val="57"/>
  </w:num>
  <w:num w:numId="158">
    <w:abstractNumId w:val="18"/>
  </w:num>
  <w:num w:numId="159">
    <w:abstractNumId w:val="55"/>
  </w:num>
  <w:num w:numId="160">
    <w:abstractNumId w:val="121"/>
  </w:num>
  <w:num w:numId="161">
    <w:abstractNumId w:val="103"/>
  </w:num>
  <w:num w:numId="162">
    <w:abstractNumId w:val="7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DB"/>
    <w:rsid w:val="00000007"/>
    <w:rsid w:val="0000004D"/>
    <w:rsid w:val="0000047C"/>
    <w:rsid w:val="00000553"/>
    <w:rsid w:val="00000BCD"/>
    <w:rsid w:val="00000BF0"/>
    <w:rsid w:val="000011F3"/>
    <w:rsid w:val="00001393"/>
    <w:rsid w:val="000016A2"/>
    <w:rsid w:val="00001910"/>
    <w:rsid w:val="0000196C"/>
    <w:rsid w:val="00001A5D"/>
    <w:rsid w:val="00001B2C"/>
    <w:rsid w:val="00001C86"/>
    <w:rsid w:val="00001FC8"/>
    <w:rsid w:val="00002048"/>
    <w:rsid w:val="000024FC"/>
    <w:rsid w:val="00002607"/>
    <w:rsid w:val="0000265A"/>
    <w:rsid w:val="00002C2A"/>
    <w:rsid w:val="00002CB0"/>
    <w:rsid w:val="00002EB1"/>
    <w:rsid w:val="0000302D"/>
    <w:rsid w:val="00003649"/>
    <w:rsid w:val="000037A4"/>
    <w:rsid w:val="00003894"/>
    <w:rsid w:val="000039D7"/>
    <w:rsid w:val="00003C35"/>
    <w:rsid w:val="00003F26"/>
    <w:rsid w:val="00004216"/>
    <w:rsid w:val="000042D3"/>
    <w:rsid w:val="000043F8"/>
    <w:rsid w:val="00004610"/>
    <w:rsid w:val="000046C3"/>
    <w:rsid w:val="00004971"/>
    <w:rsid w:val="00004B33"/>
    <w:rsid w:val="00004C62"/>
    <w:rsid w:val="00004D7D"/>
    <w:rsid w:val="00004D7E"/>
    <w:rsid w:val="00004E43"/>
    <w:rsid w:val="00004F3F"/>
    <w:rsid w:val="000051B5"/>
    <w:rsid w:val="0000522E"/>
    <w:rsid w:val="00005361"/>
    <w:rsid w:val="00005CE1"/>
    <w:rsid w:val="00005E0A"/>
    <w:rsid w:val="000064D1"/>
    <w:rsid w:val="000068EB"/>
    <w:rsid w:val="00006BFF"/>
    <w:rsid w:val="00006D14"/>
    <w:rsid w:val="00006D81"/>
    <w:rsid w:val="00006E08"/>
    <w:rsid w:val="000072C7"/>
    <w:rsid w:val="000072D8"/>
    <w:rsid w:val="000074D8"/>
    <w:rsid w:val="000076FB"/>
    <w:rsid w:val="00007BBF"/>
    <w:rsid w:val="00010667"/>
    <w:rsid w:val="000107AE"/>
    <w:rsid w:val="00010952"/>
    <w:rsid w:val="000109DE"/>
    <w:rsid w:val="00010D6D"/>
    <w:rsid w:val="000112B8"/>
    <w:rsid w:val="00011322"/>
    <w:rsid w:val="000115FB"/>
    <w:rsid w:val="0001164B"/>
    <w:rsid w:val="00011EA1"/>
    <w:rsid w:val="000129D5"/>
    <w:rsid w:val="00012A78"/>
    <w:rsid w:val="00012B5D"/>
    <w:rsid w:val="000135B1"/>
    <w:rsid w:val="000137B7"/>
    <w:rsid w:val="000138F8"/>
    <w:rsid w:val="0001399C"/>
    <w:rsid w:val="00013ED8"/>
    <w:rsid w:val="00013EDA"/>
    <w:rsid w:val="00013F4A"/>
    <w:rsid w:val="00014DAF"/>
    <w:rsid w:val="0001502A"/>
    <w:rsid w:val="000150EE"/>
    <w:rsid w:val="00015202"/>
    <w:rsid w:val="00015265"/>
    <w:rsid w:val="00015536"/>
    <w:rsid w:val="000157DD"/>
    <w:rsid w:val="00015AE7"/>
    <w:rsid w:val="00015CE2"/>
    <w:rsid w:val="000166C8"/>
    <w:rsid w:val="000168F1"/>
    <w:rsid w:val="00016E21"/>
    <w:rsid w:val="00016F53"/>
    <w:rsid w:val="0001710F"/>
    <w:rsid w:val="0001719C"/>
    <w:rsid w:val="00017275"/>
    <w:rsid w:val="000172B4"/>
    <w:rsid w:val="00017794"/>
    <w:rsid w:val="000177FB"/>
    <w:rsid w:val="00017968"/>
    <w:rsid w:val="000179DD"/>
    <w:rsid w:val="00017B12"/>
    <w:rsid w:val="00017B56"/>
    <w:rsid w:val="00017D53"/>
    <w:rsid w:val="0002013C"/>
    <w:rsid w:val="00020234"/>
    <w:rsid w:val="00020430"/>
    <w:rsid w:val="000204F1"/>
    <w:rsid w:val="0002084A"/>
    <w:rsid w:val="0002090A"/>
    <w:rsid w:val="000209ED"/>
    <w:rsid w:val="00021532"/>
    <w:rsid w:val="000215DD"/>
    <w:rsid w:val="0002181A"/>
    <w:rsid w:val="00021DAA"/>
    <w:rsid w:val="00021EA7"/>
    <w:rsid w:val="0002224E"/>
    <w:rsid w:val="00022467"/>
    <w:rsid w:val="00022622"/>
    <w:rsid w:val="00022AF7"/>
    <w:rsid w:val="00022E60"/>
    <w:rsid w:val="00022F9C"/>
    <w:rsid w:val="000232D9"/>
    <w:rsid w:val="000234B6"/>
    <w:rsid w:val="000235BF"/>
    <w:rsid w:val="00023706"/>
    <w:rsid w:val="00023755"/>
    <w:rsid w:val="00023793"/>
    <w:rsid w:val="0002390E"/>
    <w:rsid w:val="00023955"/>
    <w:rsid w:val="00023969"/>
    <w:rsid w:val="00023A36"/>
    <w:rsid w:val="00023BD8"/>
    <w:rsid w:val="00023D40"/>
    <w:rsid w:val="00023E7D"/>
    <w:rsid w:val="00023FDB"/>
    <w:rsid w:val="0002438D"/>
    <w:rsid w:val="00024478"/>
    <w:rsid w:val="000245E5"/>
    <w:rsid w:val="00024613"/>
    <w:rsid w:val="0002472A"/>
    <w:rsid w:val="000247C3"/>
    <w:rsid w:val="000247D7"/>
    <w:rsid w:val="00024B0E"/>
    <w:rsid w:val="00024B8C"/>
    <w:rsid w:val="000250AE"/>
    <w:rsid w:val="0002528C"/>
    <w:rsid w:val="00025551"/>
    <w:rsid w:val="000259A1"/>
    <w:rsid w:val="00025A58"/>
    <w:rsid w:val="000263F1"/>
    <w:rsid w:val="000264D0"/>
    <w:rsid w:val="000264DB"/>
    <w:rsid w:val="000265C1"/>
    <w:rsid w:val="0002669F"/>
    <w:rsid w:val="00026945"/>
    <w:rsid w:val="00026C7E"/>
    <w:rsid w:val="00026F91"/>
    <w:rsid w:val="0002742C"/>
    <w:rsid w:val="00027442"/>
    <w:rsid w:val="0002770D"/>
    <w:rsid w:val="000277B7"/>
    <w:rsid w:val="00027BAE"/>
    <w:rsid w:val="00030580"/>
    <w:rsid w:val="00030943"/>
    <w:rsid w:val="000309CB"/>
    <w:rsid w:val="000311E1"/>
    <w:rsid w:val="00031AD4"/>
    <w:rsid w:val="00032059"/>
    <w:rsid w:val="00032243"/>
    <w:rsid w:val="000323EF"/>
    <w:rsid w:val="000325AF"/>
    <w:rsid w:val="000325D1"/>
    <w:rsid w:val="00032621"/>
    <w:rsid w:val="00032F57"/>
    <w:rsid w:val="0003321E"/>
    <w:rsid w:val="000335DD"/>
    <w:rsid w:val="00033D45"/>
    <w:rsid w:val="00033D4F"/>
    <w:rsid w:val="000342EC"/>
    <w:rsid w:val="00034624"/>
    <w:rsid w:val="00034862"/>
    <w:rsid w:val="00034A49"/>
    <w:rsid w:val="00034D21"/>
    <w:rsid w:val="00034D4B"/>
    <w:rsid w:val="00035016"/>
    <w:rsid w:val="000350DE"/>
    <w:rsid w:val="00035170"/>
    <w:rsid w:val="0003549F"/>
    <w:rsid w:val="000354B2"/>
    <w:rsid w:val="000357FE"/>
    <w:rsid w:val="00035821"/>
    <w:rsid w:val="000359A0"/>
    <w:rsid w:val="00035C29"/>
    <w:rsid w:val="00035CEB"/>
    <w:rsid w:val="00035D79"/>
    <w:rsid w:val="000360E4"/>
    <w:rsid w:val="0003644C"/>
    <w:rsid w:val="000365BD"/>
    <w:rsid w:val="000368BB"/>
    <w:rsid w:val="00036A12"/>
    <w:rsid w:val="00036E00"/>
    <w:rsid w:val="00036E81"/>
    <w:rsid w:val="00037248"/>
    <w:rsid w:val="0003738C"/>
    <w:rsid w:val="0003740A"/>
    <w:rsid w:val="000374B0"/>
    <w:rsid w:val="000375C3"/>
    <w:rsid w:val="00037787"/>
    <w:rsid w:val="000379D9"/>
    <w:rsid w:val="00037C32"/>
    <w:rsid w:val="00037D0B"/>
    <w:rsid w:val="000400F8"/>
    <w:rsid w:val="0004029C"/>
    <w:rsid w:val="000403DB"/>
    <w:rsid w:val="00040473"/>
    <w:rsid w:val="000407F4"/>
    <w:rsid w:val="00040961"/>
    <w:rsid w:val="00040974"/>
    <w:rsid w:val="00040AE6"/>
    <w:rsid w:val="00040AED"/>
    <w:rsid w:val="00040CF0"/>
    <w:rsid w:val="00040EC4"/>
    <w:rsid w:val="000412EB"/>
    <w:rsid w:val="00041671"/>
    <w:rsid w:val="0004180A"/>
    <w:rsid w:val="000419A2"/>
    <w:rsid w:val="00041AF8"/>
    <w:rsid w:val="00041DF9"/>
    <w:rsid w:val="00041E15"/>
    <w:rsid w:val="00041E48"/>
    <w:rsid w:val="000420A9"/>
    <w:rsid w:val="00042176"/>
    <w:rsid w:val="000421FC"/>
    <w:rsid w:val="00042674"/>
    <w:rsid w:val="00042918"/>
    <w:rsid w:val="00042921"/>
    <w:rsid w:val="00042A22"/>
    <w:rsid w:val="00042B58"/>
    <w:rsid w:val="000430CA"/>
    <w:rsid w:val="00043122"/>
    <w:rsid w:val="000435AD"/>
    <w:rsid w:val="000436F5"/>
    <w:rsid w:val="00043819"/>
    <w:rsid w:val="00043C5F"/>
    <w:rsid w:val="00043DAF"/>
    <w:rsid w:val="00043F75"/>
    <w:rsid w:val="0004455C"/>
    <w:rsid w:val="000447C6"/>
    <w:rsid w:val="00044BD4"/>
    <w:rsid w:val="00044C1E"/>
    <w:rsid w:val="00044FC4"/>
    <w:rsid w:val="0004517E"/>
    <w:rsid w:val="00045478"/>
    <w:rsid w:val="00045547"/>
    <w:rsid w:val="00045DD2"/>
    <w:rsid w:val="00046093"/>
    <w:rsid w:val="00046178"/>
    <w:rsid w:val="000461F8"/>
    <w:rsid w:val="00046212"/>
    <w:rsid w:val="0004636A"/>
    <w:rsid w:val="000465D7"/>
    <w:rsid w:val="0004674B"/>
    <w:rsid w:val="0004694C"/>
    <w:rsid w:val="00046A01"/>
    <w:rsid w:val="00047025"/>
    <w:rsid w:val="0004703E"/>
    <w:rsid w:val="0004712C"/>
    <w:rsid w:val="0004764C"/>
    <w:rsid w:val="00047815"/>
    <w:rsid w:val="00047877"/>
    <w:rsid w:val="00047D04"/>
    <w:rsid w:val="0005011A"/>
    <w:rsid w:val="0005033D"/>
    <w:rsid w:val="0005045A"/>
    <w:rsid w:val="0005058F"/>
    <w:rsid w:val="00050594"/>
    <w:rsid w:val="0005086F"/>
    <w:rsid w:val="000509ED"/>
    <w:rsid w:val="00050A88"/>
    <w:rsid w:val="00050D28"/>
    <w:rsid w:val="00050DC1"/>
    <w:rsid w:val="00050F85"/>
    <w:rsid w:val="000511A9"/>
    <w:rsid w:val="000511B3"/>
    <w:rsid w:val="000513B6"/>
    <w:rsid w:val="00051A6C"/>
    <w:rsid w:val="00051C1E"/>
    <w:rsid w:val="00051C83"/>
    <w:rsid w:val="00051E02"/>
    <w:rsid w:val="00051FC6"/>
    <w:rsid w:val="00052548"/>
    <w:rsid w:val="0005295D"/>
    <w:rsid w:val="000529D1"/>
    <w:rsid w:val="00052A5C"/>
    <w:rsid w:val="00052BFC"/>
    <w:rsid w:val="00052F29"/>
    <w:rsid w:val="00053468"/>
    <w:rsid w:val="00053866"/>
    <w:rsid w:val="0005394B"/>
    <w:rsid w:val="000539F9"/>
    <w:rsid w:val="00053BD8"/>
    <w:rsid w:val="0005424A"/>
    <w:rsid w:val="00054692"/>
    <w:rsid w:val="00054ACB"/>
    <w:rsid w:val="00054C27"/>
    <w:rsid w:val="00055267"/>
    <w:rsid w:val="0005532A"/>
    <w:rsid w:val="000557F1"/>
    <w:rsid w:val="000558CA"/>
    <w:rsid w:val="0005590D"/>
    <w:rsid w:val="00055A60"/>
    <w:rsid w:val="00055EC3"/>
    <w:rsid w:val="00056041"/>
    <w:rsid w:val="000560A7"/>
    <w:rsid w:val="000563CE"/>
    <w:rsid w:val="0005649F"/>
    <w:rsid w:val="000564DC"/>
    <w:rsid w:val="000564E5"/>
    <w:rsid w:val="00056BA8"/>
    <w:rsid w:val="00056E51"/>
    <w:rsid w:val="00056EF9"/>
    <w:rsid w:val="0005731D"/>
    <w:rsid w:val="000574AD"/>
    <w:rsid w:val="000579F5"/>
    <w:rsid w:val="00057D9B"/>
    <w:rsid w:val="00057F54"/>
    <w:rsid w:val="00060081"/>
    <w:rsid w:val="00060243"/>
    <w:rsid w:val="000607E1"/>
    <w:rsid w:val="00060A0D"/>
    <w:rsid w:val="00060C69"/>
    <w:rsid w:val="00060C9F"/>
    <w:rsid w:val="00060D0D"/>
    <w:rsid w:val="0006114D"/>
    <w:rsid w:val="00061412"/>
    <w:rsid w:val="00061582"/>
    <w:rsid w:val="00061849"/>
    <w:rsid w:val="0006188B"/>
    <w:rsid w:val="000618D0"/>
    <w:rsid w:val="00061918"/>
    <w:rsid w:val="000619D0"/>
    <w:rsid w:val="000619E4"/>
    <w:rsid w:val="00061BD0"/>
    <w:rsid w:val="00061E4D"/>
    <w:rsid w:val="00062145"/>
    <w:rsid w:val="00062876"/>
    <w:rsid w:val="000628AC"/>
    <w:rsid w:val="00062A04"/>
    <w:rsid w:val="00062A32"/>
    <w:rsid w:val="00062C03"/>
    <w:rsid w:val="00062C8D"/>
    <w:rsid w:val="00063083"/>
    <w:rsid w:val="00063329"/>
    <w:rsid w:val="00063340"/>
    <w:rsid w:val="00063973"/>
    <w:rsid w:val="00063E61"/>
    <w:rsid w:val="00064A28"/>
    <w:rsid w:val="00064C20"/>
    <w:rsid w:val="00064C6B"/>
    <w:rsid w:val="00064C87"/>
    <w:rsid w:val="00065158"/>
    <w:rsid w:val="00065421"/>
    <w:rsid w:val="000659B6"/>
    <w:rsid w:val="00065C9E"/>
    <w:rsid w:val="00065F82"/>
    <w:rsid w:val="000660B0"/>
    <w:rsid w:val="00066351"/>
    <w:rsid w:val="000664E8"/>
    <w:rsid w:val="000665B6"/>
    <w:rsid w:val="0006686F"/>
    <w:rsid w:val="00066877"/>
    <w:rsid w:val="00066BB4"/>
    <w:rsid w:val="00066F32"/>
    <w:rsid w:val="0006722A"/>
    <w:rsid w:val="00067282"/>
    <w:rsid w:val="000676B0"/>
    <w:rsid w:val="00067932"/>
    <w:rsid w:val="00067B5A"/>
    <w:rsid w:val="00067CC6"/>
    <w:rsid w:val="0007064C"/>
    <w:rsid w:val="00070977"/>
    <w:rsid w:val="00070BAF"/>
    <w:rsid w:val="00071371"/>
    <w:rsid w:val="00071643"/>
    <w:rsid w:val="00071A18"/>
    <w:rsid w:val="00071B06"/>
    <w:rsid w:val="00071B2C"/>
    <w:rsid w:val="00071D89"/>
    <w:rsid w:val="00072188"/>
    <w:rsid w:val="000721B3"/>
    <w:rsid w:val="000723AC"/>
    <w:rsid w:val="00072834"/>
    <w:rsid w:val="000729E5"/>
    <w:rsid w:val="00072ABC"/>
    <w:rsid w:val="00072D80"/>
    <w:rsid w:val="00072ECB"/>
    <w:rsid w:val="00072EDB"/>
    <w:rsid w:val="000731BB"/>
    <w:rsid w:val="00073205"/>
    <w:rsid w:val="000732C1"/>
    <w:rsid w:val="000732CF"/>
    <w:rsid w:val="000732D8"/>
    <w:rsid w:val="00073699"/>
    <w:rsid w:val="00073C3B"/>
    <w:rsid w:val="00073EEB"/>
    <w:rsid w:val="00074093"/>
    <w:rsid w:val="00074201"/>
    <w:rsid w:val="00074224"/>
    <w:rsid w:val="00074339"/>
    <w:rsid w:val="00074583"/>
    <w:rsid w:val="000745C2"/>
    <w:rsid w:val="000745D0"/>
    <w:rsid w:val="00074798"/>
    <w:rsid w:val="00074AB9"/>
    <w:rsid w:val="00074D46"/>
    <w:rsid w:val="00074EEB"/>
    <w:rsid w:val="00075922"/>
    <w:rsid w:val="00075B96"/>
    <w:rsid w:val="00075DA1"/>
    <w:rsid w:val="0007615A"/>
    <w:rsid w:val="0007659A"/>
    <w:rsid w:val="000765FD"/>
    <w:rsid w:val="000769B3"/>
    <w:rsid w:val="00076A24"/>
    <w:rsid w:val="00076ABF"/>
    <w:rsid w:val="00076BC8"/>
    <w:rsid w:val="00076DBB"/>
    <w:rsid w:val="000770F9"/>
    <w:rsid w:val="0007732C"/>
    <w:rsid w:val="00077405"/>
    <w:rsid w:val="00077587"/>
    <w:rsid w:val="0007777B"/>
    <w:rsid w:val="00077CD8"/>
    <w:rsid w:val="00077D38"/>
    <w:rsid w:val="00080011"/>
    <w:rsid w:val="000806C7"/>
    <w:rsid w:val="0008091F"/>
    <w:rsid w:val="00080946"/>
    <w:rsid w:val="000809D1"/>
    <w:rsid w:val="00080F1C"/>
    <w:rsid w:val="00080F25"/>
    <w:rsid w:val="0008138E"/>
    <w:rsid w:val="0008146A"/>
    <w:rsid w:val="0008196A"/>
    <w:rsid w:val="000819C9"/>
    <w:rsid w:val="00082284"/>
    <w:rsid w:val="00082291"/>
    <w:rsid w:val="000828AC"/>
    <w:rsid w:val="00082956"/>
    <w:rsid w:val="00082B84"/>
    <w:rsid w:val="00083360"/>
    <w:rsid w:val="000836B6"/>
    <w:rsid w:val="00083903"/>
    <w:rsid w:val="00083960"/>
    <w:rsid w:val="00083C45"/>
    <w:rsid w:val="000842E0"/>
    <w:rsid w:val="0008448B"/>
    <w:rsid w:val="00084558"/>
    <w:rsid w:val="000846C8"/>
    <w:rsid w:val="00084A7C"/>
    <w:rsid w:val="00084AFF"/>
    <w:rsid w:val="00084EC1"/>
    <w:rsid w:val="00084F4B"/>
    <w:rsid w:val="00085298"/>
    <w:rsid w:val="000853DB"/>
    <w:rsid w:val="000855C2"/>
    <w:rsid w:val="000861D8"/>
    <w:rsid w:val="0008631B"/>
    <w:rsid w:val="00086346"/>
    <w:rsid w:val="0008691E"/>
    <w:rsid w:val="00086A48"/>
    <w:rsid w:val="00086D4F"/>
    <w:rsid w:val="00086DC4"/>
    <w:rsid w:val="00086EAA"/>
    <w:rsid w:val="00086F21"/>
    <w:rsid w:val="00086FC4"/>
    <w:rsid w:val="00087421"/>
    <w:rsid w:val="000874FC"/>
    <w:rsid w:val="000878B8"/>
    <w:rsid w:val="000878EC"/>
    <w:rsid w:val="00087BB3"/>
    <w:rsid w:val="00090A85"/>
    <w:rsid w:val="00090B0A"/>
    <w:rsid w:val="0009115D"/>
    <w:rsid w:val="00091335"/>
    <w:rsid w:val="00091378"/>
    <w:rsid w:val="000915ED"/>
    <w:rsid w:val="000916EC"/>
    <w:rsid w:val="0009174A"/>
    <w:rsid w:val="00091E3D"/>
    <w:rsid w:val="00091ED6"/>
    <w:rsid w:val="00091F15"/>
    <w:rsid w:val="00092034"/>
    <w:rsid w:val="0009209D"/>
    <w:rsid w:val="000921D5"/>
    <w:rsid w:val="0009257B"/>
    <w:rsid w:val="0009296B"/>
    <w:rsid w:val="00092C96"/>
    <w:rsid w:val="00092EE8"/>
    <w:rsid w:val="000932E9"/>
    <w:rsid w:val="00093346"/>
    <w:rsid w:val="00093387"/>
    <w:rsid w:val="000935D2"/>
    <w:rsid w:val="0009397F"/>
    <w:rsid w:val="00093CFC"/>
    <w:rsid w:val="00093F5D"/>
    <w:rsid w:val="000942C3"/>
    <w:rsid w:val="0009442A"/>
    <w:rsid w:val="0009463C"/>
    <w:rsid w:val="000946EC"/>
    <w:rsid w:val="0009494C"/>
    <w:rsid w:val="00094A71"/>
    <w:rsid w:val="00094B5B"/>
    <w:rsid w:val="00094FD0"/>
    <w:rsid w:val="000954A7"/>
    <w:rsid w:val="0009558A"/>
    <w:rsid w:val="00095E2F"/>
    <w:rsid w:val="00095FC3"/>
    <w:rsid w:val="000960C8"/>
    <w:rsid w:val="00096201"/>
    <w:rsid w:val="0009623A"/>
    <w:rsid w:val="0009691F"/>
    <w:rsid w:val="000969BD"/>
    <w:rsid w:val="000969BF"/>
    <w:rsid w:val="00096CC6"/>
    <w:rsid w:val="00097379"/>
    <w:rsid w:val="000973A1"/>
    <w:rsid w:val="0009751D"/>
    <w:rsid w:val="00097786"/>
    <w:rsid w:val="0009789A"/>
    <w:rsid w:val="000979A2"/>
    <w:rsid w:val="00097A1C"/>
    <w:rsid w:val="00097A73"/>
    <w:rsid w:val="00097B03"/>
    <w:rsid w:val="00097E44"/>
    <w:rsid w:val="000A001E"/>
    <w:rsid w:val="000A005A"/>
    <w:rsid w:val="000A00ED"/>
    <w:rsid w:val="000A0239"/>
    <w:rsid w:val="000A031E"/>
    <w:rsid w:val="000A03CC"/>
    <w:rsid w:val="000A05A6"/>
    <w:rsid w:val="000A0745"/>
    <w:rsid w:val="000A0970"/>
    <w:rsid w:val="000A0A23"/>
    <w:rsid w:val="000A0C22"/>
    <w:rsid w:val="000A0C8A"/>
    <w:rsid w:val="000A0EAD"/>
    <w:rsid w:val="000A0ED2"/>
    <w:rsid w:val="000A0FF5"/>
    <w:rsid w:val="000A102F"/>
    <w:rsid w:val="000A1333"/>
    <w:rsid w:val="000A1400"/>
    <w:rsid w:val="000A17C0"/>
    <w:rsid w:val="000A1CF8"/>
    <w:rsid w:val="000A1E5B"/>
    <w:rsid w:val="000A2174"/>
    <w:rsid w:val="000A24C9"/>
    <w:rsid w:val="000A25DB"/>
    <w:rsid w:val="000A266A"/>
    <w:rsid w:val="000A2BCF"/>
    <w:rsid w:val="000A2E06"/>
    <w:rsid w:val="000A351D"/>
    <w:rsid w:val="000A3665"/>
    <w:rsid w:val="000A3A04"/>
    <w:rsid w:val="000A3C43"/>
    <w:rsid w:val="000A4179"/>
    <w:rsid w:val="000A42DF"/>
    <w:rsid w:val="000A4A51"/>
    <w:rsid w:val="000A4F1F"/>
    <w:rsid w:val="000A4FAC"/>
    <w:rsid w:val="000A5199"/>
    <w:rsid w:val="000A523E"/>
    <w:rsid w:val="000A5568"/>
    <w:rsid w:val="000A5A5E"/>
    <w:rsid w:val="000A5BCD"/>
    <w:rsid w:val="000A5D2B"/>
    <w:rsid w:val="000A61E0"/>
    <w:rsid w:val="000A62D6"/>
    <w:rsid w:val="000A654A"/>
    <w:rsid w:val="000A662D"/>
    <w:rsid w:val="000A6AE5"/>
    <w:rsid w:val="000A6B53"/>
    <w:rsid w:val="000A6C21"/>
    <w:rsid w:val="000A6D77"/>
    <w:rsid w:val="000A6DFC"/>
    <w:rsid w:val="000A6E7F"/>
    <w:rsid w:val="000A6F78"/>
    <w:rsid w:val="000A7365"/>
    <w:rsid w:val="000A73AE"/>
    <w:rsid w:val="000A76FF"/>
    <w:rsid w:val="000A7E04"/>
    <w:rsid w:val="000A7E7B"/>
    <w:rsid w:val="000A7ED7"/>
    <w:rsid w:val="000B010B"/>
    <w:rsid w:val="000B022E"/>
    <w:rsid w:val="000B02B5"/>
    <w:rsid w:val="000B05BB"/>
    <w:rsid w:val="000B066A"/>
    <w:rsid w:val="000B077E"/>
    <w:rsid w:val="000B0D1B"/>
    <w:rsid w:val="000B0F3C"/>
    <w:rsid w:val="000B1042"/>
    <w:rsid w:val="000B1685"/>
    <w:rsid w:val="000B1781"/>
    <w:rsid w:val="000B17E9"/>
    <w:rsid w:val="000B191A"/>
    <w:rsid w:val="000B1CA0"/>
    <w:rsid w:val="000B20AF"/>
    <w:rsid w:val="000B26DB"/>
    <w:rsid w:val="000B2765"/>
    <w:rsid w:val="000B2AE4"/>
    <w:rsid w:val="000B3029"/>
    <w:rsid w:val="000B37F6"/>
    <w:rsid w:val="000B3820"/>
    <w:rsid w:val="000B3945"/>
    <w:rsid w:val="000B39EB"/>
    <w:rsid w:val="000B3C03"/>
    <w:rsid w:val="000B3F9E"/>
    <w:rsid w:val="000B4084"/>
    <w:rsid w:val="000B424A"/>
    <w:rsid w:val="000B42AC"/>
    <w:rsid w:val="000B4620"/>
    <w:rsid w:val="000B4664"/>
    <w:rsid w:val="000B480F"/>
    <w:rsid w:val="000B490B"/>
    <w:rsid w:val="000B4A52"/>
    <w:rsid w:val="000B4FBF"/>
    <w:rsid w:val="000B5652"/>
    <w:rsid w:val="000B577D"/>
    <w:rsid w:val="000B5B23"/>
    <w:rsid w:val="000B5C6A"/>
    <w:rsid w:val="000B5D5D"/>
    <w:rsid w:val="000B5DE3"/>
    <w:rsid w:val="000B5E59"/>
    <w:rsid w:val="000B6061"/>
    <w:rsid w:val="000B6619"/>
    <w:rsid w:val="000B6911"/>
    <w:rsid w:val="000B6954"/>
    <w:rsid w:val="000B6A08"/>
    <w:rsid w:val="000B6AEE"/>
    <w:rsid w:val="000B6BDE"/>
    <w:rsid w:val="000B752D"/>
    <w:rsid w:val="000B764F"/>
    <w:rsid w:val="000B783C"/>
    <w:rsid w:val="000B7924"/>
    <w:rsid w:val="000B7A19"/>
    <w:rsid w:val="000B7A9E"/>
    <w:rsid w:val="000B7B2F"/>
    <w:rsid w:val="000C02D2"/>
    <w:rsid w:val="000C05CB"/>
    <w:rsid w:val="000C08D6"/>
    <w:rsid w:val="000C0A57"/>
    <w:rsid w:val="000C0C07"/>
    <w:rsid w:val="000C0ECC"/>
    <w:rsid w:val="000C1041"/>
    <w:rsid w:val="000C1178"/>
    <w:rsid w:val="000C140F"/>
    <w:rsid w:val="000C141F"/>
    <w:rsid w:val="000C1571"/>
    <w:rsid w:val="000C1678"/>
    <w:rsid w:val="000C17D7"/>
    <w:rsid w:val="000C19E3"/>
    <w:rsid w:val="000C1B78"/>
    <w:rsid w:val="000C1DFA"/>
    <w:rsid w:val="000C200F"/>
    <w:rsid w:val="000C230C"/>
    <w:rsid w:val="000C26E0"/>
    <w:rsid w:val="000C2824"/>
    <w:rsid w:val="000C2BD4"/>
    <w:rsid w:val="000C2BEF"/>
    <w:rsid w:val="000C2DF3"/>
    <w:rsid w:val="000C34AA"/>
    <w:rsid w:val="000C3A67"/>
    <w:rsid w:val="000C3FB9"/>
    <w:rsid w:val="000C4134"/>
    <w:rsid w:val="000C445A"/>
    <w:rsid w:val="000C44E8"/>
    <w:rsid w:val="000C46B0"/>
    <w:rsid w:val="000C477B"/>
    <w:rsid w:val="000C4817"/>
    <w:rsid w:val="000C490C"/>
    <w:rsid w:val="000C49BF"/>
    <w:rsid w:val="000C4ABB"/>
    <w:rsid w:val="000C5047"/>
    <w:rsid w:val="000C55DF"/>
    <w:rsid w:val="000C56CE"/>
    <w:rsid w:val="000C5794"/>
    <w:rsid w:val="000C59C1"/>
    <w:rsid w:val="000C5A32"/>
    <w:rsid w:val="000C5E2C"/>
    <w:rsid w:val="000C6028"/>
    <w:rsid w:val="000C6104"/>
    <w:rsid w:val="000C687E"/>
    <w:rsid w:val="000C6A13"/>
    <w:rsid w:val="000C6AB4"/>
    <w:rsid w:val="000C6E5B"/>
    <w:rsid w:val="000C6FF2"/>
    <w:rsid w:val="000C712C"/>
    <w:rsid w:val="000C7581"/>
    <w:rsid w:val="000C75E5"/>
    <w:rsid w:val="000C76F4"/>
    <w:rsid w:val="000C77D7"/>
    <w:rsid w:val="000C7973"/>
    <w:rsid w:val="000C7A85"/>
    <w:rsid w:val="000C7D78"/>
    <w:rsid w:val="000C7EAF"/>
    <w:rsid w:val="000C7F47"/>
    <w:rsid w:val="000D0056"/>
    <w:rsid w:val="000D0333"/>
    <w:rsid w:val="000D03B4"/>
    <w:rsid w:val="000D0BA2"/>
    <w:rsid w:val="000D0D1F"/>
    <w:rsid w:val="000D0D9C"/>
    <w:rsid w:val="000D0F94"/>
    <w:rsid w:val="000D1047"/>
    <w:rsid w:val="000D10EE"/>
    <w:rsid w:val="000D11EF"/>
    <w:rsid w:val="000D120D"/>
    <w:rsid w:val="000D171F"/>
    <w:rsid w:val="000D175F"/>
    <w:rsid w:val="000D1E74"/>
    <w:rsid w:val="000D2456"/>
    <w:rsid w:val="000D247F"/>
    <w:rsid w:val="000D2618"/>
    <w:rsid w:val="000D2C05"/>
    <w:rsid w:val="000D3347"/>
    <w:rsid w:val="000D35AA"/>
    <w:rsid w:val="000D35E2"/>
    <w:rsid w:val="000D3C0C"/>
    <w:rsid w:val="000D40E1"/>
    <w:rsid w:val="000D46EF"/>
    <w:rsid w:val="000D49D9"/>
    <w:rsid w:val="000D4F3E"/>
    <w:rsid w:val="000D5346"/>
    <w:rsid w:val="000D5ACF"/>
    <w:rsid w:val="000D5B48"/>
    <w:rsid w:val="000D5F2A"/>
    <w:rsid w:val="000D5FB0"/>
    <w:rsid w:val="000D6279"/>
    <w:rsid w:val="000D673A"/>
    <w:rsid w:val="000D6E29"/>
    <w:rsid w:val="000D6F9E"/>
    <w:rsid w:val="000D71D9"/>
    <w:rsid w:val="000D71EF"/>
    <w:rsid w:val="000D7226"/>
    <w:rsid w:val="000D76E0"/>
    <w:rsid w:val="000D7723"/>
    <w:rsid w:val="000D7E8B"/>
    <w:rsid w:val="000E01EB"/>
    <w:rsid w:val="000E02E3"/>
    <w:rsid w:val="000E061E"/>
    <w:rsid w:val="000E0626"/>
    <w:rsid w:val="000E063A"/>
    <w:rsid w:val="000E09BA"/>
    <w:rsid w:val="000E0A59"/>
    <w:rsid w:val="000E0B7C"/>
    <w:rsid w:val="000E0E4D"/>
    <w:rsid w:val="000E1015"/>
    <w:rsid w:val="000E1131"/>
    <w:rsid w:val="000E14C3"/>
    <w:rsid w:val="000E1BA1"/>
    <w:rsid w:val="000E1D90"/>
    <w:rsid w:val="000E1F7B"/>
    <w:rsid w:val="000E222A"/>
    <w:rsid w:val="000E2371"/>
    <w:rsid w:val="000E2770"/>
    <w:rsid w:val="000E2EE5"/>
    <w:rsid w:val="000E3391"/>
    <w:rsid w:val="000E34BC"/>
    <w:rsid w:val="000E3AB7"/>
    <w:rsid w:val="000E3BA4"/>
    <w:rsid w:val="000E3D37"/>
    <w:rsid w:val="000E3D46"/>
    <w:rsid w:val="000E4117"/>
    <w:rsid w:val="000E4449"/>
    <w:rsid w:val="000E4D20"/>
    <w:rsid w:val="000E4FAE"/>
    <w:rsid w:val="000E50B3"/>
    <w:rsid w:val="000E50EA"/>
    <w:rsid w:val="000E556B"/>
    <w:rsid w:val="000E5A7B"/>
    <w:rsid w:val="000E5CAE"/>
    <w:rsid w:val="000E5D47"/>
    <w:rsid w:val="000E6097"/>
    <w:rsid w:val="000E648B"/>
    <w:rsid w:val="000E6AFA"/>
    <w:rsid w:val="000E7113"/>
    <w:rsid w:val="000E715B"/>
    <w:rsid w:val="000E7B52"/>
    <w:rsid w:val="000E7EDB"/>
    <w:rsid w:val="000F028D"/>
    <w:rsid w:val="000F086F"/>
    <w:rsid w:val="000F0A8D"/>
    <w:rsid w:val="000F0A8F"/>
    <w:rsid w:val="000F0E6B"/>
    <w:rsid w:val="000F1046"/>
    <w:rsid w:val="000F1079"/>
    <w:rsid w:val="000F126E"/>
    <w:rsid w:val="000F194D"/>
    <w:rsid w:val="000F1968"/>
    <w:rsid w:val="000F19A5"/>
    <w:rsid w:val="000F1B16"/>
    <w:rsid w:val="000F1C2B"/>
    <w:rsid w:val="000F1DBC"/>
    <w:rsid w:val="000F239D"/>
    <w:rsid w:val="000F2BAC"/>
    <w:rsid w:val="000F2C6B"/>
    <w:rsid w:val="000F2DAA"/>
    <w:rsid w:val="000F2E0A"/>
    <w:rsid w:val="000F2E12"/>
    <w:rsid w:val="000F2E52"/>
    <w:rsid w:val="000F2EC2"/>
    <w:rsid w:val="000F2EE9"/>
    <w:rsid w:val="000F2F99"/>
    <w:rsid w:val="000F2FB6"/>
    <w:rsid w:val="000F395B"/>
    <w:rsid w:val="000F3AFB"/>
    <w:rsid w:val="000F40EE"/>
    <w:rsid w:val="000F412D"/>
    <w:rsid w:val="000F42E2"/>
    <w:rsid w:val="000F4390"/>
    <w:rsid w:val="000F4672"/>
    <w:rsid w:val="000F46BB"/>
    <w:rsid w:val="000F4D64"/>
    <w:rsid w:val="000F4D68"/>
    <w:rsid w:val="000F4FF9"/>
    <w:rsid w:val="000F54F0"/>
    <w:rsid w:val="000F5504"/>
    <w:rsid w:val="000F5C7A"/>
    <w:rsid w:val="000F6377"/>
    <w:rsid w:val="000F6833"/>
    <w:rsid w:val="000F6C09"/>
    <w:rsid w:val="000F6EBA"/>
    <w:rsid w:val="000F740E"/>
    <w:rsid w:val="000F760B"/>
    <w:rsid w:val="000F76BC"/>
    <w:rsid w:val="000F78E4"/>
    <w:rsid w:val="000F7B9F"/>
    <w:rsid w:val="000F7BBC"/>
    <w:rsid w:val="000F7C0D"/>
    <w:rsid w:val="0010035B"/>
    <w:rsid w:val="0010046D"/>
    <w:rsid w:val="00100BAC"/>
    <w:rsid w:val="00100D08"/>
    <w:rsid w:val="00101179"/>
    <w:rsid w:val="0010161D"/>
    <w:rsid w:val="0010191B"/>
    <w:rsid w:val="00101AB5"/>
    <w:rsid w:val="00101B3C"/>
    <w:rsid w:val="001021E4"/>
    <w:rsid w:val="0010230F"/>
    <w:rsid w:val="0010254F"/>
    <w:rsid w:val="0010288A"/>
    <w:rsid w:val="00102A61"/>
    <w:rsid w:val="00102D9C"/>
    <w:rsid w:val="00102DA1"/>
    <w:rsid w:val="00102F93"/>
    <w:rsid w:val="001034AE"/>
    <w:rsid w:val="00103779"/>
    <w:rsid w:val="00103829"/>
    <w:rsid w:val="00103968"/>
    <w:rsid w:val="001039DF"/>
    <w:rsid w:val="00103AEC"/>
    <w:rsid w:val="00103C87"/>
    <w:rsid w:val="0010422C"/>
    <w:rsid w:val="001045B3"/>
    <w:rsid w:val="001045D6"/>
    <w:rsid w:val="00104622"/>
    <w:rsid w:val="0010472A"/>
    <w:rsid w:val="001047F8"/>
    <w:rsid w:val="00104921"/>
    <w:rsid w:val="00104FAA"/>
    <w:rsid w:val="0010518F"/>
    <w:rsid w:val="001055E2"/>
    <w:rsid w:val="001058CC"/>
    <w:rsid w:val="0010596F"/>
    <w:rsid w:val="00105CFB"/>
    <w:rsid w:val="00105DF0"/>
    <w:rsid w:val="00105FE7"/>
    <w:rsid w:val="00106143"/>
    <w:rsid w:val="001066BE"/>
    <w:rsid w:val="0010670A"/>
    <w:rsid w:val="00106DA0"/>
    <w:rsid w:val="001072A8"/>
    <w:rsid w:val="00107324"/>
    <w:rsid w:val="001073D0"/>
    <w:rsid w:val="001078C0"/>
    <w:rsid w:val="00107F28"/>
    <w:rsid w:val="00107F99"/>
    <w:rsid w:val="0011012C"/>
    <w:rsid w:val="0011044E"/>
    <w:rsid w:val="00110759"/>
    <w:rsid w:val="001107B6"/>
    <w:rsid w:val="00110C6D"/>
    <w:rsid w:val="00110E82"/>
    <w:rsid w:val="00110F89"/>
    <w:rsid w:val="001112E3"/>
    <w:rsid w:val="0011135E"/>
    <w:rsid w:val="00111BA6"/>
    <w:rsid w:val="00111CDE"/>
    <w:rsid w:val="00111FCE"/>
    <w:rsid w:val="001123A6"/>
    <w:rsid w:val="00112A6B"/>
    <w:rsid w:val="00112EC1"/>
    <w:rsid w:val="001136C0"/>
    <w:rsid w:val="00113EAC"/>
    <w:rsid w:val="00114199"/>
    <w:rsid w:val="00114849"/>
    <w:rsid w:val="00114C57"/>
    <w:rsid w:val="00114D2B"/>
    <w:rsid w:val="0011517E"/>
    <w:rsid w:val="001155B3"/>
    <w:rsid w:val="00115628"/>
    <w:rsid w:val="001156C2"/>
    <w:rsid w:val="00115C7C"/>
    <w:rsid w:val="00115EB6"/>
    <w:rsid w:val="001160A3"/>
    <w:rsid w:val="00116455"/>
    <w:rsid w:val="0011650D"/>
    <w:rsid w:val="0011697C"/>
    <w:rsid w:val="001169D1"/>
    <w:rsid w:val="00116DEB"/>
    <w:rsid w:val="00117153"/>
    <w:rsid w:val="00117206"/>
    <w:rsid w:val="001173AD"/>
    <w:rsid w:val="001174BF"/>
    <w:rsid w:val="00117580"/>
    <w:rsid w:val="00117819"/>
    <w:rsid w:val="00117B2F"/>
    <w:rsid w:val="00117E99"/>
    <w:rsid w:val="001200FA"/>
    <w:rsid w:val="00120313"/>
    <w:rsid w:val="00120314"/>
    <w:rsid w:val="00120366"/>
    <w:rsid w:val="00121369"/>
    <w:rsid w:val="00121425"/>
    <w:rsid w:val="00121A79"/>
    <w:rsid w:val="00121C82"/>
    <w:rsid w:val="00121F29"/>
    <w:rsid w:val="0012236F"/>
    <w:rsid w:val="00122696"/>
    <w:rsid w:val="00122743"/>
    <w:rsid w:val="001229A5"/>
    <w:rsid w:val="00122B24"/>
    <w:rsid w:val="00122CC1"/>
    <w:rsid w:val="00122E00"/>
    <w:rsid w:val="00122FF1"/>
    <w:rsid w:val="0012303E"/>
    <w:rsid w:val="001231BB"/>
    <w:rsid w:val="001231D8"/>
    <w:rsid w:val="001236DC"/>
    <w:rsid w:val="00123875"/>
    <w:rsid w:val="00123CE3"/>
    <w:rsid w:val="00123F9A"/>
    <w:rsid w:val="00123FBB"/>
    <w:rsid w:val="00124215"/>
    <w:rsid w:val="001244D8"/>
    <w:rsid w:val="001247FA"/>
    <w:rsid w:val="0012489B"/>
    <w:rsid w:val="00124A41"/>
    <w:rsid w:val="00124FEC"/>
    <w:rsid w:val="00125036"/>
    <w:rsid w:val="00125310"/>
    <w:rsid w:val="0012578F"/>
    <w:rsid w:val="00125824"/>
    <w:rsid w:val="00125D57"/>
    <w:rsid w:val="00126063"/>
    <w:rsid w:val="00126567"/>
    <w:rsid w:val="001265BA"/>
    <w:rsid w:val="001265FD"/>
    <w:rsid w:val="00126832"/>
    <w:rsid w:val="00126A28"/>
    <w:rsid w:val="00126B68"/>
    <w:rsid w:val="00126D34"/>
    <w:rsid w:val="00126E00"/>
    <w:rsid w:val="00126FB0"/>
    <w:rsid w:val="00127004"/>
    <w:rsid w:val="00127643"/>
    <w:rsid w:val="00127712"/>
    <w:rsid w:val="00127ADF"/>
    <w:rsid w:val="00127B6A"/>
    <w:rsid w:val="00127C09"/>
    <w:rsid w:val="00127DF0"/>
    <w:rsid w:val="00130017"/>
    <w:rsid w:val="00130040"/>
    <w:rsid w:val="0013016D"/>
    <w:rsid w:val="001301D2"/>
    <w:rsid w:val="0013039C"/>
    <w:rsid w:val="001303A1"/>
    <w:rsid w:val="001304BE"/>
    <w:rsid w:val="001305B7"/>
    <w:rsid w:val="00130616"/>
    <w:rsid w:val="001307C6"/>
    <w:rsid w:val="0013092B"/>
    <w:rsid w:val="00130F12"/>
    <w:rsid w:val="00130F91"/>
    <w:rsid w:val="001310C8"/>
    <w:rsid w:val="00131338"/>
    <w:rsid w:val="00131758"/>
    <w:rsid w:val="001318B9"/>
    <w:rsid w:val="001318FE"/>
    <w:rsid w:val="00131A0F"/>
    <w:rsid w:val="00131DEF"/>
    <w:rsid w:val="00131E9C"/>
    <w:rsid w:val="00132209"/>
    <w:rsid w:val="00132853"/>
    <w:rsid w:val="00132EE9"/>
    <w:rsid w:val="00132FC1"/>
    <w:rsid w:val="001331AB"/>
    <w:rsid w:val="001331BB"/>
    <w:rsid w:val="00133A71"/>
    <w:rsid w:val="00133D5D"/>
    <w:rsid w:val="001340D4"/>
    <w:rsid w:val="001340E5"/>
    <w:rsid w:val="00134278"/>
    <w:rsid w:val="00134471"/>
    <w:rsid w:val="001349C5"/>
    <w:rsid w:val="001349ED"/>
    <w:rsid w:val="00134E7E"/>
    <w:rsid w:val="001351DA"/>
    <w:rsid w:val="001352C1"/>
    <w:rsid w:val="00135510"/>
    <w:rsid w:val="001356CB"/>
    <w:rsid w:val="001357A0"/>
    <w:rsid w:val="00135A09"/>
    <w:rsid w:val="00136124"/>
    <w:rsid w:val="00136127"/>
    <w:rsid w:val="00136623"/>
    <w:rsid w:val="00136AD3"/>
    <w:rsid w:val="00136DC8"/>
    <w:rsid w:val="00136F2A"/>
    <w:rsid w:val="00137424"/>
    <w:rsid w:val="001375E9"/>
    <w:rsid w:val="00137801"/>
    <w:rsid w:val="001378B1"/>
    <w:rsid w:val="00137C00"/>
    <w:rsid w:val="00137CBE"/>
    <w:rsid w:val="00137E66"/>
    <w:rsid w:val="00137F3F"/>
    <w:rsid w:val="0014009D"/>
    <w:rsid w:val="00140318"/>
    <w:rsid w:val="0014036D"/>
    <w:rsid w:val="00140571"/>
    <w:rsid w:val="00140743"/>
    <w:rsid w:val="00140B6B"/>
    <w:rsid w:val="00140D6A"/>
    <w:rsid w:val="00140E1B"/>
    <w:rsid w:val="00140F8A"/>
    <w:rsid w:val="00140FA6"/>
    <w:rsid w:val="001410F3"/>
    <w:rsid w:val="001411FE"/>
    <w:rsid w:val="00141212"/>
    <w:rsid w:val="00141662"/>
    <w:rsid w:val="001416E6"/>
    <w:rsid w:val="0014185D"/>
    <w:rsid w:val="0014191D"/>
    <w:rsid w:val="00141AD9"/>
    <w:rsid w:val="00141D33"/>
    <w:rsid w:val="00142246"/>
    <w:rsid w:val="001423CD"/>
    <w:rsid w:val="0014243D"/>
    <w:rsid w:val="001427EE"/>
    <w:rsid w:val="00142D19"/>
    <w:rsid w:val="00142F36"/>
    <w:rsid w:val="00143111"/>
    <w:rsid w:val="00143195"/>
    <w:rsid w:val="001437FA"/>
    <w:rsid w:val="00143BB8"/>
    <w:rsid w:val="001440DA"/>
    <w:rsid w:val="0014421F"/>
    <w:rsid w:val="0014423C"/>
    <w:rsid w:val="00144350"/>
    <w:rsid w:val="001443D8"/>
    <w:rsid w:val="0014457C"/>
    <w:rsid w:val="0014471B"/>
    <w:rsid w:val="0014473C"/>
    <w:rsid w:val="001449EE"/>
    <w:rsid w:val="00144C39"/>
    <w:rsid w:val="00144CFF"/>
    <w:rsid w:val="00144F7E"/>
    <w:rsid w:val="001451EA"/>
    <w:rsid w:val="0014529E"/>
    <w:rsid w:val="0014533A"/>
    <w:rsid w:val="0014539F"/>
    <w:rsid w:val="001456C9"/>
    <w:rsid w:val="00145906"/>
    <w:rsid w:val="00145E0D"/>
    <w:rsid w:val="00146721"/>
    <w:rsid w:val="00146CE6"/>
    <w:rsid w:val="00146F97"/>
    <w:rsid w:val="00147005"/>
    <w:rsid w:val="00147102"/>
    <w:rsid w:val="001474D8"/>
    <w:rsid w:val="001475D5"/>
    <w:rsid w:val="00147E8E"/>
    <w:rsid w:val="0015013A"/>
    <w:rsid w:val="00150D73"/>
    <w:rsid w:val="00150E8F"/>
    <w:rsid w:val="0015103E"/>
    <w:rsid w:val="001510A9"/>
    <w:rsid w:val="00151339"/>
    <w:rsid w:val="001516DE"/>
    <w:rsid w:val="00151818"/>
    <w:rsid w:val="00151A02"/>
    <w:rsid w:val="00151ACB"/>
    <w:rsid w:val="00151B11"/>
    <w:rsid w:val="00151DBB"/>
    <w:rsid w:val="00151EAB"/>
    <w:rsid w:val="00152027"/>
    <w:rsid w:val="001520B8"/>
    <w:rsid w:val="00152258"/>
    <w:rsid w:val="0015235C"/>
    <w:rsid w:val="00152393"/>
    <w:rsid w:val="001525B9"/>
    <w:rsid w:val="00152903"/>
    <w:rsid w:val="001529FF"/>
    <w:rsid w:val="00152A1C"/>
    <w:rsid w:val="00152FA5"/>
    <w:rsid w:val="001531E0"/>
    <w:rsid w:val="001533F5"/>
    <w:rsid w:val="0015350A"/>
    <w:rsid w:val="001537AE"/>
    <w:rsid w:val="00153EFF"/>
    <w:rsid w:val="00153FC0"/>
    <w:rsid w:val="00153FD5"/>
    <w:rsid w:val="00154248"/>
    <w:rsid w:val="001543A6"/>
    <w:rsid w:val="00154473"/>
    <w:rsid w:val="0015452E"/>
    <w:rsid w:val="001545E0"/>
    <w:rsid w:val="00154A14"/>
    <w:rsid w:val="001552B1"/>
    <w:rsid w:val="0015542A"/>
    <w:rsid w:val="0015546D"/>
    <w:rsid w:val="001556E2"/>
    <w:rsid w:val="00155708"/>
    <w:rsid w:val="0015586F"/>
    <w:rsid w:val="001558DF"/>
    <w:rsid w:val="00155BAE"/>
    <w:rsid w:val="00155BD3"/>
    <w:rsid w:val="00155FC5"/>
    <w:rsid w:val="0015614F"/>
    <w:rsid w:val="001561D5"/>
    <w:rsid w:val="0015620A"/>
    <w:rsid w:val="00156244"/>
    <w:rsid w:val="001562F1"/>
    <w:rsid w:val="0015641F"/>
    <w:rsid w:val="00156565"/>
    <w:rsid w:val="001568F5"/>
    <w:rsid w:val="00156AF9"/>
    <w:rsid w:val="00157080"/>
    <w:rsid w:val="00157254"/>
    <w:rsid w:val="001572A4"/>
    <w:rsid w:val="00157562"/>
    <w:rsid w:val="001577C2"/>
    <w:rsid w:val="00157841"/>
    <w:rsid w:val="00157DD5"/>
    <w:rsid w:val="00157FD6"/>
    <w:rsid w:val="0016002C"/>
    <w:rsid w:val="0016009D"/>
    <w:rsid w:val="00160166"/>
    <w:rsid w:val="00160898"/>
    <w:rsid w:val="0016100C"/>
    <w:rsid w:val="00161283"/>
    <w:rsid w:val="0016197E"/>
    <w:rsid w:val="00161CC0"/>
    <w:rsid w:val="00161DFB"/>
    <w:rsid w:val="0016202C"/>
    <w:rsid w:val="00162085"/>
    <w:rsid w:val="00162274"/>
    <w:rsid w:val="001628A5"/>
    <w:rsid w:val="001629EE"/>
    <w:rsid w:val="00162AEB"/>
    <w:rsid w:val="00162F28"/>
    <w:rsid w:val="001630D6"/>
    <w:rsid w:val="0016335D"/>
    <w:rsid w:val="001633C4"/>
    <w:rsid w:val="00163400"/>
    <w:rsid w:val="00163685"/>
    <w:rsid w:val="001637E9"/>
    <w:rsid w:val="00163814"/>
    <w:rsid w:val="00163A9C"/>
    <w:rsid w:val="00163CA9"/>
    <w:rsid w:val="00163E69"/>
    <w:rsid w:val="0016425F"/>
    <w:rsid w:val="00164789"/>
    <w:rsid w:val="00164BEF"/>
    <w:rsid w:val="00165316"/>
    <w:rsid w:val="001659CF"/>
    <w:rsid w:val="0016604D"/>
    <w:rsid w:val="001660D3"/>
    <w:rsid w:val="001660F0"/>
    <w:rsid w:val="0016632E"/>
    <w:rsid w:val="001663F7"/>
    <w:rsid w:val="00166477"/>
    <w:rsid w:val="00166864"/>
    <w:rsid w:val="0016696D"/>
    <w:rsid w:val="00166DF8"/>
    <w:rsid w:val="00166EA3"/>
    <w:rsid w:val="00167078"/>
    <w:rsid w:val="0016755B"/>
    <w:rsid w:val="00167D82"/>
    <w:rsid w:val="00167F86"/>
    <w:rsid w:val="0017024A"/>
    <w:rsid w:val="00170344"/>
    <w:rsid w:val="001704D5"/>
    <w:rsid w:val="00170752"/>
    <w:rsid w:val="001708DE"/>
    <w:rsid w:val="0017096C"/>
    <w:rsid w:val="00170BBF"/>
    <w:rsid w:val="001711F2"/>
    <w:rsid w:val="00171463"/>
    <w:rsid w:val="00171578"/>
    <w:rsid w:val="00171591"/>
    <w:rsid w:val="00171B8B"/>
    <w:rsid w:val="00171C44"/>
    <w:rsid w:val="00171DA4"/>
    <w:rsid w:val="00171DE2"/>
    <w:rsid w:val="00171E8B"/>
    <w:rsid w:val="00171EB5"/>
    <w:rsid w:val="001723EF"/>
    <w:rsid w:val="001727C8"/>
    <w:rsid w:val="001728DC"/>
    <w:rsid w:val="00172D0E"/>
    <w:rsid w:val="00172EBE"/>
    <w:rsid w:val="00172F4B"/>
    <w:rsid w:val="001731D9"/>
    <w:rsid w:val="0017343A"/>
    <w:rsid w:val="00173465"/>
    <w:rsid w:val="001735A6"/>
    <w:rsid w:val="001736D2"/>
    <w:rsid w:val="001737FE"/>
    <w:rsid w:val="001738FD"/>
    <w:rsid w:val="00173981"/>
    <w:rsid w:val="00173B19"/>
    <w:rsid w:val="00173EEC"/>
    <w:rsid w:val="001742A8"/>
    <w:rsid w:val="001744BE"/>
    <w:rsid w:val="0017479E"/>
    <w:rsid w:val="0017495E"/>
    <w:rsid w:val="00174B8C"/>
    <w:rsid w:val="00174D99"/>
    <w:rsid w:val="00174F76"/>
    <w:rsid w:val="00174FDC"/>
    <w:rsid w:val="00175478"/>
    <w:rsid w:val="001755EE"/>
    <w:rsid w:val="00175653"/>
    <w:rsid w:val="0017569E"/>
    <w:rsid w:val="001756EC"/>
    <w:rsid w:val="0017582C"/>
    <w:rsid w:val="00175D37"/>
    <w:rsid w:val="00176765"/>
    <w:rsid w:val="00176B03"/>
    <w:rsid w:val="00176B96"/>
    <w:rsid w:val="00177189"/>
    <w:rsid w:val="0017719D"/>
    <w:rsid w:val="00177777"/>
    <w:rsid w:val="001779FA"/>
    <w:rsid w:val="00177C91"/>
    <w:rsid w:val="0018000B"/>
    <w:rsid w:val="00180930"/>
    <w:rsid w:val="0018161A"/>
    <w:rsid w:val="00181714"/>
    <w:rsid w:val="00181D7E"/>
    <w:rsid w:val="00181DE8"/>
    <w:rsid w:val="00181E01"/>
    <w:rsid w:val="00181E76"/>
    <w:rsid w:val="00181F2D"/>
    <w:rsid w:val="0018200A"/>
    <w:rsid w:val="00182269"/>
    <w:rsid w:val="00182422"/>
    <w:rsid w:val="001826E4"/>
    <w:rsid w:val="00182A0B"/>
    <w:rsid w:val="00182AA8"/>
    <w:rsid w:val="00182CD2"/>
    <w:rsid w:val="00182DA1"/>
    <w:rsid w:val="00183168"/>
    <w:rsid w:val="001831FD"/>
    <w:rsid w:val="001832EF"/>
    <w:rsid w:val="00183710"/>
    <w:rsid w:val="0018382E"/>
    <w:rsid w:val="00183876"/>
    <w:rsid w:val="00183978"/>
    <w:rsid w:val="00183B1C"/>
    <w:rsid w:val="00183C91"/>
    <w:rsid w:val="00183FD7"/>
    <w:rsid w:val="00184954"/>
    <w:rsid w:val="00184B50"/>
    <w:rsid w:val="00184C40"/>
    <w:rsid w:val="00184FEF"/>
    <w:rsid w:val="0018511A"/>
    <w:rsid w:val="0018513F"/>
    <w:rsid w:val="00185666"/>
    <w:rsid w:val="00185A2E"/>
    <w:rsid w:val="00185CAB"/>
    <w:rsid w:val="00186045"/>
    <w:rsid w:val="00186221"/>
    <w:rsid w:val="001869DD"/>
    <w:rsid w:val="00186A8F"/>
    <w:rsid w:val="00186BCA"/>
    <w:rsid w:val="00187303"/>
    <w:rsid w:val="001875B7"/>
    <w:rsid w:val="00187B3D"/>
    <w:rsid w:val="00187CB3"/>
    <w:rsid w:val="00187FED"/>
    <w:rsid w:val="00190004"/>
    <w:rsid w:val="00190174"/>
    <w:rsid w:val="001901BE"/>
    <w:rsid w:val="0019050A"/>
    <w:rsid w:val="00190807"/>
    <w:rsid w:val="0019095A"/>
    <w:rsid w:val="00190B42"/>
    <w:rsid w:val="00190B98"/>
    <w:rsid w:val="00190CBC"/>
    <w:rsid w:val="00190D85"/>
    <w:rsid w:val="001910D4"/>
    <w:rsid w:val="001910F1"/>
    <w:rsid w:val="00191178"/>
    <w:rsid w:val="00191322"/>
    <w:rsid w:val="00191818"/>
    <w:rsid w:val="00191827"/>
    <w:rsid w:val="0019191E"/>
    <w:rsid w:val="00191D94"/>
    <w:rsid w:val="00191E2E"/>
    <w:rsid w:val="00192173"/>
    <w:rsid w:val="001923E6"/>
    <w:rsid w:val="00192791"/>
    <w:rsid w:val="00192A8C"/>
    <w:rsid w:val="00192B8B"/>
    <w:rsid w:val="00192EE2"/>
    <w:rsid w:val="0019302C"/>
    <w:rsid w:val="001930FC"/>
    <w:rsid w:val="001931CC"/>
    <w:rsid w:val="001934BB"/>
    <w:rsid w:val="0019355B"/>
    <w:rsid w:val="001936E2"/>
    <w:rsid w:val="001937A2"/>
    <w:rsid w:val="001938C6"/>
    <w:rsid w:val="00193903"/>
    <w:rsid w:val="0019390E"/>
    <w:rsid w:val="00193A38"/>
    <w:rsid w:val="00193BEF"/>
    <w:rsid w:val="00193C52"/>
    <w:rsid w:val="00193F47"/>
    <w:rsid w:val="00193FC2"/>
    <w:rsid w:val="00194030"/>
    <w:rsid w:val="001945D2"/>
    <w:rsid w:val="001946DF"/>
    <w:rsid w:val="00194717"/>
    <w:rsid w:val="0019500E"/>
    <w:rsid w:val="0019536D"/>
    <w:rsid w:val="001955B5"/>
    <w:rsid w:val="0019577D"/>
    <w:rsid w:val="0019622F"/>
    <w:rsid w:val="00196A02"/>
    <w:rsid w:val="00196E49"/>
    <w:rsid w:val="00197608"/>
    <w:rsid w:val="001976E3"/>
    <w:rsid w:val="00197799"/>
    <w:rsid w:val="00197C47"/>
    <w:rsid w:val="00197C6B"/>
    <w:rsid w:val="00197D3D"/>
    <w:rsid w:val="00197F9C"/>
    <w:rsid w:val="001A0147"/>
    <w:rsid w:val="001A01CC"/>
    <w:rsid w:val="001A028C"/>
    <w:rsid w:val="001A0424"/>
    <w:rsid w:val="001A05DB"/>
    <w:rsid w:val="001A081A"/>
    <w:rsid w:val="001A0D33"/>
    <w:rsid w:val="001A0D9C"/>
    <w:rsid w:val="001A0FEC"/>
    <w:rsid w:val="001A1134"/>
    <w:rsid w:val="001A12B5"/>
    <w:rsid w:val="001A147C"/>
    <w:rsid w:val="001A1C1F"/>
    <w:rsid w:val="001A223C"/>
    <w:rsid w:val="001A2376"/>
    <w:rsid w:val="001A242B"/>
    <w:rsid w:val="001A2A40"/>
    <w:rsid w:val="001A2AB9"/>
    <w:rsid w:val="001A2E91"/>
    <w:rsid w:val="001A3205"/>
    <w:rsid w:val="001A3329"/>
    <w:rsid w:val="001A37B5"/>
    <w:rsid w:val="001A3AD4"/>
    <w:rsid w:val="001A3D03"/>
    <w:rsid w:val="001A3DB2"/>
    <w:rsid w:val="001A3F99"/>
    <w:rsid w:val="001A44EC"/>
    <w:rsid w:val="001A4836"/>
    <w:rsid w:val="001A49DF"/>
    <w:rsid w:val="001A49F9"/>
    <w:rsid w:val="001A4D03"/>
    <w:rsid w:val="001A4D78"/>
    <w:rsid w:val="001A522A"/>
    <w:rsid w:val="001A56F4"/>
    <w:rsid w:val="001A58F6"/>
    <w:rsid w:val="001A5A32"/>
    <w:rsid w:val="001A5C10"/>
    <w:rsid w:val="001A5C39"/>
    <w:rsid w:val="001A60B5"/>
    <w:rsid w:val="001A62B6"/>
    <w:rsid w:val="001A64F1"/>
    <w:rsid w:val="001A66AB"/>
    <w:rsid w:val="001A6841"/>
    <w:rsid w:val="001A6B8E"/>
    <w:rsid w:val="001A6E4D"/>
    <w:rsid w:val="001A6FFC"/>
    <w:rsid w:val="001A7092"/>
    <w:rsid w:val="001A7226"/>
    <w:rsid w:val="001A7267"/>
    <w:rsid w:val="001A742E"/>
    <w:rsid w:val="001A7780"/>
    <w:rsid w:val="001A7823"/>
    <w:rsid w:val="001A795D"/>
    <w:rsid w:val="001A7BAE"/>
    <w:rsid w:val="001A7C71"/>
    <w:rsid w:val="001A7FC5"/>
    <w:rsid w:val="001B0097"/>
    <w:rsid w:val="001B0702"/>
    <w:rsid w:val="001B07C7"/>
    <w:rsid w:val="001B0C57"/>
    <w:rsid w:val="001B0E39"/>
    <w:rsid w:val="001B1098"/>
    <w:rsid w:val="001B12DB"/>
    <w:rsid w:val="001B1530"/>
    <w:rsid w:val="001B162B"/>
    <w:rsid w:val="001B1BE9"/>
    <w:rsid w:val="001B1C4A"/>
    <w:rsid w:val="001B1E86"/>
    <w:rsid w:val="001B2082"/>
    <w:rsid w:val="001B22C3"/>
    <w:rsid w:val="001B2673"/>
    <w:rsid w:val="001B2869"/>
    <w:rsid w:val="001B2F06"/>
    <w:rsid w:val="001B30AA"/>
    <w:rsid w:val="001B321C"/>
    <w:rsid w:val="001B34A9"/>
    <w:rsid w:val="001B3DB9"/>
    <w:rsid w:val="001B3E4B"/>
    <w:rsid w:val="001B4349"/>
    <w:rsid w:val="001B4D02"/>
    <w:rsid w:val="001B4D63"/>
    <w:rsid w:val="001B4DD8"/>
    <w:rsid w:val="001B4E3B"/>
    <w:rsid w:val="001B4F9E"/>
    <w:rsid w:val="001B50FA"/>
    <w:rsid w:val="001B514F"/>
    <w:rsid w:val="001B54B3"/>
    <w:rsid w:val="001B5559"/>
    <w:rsid w:val="001B58A5"/>
    <w:rsid w:val="001B58AA"/>
    <w:rsid w:val="001B6030"/>
    <w:rsid w:val="001B699F"/>
    <w:rsid w:val="001B6A06"/>
    <w:rsid w:val="001B6A4B"/>
    <w:rsid w:val="001B6B68"/>
    <w:rsid w:val="001B6CE2"/>
    <w:rsid w:val="001B6EA7"/>
    <w:rsid w:val="001B6EAD"/>
    <w:rsid w:val="001B711C"/>
    <w:rsid w:val="001B799F"/>
    <w:rsid w:val="001B7B1E"/>
    <w:rsid w:val="001B7E48"/>
    <w:rsid w:val="001C0130"/>
    <w:rsid w:val="001C0296"/>
    <w:rsid w:val="001C032B"/>
    <w:rsid w:val="001C07AA"/>
    <w:rsid w:val="001C08B9"/>
    <w:rsid w:val="001C08D9"/>
    <w:rsid w:val="001C09D2"/>
    <w:rsid w:val="001C0C3E"/>
    <w:rsid w:val="001C1359"/>
    <w:rsid w:val="001C148C"/>
    <w:rsid w:val="001C17CE"/>
    <w:rsid w:val="001C18C4"/>
    <w:rsid w:val="001C1966"/>
    <w:rsid w:val="001C1982"/>
    <w:rsid w:val="001C2098"/>
    <w:rsid w:val="001C2195"/>
    <w:rsid w:val="001C2537"/>
    <w:rsid w:val="001C2976"/>
    <w:rsid w:val="001C2980"/>
    <w:rsid w:val="001C2FD0"/>
    <w:rsid w:val="001C31ED"/>
    <w:rsid w:val="001C35FD"/>
    <w:rsid w:val="001C36CA"/>
    <w:rsid w:val="001C3B58"/>
    <w:rsid w:val="001C3E1E"/>
    <w:rsid w:val="001C3ED9"/>
    <w:rsid w:val="001C44D1"/>
    <w:rsid w:val="001C4945"/>
    <w:rsid w:val="001C4AE3"/>
    <w:rsid w:val="001C4D55"/>
    <w:rsid w:val="001C54C8"/>
    <w:rsid w:val="001C58A1"/>
    <w:rsid w:val="001C5999"/>
    <w:rsid w:val="001C601C"/>
    <w:rsid w:val="001C6404"/>
    <w:rsid w:val="001C64AC"/>
    <w:rsid w:val="001C68E7"/>
    <w:rsid w:val="001C6AEE"/>
    <w:rsid w:val="001C6AFC"/>
    <w:rsid w:val="001C6C36"/>
    <w:rsid w:val="001C6C75"/>
    <w:rsid w:val="001C6ED2"/>
    <w:rsid w:val="001C7630"/>
    <w:rsid w:val="001C79DB"/>
    <w:rsid w:val="001C7B25"/>
    <w:rsid w:val="001C7B29"/>
    <w:rsid w:val="001C7BA1"/>
    <w:rsid w:val="001C7E7D"/>
    <w:rsid w:val="001C7F92"/>
    <w:rsid w:val="001D01E2"/>
    <w:rsid w:val="001D078F"/>
    <w:rsid w:val="001D095D"/>
    <w:rsid w:val="001D0C42"/>
    <w:rsid w:val="001D0F8A"/>
    <w:rsid w:val="001D12BA"/>
    <w:rsid w:val="001D19F4"/>
    <w:rsid w:val="001D1BC8"/>
    <w:rsid w:val="001D1C3F"/>
    <w:rsid w:val="001D1D33"/>
    <w:rsid w:val="001D224A"/>
    <w:rsid w:val="001D24FC"/>
    <w:rsid w:val="001D24FE"/>
    <w:rsid w:val="001D26D7"/>
    <w:rsid w:val="001D26D8"/>
    <w:rsid w:val="001D2934"/>
    <w:rsid w:val="001D295C"/>
    <w:rsid w:val="001D2ACC"/>
    <w:rsid w:val="001D2AE3"/>
    <w:rsid w:val="001D2F2A"/>
    <w:rsid w:val="001D2FB4"/>
    <w:rsid w:val="001D37AC"/>
    <w:rsid w:val="001D3B50"/>
    <w:rsid w:val="001D3BEE"/>
    <w:rsid w:val="001D3DD5"/>
    <w:rsid w:val="001D4050"/>
    <w:rsid w:val="001D435D"/>
    <w:rsid w:val="001D444E"/>
    <w:rsid w:val="001D45B5"/>
    <w:rsid w:val="001D4833"/>
    <w:rsid w:val="001D48C0"/>
    <w:rsid w:val="001D4D65"/>
    <w:rsid w:val="001D4DCC"/>
    <w:rsid w:val="001D5141"/>
    <w:rsid w:val="001D5146"/>
    <w:rsid w:val="001D548B"/>
    <w:rsid w:val="001D58B1"/>
    <w:rsid w:val="001D59D2"/>
    <w:rsid w:val="001D60AE"/>
    <w:rsid w:val="001D618C"/>
    <w:rsid w:val="001D6888"/>
    <w:rsid w:val="001D6BAB"/>
    <w:rsid w:val="001D6D15"/>
    <w:rsid w:val="001D6D1A"/>
    <w:rsid w:val="001D6EDD"/>
    <w:rsid w:val="001D73D3"/>
    <w:rsid w:val="001D73E5"/>
    <w:rsid w:val="001D7508"/>
    <w:rsid w:val="001D7CF7"/>
    <w:rsid w:val="001D7DB2"/>
    <w:rsid w:val="001D7FC5"/>
    <w:rsid w:val="001E0025"/>
    <w:rsid w:val="001E0030"/>
    <w:rsid w:val="001E01B3"/>
    <w:rsid w:val="001E07C9"/>
    <w:rsid w:val="001E123F"/>
    <w:rsid w:val="001E1748"/>
    <w:rsid w:val="001E1A16"/>
    <w:rsid w:val="001E1C09"/>
    <w:rsid w:val="001E1ED8"/>
    <w:rsid w:val="001E1F31"/>
    <w:rsid w:val="001E2640"/>
    <w:rsid w:val="001E269A"/>
    <w:rsid w:val="001E2D2F"/>
    <w:rsid w:val="001E2DDC"/>
    <w:rsid w:val="001E2F02"/>
    <w:rsid w:val="001E30C0"/>
    <w:rsid w:val="001E3344"/>
    <w:rsid w:val="001E35C3"/>
    <w:rsid w:val="001E3A21"/>
    <w:rsid w:val="001E3BE8"/>
    <w:rsid w:val="001E3D44"/>
    <w:rsid w:val="001E3F17"/>
    <w:rsid w:val="001E4049"/>
    <w:rsid w:val="001E4569"/>
    <w:rsid w:val="001E4798"/>
    <w:rsid w:val="001E4FB9"/>
    <w:rsid w:val="001E55B8"/>
    <w:rsid w:val="001E59F8"/>
    <w:rsid w:val="001E5AA4"/>
    <w:rsid w:val="001E67C6"/>
    <w:rsid w:val="001E6B26"/>
    <w:rsid w:val="001E6B38"/>
    <w:rsid w:val="001E6BA5"/>
    <w:rsid w:val="001E6BBE"/>
    <w:rsid w:val="001E6DB9"/>
    <w:rsid w:val="001E6E71"/>
    <w:rsid w:val="001E75C6"/>
    <w:rsid w:val="001E75F8"/>
    <w:rsid w:val="001E76F4"/>
    <w:rsid w:val="001E79B7"/>
    <w:rsid w:val="001E7C40"/>
    <w:rsid w:val="001E7D84"/>
    <w:rsid w:val="001E7E62"/>
    <w:rsid w:val="001F0590"/>
    <w:rsid w:val="001F0718"/>
    <w:rsid w:val="001F0816"/>
    <w:rsid w:val="001F09F5"/>
    <w:rsid w:val="001F0F55"/>
    <w:rsid w:val="001F0F93"/>
    <w:rsid w:val="001F11E2"/>
    <w:rsid w:val="001F125B"/>
    <w:rsid w:val="001F1454"/>
    <w:rsid w:val="001F15DE"/>
    <w:rsid w:val="001F19A3"/>
    <w:rsid w:val="001F1EBB"/>
    <w:rsid w:val="001F248E"/>
    <w:rsid w:val="001F256D"/>
    <w:rsid w:val="001F25D9"/>
    <w:rsid w:val="001F298B"/>
    <w:rsid w:val="001F2D47"/>
    <w:rsid w:val="001F2D96"/>
    <w:rsid w:val="001F330E"/>
    <w:rsid w:val="001F354B"/>
    <w:rsid w:val="001F382F"/>
    <w:rsid w:val="001F3AE4"/>
    <w:rsid w:val="001F3E5C"/>
    <w:rsid w:val="001F4613"/>
    <w:rsid w:val="001F4E33"/>
    <w:rsid w:val="001F4ECE"/>
    <w:rsid w:val="001F4EFC"/>
    <w:rsid w:val="001F5041"/>
    <w:rsid w:val="001F50F7"/>
    <w:rsid w:val="001F574F"/>
    <w:rsid w:val="001F5894"/>
    <w:rsid w:val="001F58DA"/>
    <w:rsid w:val="001F5A75"/>
    <w:rsid w:val="001F5AF7"/>
    <w:rsid w:val="001F5BFD"/>
    <w:rsid w:val="001F5F95"/>
    <w:rsid w:val="001F605D"/>
    <w:rsid w:val="001F6177"/>
    <w:rsid w:val="001F642F"/>
    <w:rsid w:val="001F6B6E"/>
    <w:rsid w:val="001F6C04"/>
    <w:rsid w:val="001F6EF8"/>
    <w:rsid w:val="001F6F2C"/>
    <w:rsid w:val="001F707A"/>
    <w:rsid w:val="001F7558"/>
    <w:rsid w:val="001F79BF"/>
    <w:rsid w:val="001F7E89"/>
    <w:rsid w:val="002012F6"/>
    <w:rsid w:val="00201529"/>
    <w:rsid w:val="00201714"/>
    <w:rsid w:val="00201762"/>
    <w:rsid w:val="002017CE"/>
    <w:rsid w:val="0020195D"/>
    <w:rsid w:val="00201EE2"/>
    <w:rsid w:val="00202051"/>
    <w:rsid w:val="00202111"/>
    <w:rsid w:val="002022C2"/>
    <w:rsid w:val="002023CD"/>
    <w:rsid w:val="00202B18"/>
    <w:rsid w:val="00202C8F"/>
    <w:rsid w:val="00202DAB"/>
    <w:rsid w:val="002031F5"/>
    <w:rsid w:val="0020391E"/>
    <w:rsid w:val="002039F9"/>
    <w:rsid w:val="00203BF0"/>
    <w:rsid w:val="00203E2C"/>
    <w:rsid w:val="00203E6D"/>
    <w:rsid w:val="00203F8F"/>
    <w:rsid w:val="00204007"/>
    <w:rsid w:val="002045C5"/>
    <w:rsid w:val="00204768"/>
    <w:rsid w:val="002048AE"/>
    <w:rsid w:val="00204FC0"/>
    <w:rsid w:val="00205B57"/>
    <w:rsid w:val="00205DBC"/>
    <w:rsid w:val="0020606C"/>
    <w:rsid w:val="002063EC"/>
    <w:rsid w:val="0020666C"/>
    <w:rsid w:val="00206BE4"/>
    <w:rsid w:val="00206C5D"/>
    <w:rsid w:val="00206DC5"/>
    <w:rsid w:val="00206E9C"/>
    <w:rsid w:val="0020744D"/>
    <w:rsid w:val="00207661"/>
    <w:rsid w:val="002077DD"/>
    <w:rsid w:val="00207938"/>
    <w:rsid w:val="002079CB"/>
    <w:rsid w:val="002101F9"/>
    <w:rsid w:val="00210229"/>
    <w:rsid w:val="00210326"/>
    <w:rsid w:val="00210377"/>
    <w:rsid w:val="00210857"/>
    <w:rsid w:val="00210965"/>
    <w:rsid w:val="00210E49"/>
    <w:rsid w:val="00210F9B"/>
    <w:rsid w:val="00211603"/>
    <w:rsid w:val="00211629"/>
    <w:rsid w:val="00211EC5"/>
    <w:rsid w:val="00211F33"/>
    <w:rsid w:val="00211F45"/>
    <w:rsid w:val="0021205E"/>
    <w:rsid w:val="002122A3"/>
    <w:rsid w:val="002123E9"/>
    <w:rsid w:val="00212779"/>
    <w:rsid w:val="00212809"/>
    <w:rsid w:val="002128CF"/>
    <w:rsid w:val="002129A3"/>
    <w:rsid w:val="00212A3C"/>
    <w:rsid w:val="00212D11"/>
    <w:rsid w:val="002133AF"/>
    <w:rsid w:val="002133F8"/>
    <w:rsid w:val="002138B4"/>
    <w:rsid w:val="0021399F"/>
    <w:rsid w:val="00213B8F"/>
    <w:rsid w:val="0021426C"/>
    <w:rsid w:val="0021460B"/>
    <w:rsid w:val="00214720"/>
    <w:rsid w:val="00214ADC"/>
    <w:rsid w:val="00215279"/>
    <w:rsid w:val="002157E0"/>
    <w:rsid w:val="00215830"/>
    <w:rsid w:val="00215948"/>
    <w:rsid w:val="0021596D"/>
    <w:rsid w:val="00216047"/>
    <w:rsid w:val="00216163"/>
    <w:rsid w:val="002161F0"/>
    <w:rsid w:val="002164D4"/>
    <w:rsid w:val="002166BA"/>
    <w:rsid w:val="0021699F"/>
    <w:rsid w:val="00216A57"/>
    <w:rsid w:val="00216D11"/>
    <w:rsid w:val="00217088"/>
    <w:rsid w:val="00217448"/>
    <w:rsid w:val="00217461"/>
    <w:rsid w:val="0021756F"/>
    <w:rsid w:val="002178AC"/>
    <w:rsid w:val="00217913"/>
    <w:rsid w:val="00220137"/>
    <w:rsid w:val="0022066E"/>
    <w:rsid w:val="00220B3B"/>
    <w:rsid w:val="00220E8C"/>
    <w:rsid w:val="002210DF"/>
    <w:rsid w:val="002210E1"/>
    <w:rsid w:val="00221373"/>
    <w:rsid w:val="002213F0"/>
    <w:rsid w:val="00221626"/>
    <w:rsid w:val="00221646"/>
    <w:rsid w:val="002216C3"/>
    <w:rsid w:val="002216CC"/>
    <w:rsid w:val="00221808"/>
    <w:rsid w:val="00221FB5"/>
    <w:rsid w:val="0022263D"/>
    <w:rsid w:val="00222748"/>
    <w:rsid w:val="00222920"/>
    <w:rsid w:val="00222CD7"/>
    <w:rsid w:val="0022334F"/>
    <w:rsid w:val="00223711"/>
    <w:rsid w:val="002237DE"/>
    <w:rsid w:val="002239FE"/>
    <w:rsid w:val="00223E7A"/>
    <w:rsid w:val="00224007"/>
    <w:rsid w:val="00224267"/>
    <w:rsid w:val="00224671"/>
    <w:rsid w:val="0022468E"/>
    <w:rsid w:val="00224761"/>
    <w:rsid w:val="002250AC"/>
    <w:rsid w:val="00225204"/>
    <w:rsid w:val="0022532F"/>
    <w:rsid w:val="002257F5"/>
    <w:rsid w:val="0022582E"/>
    <w:rsid w:val="002258DF"/>
    <w:rsid w:val="00225A22"/>
    <w:rsid w:val="00225CDB"/>
    <w:rsid w:val="00225D3E"/>
    <w:rsid w:val="0022621F"/>
    <w:rsid w:val="002265B4"/>
    <w:rsid w:val="00226615"/>
    <w:rsid w:val="00226819"/>
    <w:rsid w:val="00226BC3"/>
    <w:rsid w:val="00226C02"/>
    <w:rsid w:val="00226C0C"/>
    <w:rsid w:val="00226CD7"/>
    <w:rsid w:val="00226F66"/>
    <w:rsid w:val="002271A3"/>
    <w:rsid w:val="0022745D"/>
    <w:rsid w:val="002275E8"/>
    <w:rsid w:val="00227AD1"/>
    <w:rsid w:val="00227EC5"/>
    <w:rsid w:val="00227ED9"/>
    <w:rsid w:val="00230516"/>
    <w:rsid w:val="00230658"/>
    <w:rsid w:val="00230740"/>
    <w:rsid w:val="002307B6"/>
    <w:rsid w:val="00230FAB"/>
    <w:rsid w:val="00231A50"/>
    <w:rsid w:val="00231C80"/>
    <w:rsid w:val="00231DAC"/>
    <w:rsid w:val="00231E94"/>
    <w:rsid w:val="00232146"/>
    <w:rsid w:val="00232209"/>
    <w:rsid w:val="002323A6"/>
    <w:rsid w:val="0023293F"/>
    <w:rsid w:val="00232B2A"/>
    <w:rsid w:val="00232D2E"/>
    <w:rsid w:val="00232E6E"/>
    <w:rsid w:val="00232EB8"/>
    <w:rsid w:val="00232EF6"/>
    <w:rsid w:val="0023306C"/>
    <w:rsid w:val="00233101"/>
    <w:rsid w:val="002334CC"/>
    <w:rsid w:val="00233558"/>
    <w:rsid w:val="00233817"/>
    <w:rsid w:val="0023388F"/>
    <w:rsid w:val="00233B10"/>
    <w:rsid w:val="00233D47"/>
    <w:rsid w:val="00233E98"/>
    <w:rsid w:val="00233F60"/>
    <w:rsid w:val="00233FF1"/>
    <w:rsid w:val="00234381"/>
    <w:rsid w:val="0023469C"/>
    <w:rsid w:val="002346C0"/>
    <w:rsid w:val="002347A0"/>
    <w:rsid w:val="00234F8F"/>
    <w:rsid w:val="0023539A"/>
    <w:rsid w:val="00235506"/>
    <w:rsid w:val="00235756"/>
    <w:rsid w:val="002359B4"/>
    <w:rsid w:val="00236110"/>
    <w:rsid w:val="002366D4"/>
    <w:rsid w:val="002367FF"/>
    <w:rsid w:val="002368F8"/>
    <w:rsid w:val="00236CF2"/>
    <w:rsid w:val="002371C2"/>
    <w:rsid w:val="002372D5"/>
    <w:rsid w:val="0023760C"/>
    <w:rsid w:val="00237F18"/>
    <w:rsid w:val="00237F62"/>
    <w:rsid w:val="00240727"/>
    <w:rsid w:val="0024078C"/>
    <w:rsid w:val="002408FB"/>
    <w:rsid w:val="00240AA0"/>
    <w:rsid w:val="00240CE9"/>
    <w:rsid w:val="00240F32"/>
    <w:rsid w:val="0024101E"/>
    <w:rsid w:val="00241230"/>
    <w:rsid w:val="00241306"/>
    <w:rsid w:val="002414D5"/>
    <w:rsid w:val="002416EB"/>
    <w:rsid w:val="00241DDC"/>
    <w:rsid w:val="002425E6"/>
    <w:rsid w:val="00242C2D"/>
    <w:rsid w:val="002432F0"/>
    <w:rsid w:val="002433D5"/>
    <w:rsid w:val="002434BA"/>
    <w:rsid w:val="00243602"/>
    <w:rsid w:val="002436F7"/>
    <w:rsid w:val="00243C74"/>
    <w:rsid w:val="0024409D"/>
    <w:rsid w:val="0024437D"/>
    <w:rsid w:val="002443C2"/>
    <w:rsid w:val="002443DD"/>
    <w:rsid w:val="002445E9"/>
    <w:rsid w:val="00244AEE"/>
    <w:rsid w:val="00244BBB"/>
    <w:rsid w:val="00244CC1"/>
    <w:rsid w:val="00244FAB"/>
    <w:rsid w:val="00245095"/>
    <w:rsid w:val="0024523F"/>
    <w:rsid w:val="00245304"/>
    <w:rsid w:val="002454DC"/>
    <w:rsid w:val="002459ED"/>
    <w:rsid w:val="00245A3D"/>
    <w:rsid w:val="00245B8B"/>
    <w:rsid w:val="00245DAB"/>
    <w:rsid w:val="00245F21"/>
    <w:rsid w:val="00246089"/>
    <w:rsid w:val="00246093"/>
    <w:rsid w:val="00246325"/>
    <w:rsid w:val="00246560"/>
    <w:rsid w:val="00246702"/>
    <w:rsid w:val="00246737"/>
    <w:rsid w:val="00246856"/>
    <w:rsid w:val="00246A58"/>
    <w:rsid w:val="00246B21"/>
    <w:rsid w:val="00247292"/>
    <w:rsid w:val="002472BD"/>
    <w:rsid w:val="002477C9"/>
    <w:rsid w:val="00247ACD"/>
    <w:rsid w:val="00247C59"/>
    <w:rsid w:val="00247DA5"/>
    <w:rsid w:val="00247DAE"/>
    <w:rsid w:val="00247EE2"/>
    <w:rsid w:val="00247F2E"/>
    <w:rsid w:val="00250056"/>
    <w:rsid w:val="002505AD"/>
    <w:rsid w:val="002506DF"/>
    <w:rsid w:val="00250935"/>
    <w:rsid w:val="00250ADC"/>
    <w:rsid w:val="00250B07"/>
    <w:rsid w:val="00250B46"/>
    <w:rsid w:val="00250BFB"/>
    <w:rsid w:val="00250C1B"/>
    <w:rsid w:val="00250D0A"/>
    <w:rsid w:val="00251291"/>
    <w:rsid w:val="0025157E"/>
    <w:rsid w:val="002515F3"/>
    <w:rsid w:val="002516CD"/>
    <w:rsid w:val="00251736"/>
    <w:rsid w:val="0025219C"/>
    <w:rsid w:val="00252422"/>
    <w:rsid w:val="002524F4"/>
    <w:rsid w:val="0025257D"/>
    <w:rsid w:val="0025278C"/>
    <w:rsid w:val="002529E7"/>
    <w:rsid w:val="00252A21"/>
    <w:rsid w:val="00252CF9"/>
    <w:rsid w:val="00252EE9"/>
    <w:rsid w:val="00253C78"/>
    <w:rsid w:val="00253DB2"/>
    <w:rsid w:val="00254024"/>
    <w:rsid w:val="00254263"/>
    <w:rsid w:val="00254807"/>
    <w:rsid w:val="002548C6"/>
    <w:rsid w:val="002549CC"/>
    <w:rsid w:val="00254A0A"/>
    <w:rsid w:val="00254A4D"/>
    <w:rsid w:val="00254EA1"/>
    <w:rsid w:val="0025509E"/>
    <w:rsid w:val="002550F6"/>
    <w:rsid w:val="00255196"/>
    <w:rsid w:val="00255253"/>
    <w:rsid w:val="0025556E"/>
    <w:rsid w:val="002555CC"/>
    <w:rsid w:val="002558C7"/>
    <w:rsid w:val="00255B54"/>
    <w:rsid w:val="002560C1"/>
    <w:rsid w:val="00256642"/>
    <w:rsid w:val="0025667C"/>
    <w:rsid w:val="0025684A"/>
    <w:rsid w:val="0025687E"/>
    <w:rsid w:val="00256E54"/>
    <w:rsid w:val="002571C1"/>
    <w:rsid w:val="00257553"/>
    <w:rsid w:val="0025763D"/>
    <w:rsid w:val="002579B0"/>
    <w:rsid w:val="00257B84"/>
    <w:rsid w:val="00257DC1"/>
    <w:rsid w:val="00257FB9"/>
    <w:rsid w:val="00260077"/>
    <w:rsid w:val="0026075A"/>
    <w:rsid w:val="00260A3A"/>
    <w:rsid w:val="00260CB8"/>
    <w:rsid w:val="00260F43"/>
    <w:rsid w:val="00260FB2"/>
    <w:rsid w:val="002610BA"/>
    <w:rsid w:val="002611CF"/>
    <w:rsid w:val="0026122D"/>
    <w:rsid w:val="002612DF"/>
    <w:rsid w:val="0026144C"/>
    <w:rsid w:val="00261652"/>
    <w:rsid w:val="00261C18"/>
    <w:rsid w:val="00262128"/>
    <w:rsid w:val="0026214C"/>
    <w:rsid w:val="002621F0"/>
    <w:rsid w:val="00262492"/>
    <w:rsid w:val="00262515"/>
    <w:rsid w:val="00262956"/>
    <w:rsid w:val="002629C3"/>
    <w:rsid w:val="00262E16"/>
    <w:rsid w:val="00262E38"/>
    <w:rsid w:val="00262EFB"/>
    <w:rsid w:val="00263410"/>
    <w:rsid w:val="00263639"/>
    <w:rsid w:val="00263F79"/>
    <w:rsid w:val="002643A5"/>
    <w:rsid w:val="002644F3"/>
    <w:rsid w:val="00264501"/>
    <w:rsid w:val="002650D6"/>
    <w:rsid w:val="00265502"/>
    <w:rsid w:val="0026587A"/>
    <w:rsid w:val="00265AF5"/>
    <w:rsid w:val="00265C18"/>
    <w:rsid w:val="00265C8E"/>
    <w:rsid w:val="00265FB2"/>
    <w:rsid w:val="002669FF"/>
    <w:rsid w:val="00266BDB"/>
    <w:rsid w:val="00266C15"/>
    <w:rsid w:val="00266D2A"/>
    <w:rsid w:val="00266FF8"/>
    <w:rsid w:val="002671EF"/>
    <w:rsid w:val="00267318"/>
    <w:rsid w:val="00267397"/>
    <w:rsid w:val="002675EF"/>
    <w:rsid w:val="00267FB0"/>
    <w:rsid w:val="00270087"/>
    <w:rsid w:val="00270380"/>
    <w:rsid w:val="002703AD"/>
    <w:rsid w:val="00271091"/>
    <w:rsid w:val="002712B4"/>
    <w:rsid w:val="0027165D"/>
    <w:rsid w:val="00271E15"/>
    <w:rsid w:val="00272009"/>
    <w:rsid w:val="002720CF"/>
    <w:rsid w:val="00272C42"/>
    <w:rsid w:val="002732E8"/>
    <w:rsid w:val="0027389A"/>
    <w:rsid w:val="002739E6"/>
    <w:rsid w:val="00273BCD"/>
    <w:rsid w:val="00273CBF"/>
    <w:rsid w:val="00273CEB"/>
    <w:rsid w:val="00273CF5"/>
    <w:rsid w:val="00273E29"/>
    <w:rsid w:val="00273FDC"/>
    <w:rsid w:val="002741D8"/>
    <w:rsid w:val="002743F3"/>
    <w:rsid w:val="0027495E"/>
    <w:rsid w:val="00274FF1"/>
    <w:rsid w:val="0027510A"/>
    <w:rsid w:val="0027533E"/>
    <w:rsid w:val="00275540"/>
    <w:rsid w:val="0027561A"/>
    <w:rsid w:val="00275983"/>
    <w:rsid w:val="00275B7A"/>
    <w:rsid w:val="00275F25"/>
    <w:rsid w:val="00275F69"/>
    <w:rsid w:val="0027609B"/>
    <w:rsid w:val="002768C0"/>
    <w:rsid w:val="002769E7"/>
    <w:rsid w:val="00276F1E"/>
    <w:rsid w:val="002774A5"/>
    <w:rsid w:val="002775FF"/>
    <w:rsid w:val="002778E5"/>
    <w:rsid w:val="00277A9E"/>
    <w:rsid w:val="00277F5F"/>
    <w:rsid w:val="0028022A"/>
    <w:rsid w:val="00280451"/>
    <w:rsid w:val="0028067C"/>
    <w:rsid w:val="00280DD5"/>
    <w:rsid w:val="00280F71"/>
    <w:rsid w:val="00281108"/>
    <w:rsid w:val="00281254"/>
    <w:rsid w:val="00281627"/>
    <w:rsid w:val="00281AB2"/>
    <w:rsid w:val="00281C89"/>
    <w:rsid w:val="00281CD3"/>
    <w:rsid w:val="00281DFA"/>
    <w:rsid w:val="00281E70"/>
    <w:rsid w:val="00281E93"/>
    <w:rsid w:val="00281F91"/>
    <w:rsid w:val="0028230B"/>
    <w:rsid w:val="0028264B"/>
    <w:rsid w:val="0028282F"/>
    <w:rsid w:val="00282AFF"/>
    <w:rsid w:val="00282E79"/>
    <w:rsid w:val="00282F30"/>
    <w:rsid w:val="00283351"/>
    <w:rsid w:val="002834BB"/>
    <w:rsid w:val="002834C9"/>
    <w:rsid w:val="00283660"/>
    <w:rsid w:val="00283846"/>
    <w:rsid w:val="00283E16"/>
    <w:rsid w:val="00283E7E"/>
    <w:rsid w:val="00283EA4"/>
    <w:rsid w:val="00284072"/>
    <w:rsid w:val="00284107"/>
    <w:rsid w:val="00284396"/>
    <w:rsid w:val="0028442C"/>
    <w:rsid w:val="00284746"/>
    <w:rsid w:val="00284751"/>
    <w:rsid w:val="00284D82"/>
    <w:rsid w:val="00285553"/>
    <w:rsid w:val="002860C6"/>
    <w:rsid w:val="002861D7"/>
    <w:rsid w:val="0028644F"/>
    <w:rsid w:val="002866FA"/>
    <w:rsid w:val="0028670B"/>
    <w:rsid w:val="002869A1"/>
    <w:rsid w:val="00286D2A"/>
    <w:rsid w:val="00286EF7"/>
    <w:rsid w:val="00286F53"/>
    <w:rsid w:val="00287101"/>
    <w:rsid w:val="00287453"/>
    <w:rsid w:val="002874F6"/>
    <w:rsid w:val="0028753E"/>
    <w:rsid w:val="00287758"/>
    <w:rsid w:val="00287BCB"/>
    <w:rsid w:val="00287D9A"/>
    <w:rsid w:val="00287DD1"/>
    <w:rsid w:val="002901C5"/>
    <w:rsid w:val="002903F4"/>
    <w:rsid w:val="00290EA5"/>
    <w:rsid w:val="00290FFD"/>
    <w:rsid w:val="002911F2"/>
    <w:rsid w:val="00291415"/>
    <w:rsid w:val="00291867"/>
    <w:rsid w:val="00291B72"/>
    <w:rsid w:val="00291D9A"/>
    <w:rsid w:val="00291DE7"/>
    <w:rsid w:val="00291E2C"/>
    <w:rsid w:val="002926D6"/>
    <w:rsid w:val="00292EA6"/>
    <w:rsid w:val="00292F5D"/>
    <w:rsid w:val="00292F7A"/>
    <w:rsid w:val="002932A7"/>
    <w:rsid w:val="002933A6"/>
    <w:rsid w:val="0029385C"/>
    <w:rsid w:val="00293C7D"/>
    <w:rsid w:val="00293C9D"/>
    <w:rsid w:val="00293E6A"/>
    <w:rsid w:val="00293FDE"/>
    <w:rsid w:val="00294715"/>
    <w:rsid w:val="00294B28"/>
    <w:rsid w:val="00294E2D"/>
    <w:rsid w:val="00294E97"/>
    <w:rsid w:val="00295173"/>
    <w:rsid w:val="002955C3"/>
    <w:rsid w:val="00295642"/>
    <w:rsid w:val="002958DB"/>
    <w:rsid w:val="00295921"/>
    <w:rsid w:val="0029593B"/>
    <w:rsid w:val="002959AF"/>
    <w:rsid w:val="00295E3C"/>
    <w:rsid w:val="00295F1D"/>
    <w:rsid w:val="0029616F"/>
    <w:rsid w:val="002966CD"/>
    <w:rsid w:val="00296897"/>
    <w:rsid w:val="0029698A"/>
    <w:rsid w:val="00296B64"/>
    <w:rsid w:val="00296B90"/>
    <w:rsid w:val="00296CAD"/>
    <w:rsid w:val="002976CA"/>
    <w:rsid w:val="00297826"/>
    <w:rsid w:val="00297C97"/>
    <w:rsid w:val="00297FC5"/>
    <w:rsid w:val="002A00BC"/>
    <w:rsid w:val="002A0198"/>
    <w:rsid w:val="002A034F"/>
    <w:rsid w:val="002A0417"/>
    <w:rsid w:val="002A06E0"/>
    <w:rsid w:val="002A0748"/>
    <w:rsid w:val="002A0AD6"/>
    <w:rsid w:val="002A0BD7"/>
    <w:rsid w:val="002A1033"/>
    <w:rsid w:val="002A16D8"/>
    <w:rsid w:val="002A1A51"/>
    <w:rsid w:val="002A1B9A"/>
    <w:rsid w:val="002A1BC8"/>
    <w:rsid w:val="002A1DE0"/>
    <w:rsid w:val="002A1E40"/>
    <w:rsid w:val="002A1F76"/>
    <w:rsid w:val="002A1F97"/>
    <w:rsid w:val="002A204C"/>
    <w:rsid w:val="002A21AC"/>
    <w:rsid w:val="002A21B7"/>
    <w:rsid w:val="002A24A5"/>
    <w:rsid w:val="002A25ED"/>
    <w:rsid w:val="002A28C8"/>
    <w:rsid w:val="002A2A4B"/>
    <w:rsid w:val="002A2C5F"/>
    <w:rsid w:val="002A2EAE"/>
    <w:rsid w:val="002A2F05"/>
    <w:rsid w:val="002A31C2"/>
    <w:rsid w:val="002A3228"/>
    <w:rsid w:val="002A345B"/>
    <w:rsid w:val="002A3513"/>
    <w:rsid w:val="002A35B5"/>
    <w:rsid w:val="002A3829"/>
    <w:rsid w:val="002A38A0"/>
    <w:rsid w:val="002A3ADD"/>
    <w:rsid w:val="002A3B18"/>
    <w:rsid w:val="002A3EF2"/>
    <w:rsid w:val="002A46F2"/>
    <w:rsid w:val="002A4850"/>
    <w:rsid w:val="002A4A8A"/>
    <w:rsid w:val="002A4EC0"/>
    <w:rsid w:val="002A5245"/>
    <w:rsid w:val="002A52F1"/>
    <w:rsid w:val="002A5328"/>
    <w:rsid w:val="002A54AA"/>
    <w:rsid w:val="002A584D"/>
    <w:rsid w:val="002A65FD"/>
    <w:rsid w:val="002A6653"/>
    <w:rsid w:val="002A6BE4"/>
    <w:rsid w:val="002A6CA0"/>
    <w:rsid w:val="002A6E1A"/>
    <w:rsid w:val="002A6FA5"/>
    <w:rsid w:val="002A7C3C"/>
    <w:rsid w:val="002A7C88"/>
    <w:rsid w:val="002A7F27"/>
    <w:rsid w:val="002A7FB2"/>
    <w:rsid w:val="002B0030"/>
    <w:rsid w:val="002B049F"/>
    <w:rsid w:val="002B055F"/>
    <w:rsid w:val="002B06AF"/>
    <w:rsid w:val="002B08C0"/>
    <w:rsid w:val="002B08FD"/>
    <w:rsid w:val="002B0B8B"/>
    <w:rsid w:val="002B0DED"/>
    <w:rsid w:val="002B18FA"/>
    <w:rsid w:val="002B19A2"/>
    <w:rsid w:val="002B1C12"/>
    <w:rsid w:val="002B2584"/>
    <w:rsid w:val="002B28F3"/>
    <w:rsid w:val="002B2B01"/>
    <w:rsid w:val="002B2B2C"/>
    <w:rsid w:val="002B2C54"/>
    <w:rsid w:val="002B364E"/>
    <w:rsid w:val="002B36ED"/>
    <w:rsid w:val="002B3700"/>
    <w:rsid w:val="002B381A"/>
    <w:rsid w:val="002B3A49"/>
    <w:rsid w:val="002B3DCA"/>
    <w:rsid w:val="002B456F"/>
    <w:rsid w:val="002B4DE0"/>
    <w:rsid w:val="002B4FCC"/>
    <w:rsid w:val="002B5127"/>
    <w:rsid w:val="002B588A"/>
    <w:rsid w:val="002B5D64"/>
    <w:rsid w:val="002B5EC9"/>
    <w:rsid w:val="002B5FBA"/>
    <w:rsid w:val="002B6710"/>
    <w:rsid w:val="002B6AD9"/>
    <w:rsid w:val="002B6F5C"/>
    <w:rsid w:val="002B7028"/>
    <w:rsid w:val="002B7408"/>
    <w:rsid w:val="002B7448"/>
    <w:rsid w:val="002B7B7D"/>
    <w:rsid w:val="002B7C64"/>
    <w:rsid w:val="002B7C8D"/>
    <w:rsid w:val="002B7CDC"/>
    <w:rsid w:val="002B7CFD"/>
    <w:rsid w:val="002C04F3"/>
    <w:rsid w:val="002C0530"/>
    <w:rsid w:val="002C0985"/>
    <w:rsid w:val="002C0DDD"/>
    <w:rsid w:val="002C1595"/>
    <w:rsid w:val="002C19A5"/>
    <w:rsid w:val="002C1F58"/>
    <w:rsid w:val="002C210F"/>
    <w:rsid w:val="002C211B"/>
    <w:rsid w:val="002C24B4"/>
    <w:rsid w:val="002C26C0"/>
    <w:rsid w:val="002C2C10"/>
    <w:rsid w:val="002C2CC5"/>
    <w:rsid w:val="002C2FC5"/>
    <w:rsid w:val="002C3517"/>
    <w:rsid w:val="002C35BB"/>
    <w:rsid w:val="002C36A6"/>
    <w:rsid w:val="002C3F08"/>
    <w:rsid w:val="002C40FA"/>
    <w:rsid w:val="002C4235"/>
    <w:rsid w:val="002C4314"/>
    <w:rsid w:val="002C439B"/>
    <w:rsid w:val="002C4430"/>
    <w:rsid w:val="002C45CC"/>
    <w:rsid w:val="002C483A"/>
    <w:rsid w:val="002C4A0D"/>
    <w:rsid w:val="002C4C81"/>
    <w:rsid w:val="002C4CF7"/>
    <w:rsid w:val="002C4D33"/>
    <w:rsid w:val="002C52FA"/>
    <w:rsid w:val="002C552C"/>
    <w:rsid w:val="002C5716"/>
    <w:rsid w:val="002C5D6F"/>
    <w:rsid w:val="002C5E32"/>
    <w:rsid w:val="002C6141"/>
    <w:rsid w:val="002C622C"/>
    <w:rsid w:val="002C65CB"/>
    <w:rsid w:val="002C674B"/>
    <w:rsid w:val="002C6755"/>
    <w:rsid w:val="002C7377"/>
    <w:rsid w:val="002C766E"/>
    <w:rsid w:val="002C77AD"/>
    <w:rsid w:val="002C7BFE"/>
    <w:rsid w:val="002C7F0C"/>
    <w:rsid w:val="002C7F99"/>
    <w:rsid w:val="002D0025"/>
    <w:rsid w:val="002D00FD"/>
    <w:rsid w:val="002D0571"/>
    <w:rsid w:val="002D0695"/>
    <w:rsid w:val="002D08DB"/>
    <w:rsid w:val="002D0B53"/>
    <w:rsid w:val="002D0DDD"/>
    <w:rsid w:val="002D1104"/>
    <w:rsid w:val="002D129A"/>
    <w:rsid w:val="002D1673"/>
    <w:rsid w:val="002D18C7"/>
    <w:rsid w:val="002D18E8"/>
    <w:rsid w:val="002D1B2B"/>
    <w:rsid w:val="002D1B2E"/>
    <w:rsid w:val="002D216D"/>
    <w:rsid w:val="002D219C"/>
    <w:rsid w:val="002D225D"/>
    <w:rsid w:val="002D2633"/>
    <w:rsid w:val="002D27DA"/>
    <w:rsid w:val="002D284C"/>
    <w:rsid w:val="002D29D4"/>
    <w:rsid w:val="002D2BBF"/>
    <w:rsid w:val="002D2CAB"/>
    <w:rsid w:val="002D2DDA"/>
    <w:rsid w:val="002D2E52"/>
    <w:rsid w:val="002D3172"/>
    <w:rsid w:val="002D3269"/>
    <w:rsid w:val="002D3387"/>
    <w:rsid w:val="002D3555"/>
    <w:rsid w:val="002D3600"/>
    <w:rsid w:val="002D36ED"/>
    <w:rsid w:val="002D37D5"/>
    <w:rsid w:val="002D3BDE"/>
    <w:rsid w:val="002D3DBC"/>
    <w:rsid w:val="002D40F0"/>
    <w:rsid w:val="002D41B4"/>
    <w:rsid w:val="002D469F"/>
    <w:rsid w:val="002D484E"/>
    <w:rsid w:val="002D487A"/>
    <w:rsid w:val="002D4B15"/>
    <w:rsid w:val="002D4B62"/>
    <w:rsid w:val="002D4CE4"/>
    <w:rsid w:val="002D4DBD"/>
    <w:rsid w:val="002D4DE7"/>
    <w:rsid w:val="002D4EF3"/>
    <w:rsid w:val="002D5231"/>
    <w:rsid w:val="002D5556"/>
    <w:rsid w:val="002D55D1"/>
    <w:rsid w:val="002D5606"/>
    <w:rsid w:val="002D5784"/>
    <w:rsid w:val="002D5C9C"/>
    <w:rsid w:val="002D5DDD"/>
    <w:rsid w:val="002D5DF2"/>
    <w:rsid w:val="002D5F3D"/>
    <w:rsid w:val="002D603E"/>
    <w:rsid w:val="002D61AA"/>
    <w:rsid w:val="002D64BE"/>
    <w:rsid w:val="002D6563"/>
    <w:rsid w:val="002D66D6"/>
    <w:rsid w:val="002D679B"/>
    <w:rsid w:val="002D6A96"/>
    <w:rsid w:val="002D6E48"/>
    <w:rsid w:val="002D74D0"/>
    <w:rsid w:val="002D79B0"/>
    <w:rsid w:val="002D7BD2"/>
    <w:rsid w:val="002D7BFA"/>
    <w:rsid w:val="002D7DFA"/>
    <w:rsid w:val="002E0212"/>
    <w:rsid w:val="002E03C1"/>
    <w:rsid w:val="002E0426"/>
    <w:rsid w:val="002E0B2F"/>
    <w:rsid w:val="002E0CE9"/>
    <w:rsid w:val="002E0D3D"/>
    <w:rsid w:val="002E1094"/>
    <w:rsid w:val="002E1349"/>
    <w:rsid w:val="002E139B"/>
    <w:rsid w:val="002E174B"/>
    <w:rsid w:val="002E1816"/>
    <w:rsid w:val="002E1934"/>
    <w:rsid w:val="002E1E0E"/>
    <w:rsid w:val="002E22B2"/>
    <w:rsid w:val="002E238A"/>
    <w:rsid w:val="002E24BF"/>
    <w:rsid w:val="002E250C"/>
    <w:rsid w:val="002E28C2"/>
    <w:rsid w:val="002E2AE7"/>
    <w:rsid w:val="002E3542"/>
    <w:rsid w:val="002E3ABC"/>
    <w:rsid w:val="002E47D7"/>
    <w:rsid w:val="002E4B8B"/>
    <w:rsid w:val="002E4DDC"/>
    <w:rsid w:val="002E4EC0"/>
    <w:rsid w:val="002E51E3"/>
    <w:rsid w:val="002E533B"/>
    <w:rsid w:val="002E53FA"/>
    <w:rsid w:val="002E5522"/>
    <w:rsid w:val="002E57CB"/>
    <w:rsid w:val="002E5D82"/>
    <w:rsid w:val="002E5E4C"/>
    <w:rsid w:val="002E610A"/>
    <w:rsid w:val="002E6204"/>
    <w:rsid w:val="002E622B"/>
    <w:rsid w:val="002E62B9"/>
    <w:rsid w:val="002E649C"/>
    <w:rsid w:val="002E67CC"/>
    <w:rsid w:val="002E6BD9"/>
    <w:rsid w:val="002E6CF2"/>
    <w:rsid w:val="002E6DF8"/>
    <w:rsid w:val="002E6E21"/>
    <w:rsid w:val="002E7291"/>
    <w:rsid w:val="002E750D"/>
    <w:rsid w:val="002E773C"/>
    <w:rsid w:val="002E78DC"/>
    <w:rsid w:val="002E7D51"/>
    <w:rsid w:val="002F00A0"/>
    <w:rsid w:val="002F0130"/>
    <w:rsid w:val="002F081D"/>
    <w:rsid w:val="002F12ED"/>
    <w:rsid w:val="002F13D0"/>
    <w:rsid w:val="002F1944"/>
    <w:rsid w:val="002F1FE0"/>
    <w:rsid w:val="002F230B"/>
    <w:rsid w:val="002F281E"/>
    <w:rsid w:val="002F2C00"/>
    <w:rsid w:val="002F2E78"/>
    <w:rsid w:val="002F2EC2"/>
    <w:rsid w:val="002F2FB7"/>
    <w:rsid w:val="002F337B"/>
    <w:rsid w:val="002F350F"/>
    <w:rsid w:val="002F3593"/>
    <w:rsid w:val="002F3DA1"/>
    <w:rsid w:val="002F3E2F"/>
    <w:rsid w:val="002F3F49"/>
    <w:rsid w:val="002F4000"/>
    <w:rsid w:val="002F4111"/>
    <w:rsid w:val="002F4267"/>
    <w:rsid w:val="002F44EF"/>
    <w:rsid w:val="002F46D7"/>
    <w:rsid w:val="002F48FD"/>
    <w:rsid w:val="002F4AD3"/>
    <w:rsid w:val="002F4C72"/>
    <w:rsid w:val="002F51A0"/>
    <w:rsid w:val="002F54B5"/>
    <w:rsid w:val="002F5528"/>
    <w:rsid w:val="002F5732"/>
    <w:rsid w:val="002F5B82"/>
    <w:rsid w:val="002F5BD8"/>
    <w:rsid w:val="002F5F01"/>
    <w:rsid w:val="002F6368"/>
    <w:rsid w:val="002F678F"/>
    <w:rsid w:val="002F70E3"/>
    <w:rsid w:val="002F7670"/>
    <w:rsid w:val="002F77C5"/>
    <w:rsid w:val="002F7A13"/>
    <w:rsid w:val="002F7EB0"/>
    <w:rsid w:val="002F7F30"/>
    <w:rsid w:val="00300258"/>
    <w:rsid w:val="003005E6"/>
    <w:rsid w:val="00300675"/>
    <w:rsid w:val="0030090B"/>
    <w:rsid w:val="00300BD5"/>
    <w:rsid w:val="00300F08"/>
    <w:rsid w:val="003011E7"/>
    <w:rsid w:val="00301227"/>
    <w:rsid w:val="003013B9"/>
    <w:rsid w:val="003019AA"/>
    <w:rsid w:val="00301DBB"/>
    <w:rsid w:val="00301EF4"/>
    <w:rsid w:val="00302480"/>
    <w:rsid w:val="003024D4"/>
    <w:rsid w:val="0030264E"/>
    <w:rsid w:val="00302758"/>
    <w:rsid w:val="003027FE"/>
    <w:rsid w:val="00302B24"/>
    <w:rsid w:val="00303171"/>
    <w:rsid w:val="0030317B"/>
    <w:rsid w:val="00303721"/>
    <w:rsid w:val="00303795"/>
    <w:rsid w:val="003038D1"/>
    <w:rsid w:val="0030398A"/>
    <w:rsid w:val="00303C5E"/>
    <w:rsid w:val="00304046"/>
    <w:rsid w:val="00304144"/>
    <w:rsid w:val="0030426E"/>
    <w:rsid w:val="00304526"/>
    <w:rsid w:val="0030476E"/>
    <w:rsid w:val="00304B4E"/>
    <w:rsid w:val="00304E7E"/>
    <w:rsid w:val="00304FA4"/>
    <w:rsid w:val="00305008"/>
    <w:rsid w:val="0030507B"/>
    <w:rsid w:val="0030522D"/>
    <w:rsid w:val="003052F4"/>
    <w:rsid w:val="00305384"/>
    <w:rsid w:val="00305B44"/>
    <w:rsid w:val="00305E57"/>
    <w:rsid w:val="003061F3"/>
    <w:rsid w:val="00306224"/>
    <w:rsid w:val="00306809"/>
    <w:rsid w:val="00306838"/>
    <w:rsid w:val="00306C1A"/>
    <w:rsid w:val="00306C5F"/>
    <w:rsid w:val="00306C61"/>
    <w:rsid w:val="00307F8D"/>
    <w:rsid w:val="00310077"/>
    <w:rsid w:val="003102A1"/>
    <w:rsid w:val="003103EC"/>
    <w:rsid w:val="00310606"/>
    <w:rsid w:val="0031075C"/>
    <w:rsid w:val="003108A6"/>
    <w:rsid w:val="00310A9B"/>
    <w:rsid w:val="00310BB7"/>
    <w:rsid w:val="00310F9C"/>
    <w:rsid w:val="003112B1"/>
    <w:rsid w:val="00311905"/>
    <w:rsid w:val="0031195C"/>
    <w:rsid w:val="003122C8"/>
    <w:rsid w:val="003125CA"/>
    <w:rsid w:val="00312739"/>
    <w:rsid w:val="00312CAA"/>
    <w:rsid w:val="00312F16"/>
    <w:rsid w:val="003130DC"/>
    <w:rsid w:val="003131DF"/>
    <w:rsid w:val="0031328F"/>
    <w:rsid w:val="00313358"/>
    <w:rsid w:val="0031347A"/>
    <w:rsid w:val="00313AA3"/>
    <w:rsid w:val="00313CE5"/>
    <w:rsid w:val="00313DE0"/>
    <w:rsid w:val="00314034"/>
    <w:rsid w:val="00314068"/>
    <w:rsid w:val="003146B4"/>
    <w:rsid w:val="00314764"/>
    <w:rsid w:val="00314CB0"/>
    <w:rsid w:val="00314CDC"/>
    <w:rsid w:val="003151CE"/>
    <w:rsid w:val="003158D4"/>
    <w:rsid w:val="00315C61"/>
    <w:rsid w:val="00315EE0"/>
    <w:rsid w:val="00316588"/>
    <w:rsid w:val="003165E6"/>
    <w:rsid w:val="0031675B"/>
    <w:rsid w:val="00316892"/>
    <w:rsid w:val="0031694C"/>
    <w:rsid w:val="00316B19"/>
    <w:rsid w:val="00316B67"/>
    <w:rsid w:val="00316DF8"/>
    <w:rsid w:val="00316E20"/>
    <w:rsid w:val="003172DD"/>
    <w:rsid w:val="00317F7A"/>
    <w:rsid w:val="00317FC6"/>
    <w:rsid w:val="00321181"/>
    <w:rsid w:val="003211EE"/>
    <w:rsid w:val="003212C4"/>
    <w:rsid w:val="003215B5"/>
    <w:rsid w:val="00321B96"/>
    <w:rsid w:val="00321C12"/>
    <w:rsid w:val="00321EAA"/>
    <w:rsid w:val="00321EF4"/>
    <w:rsid w:val="00321F75"/>
    <w:rsid w:val="0032215F"/>
    <w:rsid w:val="003221CF"/>
    <w:rsid w:val="003224B1"/>
    <w:rsid w:val="00322518"/>
    <w:rsid w:val="00322749"/>
    <w:rsid w:val="0032279A"/>
    <w:rsid w:val="003228F5"/>
    <w:rsid w:val="00322BDA"/>
    <w:rsid w:val="00323012"/>
    <w:rsid w:val="003233ED"/>
    <w:rsid w:val="00324237"/>
    <w:rsid w:val="00324916"/>
    <w:rsid w:val="00324A47"/>
    <w:rsid w:val="00324D81"/>
    <w:rsid w:val="00324D9F"/>
    <w:rsid w:val="00324E66"/>
    <w:rsid w:val="00324EAD"/>
    <w:rsid w:val="00325254"/>
    <w:rsid w:val="003252D1"/>
    <w:rsid w:val="003253EE"/>
    <w:rsid w:val="003254D3"/>
    <w:rsid w:val="0032618C"/>
    <w:rsid w:val="003261C1"/>
    <w:rsid w:val="003261CC"/>
    <w:rsid w:val="00326321"/>
    <w:rsid w:val="00326368"/>
    <w:rsid w:val="0032641D"/>
    <w:rsid w:val="00326697"/>
    <w:rsid w:val="00326994"/>
    <w:rsid w:val="00326B87"/>
    <w:rsid w:val="00326BC1"/>
    <w:rsid w:val="003276A0"/>
    <w:rsid w:val="00327847"/>
    <w:rsid w:val="00327948"/>
    <w:rsid w:val="003279B0"/>
    <w:rsid w:val="00327AB0"/>
    <w:rsid w:val="00327B9E"/>
    <w:rsid w:val="00327F63"/>
    <w:rsid w:val="0033000F"/>
    <w:rsid w:val="00330188"/>
    <w:rsid w:val="00330478"/>
    <w:rsid w:val="003304DB"/>
    <w:rsid w:val="003305D8"/>
    <w:rsid w:val="003307F1"/>
    <w:rsid w:val="00330A67"/>
    <w:rsid w:val="00330BCF"/>
    <w:rsid w:val="00330C26"/>
    <w:rsid w:val="0033144E"/>
    <w:rsid w:val="003319AB"/>
    <w:rsid w:val="00331B6E"/>
    <w:rsid w:val="00331C04"/>
    <w:rsid w:val="00331C1F"/>
    <w:rsid w:val="00331D88"/>
    <w:rsid w:val="00331ED3"/>
    <w:rsid w:val="00332011"/>
    <w:rsid w:val="00332045"/>
    <w:rsid w:val="00332423"/>
    <w:rsid w:val="00332518"/>
    <w:rsid w:val="0033271E"/>
    <w:rsid w:val="00332925"/>
    <w:rsid w:val="00332AEB"/>
    <w:rsid w:val="00332D2E"/>
    <w:rsid w:val="00332E3F"/>
    <w:rsid w:val="003332ED"/>
    <w:rsid w:val="0033340A"/>
    <w:rsid w:val="00333594"/>
    <w:rsid w:val="003337F4"/>
    <w:rsid w:val="00333B47"/>
    <w:rsid w:val="0033406E"/>
    <w:rsid w:val="00334719"/>
    <w:rsid w:val="00334748"/>
    <w:rsid w:val="00334854"/>
    <w:rsid w:val="00334AC1"/>
    <w:rsid w:val="00334E78"/>
    <w:rsid w:val="0033527F"/>
    <w:rsid w:val="003352D1"/>
    <w:rsid w:val="00335321"/>
    <w:rsid w:val="003354EF"/>
    <w:rsid w:val="00335B07"/>
    <w:rsid w:val="00335D90"/>
    <w:rsid w:val="00335E36"/>
    <w:rsid w:val="0033620B"/>
    <w:rsid w:val="003363CC"/>
    <w:rsid w:val="00336417"/>
    <w:rsid w:val="00336548"/>
    <w:rsid w:val="00336607"/>
    <w:rsid w:val="003367AB"/>
    <w:rsid w:val="00336819"/>
    <w:rsid w:val="003368DC"/>
    <w:rsid w:val="00336A1A"/>
    <w:rsid w:val="00337220"/>
    <w:rsid w:val="0033790D"/>
    <w:rsid w:val="00337EAE"/>
    <w:rsid w:val="003400A3"/>
    <w:rsid w:val="003402E3"/>
    <w:rsid w:val="00340360"/>
    <w:rsid w:val="003405B1"/>
    <w:rsid w:val="003407B3"/>
    <w:rsid w:val="00340916"/>
    <w:rsid w:val="003413AE"/>
    <w:rsid w:val="0034152D"/>
    <w:rsid w:val="00341697"/>
    <w:rsid w:val="00341950"/>
    <w:rsid w:val="00341AFE"/>
    <w:rsid w:val="00341C36"/>
    <w:rsid w:val="00341CAF"/>
    <w:rsid w:val="00341DA4"/>
    <w:rsid w:val="00341E19"/>
    <w:rsid w:val="00341EA9"/>
    <w:rsid w:val="00341FE5"/>
    <w:rsid w:val="00342615"/>
    <w:rsid w:val="003427F6"/>
    <w:rsid w:val="00343030"/>
    <w:rsid w:val="0034305B"/>
    <w:rsid w:val="00343129"/>
    <w:rsid w:val="003434DD"/>
    <w:rsid w:val="0034371E"/>
    <w:rsid w:val="00343772"/>
    <w:rsid w:val="00343ADB"/>
    <w:rsid w:val="00343D2A"/>
    <w:rsid w:val="00343F70"/>
    <w:rsid w:val="00343F9F"/>
    <w:rsid w:val="00344457"/>
    <w:rsid w:val="0034490B"/>
    <w:rsid w:val="0034494A"/>
    <w:rsid w:val="00344BF3"/>
    <w:rsid w:val="00344CAC"/>
    <w:rsid w:val="003452AE"/>
    <w:rsid w:val="0034550D"/>
    <w:rsid w:val="003457C4"/>
    <w:rsid w:val="003458C2"/>
    <w:rsid w:val="003458F0"/>
    <w:rsid w:val="00345927"/>
    <w:rsid w:val="003459B5"/>
    <w:rsid w:val="0034603D"/>
    <w:rsid w:val="0034604D"/>
    <w:rsid w:val="00346161"/>
    <w:rsid w:val="00346321"/>
    <w:rsid w:val="00346738"/>
    <w:rsid w:val="00346845"/>
    <w:rsid w:val="003468FC"/>
    <w:rsid w:val="00346A7B"/>
    <w:rsid w:val="00346FC9"/>
    <w:rsid w:val="00347003"/>
    <w:rsid w:val="00347350"/>
    <w:rsid w:val="003473BD"/>
    <w:rsid w:val="003473C8"/>
    <w:rsid w:val="00347671"/>
    <w:rsid w:val="003477A3"/>
    <w:rsid w:val="00350354"/>
    <w:rsid w:val="003504AF"/>
    <w:rsid w:val="003504F3"/>
    <w:rsid w:val="00350584"/>
    <w:rsid w:val="003507A0"/>
    <w:rsid w:val="0035096F"/>
    <w:rsid w:val="00350D45"/>
    <w:rsid w:val="003510BF"/>
    <w:rsid w:val="0035127C"/>
    <w:rsid w:val="00351413"/>
    <w:rsid w:val="00351857"/>
    <w:rsid w:val="003519AD"/>
    <w:rsid w:val="003519B2"/>
    <w:rsid w:val="003526CC"/>
    <w:rsid w:val="0035274A"/>
    <w:rsid w:val="003528BB"/>
    <w:rsid w:val="003529FE"/>
    <w:rsid w:val="00352A06"/>
    <w:rsid w:val="00352B66"/>
    <w:rsid w:val="00352F32"/>
    <w:rsid w:val="00352F51"/>
    <w:rsid w:val="00353644"/>
    <w:rsid w:val="003538F7"/>
    <w:rsid w:val="00353A9A"/>
    <w:rsid w:val="003540CB"/>
    <w:rsid w:val="00354132"/>
    <w:rsid w:val="0035413D"/>
    <w:rsid w:val="003545E8"/>
    <w:rsid w:val="003547D0"/>
    <w:rsid w:val="00354C42"/>
    <w:rsid w:val="00354FA3"/>
    <w:rsid w:val="003550CC"/>
    <w:rsid w:val="00355676"/>
    <w:rsid w:val="003557F0"/>
    <w:rsid w:val="00356484"/>
    <w:rsid w:val="003565AE"/>
    <w:rsid w:val="003566D3"/>
    <w:rsid w:val="00356E38"/>
    <w:rsid w:val="003572C7"/>
    <w:rsid w:val="00357655"/>
    <w:rsid w:val="003578B5"/>
    <w:rsid w:val="00357C7D"/>
    <w:rsid w:val="00357CA8"/>
    <w:rsid w:val="00357F7A"/>
    <w:rsid w:val="003601B7"/>
    <w:rsid w:val="0036029F"/>
    <w:rsid w:val="0036059C"/>
    <w:rsid w:val="00360862"/>
    <w:rsid w:val="00360B1E"/>
    <w:rsid w:val="00360B4B"/>
    <w:rsid w:val="00360C17"/>
    <w:rsid w:val="00360C79"/>
    <w:rsid w:val="00360CEE"/>
    <w:rsid w:val="00360D93"/>
    <w:rsid w:val="00360DD0"/>
    <w:rsid w:val="00360F01"/>
    <w:rsid w:val="00361085"/>
    <w:rsid w:val="003610E1"/>
    <w:rsid w:val="003614FE"/>
    <w:rsid w:val="0036152E"/>
    <w:rsid w:val="00361927"/>
    <w:rsid w:val="00361C8E"/>
    <w:rsid w:val="00362344"/>
    <w:rsid w:val="00362688"/>
    <w:rsid w:val="003627FB"/>
    <w:rsid w:val="003631D8"/>
    <w:rsid w:val="0036371E"/>
    <w:rsid w:val="00363A0A"/>
    <w:rsid w:val="00363A2F"/>
    <w:rsid w:val="00363E17"/>
    <w:rsid w:val="00363FFE"/>
    <w:rsid w:val="003642CA"/>
    <w:rsid w:val="0036437F"/>
    <w:rsid w:val="00364646"/>
    <w:rsid w:val="00364670"/>
    <w:rsid w:val="00364889"/>
    <w:rsid w:val="00364AE5"/>
    <w:rsid w:val="00364CB3"/>
    <w:rsid w:val="003653B7"/>
    <w:rsid w:val="003654B8"/>
    <w:rsid w:val="00365685"/>
    <w:rsid w:val="003660BE"/>
    <w:rsid w:val="0036641F"/>
    <w:rsid w:val="00366808"/>
    <w:rsid w:val="00366D8A"/>
    <w:rsid w:val="00366FED"/>
    <w:rsid w:val="00367077"/>
    <w:rsid w:val="003670A6"/>
    <w:rsid w:val="003670F6"/>
    <w:rsid w:val="003671BE"/>
    <w:rsid w:val="00367202"/>
    <w:rsid w:val="0036747C"/>
    <w:rsid w:val="003677DD"/>
    <w:rsid w:val="0037012B"/>
    <w:rsid w:val="003701D6"/>
    <w:rsid w:val="00370443"/>
    <w:rsid w:val="0037050E"/>
    <w:rsid w:val="003706F8"/>
    <w:rsid w:val="0037080D"/>
    <w:rsid w:val="00370877"/>
    <w:rsid w:val="003709B4"/>
    <w:rsid w:val="00370B53"/>
    <w:rsid w:val="00370B93"/>
    <w:rsid w:val="00370C37"/>
    <w:rsid w:val="00370C4A"/>
    <w:rsid w:val="00370D70"/>
    <w:rsid w:val="00370E72"/>
    <w:rsid w:val="00370FEE"/>
    <w:rsid w:val="003711A1"/>
    <w:rsid w:val="003714D2"/>
    <w:rsid w:val="00371A42"/>
    <w:rsid w:val="00371C68"/>
    <w:rsid w:val="00371E8B"/>
    <w:rsid w:val="00371EF9"/>
    <w:rsid w:val="00371FD9"/>
    <w:rsid w:val="00372235"/>
    <w:rsid w:val="00372485"/>
    <w:rsid w:val="003725CB"/>
    <w:rsid w:val="003726BB"/>
    <w:rsid w:val="00372DFC"/>
    <w:rsid w:val="00373200"/>
    <w:rsid w:val="003732E8"/>
    <w:rsid w:val="003738A4"/>
    <w:rsid w:val="003739AF"/>
    <w:rsid w:val="00373CD7"/>
    <w:rsid w:val="00373E43"/>
    <w:rsid w:val="00373EF4"/>
    <w:rsid w:val="00373F8C"/>
    <w:rsid w:val="00374025"/>
    <w:rsid w:val="003741C1"/>
    <w:rsid w:val="003741F7"/>
    <w:rsid w:val="00374AB3"/>
    <w:rsid w:val="00374DC1"/>
    <w:rsid w:val="00374E55"/>
    <w:rsid w:val="00375022"/>
    <w:rsid w:val="00375338"/>
    <w:rsid w:val="00375B7B"/>
    <w:rsid w:val="00375BC6"/>
    <w:rsid w:val="00375EF5"/>
    <w:rsid w:val="00376259"/>
    <w:rsid w:val="00376765"/>
    <w:rsid w:val="003767A5"/>
    <w:rsid w:val="00376AA0"/>
    <w:rsid w:val="00376E2F"/>
    <w:rsid w:val="00376E31"/>
    <w:rsid w:val="00376E4A"/>
    <w:rsid w:val="0037750C"/>
    <w:rsid w:val="00377873"/>
    <w:rsid w:val="00377B34"/>
    <w:rsid w:val="00377BE0"/>
    <w:rsid w:val="00377D7D"/>
    <w:rsid w:val="003800D4"/>
    <w:rsid w:val="003803BD"/>
    <w:rsid w:val="00380509"/>
    <w:rsid w:val="00380588"/>
    <w:rsid w:val="0038073A"/>
    <w:rsid w:val="003807C5"/>
    <w:rsid w:val="00380836"/>
    <w:rsid w:val="00380AB4"/>
    <w:rsid w:val="00380B53"/>
    <w:rsid w:val="00380FB2"/>
    <w:rsid w:val="0038126A"/>
    <w:rsid w:val="00381510"/>
    <w:rsid w:val="00381795"/>
    <w:rsid w:val="00381B6B"/>
    <w:rsid w:val="00381D15"/>
    <w:rsid w:val="00381DA9"/>
    <w:rsid w:val="0038243E"/>
    <w:rsid w:val="00382BA8"/>
    <w:rsid w:val="00382BFB"/>
    <w:rsid w:val="00382C67"/>
    <w:rsid w:val="00382EB1"/>
    <w:rsid w:val="00382F29"/>
    <w:rsid w:val="00383255"/>
    <w:rsid w:val="0038343A"/>
    <w:rsid w:val="003834DE"/>
    <w:rsid w:val="003834E2"/>
    <w:rsid w:val="00383C22"/>
    <w:rsid w:val="00383F7B"/>
    <w:rsid w:val="0038413D"/>
    <w:rsid w:val="00384463"/>
    <w:rsid w:val="00384CE8"/>
    <w:rsid w:val="00384EAE"/>
    <w:rsid w:val="00385072"/>
    <w:rsid w:val="00385254"/>
    <w:rsid w:val="00385286"/>
    <w:rsid w:val="0038597C"/>
    <w:rsid w:val="00385B20"/>
    <w:rsid w:val="00385F27"/>
    <w:rsid w:val="003860DC"/>
    <w:rsid w:val="0038664D"/>
    <w:rsid w:val="003867CF"/>
    <w:rsid w:val="003867DB"/>
    <w:rsid w:val="00386843"/>
    <w:rsid w:val="00386B09"/>
    <w:rsid w:val="00386B58"/>
    <w:rsid w:val="00386BC7"/>
    <w:rsid w:val="00386C2A"/>
    <w:rsid w:val="00386C4D"/>
    <w:rsid w:val="00386E0A"/>
    <w:rsid w:val="0038766A"/>
    <w:rsid w:val="00387A02"/>
    <w:rsid w:val="00387BB5"/>
    <w:rsid w:val="00390622"/>
    <w:rsid w:val="00390A24"/>
    <w:rsid w:val="00390A44"/>
    <w:rsid w:val="00390D91"/>
    <w:rsid w:val="00391127"/>
    <w:rsid w:val="0039130F"/>
    <w:rsid w:val="0039135C"/>
    <w:rsid w:val="003915F3"/>
    <w:rsid w:val="003918B7"/>
    <w:rsid w:val="00391A56"/>
    <w:rsid w:val="00391B8B"/>
    <w:rsid w:val="00391FA9"/>
    <w:rsid w:val="00392107"/>
    <w:rsid w:val="003923FE"/>
    <w:rsid w:val="003927D8"/>
    <w:rsid w:val="00392B6F"/>
    <w:rsid w:val="00392C32"/>
    <w:rsid w:val="00392CDC"/>
    <w:rsid w:val="00392FB9"/>
    <w:rsid w:val="003930F0"/>
    <w:rsid w:val="003933E8"/>
    <w:rsid w:val="00393532"/>
    <w:rsid w:val="00393A2B"/>
    <w:rsid w:val="00393A75"/>
    <w:rsid w:val="00393A95"/>
    <w:rsid w:val="00393E53"/>
    <w:rsid w:val="00393F91"/>
    <w:rsid w:val="00393FF7"/>
    <w:rsid w:val="00394031"/>
    <w:rsid w:val="0039409F"/>
    <w:rsid w:val="003941B0"/>
    <w:rsid w:val="003943E5"/>
    <w:rsid w:val="003945F1"/>
    <w:rsid w:val="00394A96"/>
    <w:rsid w:val="00394AD9"/>
    <w:rsid w:val="00394B71"/>
    <w:rsid w:val="00394D63"/>
    <w:rsid w:val="00394D7A"/>
    <w:rsid w:val="0039549D"/>
    <w:rsid w:val="00395B64"/>
    <w:rsid w:val="00395C84"/>
    <w:rsid w:val="00396065"/>
    <w:rsid w:val="00396066"/>
    <w:rsid w:val="003961DC"/>
    <w:rsid w:val="00396356"/>
    <w:rsid w:val="003963A2"/>
    <w:rsid w:val="0039657E"/>
    <w:rsid w:val="0039664A"/>
    <w:rsid w:val="00396715"/>
    <w:rsid w:val="00396A12"/>
    <w:rsid w:val="00396C7A"/>
    <w:rsid w:val="00396DC2"/>
    <w:rsid w:val="00396E40"/>
    <w:rsid w:val="00396F87"/>
    <w:rsid w:val="003972B6"/>
    <w:rsid w:val="003977E3"/>
    <w:rsid w:val="0039799B"/>
    <w:rsid w:val="003979D7"/>
    <w:rsid w:val="00397E84"/>
    <w:rsid w:val="003A04DB"/>
    <w:rsid w:val="003A0C6F"/>
    <w:rsid w:val="003A0E13"/>
    <w:rsid w:val="003A139D"/>
    <w:rsid w:val="003A1407"/>
    <w:rsid w:val="003A1464"/>
    <w:rsid w:val="003A1978"/>
    <w:rsid w:val="003A1A2B"/>
    <w:rsid w:val="003A24B5"/>
    <w:rsid w:val="003A2755"/>
    <w:rsid w:val="003A2780"/>
    <w:rsid w:val="003A291D"/>
    <w:rsid w:val="003A2A6B"/>
    <w:rsid w:val="003A2CFD"/>
    <w:rsid w:val="003A2D73"/>
    <w:rsid w:val="003A2D79"/>
    <w:rsid w:val="003A2DF1"/>
    <w:rsid w:val="003A2F50"/>
    <w:rsid w:val="003A3146"/>
    <w:rsid w:val="003A329C"/>
    <w:rsid w:val="003A3781"/>
    <w:rsid w:val="003A397B"/>
    <w:rsid w:val="003A3A59"/>
    <w:rsid w:val="003A3C3F"/>
    <w:rsid w:val="003A40C9"/>
    <w:rsid w:val="003A40FF"/>
    <w:rsid w:val="003A45A7"/>
    <w:rsid w:val="003A4976"/>
    <w:rsid w:val="003A4D1C"/>
    <w:rsid w:val="003A517D"/>
    <w:rsid w:val="003A5A44"/>
    <w:rsid w:val="003A5CAA"/>
    <w:rsid w:val="003A5E38"/>
    <w:rsid w:val="003A5F5B"/>
    <w:rsid w:val="003A60C8"/>
    <w:rsid w:val="003A612B"/>
    <w:rsid w:val="003A6525"/>
    <w:rsid w:val="003A65BD"/>
    <w:rsid w:val="003A6719"/>
    <w:rsid w:val="003A681C"/>
    <w:rsid w:val="003A6917"/>
    <w:rsid w:val="003A6B67"/>
    <w:rsid w:val="003A6C58"/>
    <w:rsid w:val="003A6DC6"/>
    <w:rsid w:val="003A73AA"/>
    <w:rsid w:val="003A73D1"/>
    <w:rsid w:val="003A789A"/>
    <w:rsid w:val="003A7A78"/>
    <w:rsid w:val="003B079C"/>
    <w:rsid w:val="003B07AD"/>
    <w:rsid w:val="003B0A3B"/>
    <w:rsid w:val="003B0B28"/>
    <w:rsid w:val="003B0B2A"/>
    <w:rsid w:val="003B0B7A"/>
    <w:rsid w:val="003B0BD9"/>
    <w:rsid w:val="003B0CA2"/>
    <w:rsid w:val="003B0D35"/>
    <w:rsid w:val="003B1145"/>
    <w:rsid w:val="003B12EC"/>
    <w:rsid w:val="003B1470"/>
    <w:rsid w:val="003B1B2F"/>
    <w:rsid w:val="003B1B7F"/>
    <w:rsid w:val="003B1C42"/>
    <w:rsid w:val="003B1FBD"/>
    <w:rsid w:val="003B2133"/>
    <w:rsid w:val="003B2326"/>
    <w:rsid w:val="003B29D7"/>
    <w:rsid w:val="003B29DE"/>
    <w:rsid w:val="003B315F"/>
    <w:rsid w:val="003B3A8C"/>
    <w:rsid w:val="003B3ACD"/>
    <w:rsid w:val="003B3CC1"/>
    <w:rsid w:val="003B3D68"/>
    <w:rsid w:val="003B4847"/>
    <w:rsid w:val="003B4B19"/>
    <w:rsid w:val="003B4D69"/>
    <w:rsid w:val="003B4F0D"/>
    <w:rsid w:val="003B50CF"/>
    <w:rsid w:val="003B5392"/>
    <w:rsid w:val="003B55CD"/>
    <w:rsid w:val="003B56EF"/>
    <w:rsid w:val="003B5736"/>
    <w:rsid w:val="003B5C20"/>
    <w:rsid w:val="003B5DBD"/>
    <w:rsid w:val="003B5E60"/>
    <w:rsid w:val="003B5ED5"/>
    <w:rsid w:val="003B6230"/>
    <w:rsid w:val="003B666F"/>
    <w:rsid w:val="003B670A"/>
    <w:rsid w:val="003B691E"/>
    <w:rsid w:val="003B6BC5"/>
    <w:rsid w:val="003B6C07"/>
    <w:rsid w:val="003B6D5E"/>
    <w:rsid w:val="003B6F64"/>
    <w:rsid w:val="003B7069"/>
    <w:rsid w:val="003B71C5"/>
    <w:rsid w:val="003B72F7"/>
    <w:rsid w:val="003B730E"/>
    <w:rsid w:val="003B7697"/>
    <w:rsid w:val="003B7B69"/>
    <w:rsid w:val="003B7BEF"/>
    <w:rsid w:val="003B7C2B"/>
    <w:rsid w:val="003B7D1B"/>
    <w:rsid w:val="003B7DCD"/>
    <w:rsid w:val="003B7EED"/>
    <w:rsid w:val="003B7F1E"/>
    <w:rsid w:val="003C01A1"/>
    <w:rsid w:val="003C026E"/>
    <w:rsid w:val="003C029B"/>
    <w:rsid w:val="003C0369"/>
    <w:rsid w:val="003C03B8"/>
    <w:rsid w:val="003C04A3"/>
    <w:rsid w:val="003C04A7"/>
    <w:rsid w:val="003C04C7"/>
    <w:rsid w:val="003C0C0B"/>
    <w:rsid w:val="003C0DAE"/>
    <w:rsid w:val="003C0E28"/>
    <w:rsid w:val="003C1329"/>
    <w:rsid w:val="003C1575"/>
    <w:rsid w:val="003C17A3"/>
    <w:rsid w:val="003C1B23"/>
    <w:rsid w:val="003C1CF6"/>
    <w:rsid w:val="003C1D93"/>
    <w:rsid w:val="003C1FDB"/>
    <w:rsid w:val="003C2093"/>
    <w:rsid w:val="003C25C2"/>
    <w:rsid w:val="003C2A45"/>
    <w:rsid w:val="003C2C68"/>
    <w:rsid w:val="003C2D4F"/>
    <w:rsid w:val="003C2E83"/>
    <w:rsid w:val="003C2FD8"/>
    <w:rsid w:val="003C306C"/>
    <w:rsid w:val="003C343C"/>
    <w:rsid w:val="003C3592"/>
    <w:rsid w:val="003C3949"/>
    <w:rsid w:val="003C3EE6"/>
    <w:rsid w:val="003C4341"/>
    <w:rsid w:val="003C463D"/>
    <w:rsid w:val="003C46F6"/>
    <w:rsid w:val="003C515D"/>
    <w:rsid w:val="003C516C"/>
    <w:rsid w:val="003C5236"/>
    <w:rsid w:val="003C52F4"/>
    <w:rsid w:val="003C5AAF"/>
    <w:rsid w:val="003C5B29"/>
    <w:rsid w:val="003C5F32"/>
    <w:rsid w:val="003C6545"/>
    <w:rsid w:val="003C666F"/>
    <w:rsid w:val="003C66DE"/>
    <w:rsid w:val="003C67F5"/>
    <w:rsid w:val="003C69DE"/>
    <w:rsid w:val="003C6CD5"/>
    <w:rsid w:val="003C6D9F"/>
    <w:rsid w:val="003C6DB5"/>
    <w:rsid w:val="003C7028"/>
    <w:rsid w:val="003C7142"/>
    <w:rsid w:val="003C7167"/>
    <w:rsid w:val="003C721E"/>
    <w:rsid w:val="003C75AF"/>
    <w:rsid w:val="003C75CA"/>
    <w:rsid w:val="003C77A7"/>
    <w:rsid w:val="003C77E0"/>
    <w:rsid w:val="003C7BFC"/>
    <w:rsid w:val="003D0157"/>
    <w:rsid w:val="003D072A"/>
    <w:rsid w:val="003D0797"/>
    <w:rsid w:val="003D0908"/>
    <w:rsid w:val="003D09C4"/>
    <w:rsid w:val="003D0A46"/>
    <w:rsid w:val="003D0C62"/>
    <w:rsid w:val="003D0E0F"/>
    <w:rsid w:val="003D0E61"/>
    <w:rsid w:val="003D14B6"/>
    <w:rsid w:val="003D1689"/>
    <w:rsid w:val="003D17D7"/>
    <w:rsid w:val="003D188B"/>
    <w:rsid w:val="003D1891"/>
    <w:rsid w:val="003D1BEE"/>
    <w:rsid w:val="003D1F1E"/>
    <w:rsid w:val="003D2650"/>
    <w:rsid w:val="003D2678"/>
    <w:rsid w:val="003D3473"/>
    <w:rsid w:val="003D37F3"/>
    <w:rsid w:val="003D38CD"/>
    <w:rsid w:val="003D3A2C"/>
    <w:rsid w:val="003D483E"/>
    <w:rsid w:val="003D4BFF"/>
    <w:rsid w:val="003D4C1C"/>
    <w:rsid w:val="003D4CEA"/>
    <w:rsid w:val="003D4E0B"/>
    <w:rsid w:val="003D593B"/>
    <w:rsid w:val="003D5A96"/>
    <w:rsid w:val="003D5BB9"/>
    <w:rsid w:val="003D5BF6"/>
    <w:rsid w:val="003D5C35"/>
    <w:rsid w:val="003D5C38"/>
    <w:rsid w:val="003D5FB8"/>
    <w:rsid w:val="003D6183"/>
    <w:rsid w:val="003D646F"/>
    <w:rsid w:val="003D6568"/>
    <w:rsid w:val="003D6E44"/>
    <w:rsid w:val="003D705E"/>
    <w:rsid w:val="003D71A3"/>
    <w:rsid w:val="003D77AE"/>
    <w:rsid w:val="003D7B4E"/>
    <w:rsid w:val="003D7E9D"/>
    <w:rsid w:val="003E005D"/>
    <w:rsid w:val="003E0135"/>
    <w:rsid w:val="003E0252"/>
    <w:rsid w:val="003E0438"/>
    <w:rsid w:val="003E04B4"/>
    <w:rsid w:val="003E1972"/>
    <w:rsid w:val="003E1E15"/>
    <w:rsid w:val="003E25BD"/>
    <w:rsid w:val="003E2769"/>
    <w:rsid w:val="003E2808"/>
    <w:rsid w:val="003E2A0B"/>
    <w:rsid w:val="003E2B3A"/>
    <w:rsid w:val="003E2B8A"/>
    <w:rsid w:val="003E2D3A"/>
    <w:rsid w:val="003E3431"/>
    <w:rsid w:val="003E383C"/>
    <w:rsid w:val="003E38E9"/>
    <w:rsid w:val="003E3914"/>
    <w:rsid w:val="003E3A31"/>
    <w:rsid w:val="003E3A55"/>
    <w:rsid w:val="003E3CCF"/>
    <w:rsid w:val="003E3E9F"/>
    <w:rsid w:val="003E4119"/>
    <w:rsid w:val="003E45A1"/>
    <w:rsid w:val="003E47E5"/>
    <w:rsid w:val="003E4821"/>
    <w:rsid w:val="003E4A72"/>
    <w:rsid w:val="003E4AB8"/>
    <w:rsid w:val="003E4AF7"/>
    <w:rsid w:val="003E4D16"/>
    <w:rsid w:val="003E4DDF"/>
    <w:rsid w:val="003E4E2C"/>
    <w:rsid w:val="003E5049"/>
    <w:rsid w:val="003E5097"/>
    <w:rsid w:val="003E50D4"/>
    <w:rsid w:val="003E5AFE"/>
    <w:rsid w:val="003E6022"/>
    <w:rsid w:val="003E6768"/>
    <w:rsid w:val="003E6943"/>
    <w:rsid w:val="003E6BBA"/>
    <w:rsid w:val="003E6D9D"/>
    <w:rsid w:val="003E6F1A"/>
    <w:rsid w:val="003E7182"/>
    <w:rsid w:val="003E72A7"/>
    <w:rsid w:val="003E72C1"/>
    <w:rsid w:val="003E7797"/>
    <w:rsid w:val="003E7886"/>
    <w:rsid w:val="003E7B46"/>
    <w:rsid w:val="003E7EFD"/>
    <w:rsid w:val="003F01B9"/>
    <w:rsid w:val="003F03BB"/>
    <w:rsid w:val="003F04DE"/>
    <w:rsid w:val="003F05A4"/>
    <w:rsid w:val="003F0691"/>
    <w:rsid w:val="003F0798"/>
    <w:rsid w:val="003F08B2"/>
    <w:rsid w:val="003F0F53"/>
    <w:rsid w:val="003F10EE"/>
    <w:rsid w:val="003F112C"/>
    <w:rsid w:val="003F140B"/>
    <w:rsid w:val="003F14DE"/>
    <w:rsid w:val="003F158D"/>
    <w:rsid w:val="003F16F6"/>
    <w:rsid w:val="003F1BFB"/>
    <w:rsid w:val="003F1C30"/>
    <w:rsid w:val="003F2118"/>
    <w:rsid w:val="003F216E"/>
    <w:rsid w:val="003F2258"/>
    <w:rsid w:val="003F22E6"/>
    <w:rsid w:val="003F2342"/>
    <w:rsid w:val="003F23B4"/>
    <w:rsid w:val="003F29CB"/>
    <w:rsid w:val="003F2E12"/>
    <w:rsid w:val="003F2E87"/>
    <w:rsid w:val="003F2FC9"/>
    <w:rsid w:val="003F325C"/>
    <w:rsid w:val="003F33AE"/>
    <w:rsid w:val="003F33FF"/>
    <w:rsid w:val="003F39B6"/>
    <w:rsid w:val="003F3D7F"/>
    <w:rsid w:val="003F3D8E"/>
    <w:rsid w:val="003F401A"/>
    <w:rsid w:val="003F41C4"/>
    <w:rsid w:val="003F4232"/>
    <w:rsid w:val="003F4235"/>
    <w:rsid w:val="003F456E"/>
    <w:rsid w:val="003F4598"/>
    <w:rsid w:val="003F45BF"/>
    <w:rsid w:val="003F4623"/>
    <w:rsid w:val="003F4ACA"/>
    <w:rsid w:val="003F4CA2"/>
    <w:rsid w:val="003F4DC7"/>
    <w:rsid w:val="003F4EF0"/>
    <w:rsid w:val="003F4FCF"/>
    <w:rsid w:val="003F5124"/>
    <w:rsid w:val="003F5235"/>
    <w:rsid w:val="003F5689"/>
    <w:rsid w:val="003F584A"/>
    <w:rsid w:val="003F5CBF"/>
    <w:rsid w:val="003F5CD0"/>
    <w:rsid w:val="003F5D73"/>
    <w:rsid w:val="003F5E38"/>
    <w:rsid w:val="003F631C"/>
    <w:rsid w:val="003F652A"/>
    <w:rsid w:val="003F6629"/>
    <w:rsid w:val="003F683B"/>
    <w:rsid w:val="003F6B5F"/>
    <w:rsid w:val="003F6BA6"/>
    <w:rsid w:val="003F6F2B"/>
    <w:rsid w:val="003F7184"/>
    <w:rsid w:val="003F743C"/>
    <w:rsid w:val="003F7B86"/>
    <w:rsid w:val="004002BA"/>
    <w:rsid w:val="004005D1"/>
    <w:rsid w:val="004005EE"/>
    <w:rsid w:val="004007C6"/>
    <w:rsid w:val="0040091F"/>
    <w:rsid w:val="004009E6"/>
    <w:rsid w:val="00400C24"/>
    <w:rsid w:val="00400D2B"/>
    <w:rsid w:val="00400E0F"/>
    <w:rsid w:val="00400E45"/>
    <w:rsid w:val="00400F07"/>
    <w:rsid w:val="004010FF"/>
    <w:rsid w:val="00401135"/>
    <w:rsid w:val="00401915"/>
    <w:rsid w:val="00401A17"/>
    <w:rsid w:val="0040255F"/>
    <w:rsid w:val="004027C4"/>
    <w:rsid w:val="004027E4"/>
    <w:rsid w:val="004028CE"/>
    <w:rsid w:val="00402963"/>
    <w:rsid w:val="00402DC7"/>
    <w:rsid w:val="00402DE7"/>
    <w:rsid w:val="00402EE4"/>
    <w:rsid w:val="00402F2E"/>
    <w:rsid w:val="004031D3"/>
    <w:rsid w:val="00403BBD"/>
    <w:rsid w:val="00403C72"/>
    <w:rsid w:val="00404213"/>
    <w:rsid w:val="004042FD"/>
    <w:rsid w:val="004044B8"/>
    <w:rsid w:val="004044DA"/>
    <w:rsid w:val="004045D3"/>
    <w:rsid w:val="0040476A"/>
    <w:rsid w:val="00404812"/>
    <w:rsid w:val="0040491E"/>
    <w:rsid w:val="00404C6B"/>
    <w:rsid w:val="00404D90"/>
    <w:rsid w:val="00404E19"/>
    <w:rsid w:val="00404EC2"/>
    <w:rsid w:val="0040506D"/>
    <w:rsid w:val="00405437"/>
    <w:rsid w:val="004055D1"/>
    <w:rsid w:val="0040589F"/>
    <w:rsid w:val="00405988"/>
    <w:rsid w:val="00405B2C"/>
    <w:rsid w:val="00405E49"/>
    <w:rsid w:val="00405FE3"/>
    <w:rsid w:val="00406295"/>
    <w:rsid w:val="00406356"/>
    <w:rsid w:val="00406539"/>
    <w:rsid w:val="004065D4"/>
    <w:rsid w:val="004067CB"/>
    <w:rsid w:val="00406B20"/>
    <w:rsid w:val="00406C72"/>
    <w:rsid w:val="00407353"/>
    <w:rsid w:val="004077ED"/>
    <w:rsid w:val="00407C20"/>
    <w:rsid w:val="00407EDE"/>
    <w:rsid w:val="0041045A"/>
    <w:rsid w:val="0041071D"/>
    <w:rsid w:val="004108D2"/>
    <w:rsid w:val="00410A69"/>
    <w:rsid w:val="00410BC7"/>
    <w:rsid w:val="00410D62"/>
    <w:rsid w:val="004110D9"/>
    <w:rsid w:val="0041130E"/>
    <w:rsid w:val="00411435"/>
    <w:rsid w:val="00411524"/>
    <w:rsid w:val="00411951"/>
    <w:rsid w:val="00411C1D"/>
    <w:rsid w:val="00411C87"/>
    <w:rsid w:val="0041256F"/>
    <w:rsid w:val="004126F1"/>
    <w:rsid w:val="00412A8B"/>
    <w:rsid w:val="00412C81"/>
    <w:rsid w:val="0041306C"/>
    <w:rsid w:val="004130DB"/>
    <w:rsid w:val="00413124"/>
    <w:rsid w:val="00413239"/>
    <w:rsid w:val="00413654"/>
    <w:rsid w:val="004138EF"/>
    <w:rsid w:val="00413E8B"/>
    <w:rsid w:val="00413FCE"/>
    <w:rsid w:val="00414396"/>
    <w:rsid w:val="00414A90"/>
    <w:rsid w:val="00414AFC"/>
    <w:rsid w:val="00414B26"/>
    <w:rsid w:val="004151A7"/>
    <w:rsid w:val="00415310"/>
    <w:rsid w:val="0041557A"/>
    <w:rsid w:val="004157F7"/>
    <w:rsid w:val="00415C68"/>
    <w:rsid w:val="00415E18"/>
    <w:rsid w:val="00416173"/>
    <w:rsid w:val="00416281"/>
    <w:rsid w:val="00416438"/>
    <w:rsid w:val="004164E1"/>
    <w:rsid w:val="0041655D"/>
    <w:rsid w:val="00416B25"/>
    <w:rsid w:val="00416F0F"/>
    <w:rsid w:val="00416F85"/>
    <w:rsid w:val="00417139"/>
    <w:rsid w:val="0041717D"/>
    <w:rsid w:val="00417326"/>
    <w:rsid w:val="0041764B"/>
    <w:rsid w:val="004178C3"/>
    <w:rsid w:val="0042007C"/>
    <w:rsid w:val="00420814"/>
    <w:rsid w:val="0042096D"/>
    <w:rsid w:val="004209C9"/>
    <w:rsid w:val="00420A90"/>
    <w:rsid w:val="00420B9B"/>
    <w:rsid w:val="00420E42"/>
    <w:rsid w:val="004214B6"/>
    <w:rsid w:val="00421709"/>
    <w:rsid w:val="00421D99"/>
    <w:rsid w:val="00421DB3"/>
    <w:rsid w:val="004220CF"/>
    <w:rsid w:val="00422108"/>
    <w:rsid w:val="00422137"/>
    <w:rsid w:val="004223D9"/>
    <w:rsid w:val="00422540"/>
    <w:rsid w:val="0042262B"/>
    <w:rsid w:val="00422D22"/>
    <w:rsid w:val="0042331B"/>
    <w:rsid w:val="004233FC"/>
    <w:rsid w:val="0042369E"/>
    <w:rsid w:val="00423763"/>
    <w:rsid w:val="00423A8E"/>
    <w:rsid w:val="00423C1F"/>
    <w:rsid w:val="00424182"/>
    <w:rsid w:val="004246E6"/>
    <w:rsid w:val="00424875"/>
    <w:rsid w:val="004248D9"/>
    <w:rsid w:val="00424D45"/>
    <w:rsid w:val="004250A2"/>
    <w:rsid w:val="004251C7"/>
    <w:rsid w:val="00425251"/>
    <w:rsid w:val="00425530"/>
    <w:rsid w:val="004257A2"/>
    <w:rsid w:val="0042586F"/>
    <w:rsid w:val="00425F83"/>
    <w:rsid w:val="0042603D"/>
    <w:rsid w:val="00426069"/>
    <w:rsid w:val="004261CB"/>
    <w:rsid w:val="004263A7"/>
    <w:rsid w:val="00426773"/>
    <w:rsid w:val="00426901"/>
    <w:rsid w:val="004269A3"/>
    <w:rsid w:val="00426F19"/>
    <w:rsid w:val="00426F20"/>
    <w:rsid w:val="004272C4"/>
    <w:rsid w:val="0042762F"/>
    <w:rsid w:val="00427A14"/>
    <w:rsid w:val="00427DC7"/>
    <w:rsid w:val="00430151"/>
    <w:rsid w:val="004304C0"/>
    <w:rsid w:val="00430610"/>
    <w:rsid w:val="00430789"/>
    <w:rsid w:val="0043106D"/>
    <w:rsid w:val="004312C5"/>
    <w:rsid w:val="004313AA"/>
    <w:rsid w:val="0043141F"/>
    <w:rsid w:val="00431534"/>
    <w:rsid w:val="0043158E"/>
    <w:rsid w:val="00431613"/>
    <w:rsid w:val="004316A7"/>
    <w:rsid w:val="00431748"/>
    <w:rsid w:val="00431792"/>
    <w:rsid w:val="00431826"/>
    <w:rsid w:val="00431B2A"/>
    <w:rsid w:val="00431BCF"/>
    <w:rsid w:val="00431CE1"/>
    <w:rsid w:val="00431DE8"/>
    <w:rsid w:val="00431EE5"/>
    <w:rsid w:val="00431EFB"/>
    <w:rsid w:val="00431F5A"/>
    <w:rsid w:val="004322CF"/>
    <w:rsid w:val="00432388"/>
    <w:rsid w:val="004324B9"/>
    <w:rsid w:val="004324E3"/>
    <w:rsid w:val="00432556"/>
    <w:rsid w:val="004327AD"/>
    <w:rsid w:val="0043297A"/>
    <w:rsid w:val="00432A6F"/>
    <w:rsid w:val="00432AD0"/>
    <w:rsid w:val="00432BEA"/>
    <w:rsid w:val="00432EB2"/>
    <w:rsid w:val="0043356D"/>
    <w:rsid w:val="0043357D"/>
    <w:rsid w:val="004335B8"/>
    <w:rsid w:val="00433B2E"/>
    <w:rsid w:val="00433E5F"/>
    <w:rsid w:val="00433EE2"/>
    <w:rsid w:val="00434091"/>
    <w:rsid w:val="004341DC"/>
    <w:rsid w:val="004345C0"/>
    <w:rsid w:val="004347A2"/>
    <w:rsid w:val="0043482F"/>
    <w:rsid w:val="004348AF"/>
    <w:rsid w:val="00434A19"/>
    <w:rsid w:val="00434AD2"/>
    <w:rsid w:val="00434AFB"/>
    <w:rsid w:val="0043502C"/>
    <w:rsid w:val="00435377"/>
    <w:rsid w:val="004353EC"/>
    <w:rsid w:val="00435489"/>
    <w:rsid w:val="004357F4"/>
    <w:rsid w:val="00436063"/>
    <w:rsid w:val="004361F6"/>
    <w:rsid w:val="00436348"/>
    <w:rsid w:val="00436465"/>
    <w:rsid w:val="0043646D"/>
    <w:rsid w:val="0043666F"/>
    <w:rsid w:val="0043714F"/>
    <w:rsid w:val="004371A3"/>
    <w:rsid w:val="0043751C"/>
    <w:rsid w:val="004375C4"/>
    <w:rsid w:val="0043794D"/>
    <w:rsid w:val="00437AC3"/>
    <w:rsid w:val="00437E41"/>
    <w:rsid w:val="00440082"/>
    <w:rsid w:val="0044015A"/>
    <w:rsid w:val="0044044E"/>
    <w:rsid w:val="004405C9"/>
    <w:rsid w:val="00440B2D"/>
    <w:rsid w:val="00440E68"/>
    <w:rsid w:val="00440E82"/>
    <w:rsid w:val="00440EDC"/>
    <w:rsid w:val="00441176"/>
    <w:rsid w:val="004412BB"/>
    <w:rsid w:val="00441559"/>
    <w:rsid w:val="004418BD"/>
    <w:rsid w:val="00441907"/>
    <w:rsid w:val="00441954"/>
    <w:rsid w:val="00441967"/>
    <w:rsid w:val="00441C83"/>
    <w:rsid w:val="0044205E"/>
    <w:rsid w:val="00442550"/>
    <w:rsid w:val="004427D2"/>
    <w:rsid w:val="00442CEB"/>
    <w:rsid w:val="00442E63"/>
    <w:rsid w:val="0044318E"/>
    <w:rsid w:val="004438B5"/>
    <w:rsid w:val="00443FE3"/>
    <w:rsid w:val="00444178"/>
    <w:rsid w:val="004441C8"/>
    <w:rsid w:val="004443C2"/>
    <w:rsid w:val="004445FE"/>
    <w:rsid w:val="0044494E"/>
    <w:rsid w:val="00444D5D"/>
    <w:rsid w:val="00445047"/>
    <w:rsid w:val="004451EE"/>
    <w:rsid w:val="00445505"/>
    <w:rsid w:val="004456CC"/>
    <w:rsid w:val="004458B3"/>
    <w:rsid w:val="00445921"/>
    <w:rsid w:val="00445D56"/>
    <w:rsid w:val="00446071"/>
    <w:rsid w:val="004466B6"/>
    <w:rsid w:val="00446C64"/>
    <w:rsid w:val="00447037"/>
    <w:rsid w:val="0044703E"/>
    <w:rsid w:val="0044714E"/>
    <w:rsid w:val="004479E4"/>
    <w:rsid w:val="00447A8E"/>
    <w:rsid w:val="00447B01"/>
    <w:rsid w:val="00447BB8"/>
    <w:rsid w:val="00447F2E"/>
    <w:rsid w:val="00450048"/>
    <w:rsid w:val="00450B57"/>
    <w:rsid w:val="00450D81"/>
    <w:rsid w:val="00450F93"/>
    <w:rsid w:val="0045124D"/>
    <w:rsid w:val="00451D5A"/>
    <w:rsid w:val="004522F9"/>
    <w:rsid w:val="004526BB"/>
    <w:rsid w:val="00452769"/>
    <w:rsid w:val="00452980"/>
    <w:rsid w:val="00452ED2"/>
    <w:rsid w:val="00453066"/>
    <w:rsid w:val="00453327"/>
    <w:rsid w:val="00453501"/>
    <w:rsid w:val="00453905"/>
    <w:rsid w:val="004539AA"/>
    <w:rsid w:val="00453F26"/>
    <w:rsid w:val="004543AB"/>
    <w:rsid w:val="00454596"/>
    <w:rsid w:val="0045473B"/>
    <w:rsid w:val="0045486C"/>
    <w:rsid w:val="0045493F"/>
    <w:rsid w:val="00454AC2"/>
    <w:rsid w:val="00454AD4"/>
    <w:rsid w:val="0045554B"/>
    <w:rsid w:val="004558D8"/>
    <w:rsid w:val="00455FCD"/>
    <w:rsid w:val="0045605D"/>
    <w:rsid w:val="0045618B"/>
    <w:rsid w:val="00456336"/>
    <w:rsid w:val="0045644A"/>
    <w:rsid w:val="004569ED"/>
    <w:rsid w:val="00456C2E"/>
    <w:rsid w:val="00456C44"/>
    <w:rsid w:val="00456D79"/>
    <w:rsid w:val="00456FA1"/>
    <w:rsid w:val="0045729E"/>
    <w:rsid w:val="00457555"/>
    <w:rsid w:val="0045761F"/>
    <w:rsid w:val="00457756"/>
    <w:rsid w:val="00457C30"/>
    <w:rsid w:val="00457C36"/>
    <w:rsid w:val="00457DE4"/>
    <w:rsid w:val="00457F0B"/>
    <w:rsid w:val="004600BC"/>
    <w:rsid w:val="004601B1"/>
    <w:rsid w:val="0046023E"/>
    <w:rsid w:val="00460250"/>
    <w:rsid w:val="0046032D"/>
    <w:rsid w:val="0046033A"/>
    <w:rsid w:val="0046094A"/>
    <w:rsid w:val="00460A73"/>
    <w:rsid w:val="00460B1C"/>
    <w:rsid w:val="00460C57"/>
    <w:rsid w:val="00460D31"/>
    <w:rsid w:val="00460E5B"/>
    <w:rsid w:val="00461105"/>
    <w:rsid w:val="00461296"/>
    <w:rsid w:val="004612F4"/>
    <w:rsid w:val="0046131C"/>
    <w:rsid w:val="0046135B"/>
    <w:rsid w:val="004613A7"/>
    <w:rsid w:val="004617B6"/>
    <w:rsid w:val="00461A02"/>
    <w:rsid w:val="00461A82"/>
    <w:rsid w:val="00461AA4"/>
    <w:rsid w:val="00461D47"/>
    <w:rsid w:val="004620B1"/>
    <w:rsid w:val="00462175"/>
    <w:rsid w:val="00462233"/>
    <w:rsid w:val="004623D1"/>
    <w:rsid w:val="004624AA"/>
    <w:rsid w:val="004624B8"/>
    <w:rsid w:val="00462B11"/>
    <w:rsid w:val="00462C34"/>
    <w:rsid w:val="00462D0B"/>
    <w:rsid w:val="00463212"/>
    <w:rsid w:val="00463554"/>
    <w:rsid w:val="0046363D"/>
    <w:rsid w:val="00463A50"/>
    <w:rsid w:val="00463A61"/>
    <w:rsid w:val="00463D22"/>
    <w:rsid w:val="0046426D"/>
    <w:rsid w:val="00464384"/>
    <w:rsid w:val="00464389"/>
    <w:rsid w:val="004643D2"/>
    <w:rsid w:val="004645BE"/>
    <w:rsid w:val="004645BF"/>
    <w:rsid w:val="004648D2"/>
    <w:rsid w:val="00464AD9"/>
    <w:rsid w:val="00464B12"/>
    <w:rsid w:val="00464FE0"/>
    <w:rsid w:val="00465432"/>
    <w:rsid w:val="004654B5"/>
    <w:rsid w:val="0046581B"/>
    <w:rsid w:val="00465846"/>
    <w:rsid w:val="00465906"/>
    <w:rsid w:val="00465946"/>
    <w:rsid w:val="00465A60"/>
    <w:rsid w:val="00465AB9"/>
    <w:rsid w:val="004661CB"/>
    <w:rsid w:val="004662C5"/>
    <w:rsid w:val="00466435"/>
    <w:rsid w:val="0046659B"/>
    <w:rsid w:val="00466B42"/>
    <w:rsid w:val="00466FA9"/>
    <w:rsid w:val="004670F3"/>
    <w:rsid w:val="00467190"/>
    <w:rsid w:val="0046724A"/>
    <w:rsid w:val="004672B6"/>
    <w:rsid w:val="00467483"/>
    <w:rsid w:val="00467584"/>
    <w:rsid w:val="00467627"/>
    <w:rsid w:val="004678C4"/>
    <w:rsid w:val="00467B3F"/>
    <w:rsid w:val="00467C94"/>
    <w:rsid w:val="004702C3"/>
    <w:rsid w:val="0047035A"/>
    <w:rsid w:val="00470598"/>
    <w:rsid w:val="0047076E"/>
    <w:rsid w:val="00470939"/>
    <w:rsid w:val="0047095F"/>
    <w:rsid w:val="00470A46"/>
    <w:rsid w:val="00470D1B"/>
    <w:rsid w:val="00470F75"/>
    <w:rsid w:val="004710D1"/>
    <w:rsid w:val="0047116D"/>
    <w:rsid w:val="004712E0"/>
    <w:rsid w:val="004712E6"/>
    <w:rsid w:val="004712EE"/>
    <w:rsid w:val="004717E1"/>
    <w:rsid w:val="00471846"/>
    <w:rsid w:val="004718BF"/>
    <w:rsid w:val="004718CC"/>
    <w:rsid w:val="00471A9E"/>
    <w:rsid w:val="00471AAA"/>
    <w:rsid w:val="00471EF4"/>
    <w:rsid w:val="00471F41"/>
    <w:rsid w:val="00472093"/>
    <w:rsid w:val="004724E1"/>
    <w:rsid w:val="00472594"/>
    <w:rsid w:val="004725C0"/>
    <w:rsid w:val="0047272B"/>
    <w:rsid w:val="004728C0"/>
    <w:rsid w:val="00472AA2"/>
    <w:rsid w:val="00472C9A"/>
    <w:rsid w:val="00472D85"/>
    <w:rsid w:val="00472E4A"/>
    <w:rsid w:val="00472E77"/>
    <w:rsid w:val="00473363"/>
    <w:rsid w:val="00473441"/>
    <w:rsid w:val="00473468"/>
    <w:rsid w:val="004734F3"/>
    <w:rsid w:val="004738C2"/>
    <w:rsid w:val="004738E1"/>
    <w:rsid w:val="00473957"/>
    <w:rsid w:val="00473EA5"/>
    <w:rsid w:val="0047433A"/>
    <w:rsid w:val="0047438D"/>
    <w:rsid w:val="0047543E"/>
    <w:rsid w:val="004759D4"/>
    <w:rsid w:val="00475E26"/>
    <w:rsid w:val="00475E5C"/>
    <w:rsid w:val="004760BD"/>
    <w:rsid w:val="0047692B"/>
    <w:rsid w:val="00476B91"/>
    <w:rsid w:val="00476EB9"/>
    <w:rsid w:val="00476F0F"/>
    <w:rsid w:val="004770A3"/>
    <w:rsid w:val="0047717E"/>
    <w:rsid w:val="00477189"/>
    <w:rsid w:val="004773C2"/>
    <w:rsid w:val="0047798A"/>
    <w:rsid w:val="00477D8D"/>
    <w:rsid w:val="00480005"/>
    <w:rsid w:val="00480313"/>
    <w:rsid w:val="004807E6"/>
    <w:rsid w:val="004808F0"/>
    <w:rsid w:val="00480D65"/>
    <w:rsid w:val="00480F2C"/>
    <w:rsid w:val="00480F3E"/>
    <w:rsid w:val="004810E3"/>
    <w:rsid w:val="0048146C"/>
    <w:rsid w:val="004815C3"/>
    <w:rsid w:val="00481681"/>
    <w:rsid w:val="00481695"/>
    <w:rsid w:val="0048196A"/>
    <w:rsid w:val="00481D3F"/>
    <w:rsid w:val="004822F1"/>
    <w:rsid w:val="00482317"/>
    <w:rsid w:val="00482334"/>
    <w:rsid w:val="004823E9"/>
    <w:rsid w:val="00482433"/>
    <w:rsid w:val="00482693"/>
    <w:rsid w:val="00482864"/>
    <w:rsid w:val="0048295C"/>
    <w:rsid w:val="00482CCF"/>
    <w:rsid w:val="00482EF1"/>
    <w:rsid w:val="00482F12"/>
    <w:rsid w:val="00482F58"/>
    <w:rsid w:val="0048302D"/>
    <w:rsid w:val="0048305D"/>
    <w:rsid w:val="00483277"/>
    <w:rsid w:val="00483307"/>
    <w:rsid w:val="00483772"/>
    <w:rsid w:val="004837FA"/>
    <w:rsid w:val="00483A04"/>
    <w:rsid w:val="00483D3F"/>
    <w:rsid w:val="00483D69"/>
    <w:rsid w:val="0048400F"/>
    <w:rsid w:val="00484473"/>
    <w:rsid w:val="00484916"/>
    <w:rsid w:val="00484CA4"/>
    <w:rsid w:val="00484CE5"/>
    <w:rsid w:val="00485224"/>
    <w:rsid w:val="004854D6"/>
    <w:rsid w:val="004856A7"/>
    <w:rsid w:val="00486021"/>
    <w:rsid w:val="0048606E"/>
    <w:rsid w:val="004861B6"/>
    <w:rsid w:val="004866D3"/>
    <w:rsid w:val="00486FF6"/>
    <w:rsid w:val="004871A8"/>
    <w:rsid w:val="0048723A"/>
    <w:rsid w:val="00487961"/>
    <w:rsid w:val="00487E14"/>
    <w:rsid w:val="00487EAA"/>
    <w:rsid w:val="00487FF8"/>
    <w:rsid w:val="0048C8A8"/>
    <w:rsid w:val="004900DC"/>
    <w:rsid w:val="0049036D"/>
    <w:rsid w:val="0049084E"/>
    <w:rsid w:val="00490B7F"/>
    <w:rsid w:val="00490C92"/>
    <w:rsid w:val="00490CD8"/>
    <w:rsid w:val="00491301"/>
    <w:rsid w:val="00491570"/>
    <w:rsid w:val="00491780"/>
    <w:rsid w:val="00491852"/>
    <w:rsid w:val="00491E9F"/>
    <w:rsid w:val="00491FCC"/>
    <w:rsid w:val="0049209E"/>
    <w:rsid w:val="0049218E"/>
    <w:rsid w:val="004923A3"/>
    <w:rsid w:val="00492990"/>
    <w:rsid w:val="004929BA"/>
    <w:rsid w:val="00492A3B"/>
    <w:rsid w:val="00492A3F"/>
    <w:rsid w:val="00492B1D"/>
    <w:rsid w:val="004932AB"/>
    <w:rsid w:val="00493375"/>
    <w:rsid w:val="0049340B"/>
    <w:rsid w:val="00493C94"/>
    <w:rsid w:val="00493CF5"/>
    <w:rsid w:val="00494207"/>
    <w:rsid w:val="00494360"/>
    <w:rsid w:val="00494714"/>
    <w:rsid w:val="00494A55"/>
    <w:rsid w:val="00494A8E"/>
    <w:rsid w:val="00494A93"/>
    <w:rsid w:val="00494AD2"/>
    <w:rsid w:val="00494CE1"/>
    <w:rsid w:val="00494F6C"/>
    <w:rsid w:val="00495446"/>
    <w:rsid w:val="00495452"/>
    <w:rsid w:val="0049563C"/>
    <w:rsid w:val="0049599D"/>
    <w:rsid w:val="00495A96"/>
    <w:rsid w:val="00495B7F"/>
    <w:rsid w:val="00495BB3"/>
    <w:rsid w:val="00495DFE"/>
    <w:rsid w:val="00495E2B"/>
    <w:rsid w:val="00495FBA"/>
    <w:rsid w:val="00496093"/>
    <w:rsid w:val="00496165"/>
    <w:rsid w:val="00496AFD"/>
    <w:rsid w:val="00496C4A"/>
    <w:rsid w:val="00496C7F"/>
    <w:rsid w:val="00496E9B"/>
    <w:rsid w:val="004970A7"/>
    <w:rsid w:val="004970D2"/>
    <w:rsid w:val="00497190"/>
    <w:rsid w:val="00497628"/>
    <w:rsid w:val="004976EC"/>
    <w:rsid w:val="004977FB"/>
    <w:rsid w:val="00497C58"/>
    <w:rsid w:val="004A0173"/>
    <w:rsid w:val="004A01D6"/>
    <w:rsid w:val="004A01E7"/>
    <w:rsid w:val="004A0769"/>
    <w:rsid w:val="004A1156"/>
    <w:rsid w:val="004A166D"/>
    <w:rsid w:val="004A1CEA"/>
    <w:rsid w:val="004A1EC2"/>
    <w:rsid w:val="004A2057"/>
    <w:rsid w:val="004A24C2"/>
    <w:rsid w:val="004A2B43"/>
    <w:rsid w:val="004A349F"/>
    <w:rsid w:val="004A350F"/>
    <w:rsid w:val="004A3524"/>
    <w:rsid w:val="004A3A07"/>
    <w:rsid w:val="004A3B82"/>
    <w:rsid w:val="004A3DF8"/>
    <w:rsid w:val="004A406C"/>
    <w:rsid w:val="004A4102"/>
    <w:rsid w:val="004A44A0"/>
    <w:rsid w:val="004A47CA"/>
    <w:rsid w:val="004A4B88"/>
    <w:rsid w:val="004A4B8A"/>
    <w:rsid w:val="004A4D3F"/>
    <w:rsid w:val="004A4F40"/>
    <w:rsid w:val="004A4FFF"/>
    <w:rsid w:val="004A5018"/>
    <w:rsid w:val="004A56A5"/>
    <w:rsid w:val="004A56BB"/>
    <w:rsid w:val="004A58C6"/>
    <w:rsid w:val="004A5B4B"/>
    <w:rsid w:val="004A5B70"/>
    <w:rsid w:val="004A5C1C"/>
    <w:rsid w:val="004A5DAE"/>
    <w:rsid w:val="004A62EA"/>
    <w:rsid w:val="004A6585"/>
    <w:rsid w:val="004A674C"/>
    <w:rsid w:val="004A69A9"/>
    <w:rsid w:val="004A6BBC"/>
    <w:rsid w:val="004A6C29"/>
    <w:rsid w:val="004A6D8D"/>
    <w:rsid w:val="004A6D99"/>
    <w:rsid w:val="004A70D6"/>
    <w:rsid w:val="004A751A"/>
    <w:rsid w:val="004A77B5"/>
    <w:rsid w:val="004A78D2"/>
    <w:rsid w:val="004B070D"/>
    <w:rsid w:val="004B07E3"/>
    <w:rsid w:val="004B1442"/>
    <w:rsid w:val="004B1530"/>
    <w:rsid w:val="004B16C6"/>
    <w:rsid w:val="004B1735"/>
    <w:rsid w:val="004B1751"/>
    <w:rsid w:val="004B197F"/>
    <w:rsid w:val="004B1CE7"/>
    <w:rsid w:val="004B2494"/>
    <w:rsid w:val="004B27CF"/>
    <w:rsid w:val="004B2855"/>
    <w:rsid w:val="004B2DD2"/>
    <w:rsid w:val="004B3029"/>
    <w:rsid w:val="004B3159"/>
    <w:rsid w:val="004B33ED"/>
    <w:rsid w:val="004B345B"/>
    <w:rsid w:val="004B34DE"/>
    <w:rsid w:val="004B36E2"/>
    <w:rsid w:val="004B3BCF"/>
    <w:rsid w:val="004B3D82"/>
    <w:rsid w:val="004B3E3A"/>
    <w:rsid w:val="004B421B"/>
    <w:rsid w:val="004B4483"/>
    <w:rsid w:val="004B45AF"/>
    <w:rsid w:val="004B466B"/>
    <w:rsid w:val="004B48F8"/>
    <w:rsid w:val="004B48FA"/>
    <w:rsid w:val="004B4995"/>
    <w:rsid w:val="004B4CA6"/>
    <w:rsid w:val="004B4E80"/>
    <w:rsid w:val="004B5757"/>
    <w:rsid w:val="004B5EF7"/>
    <w:rsid w:val="004B5F45"/>
    <w:rsid w:val="004B64A1"/>
    <w:rsid w:val="004B68F8"/>
    <w:rsid w:val="004B6A18"/>
    <w:rsid w:val="004B6E0C"/>
    <w:rsid w:val="004B6FE1"/>
    <w:rsid w:val="004B72B7"/>
    <w:rsid w:val="004B74CA"/>
    <w:rsid w:val="004B77AE"/>
    <w:rsid w:val="004B7AD8"/>
    <w:rsid w:val="004B7DD6"/>
    <w:rsid w:val="004C0028"/>
    <w:rsid w:val="004C0253"/>
    <w:rsid w:val="004C04AE"/>
    <w:rsid w:val="004C05D4"/>
    <w:rsid w:val="004C05FA"/>
    <w:rsid w:val="004C0C55"/>
    <w:rsid w:val="004C0F0B"/>
    <w:rsid w:val="004C1048"/>
    <w:rsid w:val="004C1255"/>
    <w:rsid w:val="004C1613"/>
    <w:rsid w:val="004C1770"/>
    <w:rsid w:val="004C1983"/>
    <w:rsid w:val="004C1CCA"/>
    <w:rsid w:val="004C2976"/>
    <w:rsid w:val="004C3273"/>
    <w:rsid w:val="004C3A65"/>
    <w:rsid w:val="004C3A7A"/>
    <w:rsid w:val="004C3B6F"/>
    <w:rsid w:val="004C4305"/>
    <w:rsid w:val="004C4558"/>
    <w:rsid w:val="004C45A7"/>
    <w:rsid w:val="004C4F87"/>
    <w:rsid w:val="004C5207"/>
    <w:rsid w:val="004C53F5"/>
    <w:rsid w:val="004C55A8"/>
    <w:rsid w:val="004C59F9"/>
    <w:rsid w:val="004C5C61"/>
    <w:rsid w:val="004C5F62"/>
    <w:rsid w:val="004C5FBD"/>
    <w:rsid w:val="004C6011"/>
    <w:rsid w:val="004C6E3F"/>
    <w:rsid w:val="004C6E84"/>
    <w:rsid w:val="004C6F44"/>
    <w:rsid w:val="004C6FC5"/>
    <w:rsid w:val="004C70EA"/>
    <w:rsid w:val="004C78CD"/>
    <w:rsid w:val="004C79A2"/>
    <w:rsid w:val="004C7ACE"/>
    <w:rsid w:val="004C7F14"/>
    <w:rsid w:val="004C7FC7"/>
    <w:rsid w:val="004D016D"/>
    <w:rsid w:val="004D049A"/>
    <w:rsid w:val="004D07B3"/>
    <w:rsid w:val="004D0958"/>
    <w:rsid w:val="004D1207"/>
    <w:rsid w:val="004D1A6B"/>
    <w:rsid w:val="004D1AE2"/>
    <w:rsid w:val="004D1DA5"/>
    <w:rsid w:val="004D1FCC"/>
    <w:rsid w:val="004D2000"/>
    <w:rsid w:val="004D2090"/>
    <w:rsid w:val="004D2420"/>
    <w:rsid w:val="004D2484"/>
    <w:rsid w:val="004D27FB"/>
    <w:rsid w:val="004D2CFE"/>
    <w:rsid w:val="004D2D11"/>
    <w:rsid w:val="004D2DF8"/>
    <w:rsid w:val="004D336B"/>
    <w:rsid w:val="004D366F"/>
    <w:rsid w:val="004D385E"/>
    <w:rsid w:val="004D390D"/>
    <w:rsid w:val="004D3B37"/>
    <w:rsid w:val="004D3F86"/>
    <w:rsid w:val="004D44A9"/>
    <w:rsid w:val="004D4802"/>
    <w:rsid w:val="004D48D6"/>
    <w:rsid w:val="004D48E3"/>
    <w:rsid w:val="004D507A"/>
    <w:rsid w:val="004D5261"/>
    <w:rsid w:val="004D53D1"/>
    <w:rsid w:val="004D55B2"/>
    <w:rsid w:val="004D56FF"/>
    <w:rsid w:val="004D5788"/>
    <w:rsid w:val="004D619E"/>
    <w:rsid w:val="004D61C4"/>
    <w:rsid w:val="004D6281"/>
    <w:rsid w:val="004D629E"/>
    <w:rsid w:val="004D6308"/>
    <w:rsid w:val="004D632B"/>
    <w:rsid w:val="004D6630"/>
    <w:rsid w:val="004D692A"/>
    <w:rsid w:val="004D6AE4"/>
    <w:rsid w:val="004D6B1C"/>
    <w:rsid w:val="004D6B6C"/>
    <w:rsid w:val="004D6B93"/>
    <w:rsid w:val="004D7352"/>
    <w:rsid w:val="004D7A44"/>
    <w:rsid w:val="004D7AF1"/>
    <w:rsid w:val="004D7CF6"/>
    <w:rsid w:val="004D7D60"/>
    <w:rsid w:val="004D7EA9"/>
    <w:rsid w:val="004E0191"/>
    <w:rsid w:val="004E0551"/>
    <w:rsid w:val="004E061D"/>
    <w:rsid w:val="004E08CF"/>
    <w:rsid w:val="004E097E"/>
    <w:rsid w:val="004E0A03"/>
    <w:rsid w:val="004E0D95"/>
    <w:rsid w:val="004E0F73"/>
    <w:rsid w:val="004E0FED"/>
    <w:rsid w:val="004E106E"/>
    <w:rsid w:val="004E11E3"/>
    <w:rsid w:val="004E1453"/>
    <w:rsid w:val="004E1542"/>
    <w:rsid w:val="004E18A3"/>
    <w:rsid w:val="004E19D9"/>
    <w:rsid w:val="004E1AEE"/>
    <w:rsid w:val="004E1B7F"/>
    <w:rsid w:val="004E24C0"/>
    <w:rsid w:val="004E258E"/>
    <w:rsid w:val="004E2603"/>
    <w:rsid w:val="004E27CB"/>
    <w:rsid w:val="004E2EFF"/>
    <w:rsid w:val="004E2F3A"/>
    <w:rsid w:val="004E30E9"/>
    <w:rsid w:val="004E323E"/>
    <w:rsid w:val="004E3275"/>
    <w:rsid w:val="004E34B4"/>
    <w:rsid w:val="004E39D3"/>
    <w:rsid w:val="004E39DB"/>
    <w:rsid w:val="004E42E1"/>
    <w:rsid w:val="004E43B4"/>
    <w:rsid w:val="004E4736"/>
    <w:rsid w:val="004E473D"/>
    <w:rsid w:val="004E4958"/>
    <w:rsid w:val="004E4C48"/>
    <w:rsid w:val="004E4DCE"/>
    <w:rsid w:val="004E4EBC"/>
    <w:rsid w:val="004E503C"/>
    <w:rsid w:val="004E508A"/>
    <w:rsid w:val="004E53B8"/>
    <w:rsid w:val="004E5524"/>
    <w:rsid w:val="004E559C"/>
    <w:rsid w:val="004E5645"/>
    <w:rsid w:val="004E5920"/>
    <w:rsid w:val="004E5941"/>
    <w:rsid w:val="004E5AF3"/>
    <w:rsid w:val="004E5B2E"/>
    <w:rsid w:val="004E5BD0"/>
    <w:rsid w:val="004E5F33"/>
    <w:rsid w:val="004E5FAD"/>
    <w:rsid w:val="004E616D"/>
    <w:rsid w:val="004E66D0"/>
    <w:rsid w:val="004E74D9"/>
    <w:rsid w:val="004E780E"/>
    <w:rsid w:val="004E7D85"/>
    <w:rsid w:val="004E7E06"/>
    <w:rsid w:val="004F01CF"/>
    <w:rsid w:val="004F027A"/>
    <w:rsid w:val="004F0539"/>
    <w:rsid w:val="004F065B"/>
    <w:rsid w:val="004F0690"/>
    <w:rsid w:val="004F07EA"/>
    <w:rsid w:val="004F084F"/>
    <w:rsid w:val="004F0BEE"/>
    <w:rsid w:val="004F119E"/>
    <w:rsid w:val="004F13D4"/>
    <w:rsid w:val="004F18D0"/>
    <w:rsid w:val="004F1BDE"/>
    <w:rsid w:val="004F1C88"/>
    <w:rsid w:val="004F1CAB"/>
    <w:rsid w:val="004F2414"/>
    <w:rsid w:val="004F24F8"/>
    <w:rsid w:val="004F268F"/>
    <w:rsid w:val="004F278E"/>
    <w:rsid w:val="004F27F7"/>
    <w:rsid w:val="004F2CEE"/>
    <w:rsid w:val="004F2D28"/>
    <w:rsid w:val="004F2E04"/>
    <w:rsid w:val="004F2F65"/>
    <w:rsid w:val="004F3015"/>
    <w:rsid w:val="004F362E"/>
    <w:rsid w:val="004F3BE5"/>
    <w:rsid w:val="004F4010"/>
    <w:rsid w:val="004F41C1"/>
    <w:rsid w:val="004F41E2"/>
    <w:rsid w:val="004F469C"/>
    <w:rsid w:val="004F4BF3"/>
    <w:rsid w:val="004F5010"/>
    <w:rsid w:val="004F50DC"/>
    <w:rsid w:val="004F5169"/>
    <w:rsid w:val="004F529C"/>
    <w:rsid w:val="004F542A"/>
    <w:rsid w:val="004F556E"/>
    <w:rsid w:val="004F5610"/>
    <w:rsid w:val="004F591C"/>
    <w:rsid w:val="004F594D"/>
    <w:rsid w:val="004F5DE0"/>
    <w:rsid w:val="004F6155"/>
    <w:rsid w:val="004F62CB"/>
    <w:rsid w:val="004F65F7"/>
    <w:rsid w:val="004F676B"/>
    <w:rsid w:val="004F6782"/>
    <w:rsid w:val="004F6B37"/>
    <w:rsid w:val="004F6C3C"/>
    <w:rsid w:val="004F738C"/>
    <w:rsid w:val="004F73CC"/>
    <w:rsid w:val="004F74AE"/>
    <w:rsid w:val="004F7701"/>
    <w:rsid w:val="004F7B42"/>
    <w:rsid w:val="004F7C38"/>
    <w:rsid w:val="004F7CA0"/>
    <w:rsid w:val="004F7F44"/>
    <w:rsid w:val="005003A5"/>
    <w:rsid w:val="0050058B"/>
    <w:rsid w:val="00500786"/>
    <w:rsid w:val="00500D2B"/>
    <w:rsid w:val="00500EC5"/>
    <w:rsid w:val="005014E3"/>
    <w:rsid w:val="00501552"/>
    <w:rsid w:val="005016AA"/>
    <w:rsid w:val="005018AC"/>
    <w:rsid w:val="00501B53"/>
    <w:rsid w:val="005021B8"/>
    <w:rsid w:val="00502383"/>
    <w:rsid w:val="005023D6"/>
    <w:rsid w:val="005023F6"/>
    <w:rsid w:val="0050252F"/>
    <w:rsid w:val="00502B0F"/>
    <w:rsid w:val="00502B7F"/>
    <w:rsid w:val="00502F22"/>
    <w:rsid w:val="0050302E"/>
    <w:rsid w:val="005033A7"/>
    <w:rsid w:val="005036AF"/>
    <w:rsid w:val="005037B4"/>
    <w:rsid w:val="00503B27"/>
    <w:rsid w:val="005040D2"/>
    <w:rsid w:val="0050421A"/>
    <w:rsid w:val="00504338"/>
    <w:rsid w:val="005046F2"/>
    <w:rsid w:val="00504B77"/>
    <w:rsid w:val="00504DF0"/>
    <w:rsid w:val="00504E0D"/>
    <w:rsid w:val="00505370"/>
    <w:rsid w:val="00505458"/>
    <w:rsid w:val="005056D1"/>
    <w:rsid w:val="00505A1A"/>
    <w:rsid w:val="00505A9E"/>
    <w:rsid w:val="00505B68"/>
    <w:rsid w:val="00505D30"/>
    <w:rsid w:val="0050625F"/>
    <w:rsid w:val="0050631D"/>
    <w:rsid w:val="00506566"/>
    <w:rsid w:val="005065E1"/>
    <w:rsid w:val="00506681"/>
    <w:rsid w:val="005068A5"/>
    <w:rsid w:val="00506A2C"/>
    <w:rsid w:val="00506D28"/>
    <w:rsid w:val="0050731E"/>
    <w:rsid w:val="00507608"/>
    <w:rsid w:val="00507753"/>
    <w:rsid w:val="0050777D"/>
    <w:rsid w:val="005079BF"/>
    <w:rsid w:val="00507AF9"/>
    <w:rsid w:val="00507B2E"/>
    <w:rsid w:val="00507B31"/>
    <w:rsid w:val="005100B3"/>
    <w:rsid w:val="00510269"/>
    <w:rsid w:val="0051036D"/>
    <w:rsid w:val="005105E0"/>
    <w:rsid w:val="00510824"/>
    <w:rsid w:val="00510B0C"/>
    <w:rsid w:val="00510BF9"/>
    <w:rsid w:val="00510CA8"/>
    <w:rsid w:val="00510D05"/>
    <w:rsid w:val="005112A0"/>
    <w:rsid w:val="005112B5"/>
    <w:rsid w:val="0051139E"/>
    <w:rsid w:val="0051150C"/>
    <w:rsid w:val="005117BA"/>
    <w:rsid w:val="00511A5B"/>
    <w:rsid w:val="00511A94"/>
    <w:rsid w:val="00511C7B"/>
    <w:rsid w:val="00511D4B"/>
    <w:rsid w:val="005121D2"/>
    <w:rsid w:val="005121E7"/>
    <w:rsid w:val="00512237"/>
    <w:rsid w:val="00512488"/>
    <w:rsid w:val="0051269A"/>
    <w:rsid w:val="00513595"/>
    <w:rsid w:val="005135CD"/>
    <w:rsid w:val="005139E0"/>
    <w:rsid w:val="00513A60"/>
    <w:rsid w:val="00513D27"/>
    <w:rsid w:val="00514460"/>
    <w:rsid w:val="005144D2"/>
    <w:rsid w:val="00514599"/>
    <w:rsid w:val="0051459A"/>
    <w:rsid w:val="0051461D"/>
    <w:rsid w:val="005146D3"/>
    <w:rsid w:val="005147E1"/>
    <w:rsid w:val="00514827"/>
    <w:rsid w:val="005150A7"/>
    <w:rsid w:val="0051511E"/>
    <w:rsid w:val="005153C7"/>
    <w:rsid w:val="00515403"/>
    <w:rsid w:val="0051560B"/>
    <w:rsid w:val="00515B66"/>
    <w:rsid w:val="00515B8A"/>
    <w:rsid w:val="00515F50"/>
    <w:rsid w:val="0051628C"/>
    <w:rsid w:val="005162D1"/>
    <w:rsid w:val="00516437"/>
    <w:rsid w:val="00516DD9"/>
    <w:rsid w:val="00516F2B"/>
    <w:rsid w:val="005170D9"/>
    <w:rsid w:val="005173A2"/>
    <w:rsid w:val="005173DF"/>
    <w:rsid w:val="005176D8"/>
    <w:rsid w:val="005177E1"/>
    <w:rsid w:val="0051791E"/>
    <w:rsid w:val="00517CCD"/>
    <w:rsid w:val="00520184"/>
    <w:rsid w:val="00520C89"/>
    <w:rsid w:val="00520E48"/>
    <w:rsid w:val="00520F0F"/>
    <w:rsid w:val="00520FE4"/>
    <w:rsid w:val="0052117E"/>
    <w:rsid w:val="00521605"/>
    <w:rsid w:val="005219E7"/>
    <w:rsid w:val="00521A48"/>
    <w:rsid w:val="00521ADF"/>
    <w:rsid w:val="00521CAD"/>
    <w:rsid w:val="00522049"/>
    <w:rsid w:val="005226D0"/>
    <w:rsid w:val="00522B6E"/>
    <w:rsid w:val="00522C27"/>
    <w:rsid w:val="00522CFD"/>
    <w:rsid w:val="00522EEF"/>
    <w:rsid w:val="005232CA"/>
    <w:rsid w:val="0052338E"/>
    <w:rsid w:val="00523414"/>
    <w:rsid w:val="005235F7"/>
    <w:rsid w:val="005236C1"/>
    <w:rsid w:val="00523AE0"/>
    <w:rsid w:val="00523F26"/>
    <w:rsid w:val="00523FFF"/>
    <w:rsid w:val="005242B7"/>
    <w:rsid w:val="0052443C"/>
    <w:rsid w:val="00524A02"/>
    <w:rsid w:val="00524F33"/>
    <w:rsid w:val="00524FEA"/>
    <w:rsid w:val="005254D0"/>
    <w:rsid w:val="00525677"/>
    <w:rsid w:val="00525A9A"/>
    <w:rsid w:val="00525B00"/>
    <w:rsid w:val="00525D12"/>
    <w:rsid w:val="005262AE"/>
    <w:rsid w:val="00526568"/>
    <w:rsid w:val="0052656E"/>
    <w:rsid w:val="00526801"/>
    <w:rsid w:val="00526B3C"/>
    <w:rsid w:val="00526BC5"/>
    <w:rsid w:val="00526D04"/>
    <w:rsid w:val="0052705F"/>
    <w:rsid w:val="00527314"/>
    <w:rsid w:val="00527ADD"/>
    <w:rsid w:val="0053045D"/>
    <w:rsid w:val="00530672"/>
    <w:rsid w:val="00530784"/>
    <w:rsid w:val="005308AA"/>
    <w:rsid w:val="00530969"/>
    <w:rsid w:val="005309B6"/>
    <w:rsid w:val="00530CE8"/>
    <w:rsid w:val="00530D25"/>
    <w:rsid w:val="00530DC3"/>
    <w:rsid w:val="00531107"/>
    <w:rsid w:val="005312BC"/>
    <w:rsid w:val="005312D2"/>
    <w:rsid w:val="005314EC"/>
    <w:rsid w:val="005314FE"/>
    <w:rsid w:val="00531B9A"/>
    <w:rsid w:val="00531D15"/>
    <w:rsid w:val="00531EF2"/>
    <w:rsid w:val="00531FAF"/>
    <w:rsid w:val="005320B9"/>
    <w:rsid w:val="005322EB"/>
    <w:rsid w:val="005323B0"/>
    <w:rsid w:val="0053241D"/>
    <w:rsid w:val="00532523"/>
    <w:rsid w:val="0053270B"/>
    <w:rsid w:val="00532897"/>
    <w:rsid w:val="00532CC5"/>
    <w:rsid w:val="00532E82"/>
    <w:rsid w:val="00533211"/>
    <w:rsid w:val="005337B2"/>
    <w:rsid w:val="005337BC"/>
    <w:rsid w:val="0053381A"/>
    <w:rsid w:val="00533A1B"/>
    <w:rsid w:val="00533C5D"/>
    <w:rsid w:val="00533DB7"/>
    <w:rsid w:val="00533EF2"/>
    <w:rsid w:val="005342AB"/>
    <w:rsid w:val="00534641"/>
    <w:rsid w:val="00534886"/>
    <w:rsid w:val="00534A02"/>
    <w:rsid w:val="00534F43"/>
    <w:rsid w:val="005350AC"/>
    <w:rsid w:val="005351CA"/>
    <w:rsid w:val="005356D9"/>
    <w:rsid w:val="005356F6"/>
    <w:rsid w:val="005358CE"/>
    <w:rsid w:val="00535CAD"/>
    <w:rsid w:val="00535F80"/>
    <w:rsid w:val="00535FF5"/>
    <w:rsid w:val="00536330"/>
    <w:rsid w:val="00536545"/>
    <w:rsid w:val="005367A7"/>
    <w:rsid w:val="00536AD6"/>
    <w:rsid w:val="00536D15"/>
    <w:rsid w:val="00537205"/>
    <w:rsid w:val="0053729D"/>
    <w:rsid w:val="00537485"/>
    <w:rsid w:val="00537604"/>
    <w:rsid w:val="005377D9"/>
    <w:rsid w:val="0053786E"/>
    <w:rsid w:val="00537BD6"/>
    <w:rsid w:val="00537E59"/>
    <w:rsid w:val="00537EF3"/>
    <w:rsid w:val="00537FC4"/>
    <w:rsid w:val="005401D8"/>
    <w:rsid w:val="005401EB"/>
    <w:rsid w:val="00540367"/>
    <w:rsid w:val="0054042B"/>
    <w:rsid w:val="00540522"/>
    <w:rsid w:val="005405BA"/>
    <w:rsid w:val="00540D4F"/>
    <w:rsid w:val="00540F3C"/>
    <w:rsid w:val="00541688"/>
    <w:rsid w:val="00541813"/>
    <w:rsid w:val="00541B55"/>
    <w:rsid w:val="00541C9B"/>
    <w:rsid w:val="0054205E"/>
    <w:rsid w:val="00542377"/>
    <w:rsid w:val="005423C1"/>
    <w:rsid w:val="00542578"/>
    <w:rsid w:val="00542A35"/>
    <w:rsid w:val="00542AC4"/>
    <w:rsid w:val="00542F93"/>
    <w:rsid w:val="005430C0"/>
    <w:rsid w:val="00543161"/>
    <w:rsid w:val="005432BE"/>
    <w:rsid w:val="0054381D"/>
    <w:rsid w:val="00543ADB"/>
    <w:rsid w:val="00543B65"/>
    <w:rsid w:val="00543FA6"/>
    <w:rsid w:val="00544ABB"/>
    <w:rsid w:val="00544B44"/>
    <w:rsid w:val="00545137"/>
    <w:rsid w:val="00545171"/>
    <w:rsid w:val="00545B67"/>
    <w:rsid w:val="0054627E"/>
    <w:rsid w:val="00546295"/>
    <w:rsid w:val="005462C1"/>
    <w:rsid w:val="00546387"/>
    <w:rsid w:val="00546690"/>
    <w:rsid w:val="00546A04"/>
    <w:rsid w:val="005470D2"/>
    <w:rsid w:val="005476EB"/>
    <w:rsid w:val="00547AA3"/>
    <w:rsid w:val="0055004D"/>
    <w:rsid w:val="00550214"/>
    <w:rsid w:val="005507B3"/>
    <w:rsid w:val="0055085D"/>
    <w:rsid w:val="00550953"/>
    <w:rsid w:val="005514AF"/>
    <w:rsid w:val="0055176F"/>
    <w:rsid w:val="00551782"/>
    <w:rsid w:val="00551AFA"/>
    <w:rsid w:val="00551B22"/>
    <w:rsid w:val="0055211F"/>
    <w:rsid w:val="005521B5"/>
    <w:rsid w:val="00552598"/>
    <w:rsid w:val="0055270E"/>
    <w:rsid w:val="00552980"/>
    <w:rsid w:val="00553581"/>
    <w:rsid w:val="0055367B"/>
    <w:rsid w:val="00553A6A"/>
    <w:rsid w:val="00553B36"/>
    <w:rsid w:val="00554027"/>
    <w:rsid w:val="00554163"/>
    <w:rsid w:val="00554577"/>
    <w:rsid w:val="005549B5"/>
    <w:rsid w:val="00554EF1"/>
    <w:rsid w:val="005553AE"/>
    <w:rsid w:val="0055540D"/>
    <w:rsid w:val="00555443"/>
    <w:rsid w:val="0055548C"/>
    <w:rsid w:val="005555AA"/>
    <w:rsid w:val="005555B7"/>
    <w:rsid w:val="005557DC"/>
    <w:rsid w:val="00555B2D"/>
    <w:rsid w:val="00555E41"/>
    <w:rsid w:val="005569FB"/>
    <w:rsid w:val="00556D36"/>
    <w:rsid w:val="005570EB"/>
    <w:rsid w:val="005577A9"/>
    <w:rsid w:val="00557907"/>
    <w:rsid w:val="005579C7"/>
    <w:rsid w:val="00557B8C"/>
    <w:rsid w:val="0056004D"/>
    <w:rsid w:val="00560227"/>
    <w:rsid w:val="005607A6"/>
    <w:rsid w:val="00561192"/>
    <w:rsid w:val="00561558"/>
    <w:rsid w:val="00561598"/>
    <w:rsid w:val="00561746"/>
    <w:rsid w:val="0056186C"/>
    <w:rsid w:val="00561BCE"/>
    <w:rsid w:val="005624AB"/>
    <w:rsid w:val="00562576"/>
    <w:rsid w:val="0056280A"/>
    <w:rsid w:val="00562B6C"/>
    <w:rsid w:val="00562BC0"/>
    <w:rsid w:val="0056371B"/>
    <w:rsid w:val="0056371F"/>
    <w:rsid w:val="0056375B"/>
    <w:rsid w:val="00563820"/>
    <w:rsid w:val="00563A3C"/>
    <w:rsid w:val="00563E26"/>
    <w:rsid w:val="00563EF1"/>
    <w:rsid w:val="0056447E"/>
    <w:rsid w:val="00564A0A"/>
    <w:rsid w:val="00564A40"/>
    <w:rsid w:val="00565116"/>
    <w:rsid w:val="005654C2"/>
    <w:rsid w:val="005655D5"/>
    <w:rsid w:val="00565977"/>
    <w:rsid w:val="00565A56"/>
    <w:rsid w:val="005660C4"/>
    <w:rsid w:val="0056657C"/>
    <w:rsid w:val="005666FB"/>
    <w:rsid w:val="0056680B"/>
    <w:rsid w:val="00566869"/>
    <w:rsid w:val="00566AB4"/>
    <w:rsid w:val="00566EB9"/>
    <w:rsid w:val="00566F88"/>
    <w:rsid w:val="005673A0"/>
    <w:rsid w:val="0056772B"/>
    <w:rsid w:val="00567B1F"/>
    <w:rsid w:val="00567B87"/>
    <w:rsid w:val="005701DD"/>
    <w:rsid w:val="005702EE"/>
    <w:rsid w:val="00570544"/>
    <w:rsid w:val="00570699"/>
    <w:rsid w:val="00570700"/>
    <w:rsid w:val="00570701"/>
    <w:rsid w:val="00570998"/>
    <w:rsid w:val="00570A24"/>
    <w:rsid w:val="00570BE0"/>
    <w:rsid w:val="00571D32"/>
    <w:rsid w:val="005720BC"/>
    <w:rsid w:val="00572731"/>
    <w:rsid w:val="00572761"/>
    <w:rsid w:val="00572BD4"/>
    <w:rsid w:val="00572EA1"/>
    <w:rsid w:val="0057300B"/>
    <w:rsid w:val="0057315B"/>
    <w:rsid w:val="005731A1"/>
    <w:rsid w:val="00573812"/>
    <w:rsid w:val="00573A95"/>
    <w:rsid w:val="00573C1A"/>
    <w:rsid w:val="00574468"/>
    <w:rsid w:val="005746C5"/>
    <w:rsid w:val="005749B8"/>
    <w:rsid w:val="00574BE5"/>
    <w:rsid w:val="00574C03"/>
    <w:rsid w:val="00574C50"/>
    <w:rsid w:val="005750EA"/>
    <w:rsid w:val="005750F0"/>
    <w:rsid w:val="0057522A"/>
    <w:rsid w:val="00575409"/>
    <w:rsid w:val="00575416"/>
    <w:rsid w:val="0057581B"/>
    <w:rsid w:val="00575876"/>
    <w:rsid w:val="00575AC5"/>
    <w:rsid w:val="00575BC5"/>
    <w:rsid w:val="00575CF6"/>
    <w:rsid w:val="00575E26"/>
    <w:rsid w:val="00575EBA"/>
    <w:rsid w:val="00575F59"/>
    <w:rsid w:val="0057605D"/>
    <w:rsid w:val="00576166"/>
    <w:rsid w:val="0057624F"/>
    <w:rsid w:val="00576670"/>
    <w:rsid w:val="005770FF"/>
    <w:rsid w:val="005771ED"/>
    <w:rsid w:val="0057795D"/>
    <w:rsid w:val="005800BC"/>
    <w:rsid w:val="00580111"/>
    <w:rsid w:val="00580308"/>
    <w:rsid w:val="005808FA"/>
    <w:rsid w:val="00581075"/>
    <w:rsid w:val="005811C4"/>
    <w:rsid w:val="00581347"/>
    <w:rsid w:val="00581441"/>
    <w:rsid w:val="00581617"/>
    <w:rsid w:val="00581AC9"/>
    <w:rsid w:val="00581C5F"/>
    <w:rsid w:val="00581CE4"/>
    <w:rsid w:val="00581F0E"/>
    <w:rsid w:val="00581FBC"/>
    <w:rsid w:val="0058253F"/>
    <w:rsid w:val="0058292E"/>
    <w:rsid w:val="00582D86"/>
    <w:rsid w:val="00582EBB"/>
    <w:rsid w:val="00582F52"/>
    <w:rsid w:val="00583175"/>
    <w:rsid w:val="005835FD"/>
    <w:rsid w:val="00583686"/>
    <w:rsid w:val="005837C0"/>
    <w:rsid w:val="00583870"/>
    <w:rsid w:val="00583AF5"/>
    <w:rsid w:val="00583BA0"/>
    <w:rsid w:val="00584140"/>
    <w:rsid w:val="00584376"/>
    <w:rsid w:val="005843A3"/>
    <w:rsid w:val="005849D0"/>
    <w:rsid w:val="005849F8"/>
    <w:rsid w:val="00584B51"/>
    <w:rsid w:val="00585219"/>
    <w:rsid w:val="005852B0"/>
    <w:rsid w:val="00585926"/>
    <w:rsid w:val="00585DDB"/>
    <w:rsid w:val="0058632F"/>
    <w:rsid w:val="0058684F"/>
    <w:rsid w:val="00586869"/>
    <w:rsid w:val="005868A2"/>
    <w:rsid w:val="00586C6D"/>
    <w:rsid w:val="00586D54"/>
    <w:rsid w:val="00586DCF"/>
    <w:rsid w:val="00586E06"/>
    <w:rsid w:val="00587903"/>
    <w:rsid w:val="00587B2C"/>
    <w:rsid w:val="00587C39"/>
    <w:rsid w:val="00587E63"/>
    <w:rsid w:val="005901AB"/>
    <w:rsid w:val="00590205"/>
    <w:rsid w:val="00590358"/>
    <w:rsid w:val="00590465"/>
    <w:rsid w:val="00590574"/>
    <w:rsid w:val="0059069E"/>
    <w:rsid w:val="005908D3"/>
    <w:rsid w:val="00590CED"/>
    <w:rsid w:val="00591102"/>
    <w:rsid w:val="00591411"/>
    <w:rsid w:val="00591A90"/>
    <w:rsid w:val="00591BC8"/>
    <w:rsid w:val="00591DF8"/>
    <w:rsid w:val="00591E71"/>
    <w:rsid w:val="00591F6B"/>
    <w:rsid w:val="005921F5"/>
    <w:rsid w:val="005922F3"/>
    <w:rsid w:val="005925EC"/>
    <w:rsid w:val="00592668"/>
    <w:rsid w:val="00592877"/>
    <w:rsid w:val="00592BCF"/>
    <w:rsid w:val="00592C3A"/>
    <w:rsid w:val="00592DAD"/>
    <w:rsid w:val="00592E9F"/>
    <w:rsid w:val="0059358F"/>
    <w:rsid w:val="005938DF"/>
    <w:rsid w:val="00593E74"/>
    <w:rsid w:val="005941F1"/>
    <w:rsid w:val="005943D8"/>
    <w:rsid w:val="005947B2"/>
    <w:rsid w:val="00594E97"/>
    <w:rsid w:val="00594E9C"/>
    <w:rsid w:val="00595381"/>
    <w:rsid w:val="00595447"/>
    <w:rsid w:val="00595B9E"/>
    <w:rsid w:val="00595DB8"/>
    <w:rsid w:val="00595F10"/>
    <w:rsid w:val="0059616B"/>
    <w:rsid w:val="005965B3"/>
    <w:rsid w:val="005966AF"/>
    <w:rsid w:val="00596D00"/>
    <w:rsid w:val="00597005"/>
    <w:rsid w:val="00597083"/>
    <w:rsid w:val="00597606"/>
    <w:rsid w:val="00597779"/>
    <w:rsid w:val="00597B62"/>
    <w:rsid w:val="00597D8A"/>
    <w:rsid w:val="00597E47"/>
    <w:rsid w:val="005A0566"/>
    <w:rsid w:val="005A0625"/>
    <w:rsid w:val="005A0633"/>
    <w:rsid w:val="005A0880"/>
    <w:rsid w:val="005A099B"/>
    <w:rsid w:val="005A0A14"/>
    <w:rsid w:val="005A0B01"/>
    <w:rsid w:val="005A0EE7"/>
    <w:rsid w:val="005A0F7E"/>
    <w:rsid w:val="005A1109"/>
    <w:rsid w:val="005A1259"/>
    <w:rsid w:val="005A13E5"/>
    <w:rsid w:val="005A1421"/>
    <w:rsid w:val="005A1484"/>
    <w:rsid w:val="005A251A"/>
    <w:rsid w:val="005A26AD"/>
    <w:rsid w:val="005A274C"/>
    <w:rsid w:val="005A280B"/>
    <w:rsid w:val="005A2936"/>
    <w:rsid w:val="005A2ACB"/>
    <w:rsid w:val="005A2CB9"/>
    <w:rsid w:val="005A2D82"/>
    <w:rsid w:val="005A2D9C"/>
    <w:rsid w:val="005A30FC"/>
    <w:rsid w:val="005A3959"/>
    <w:rsid w:val="005A3A76"/>
    <w:rsid w:val="005A3DE5"/>
    <w:rsid w:val="005A4677"/>
    <w:rsid w:val="005A4812"/>
    <w:rsid w:val="005A48DA"/>
    <w:rsid w:val="005A4952"/>
    <w:rsid w:val="005A49E5"/>
    <w:rsid w:val="005A4E23"/>
    <w:rsid w:val="005A4F1E"/>
    <w:rsid w:val="005A5284"/>
    <w:rsid w:val="005A5339"/>
    <w:rsid w:val="005A5350"/>
    <w:rsid w:val="005A54E5"/>
    <w:rsid w:val="005A55EA"/>
    <w:rsid w:val="005A55FE"/>
    <w:rsid w:val="005A567C"/>
    <w:rsid w:val="005A57A8"/>
    <w:rsid w:val="005A57F7"/>
    <w:rsid w:val="005A5938"/>
    <w:rsid w:val="005A59D3"/>
    <w:rsid w:val="005A616E"/>
    <w:rsid w:val="005A61E9"/>
    <w:rsid w:val="005A62C4"/>
    <w:rsid w:val="005A6A11"/>
    <w:rsid w:val="005A6DA1"/>
    <w:rsid w:val="005A6EF6"/>
    <w:rsid w:val="005A76C2"/>
    <w:rsid w:val="005A7851"/>
    <w:rsid w:val="005A7C2D"/>
    <w:rsid w:val="005A7D46"/>
    <w:rsid w:val="005A7E87"/>
    <w:rsid w:val="005A7F7D"/>
    <w:rsid w:val="005B0021"/>
    <w:rsid w:val="005B00E3"/>
    <w:rsid w:val="005B04C8"/>
    <w:rsid w:val="005B0768"/>
    <w:rsid w:val="005B083E"/>
    <w:rsid w:val="005B0E18"/>
    <w:rsid w:val="005B165B"/>
    <w:rsid w:val="005B1695"/>
    <w:rsid w:val="005B171C"/>
    <w:rsid w:val="005B17F5"/>
    <w:rsid w:val="005B19F4"/>
    <w:rsid w:val="005B1A95"/>
    <w:rsid w:val="005B1C33"/>
    <w:rsid w:val="005B1C78"/>
    <w:rsid w:val="005B1C9F"/>
    <w:rsid w:val="005B1F57"/>
    <w:rsid w:val="005B1FEE"/>
    <w:rsid w:val="005B222E"/>
    <w:rsid w:val="005B2690"/>
    <w:rsid w:val="005B26B9"/>
    <w:rsid w:val="005B2F0D"/>
    <w:rsid w:val="005B327D"/>
    <w:rsid w:val="005B3384"/>
    <w:rsid w:val="005B3547"/>
    <w:rsid w:val="005B3582"/>
    <w:rsid w:val="005B37D9"/>
    <w:rsid w:val="005B393D"/>
    <w:rsid w:val="005B39AC"/>
    <w:rsid w:val="005B39E0"/>
    <w:rsid w:val="005B4321"/>
    <w:rsid w:val="005B4833"/>
    <w:rsid w:val="005B4AED"/>
    <w:rsid w:val="005B4B24"/>
    <w:rsid w:val="005B4C49"/>
    <w:rsid w:val="005B5909"/>
    <w:rsid w:val="005B5990"/>
    <w:rsid w:val="005B5F41"/>
    <w:rsid w:val="005B6183"/>
    <w:rsid w:val="005B6729"/>
    <w:rsid w:val="005B7084"/>
    <w:rsid w:val="005B70B3"/>
    <w:rsid w:val="005B747E"/>
    <w:rsid w:val="005B74B6"/>
    <w:rsid w:val="005B75B2"/>
    <w:rsid w:val="005B77C2"/>
    <w:rsid w:val="005B78A1"/>
    <w:rsid w:val="005B7A67"/>
    <w:rsid w:val="005B7B28"/>
    <w:rsid w:val="005B7B42"/>
    <w:rsid w:val="005B7DF6"/>
    <w:rsid w:val="005C0541"/>
    <w:rsid w:val="005C0679"/>
    <w:rsid w:val="005C0807"/>
    <w:rsid w:val="005C09BC"/>
    <w:rsid w:val="005C0A7B"/>
    <w:rsid w:val="005C0F6D"/>
    <w:rsid w:val="005C1020"/>
    <w:rsid w:val="005C10CB"/>
    <w:rsid w:val="005C14C6"/>
    <w:rsid w:val="005C16DA"/>
    <w:rsid w:val="005C182E"/>
    <w:rsid w:val="005C18EB"/>
    <w:rsid w:val="005C1960"/>
    <w:rsid w:val="005C1979"/>
    <w:rsid w:val="005C1C67"/>
    <w:rsid w:val="005C20E9"/>
    <w:rsid w:val="005C220E"/>
    <w:rsid w:val="005C2357"/>
    <w:rsid w:val="005C2538"/>
    <w:rsid w:val="005C28A7"/>
    <w:rsid w:val="005C2C3E"/>
    <w:rsid w:val="005C2D1C"/>
    <w:rsid w:val="005C305E"/>
    <w:rsid w:val="005C3264"/>
    <w:rsid w:val="005C33C8"/>
    <w:rsid w:val="005C3411"/>
    <w:rsid w:val="005C34EF"/>
    <w:rsid w:val="005C3AB8"/>
    <w:rsid w:val="005C3D5F"/>
    <w:rsid w:val="005C3E3C"/>
    <w:rsid w:val="005C4095"/>
    <w:rsid w:val="005C40C8"/>
    <w:rsid w:val="005C4167"/>
    <w:rsid w:val="005C4230"/>
    <w:rsid w:val="005C475B"/>
    <w:rsid w:val="005C49A7"/>
    <w:rsid w:val="005C4D34"/>
    <w:rsid w:val="005C4DFA"/>
    <w:rsid w:val="005C4E7A"/>
    <w:rsid w:val="005C4F2F"/>
    <w:rsid w:val="005C5234"/>
    <w:rsid w:val="005C549C"/>
    <w:rsid w:val="005C5B35"/>
    <w:rsid w:val="005C5BFE"/>
    <w:rsid w:val="005C5CF3"/>
    <w:rsid w:val="005C5F66"/>
    <w:rsid w:val="005C6170"/>
    <w:rsid w:val="005C679D"/>
    <w:rsid w:val="005C6801"/>
    <w:rsid w:val="005C6892"/>
    <w:rsid w:val="005C6B53"/>
    <w:rsid w:val="005C6F49"/>
    <w:rsid w:val="005C730B"/>
    <w:rsid w:val="005C78BF"/>
    <w:rsid w:val="005C7CD8"/>
    <w:rsid w:val="005D0120"/>
    <w:rsid w:val="005D0236"/>
    <w:rsid w:val="005D0379"/>
    <w:rsid w:val="005D0384"/>
    <w:rsid w:val="005D0576"/>
    <w:rsid w:val="005D05F1"/>
    <w:rsid w:val="005D061A"/>
    <w:rsid w:val="005D0954"/>
    <w:rsid w:val="005D0D0D"/>
    <w:rsid w:val="005D0E2C"/>
    <w:rsid w:val="005D0FEC"/>
    <w:rsid w:val="005D128A"/>
    <w:rsid w:val="005D14AB"/>
    <w:rsid w:val="005D14AD"/>
    <w:rsid w:val="005D18FA"/>
    <w:rsid w:val="005D191C"/>
    <w:rsid w:val="005D1930"/>
    <w:rsid w:val="005D1C92"/>
    <w:rsid w:val="005D1F56"/>
    <w:rsid w:val="005D1FD9"/>
    <w:rsid w:val="005D2236"/>
    <w:rsid w:val="005D23B2"/>
    <w:rsid w:val="005D23E4"/>
    <w:rsid w:val="005D2425"/>
    <w:rsid w:val="005D2502"/>
    <w:rsid w:val="005D2535"/>
    <w:rsid w:val="005D2713"/>
    <w:rsid w:val="005D282E"/>
    <w:rsid w:val="005D2AD0"/>
    <w:rsid w:val="005D36BF"/>
    <w:rsid w:val="005D3B17"/>
    <w:rsid w:val="005D3B88"/>
    <w:rsid w:val="005D3C92"/>
    <w:rsid w:val="005D40BB"/>
    <w:rsid w:val="005D461D"/>
    <w:rsid w:val="005D47F3"/>
    <w:rsid w:val="005D48D5"/>
    <w:rsid w:val="005D49B4"/>
    <w:rsid w:val="005D49BF"/>
    <w:rsid w:val="005D4A0D"/>
    <w:rsid w:val="005D4AA5"/>
    <w:rsid w:val="005D4B40"/>
    <w:rsid w:val="005D4DA3"/>
    <w:rsid w:val="005D519E"/>
    <w:rsid w:val="005D5394"/>
    <w:rsid w:val="005D55B4"/>
    <w:rsid w:val="005D5E3C"/>
    <w:rsid w:val="005D626D"/>
    <w:rsid w:val="005D6315"/>
    <w:rsid w:val="005D631A"/>
    <w:rsid w:val="005D63E4"/>
    <w:rsid w:val="005D65D7"/>
    <w:rsid w:val="005D68BA"/>
    <w:rsid w:val="005D6BCE"/>
    <w:rsid w:val="005D6C68"/>
    <w:rsid w:val="005D6F4E"/>
    <w:rsid w:val="005D71C2"/>
    <w:rsid w:val="005D7606"/>
    <w:rsid w:val="005D77E5"/>
    <w:rsid w:val="005D7C73"/>
    <w:rsid w:val="005E0186"/>
    <w:rsid w:val="005E0361"/>
    <w:rsid w:val="005E04DF"/>
    <w:rsid w:val="005E0751"/>
    <w:rsid w:val="005E0767"/>
    <w:rsid w:val="005E0D5D"/>
    <w:rsid w:val="005E1032"/>
    <w:rsid w:val="005E105A"/>
    <w:rsid w:val="005E1491"/>
    <w:rsid w:val="005E1849"/>
    <w:rsid w:val="005E196F"/>
    <w:rsid w:val="005E1A61"/>
    <w:rsid w:val="005E1BEE"/>
    <w:rsid w:val="005E1CFA"/>
    <w:rsid w:val="005E250B"/>
    <w:rsid w:val="005E25E1"/>
    <w:rsid w:val="005E294A"/>
    <w:rsid w:val="005E29A4"/>
    <w:rsid w:val="005E2B57"/>
    <w:rsid w:val="005E2E8F"/>
    <w:rsid w:val="005E34AE"/>
    <w:rsid w:val="005E376B"/>
    <w:rsid w:val="005E3853"/>
    <w:rsid w:val="005E3981"/>
    <w:rsid w:val="005E3ACD"/>
    <w:rsid w:val="005E3CA4"/>
    <w:rsid w:val="005E3D5D"/>
    <w:rsid w:val="005E3F01"/>
    <w:rsid w:val="005E3FD7"/>
    <w:rsid w:val="005E419D"/>
    <w:rsid w:val="005E41F6"/>
    <w:rsid w:val="005E423C"/>
    <w:rsid w:val="005E4588"/>
    <w:rsid w:val="005E46BA"/>
    <w:rsid w:val="005E4B9C"/>
    <w:rsid w:val="005E4CEA"/>
    <w:rsid w:val="005E4E40"/>
    <w:rsid w:val="005E50C4"/>
    <w:rsid w:val="005E50E3"/>
    <w:rsid w:val="005E5616"/>
    <w:rsid w:val="005E5668"/>
    <w:rsid w:val="005E56FF"/>
    <w:rsid w:val="005E573C"/>
    <w:rsid w:val="005E57D0"/>
    <w:rsid w:val="005E5A1A"/>
    <w:rsid w:val="005E6512"/>
    <w:rsid w:val="005E6547"/>
    <w:rsid w:val="005E69B5"/>
    <w:rsid w:val="005E6C3D"/>
    <w:rsid w:val="005E7226"/>
    <w:rsid w:val="005E746C"/>
    <w:rsid w:val="005E7A57"/>
    <w:rsid w:val="005E7B09"/>
    <w:rsid w:val="005E7E32"/>
    <w:rsid w:val="005E7FC3"/>
    <w:rsid w:val="005F021B"/>
    <w:rsid w:val="005F0AFA"/>
    <w:rsid w:val="005F0B33"/>
    <w:rsid w:val="005F0D47"/>
    <w:rsid w:val="005F0ED6"/>
    <w:rsid w:val="005F1550"/>
    <w:rsid w:val="005F18B1"/>
    <w:rsid w:val="005F19AF"/>
    <w:rsid w:val="005F1D52"/>
    <w:rsid w:val="005F1E91"/>
    <w:rsid w:val="005F1EB5"/>
    <w:rsid w:val="005F234D"/>
    <w:rsid w:val="005F24B0"/>
    <w:rsid w:val="005F26BD"/>
    <w:rsid w:val="005F2D67"/>
    <w:rsid w:val="005F3429"/>
    <w:rsid w:val="005F3A35"/>
    <w:rsid w:val="005F3A71"/>
    <w:rsid w:val="005F3E43"/>
    <w:rsid w:val="005F3FDA"/>
    <w:rsid w:val="005F41CA"/>
    <w:rsid w:val="005F420A"/>
    <w:rsid w:val="005F442A"/>
    <w:rsid w:val="005F4604"/>
    <w:rsid w:val="005F4739"/>
    <w:rsid w:val="005F4914"/>
    <w:rsid w:val="005F4CA7"/>
    <w:rsid w:val="005F5200"/>
    <w:rsid w:val="005F520B"/>
    <w:rsid w:val="005F5279"/>
    <w:rsid w:val="005F53AE"/>
    <w:rsid w:val="005F5420"/>
    <w:rsid w:val="005F5659"/>
    <w:rsid w:val="005F594A"/>
    <w:rsid w:val="005F5986"/>
    <w:rsid w:val="005F5B5E"/>
    <w:rsid w:val="005F61AB"/>
    <w:rsid w:val="005F63C8"/>
    <w:rsid w:val="005F76DD"/>
    <w:rsid w:val="005F7991"/>
    <w:rsid w:val="005F7ABC"/>
    <w:rsid w:val="005F7C65"/>
    <w:rsid w:val="005F7CB2"/>
    <w:rsid w:val="005F7CD6"/>
    <w:rsid w:val="00600029"/>
    <w:rsid w:val="006008CF"/>
    <w:rsid w:val="00600957"/>
    <w:rsid w:val="00600986"/>
    <w:rsid w:val="00600CA4"/>
    <w:rsid w:val="00600CD2"/>
    <w:rsid w:val="00600CF4"/>
    <w:rsid w:val="006011FB"/>
    <w:rsid w:val="00601232"/>
    <w:rsid w:val="006012D5"/>
    <w:rsid w:val="00601568"/>
    <w:rsid w:val="0060165E"/>
    <w:rsid w:val="006017FC"/>
    <w:rsid w:val="00601910"/>
    <w:rsid w:val="00601D8A"/>
    <w:rsid w:val="00602393"/>
    <w:rsid w:val="0060244B"/>
    <w:rsid w:val="00602647"/>
    <w:rsid w:val="00602654"/>
    <w:rsid w:val="0060280C"/>
    <w:rsid w:val="006028E1"/>
    <w:rsid w:val="00602CC7"/>
    <w:rsid w:val="00602EF2"/>
    <w:rsid w:val="00603470"/>
    <w:rsid w:val="006034B1"/>
    <w:rsid w:val="006034F7"/>
    <w:rsid w:val="006036E4"/>
    <w:rsid w:val="0060372A"/>
    <w:rsid w:val="00603A67"/>
    <w:rsid w:val="00603A87"/>
    <w:rsid w:val="00603FBC"/>
    <w:rsid w:val="0060404C"/>
    <w:rsid w:val="00604315"/>
    <w:rsid w:val="006043FC"/>
    <w:rsid w:val="006044CB"/>
    <w:rsid w:val="0060460E"/>
    <w:rsid w:val="0060466B"/>
    <w:rsid w:val="006049D3"/>
    <w:rsid w:val="00604A02"/>
    <w:rsid w:val="00604CCD"/>
    <w:rsid w:val="00604E26"/>
    <w:rsid w:val="0060523F"/>
    <w:rsid w:val="006052CF"/>
    <w:rsid w:val="006054AB"/>
    <w:rsid w:val="006054B1"/>
    <w:rsid w:val="006054E0"/>
    <w:rsid w:val="00605791"/>
    <w:rsid w:val="00605F99"/>
    <w:rsid w:val="0060601B"/>
    <w:rsid w:val="006062A9"/>
    <w:rsid w:val="00606311"/>
    <w:rsid w:val="006063F9"/>
    <w:rsid w:val="0060648B"/>
    <w:rsid w:val="0060669E"/>
    <w:rsid w:val="00606A3A"/>
    <w:rsid w:val="00606AE0"/>
    <w:rsid w:val="00606C47"/>
    <w:rsid w:val="006073DB"/>
    <w:rsid w:val="006074BB"/>
    <w:rsid w:val="006078D6"/>
    <w:rsid w:val="00607B8D"/>
    <w:rsid w:val="00607D5A"/>
    <w:rsid w:val="00607E1B"/>
    <w:rsid w:val="00610322"/>
    <w:rsid w:val="006109A6"/>
    <w:rsid w:val="00610F7D"/>
    <w:rsid w:val="00611CFA"/>
    <w:rsid w:val="00611D7B"/>
    <w:rsid w:val="00611F5C"/>
    <w:rsid w:val="00612209"/>
    <w:rsid w:val="00612233"/>
    <w:rsid w:val="006122BB"/>
    <w:rsid w:val="006128F9"/>
    <w:rsid w:val="006131F4"/>
    <w:rsid w:val="00613319"/>
    <w:rsid w:val="00613612"/>
    <w:rsid w:val="006136E2"/>
    <w:rsid w:val="00613F27"/>
    <w:rsid w:val="00614666"/>
    <w:rsid w:val="006152A1"/>
    <w:rsid w:val="006152F5"/>
    <w:rsid w:val="00615672"/>
    <w:rsid w:val="0061575E"/>
    <w:rsid w:val="006159A9"/>
    <w:rsid w:val="00615A4C"/>
    <w:rsid w:val="00615AEB"/>
    <w:rsid w:val="00615E10"/>
    <w:rsid w:val="00615F61"/>
    <w:rsid w:val="00616052"/>
    <w:rsid w:val="006161F5"/>
    <w:rsid w:val="00616234"/>
    <w:rsid w:val="0061629D"/>
    <w:rsid w:val="006166F8"/>
    <w:rsid w:val="00616E09"/>
    <w:rsid w:val="00616E36"/>
    <w:rsid w:val="00616F75"/>
    <w:rsid w:val="00617449"/>
    <w:rsid w:val="006174B4"/>
    <w:rsid w:val="00617542"/>
    <w:rsid w:val="006176C4"/>
    <w:rsid w:val="0061782C"/>
    <w:rsid w:val="00617D2A"/>
    <w:rsid w:val="006208B0"/>
    <w:rsid w:val="0062099D"/>
    <w:rsid w:val="00620BD3"/>
    <w:rsid w:val="00620C70"/>
    <w:rsid w:val="00620FB4"/>
    <w:rsid w:val="006210A6"/>
    <w:rsid w:val="006216FC"/>
    <w:rsid w:val="00621757"/>
    <w:rsid w:val="00621C13"/>
    <w:rsid w:val="006220BC"/>
    <w:rsid w:val="006222D0"/>
    <w:rsid w:val="0062236B"/>
    <w:rsid w:val="00622388"/>
    <w:rsid w:val="006229DB"/>
    <w:rsid w:val="00622A3B"/>
    <w:rsid w:val="00622BB7"/>
    <w:rsid w:val="00622E7C"/>
    <w:rsid w:val="00622EEA"/>
    <w:rsid w:val="00623002"/>
    <w:rsid w:val="006230C3"/>
    <w:rsid w:val="00623287"/>
    <w:rsid w:val="006238CC"/>
    <w:rsid w:val="0062396C"/>
    <w:rsid w:val="006239DD"/>
    <w:rsid w:val="00623B28"/>
    <w:rsid w:val="00623C47"/>
    <w:rsid w:val="00623E75"/>
    <w:rsid w:val="00623FF9"/>
    <w:rsid w:val="006240FF"/>
    <w:rsid w:val="0062417E"/>
    <w:rsid w:val="0062437D"/>
    <w:rsid w:val="00624A02"/>
    <w:rsid w:val="00625350"/>
    <w:rsid w:val="00625472"/>
    <w:rsid w:val="00625824"/>
    <w:rsid w:val="0062588B"/>
    <w:rsid w:val="00625A03"/>
    <w:rsid w:val="00625D3E"/>
    <w:rsid w:val="00626154"/>
    <w:rsid w:val="006261D2"/>
    <w:rsid w:val="00626654"/>
    <w:rsid w:val="0062684F"/>
    <w:rsid w:val="00626A8A"/>
    <w:rsid w:val="00626BFC"/>
    <w:rsid w:val="0062711E"/>
    <w:rsid w:val="006271E0"/>
    <w:rsid w:val="0062774C"/>
    <w:rsid w:val="00627A4B"/>
    <w:rsid w:val="00627D4E"/>
    <w:rsid w:val="006300C9"/>
    <w:rsid w:val="006309CD"/>
    <w:rsid w:val="00630F2A"/>
    <w:rsid w:val="006316C0"/>
    <w:rsid w:val="006326B1"/>
    <w:rsid w:val="00632947"/>
    <w:rsid w:val="00632B89"/>
    <w:rsid w:val="006333D7"/>
    <w:rsid w:val="0063346D"/>
    <w:rsid w:val="00633493"/>
    <w:rsid w:val="0063374B"/>
    <w:rsid w:val="00633E69"/>
    <w:rsid w:val="00634200"/>
    <w:rsid w:val="0063427C"/>
    <w:rsid w:val="00634423"/>
    <w:rsid w:val="00634478"/>
    <w:rsid w:val="006344FE"/>
    <w:rsid w:val="00634562"/>
    <w:rsid w:val="00634752"/>
    <w:rsid w:val="00634BFE"/>
    <w:rsid w:val="00634E9A"/>
    <w:rsid w:val="006350B3"/>
    <w:rsid w:val="006350D4"/>
    <w:rsid w:val="00635200"/>
    <w:rsid w:val="006353B2"/>
    <w:rsid w:val="006353BE"/>
    <w:rsid w:val="00635838"/>
    <w:rsid w:val="00635854"/>
    <w:rsid w:val="006358F2"/>
    <w:rsid w:val="00635AC1"/>
    <w:rsid w:val="00635B49"/>
    <w:rsid w:val="00635C2F"/>
    <w:rsid w:val="00635DD8"/>
    <w:rsid w:val="00635E62"/>
    <w:rsid w:val="00635F01"/>
    <w:rsid w:val="00636043"/>
    <w:rsid w:val="00636316"/>
    <w:rsid w:val="0063651B"/>
    <w:rsid w:val="00636A56"/>
    <w:rsid w:val="00636DB5"/>
    <w:rsid w:val="00637177"/>
    <w:rsid w:val="006372F1"/>
    <w:rsid w:val="006373A2"/>
    <w:rsid w:val="00637682"/>
    <w:rsid w:val="00637960"/>
    <w:rsid w:val="00637B82"/>
    <w:rsid w:val="00637B86"/>
    <w:rsid w:val="00637E1B"/>
    <w:rsid w:val="00640010"/>
    <w:rsid w:val="00640036"/>
    <w:rsid w:val="00640418"/>
    <w:rsid w:val="006404A9"/>
    <w:rsid w:val="00640955"/>
    <w:rsid w:val="00640A30"/>
    <w:rsid w:val="00640B2E"/>
    <w:rsid w:val="0064122D"/>
    <w:rsid w:val="006413AA"/>
    <w:rsid w:val="00641647"/>
    <w:rsid w:val="006416D3"/>
    <w:rsid w:val="00641853"/>
    <w:rsid w:val="00641911"/>
    <w:rsid w:val="00641A67"/>
    <w:rsid w:val="00641AA9"/>
    <w:rsid w:val="00641D73"/>
    <w:rsid w:val="00641DAA"/>
    <w:rsid w:val="00642331"/>
    <w:rsid w:val="00642642"/>
    <w:rsid w:val="006426BE"/>
    <w:rsid w:val="00642B96"/>
    <w:rsid w:val="00643135"/>
    <w:rsid w:val="006432DB"/>
    <w:rsid w:val="006435EE"/>
    <w:rsid w:val="00643981"/>
    <w:rsid w:val="00643D07"/>
    <w:rsid w:val="00643D17"/>
    <w:rsid w:val="00643FAB"/>
    <w:rsid w:val="00644134"/>
    <w:rsid w:val="006442C3"/>
    <w:rsid w:val="00644373"/>
    <w:rsid w:val="00644570"/>
    <w:rsid w:val="00644591"/>
    <w:rsid w:val="00644742"/>
    <w:rsid w:val="006448A0"/>
    <w:rsid w:val="006448CB"/>
    <w:rsid w:val="00644C77"/>
    <w:rsid w:val="00644CDA"/>
    <w:rsid w:val="00644D06"/>
    <w:rsid w:val="00645009"/>
    <w:rsid w:val="006454A6"/>
    <w:rsid w:val="00645533"/>
    <w:rsid w:val="006457DE"/>
    <w:rsid w:val="00645915"/>
    <w:rsid w:val="00645E9F"/>
    <w:rsid w:val="00646335"/>
    <w:rsid w:val="0064697A"/>
    <w:rsid w:val="00646A05"/>
    <w:rsid w:val="00646CC4"/>
    <w:rsid w:val="00646E22"/>
    <w:rsid w:val="006472A2"/>
    <w:rsid w:val="00647366"/>
    <w:rsid w:val="006474C3"/>
    <w:rsid w:val="006477B0"/>
    <w:rsid w:val="0064790F"/>
    <w:rsid w:val="00647AD9"/>
    <w:rsid w:val="00647B74"/>
    <w:rsid w:val="00647E70"/>
    <w:rsid w:val="006504C6"/>
    <w:rsid w:val="0065056E"/>
    <w:rsid w:val="0065099C"/>
    <w:rsid w:val="00650D78"/>
    <w:rsid w:val="006511CC"/>
    <w:rsid w:val="00651712"/>
    <w:rsid w:val="006519C3"/>
    <w:rsid w:val="00651BF2"/>
    <w:rsid w:val="00651C94"/>
    <w:rsid w:val="0065236B"/>
    <w:rsid w:val="006527EC"/>
    <w:rsid w:val="0065286E"/>
    <w:rsid w:val="00652AA0"/>
    <w:rsid w:val="00652B30"/>
    <w:rsid w:val="00652B61"/>
    <w:rsid w:val="00652FFE"/>
    <w:rsid w:val="0065325B"/>
    <w:rsid w:val="00653295"/>
    <w:rsid w:val="0065336F"/>
    <w:rsid w:val="0065351D"/>
    <w:rsid w:val="0065358F"/>
    <w:rsid w:val="00653680"/>
    <w:rsid w:val="0065386F"/>
    <w:rsid w:val="006538C2"/>
    <w:rsid w:val="00653966"/>
    <w:rsid w:val="0065396C"/>
    <w:rsid w:val="00654154"/>
    <w:rsid w:val="0065415A"/>
    <w:rsid w:val="0065431E"/>
    <w:rsid w:val="0065473B"/>
    <w:rsid w:val="006547C3"/>
    <w:rsid w:val="0065494D"/>
    <w:rsid w:val="00654984"/>
    <w:rsid w:val="00654B62"/>
    <w:rsid w:val="00655001"/>
    <w:rsid w:val="00655459"/>
    <w:rsid w:val="00655520"/>
    <w:rsid w:val="00655A42"/>
    <w:rsid w:val="00655CFD"/>
    <w:rsid w:val="00655F90"/>
    <w:rsid w:val="00656345"/>
    <w:rsid w:val="006565F0"/>
    <w:rsid w:val="0065671B"/>
    <w:rsid w:val="00656CEF"/>
    <w:rsid w:val="00656DC6"/>
    <w:rsid w:val="00657127"/>
    <w:rsid w:val="00657590"/>
    <w:rsid w:val="00657966"/>
    <w:rsid w:val="00657BCD"/>
    <w:rsid w:val="00657D8C"/>
    <w:rsid w:val="00657E44"/>
    <w:rsid w:val="0066029E"/>
    <w:rsid w:val="00660308"/>
    <w:rsid w:val="006603D3"/>
    <w:rsid w:val="00660478"/>
    <w:rsid w:val="0066065F"/>
    <w:rsid w:val="00660B89"/>
    <w:rsid w:val="00660BAB"/>
    <w:rsid w:val="00660C4C"/>
    <w:rsid w:val="00660D4E"/>
    <w:rsid w:val="00660E69"/>
    <w:rsid w:val="00660EC6"/>
    <w:rsid w:val="006611A2"/>
    <w:rsid w:val="00661383"/>
    <w:rsid w:val="0066155B"/>
    <w:rsid w:val="00661706"/>
    <w:rsid w:val="00661799"/>
    <w:rsid w:val="00661ACB"/>
    <w:rsid w:val="00661C1F"/>
    <w:rsid w:val="00661D79"/>
    <w:rsid w:val="00661E2F"/>
    <w:rsid w:val="00661FF0"/>
    <w:rsid w:val="006620CC"/>
    <w:rsid w:val="00662196"/>
    <w:rsid w:val="00662548"/>
    <w:rsid w:val="006627E8"/>
    <w:rsid w:val="0066292B"/>
    <w:rsid w:val="00662CFE"/>
    <w:rsid w:val="00662FF7"/>
    <w:rsid w:val="0066334D"/>
    <w:rsid w:val="006634DF"/>
    <w:rsid w:val="00663A3A"/>
    <w:rsid w:val="00663FFF"/>
    <w:rsid w:val="00664110"/>
    <w:rsid w:val="006642A2"/>
    <w:rsid w:val="00664356"/>
    <w:rsid w:val="00664549"/>
    <w:rsid w:val="00664789"/>
    <w:rsid w:val="00664847"/>
    <w:rsid w:val="00664A0E"/>
    <w:rsid w:val="00664D17"/>
    <w:rsid w:val="00664DF8"/>
    <w:rsid w:val="00664F1A"/>
    <w:rsid w:val="00665044"/>
    <w:rsid w:val="00665408"/>
    <w:rsid w:val="00665705"/>
    <w:rsid w:val="006658BB"/>
    <w:rsid w:val="0066595B"/>
    <w:rsid w:val="0066626F"/>
    <w:rsid w:val="00666520"/>
    <w:rsid w:val="00666585"/>
    <w:rsid w:val="00666D95"/>
    <w:rsid w:val="00666F13"/>
    <w:rsid w:val="0066703E"/>
    <w:rsid w:val="00667700"/>
    <w:rsid w:val="00667BC7"/>
    <w:rsid w:val="00667C5B"/>
    <w:rsid w:val="00667CDB"/>
    <w:rsid w:val="00667E3F"/>
    <w:rsid w:val="00667E4C"/>
    <w:rsid w:val="006700CC"/>
    <w:rsid w:val="006709FE"/>
    <w:rsid w:val="00670A72"/>
    <w:rsid w:val="00670AFD"/>
    <w:rsid w:val="00670BBB"/>
    <w:rsid w:val="00670D9E"/>
    <w:rsid w:val="00670E65"/>
    <w:rsid w:val="00671619"/>
    <w:rsid w:val="00671996"/>
    <w:rsid w:val="0067208B"/>
    <w:rsid w:val="0067214F"/>
    <w:rsid w:val="00672336"/>
    <w:rsid w:val="00672CC5"/>
    <w:rsid w:val="00672D87"/>
    <w:rsid w:val="0067305F"/>
    <w:rsid w:val="0067318C"/>
    <w:rsid w:val="00673542"/>
    <w:rsid w:val="0067367C"/>
    <w:rsid w:val="006736CA"/>
    <w:rsid w:val="00673CC0"/>
    <w:rsid w:val="00673E83"/>
    <w:rsid w:val="00674453"/>
    <w:rsid w:val="00674557"/>
    <w:rsid w:val="00674581"/>
    <w:rsid w:val="0067471E"/>
    <w:rsid w:val="006748B9"/>
    <w:rsid w:val="00674AAE"/>
    <w:rsid w:val="0067503D"/>
    <w:rsid w:val="006750BB"/>
    <w:rsid w:val="00675345"/>
    <w:rsid w:val="0067570B"/>
    <w:rsid w:val="00675A83"/>
    <w:rsid w:val="00675B58"/>
    <w:rsid w:val="00675DF6"/>
    <w:rsid w:val="00675F1B"/>
    <w:rsid w:val="00676734"/>
    <w:rsid w:val="00676C10"/>
    <w:rsid w:val="00676C72"/>
    <w:rsid w:val="00676CF6"/>
    <w:rsid w:val="006774FE"/>
    <w:rsid w:val="006775C2"/>
    <w:rsid w:val="00677621"/>
    <w:rsid w:val="006776BA"/>
    <w:rsid w:val="006776C5"/>
    <w:rsid w:val="00677955"/>
    <w:rsid w:val="00677EED"/>
    <w:rsid w:val="00680010"/>
    <w:rsid w:val="00680060"/>
    <w:rsid w:val="00680325"/>
    <w:rsid w:val="00680CEA"/>
    <w:rsid w:val="00680F59"/>
    <w:rsid w:val="00680F64"/>
    <w:rsid w:val="00680FC4"/>
    <w:rsid w:val="0068110D"/>
    <w:rsid w:val="006816FD"/>
    <w:rsid w:val="006817C6"/>
    <w:rsid w:val="00681960"/>
    <w:rsid w:val="0068196F"/>
    <w:rsid w:val="00681BEC"/>
    <w:rsid w:val="0068205F"/>
    <w:rsid w:val="006822B8"/>
    <w:rsid w:val="00683198"/>
    <w:rsid w:val="006832C8"/>
    <w:rsid w:val="0068367F"/>
    <w:rsid w:val="0068388D"/>
    <w:rsid w:val="00683BFE"/>
    <w:rsid w:val="00683C2C"/>
    <w:rsid w:val="00683D8C"/>
    <w:rsid w:val="00684287"/>
    <w:rsid w:val="006842DB"/>
    <w:rsid w:val="00684467"/>
    <w:rsid w:val="00684540"/>
    <w:rsid w:val="00684A37"/>
    <w:rsid w:val="00684B54"/>
    <w:rsid w:val="006851A8"/>
    <w:rsid w:val="00685215"/>
    <w:rsid w:val="00685486"/>
    <w:rsid w:val="00685566"/>
    <w:rsid w:val="00685847"/>
    <w:rsid w:val="00685C3C"/>
    <w:rsid w:val="006862FD"/>
    <w:rsid w:val="0068672F"/>
    <w:rsid w:val="006869D4"/>
    <w:rsid w:val="00686A0C"/>
    <w:rsid w:val="00686AC4"/>
    <w:rsid w:val="00686BA0"/>
    <w:rsid w:val="00686C8E"/>
    <w:rsid w:val="00686E02"/>
    <w:rsid w:val="00686F5E"/>
    <w:rsid w:val="006870CA"/>
    <w:rsid w:val="006873E6"/>
    <w:rsid w:val="006875F4"/>
    <w:rsid w:val="00687B02"/>
    <w:rsid w:val="0069019E"/>
    <w:rsid w:val="006908FD"/>
    <w:rsid w:val="00690B06"/>
    <w:rsid w:val="006910AD"/>
    <w:rsid w:val="006916FE"/>
    <w:rsid w:val="006918D1"/>
    <w:rsid w:val="00691A79"/>
    <w:rsid w:val="00691EB8"/>
    <w:rsid w:val="00692084"/>
    <w:rsid w:val="0069225E"/>
    <w:rsid w:val="0069238C"/>
    <w:rsid w:val="00692519"/>
    <w:rsid w:val="00692620"/>
    <w:rsid w:val="0069269A"/>
    <w:rsid w:val="006929E9"/>
    <w:rsid w:val="00692B47"/>
    <w:rsid w:val="00692CDE"/>
    <w:rsid w:val="00693073"/>
    <w:rsid w:val="0069340C"/>
    <w:rsid w:val="006934D5"/>
    <w:rsid w:val="00693852"/>
    <w:rsid w:val="00693897"/>
    <w:rsid w:val="0069389A"/>
    <w:rsid w:val="00693D60"/>
    <w:rsid w:val="00693E48"/>
    <w:rsid w:val="00693EBB"/>
    <w:rsid w:val="006942B5"/>
    <w:rsid w:val="0069461A"/>
    <w:rsid w:val="00694695"/>
    <w:rsid w:val="00694752"/>
    <w:rsid w:val="00694840"/>
    <w:rsid w:val="00694BE5"/>
    <w:rsid w:val="006950B8"/>
    <w:rsid w:val="006954FD"/>
    <w:rsid w:val="00695605"/>
    <w:rsid w:val="0069573A"/>
    <w:rsid w:val="00695C33"/>
    <w:rsid w:val="00695D36"/>
    <w:rsid w:val="0069601E"/>
    <w:rsid w:val="006960D6"/>
    <w:rsid w:val="0069617B"/>
    <w:rsid w:val="006962E3"/>
    <w:rsid w:val="00696950"/>
    <w:rsid w:val="00696994"/>
    <w:rsid w:val="00696A52"/>
    <w:rsid w:val="00696A8B"/>
    <w:rsid w:val="00696CBA"/>
    <w:rsid w:val="006972B4"/>
    <w:rsid w:val="0069731B"/>
    <w:rsid w:val="00697481"/>
    <w:rsid w:val="006977FF"/>
    <w:rsid w:val="006979A8"/>
    <w:rsid w:val="00697C8C"/>
    <w:rsid w:val="00697D46"/>
    <w:rsid w:val="00697FF1"/>
    <w:rsid w:val="006A01FA"/>
    <w:rsid w:val="006A020B"/>
    <w:rsid w:val="006A02F7"/>
    <w:rsid w:val="006A0453"/>
    <w:rsid w:val="006A04A7"/>
    <w:rsid w:val="006A0866"/>
    <w:rsid w:val="006A0CCC"/>
    <w:rsid w:val="006A0E4A"/>
    <w:rsid w:val="006A0E95"/>
    <w:rsid w:val="006A0E9E"/>
    <w:rsid w:val="006A15C4"/>
    <w:rsid w:val="006A1655"/>
    <w:rsid w:val="006A1A65"/>
    <w:rsid w:val="006A1AA9"/>
    <w:rsid w:val="006A1F2E"/>
    <w:rsid w:val="006A226E"/>
    <w:rsid w:val="006A2345"/>
    <w:rsid w:val="006A25C7"/>
    <w:rsid w:val="006A268B"/>
    <w:rsid w:val="006A2713"/>
    <w:rsid w:val="006A2951"/>
    <w:rsid w:val="006A2992"/>
    <w:rsid w:val="006A29E5"/>
    <w:rsid w:val="006A2BBE"/>
    <w:rsid w:val="006A2F0C"/>
    <w:rsid w:val="006A34C2"/>
    <w:rsid w:val="006A3752"/>
    <w:rsid w:val="006A3988"/>
    <w:rsid w:val="006A3BB2"/>
    <w:rsid w:val="006A3C2D"/>
    <w:rsid w:val="006A3ECF"/>
    <w:rsid w:val="006A4167"/>
    <w:rsid w:val="006A41A5"/>
    <w:rsid w:val="006A480C"/>
    <w:rsid w:val="006A4A9A"/>
    <w:rsid w:val="006A4AAD"/>
    <w:rsid w:val="006A4CCA"/>
    <w:rsid w:val="006A4D92"/>
    <w:rsid w:val="006A4DCC"/>
    <w:rsid w:val="006A4E51"/>
    <w:rsid w:val="006A50C8"/>
    <w:rsid w:val="006A5943"/>
    <w:rsid w:val="006A5A4E"/>
    <w:rsid w:val="006A5BE3"/>
    <w:rsid w:val="006A5E5B"/>
    <w:rsid w:val="006A5E5D"/>
    <w:rsid w:val="006A5E64"/>
    <w:rsid w:val="006A5EC4"/>
    <w:rsid w:val="006A673B"/>
    <w:rsid w:val="006A6974"/>
    <w:rsid w:val="006A6A07"/>
    <w:rsid w:val="006A6DA2"/>
    <w:rsid w:val="006A70F5"/>
    <w:rsid w:val="006A712B"/>
    <w:rsid w:val="006A72ED"/>
    <w:rsid w:val="006A7842"/>
    <w:rsid w:val="006A7A07"/>
    <w:rsid w:val="006A7AB2"/>
    <w:rsid w:val="006A7B09"/>
    <w:rsid w:val="006A7CD5"/>
    <w:rsid w:val="006B0065"/>
    <w:rsid w:val="006B0316"/>
    <w:rsid w:val="006B0353"/>
    <w:rsid w:val="006B04E4"/>
    <w:rsid w:val="006B06F7"/>
    <w:rsid w:val="006B0765"/>
    <w:rsid w:val="006B0867"/>
    <w:rsid w:val="006B0912"/>
    <w:rsid w:val="006B092D"/>
    <w:rsid w:val="006B0A99"/>
    <w:rsid w:val="006B0AA0"/>
    <w:rsid w:val="006B0E2A"/>
    <w:rsid w:val="006B0E3E"/>
    <w:rsid w:val="006B14A4"/>
    <w:rsid w:val="006B15B7"/>
    <w:rsid w:val="006B1678"/>
    <w:rsid w:val="006B1B8E"/>
    <w:rsid w:val="006B1D6E"/>
    <w:rsid w:val="006B1D9B"/>
    <w:rsid w:val="006B2307"/>
    <w:rsid w:val="006B2569"/>
    <w:rsid w:val="006B2847"/>
    <w:rsid w:val="006B285F"/>
    <w:rsid w:val="006B2863"/>
    <w:rsid w:val="006B2DBE"/>
    <w:rsid w:val="006B30C6"/>
    <w:rsid w:val="006B3369"/>
    <w:rsid w:val="006B34D1"/>
    <w:rsid w:val="006B357C"/>
    <w:rsid w:val="006B363C"/>
    <w:rsid w:val="006B38AF"/>
    <w:rsid w:val="006B38B2"/>
    <w:rsid w:val="006B39EB"/>
    <w:rsid w:val="006B3AF5"/>
    <w:rsid w:val="006B3BEC"/>
    <w:rsid w:val="006B3C99"/>
    <w:rsid w:val="006B3FAC"/>
    <w:rsid w:val="006B4A07"/>
    <w:rsid w:val="006B4F89"/>
    <w:rsid w:val="006B52DE"/>
    <w:rsid w:val="006B535F"/>
    <w:rsid w:val="006B5717"/>
    <w:rsid w:val="006B582F"/>
    <w:rsid w:val="006B5EB2"/>
    <w:rsid w:val="006B63EE"/>
    <w:rsid w:val="006B7087"/>
    <w:rsid w:val="006B7356"/>
    <w:rsid w:val="006B7C6E"/>
    <w:rsid w:val="006B7C7F"/>
    <w:rsid w:val="006B7F32"/>
    <w:rsid w:val="006C0259"/>
    <w:rsid w:val="006C0409"/>
    <w:rsid w:val="006C07C7"/>
    <w:rsid w:val="006C0A54"/>
    <w:rsid w:val="006C0AAD"/>
    <w:rsid w:val="006C0C5D"/>
    <w:rsid w:val="006C0CEB"/>
    <w:rsid w:val="006C0E0B"/>
    <w:rsid w:val="006C0EA5"/>
    <w:rsid w:val="006C0ECC"/>
    <w:rsid w:val="006C1264"/>
    <w:rsid w:val="006C13BE"/>
    <w:rsid w:val="006C1631"/>
    <w:rsid w:val="006C2564"/>
    <w:rsid w:val="006C2746"/>
    <w:rsid w:val="006C2856"/>
    <w:rsid w:val="006C2AEB"/>
    <w:rsid w:val="006C2B59"/>
    <w:rsid w:val="006C2B92"/>
    <w:rsid w:val="006C2E5B"/>
    <w:rsid w:val="006C32E0"/>
    <w:rsid w:val="006C33D6"/>
    <w:rsid w:val="006C36B0"/>
    <w:rsid w:val="006C38BD"/>
    <w:rsid w:val="006C3B1E"/>
    <w:rsid w:val="006C3E76"/>
    <w:rsid w:val="006C3FCC"/>
    <w:rsid w:val="006C44F4"/>
    <w:rsid w:val="006C47FD"/>
    <w:rsid w:val="006C4BEE"/>
    <w:rsid w:val="006C4C4A"/>
    <w:rsid w:val="006C4D9B"/>
    <w:rsid w:val="006C4E8C"/>
    <w:rsid w:val="006C5228"/>
    <w:rsid w:val="006C5265"/>
    <w:rsid w:val="006C55C9"/>
    <w:rsid w:val="006C583A"/>
    <w:rsid w:val="006C5C19"/>
    <w:rsid w:val="006C5DDC"/>
    <w:rsid w:val="006C5FD4"/>
    <w:rsid w:val="006C61C2"/>
    <w:rsid w:val="006C634F"/>
    <w:rsid w:val="006C6633"/>
    <w:rsid w:val="006C67A6"/>
    <w:rsid w:val="006C6927"/>
    <w:rsid w:val="006C6C3E"/>
    <w:rsid w:val="006C6CD0"/>
    <w:rsid w:val="006C6D04"/>
    <w:rsid w:val="006C6F5A"/>
    <w:rsid w:val="006C6F6C"/>
    <w:rsid w:val="006C7060"/>
    <w:rsid w:val="006C70A0"/>
    <w:rsid w:val="006C70AD"/>
    <w:rsid w:val="006C7D0C"/>
    <w:rsid w:val="006D0228"/>
    <w:rsid w:val="006D0305"/>
    <w:rsid w:val="006D068B"/>
    <w:rsid w:val="006D06F1"/>
    <w:rsid w:val="006D0948"/>
    <w:rsid w:val="006D097C"/>
    <w:rsid w:val="006D1313"/>
    <w:rsid w:val="006D1437"/>
    <w:rsid w:val="006D166C"/>
    <w:rsid w:val="006D181D"/>
    <w:rsid w:val="006D1917"/>
    <w:rsid w:val="006D19C7"/>
    <w:rsid w:val="006D1A70"/>
    <w:rsid w:val="006D1D5F"/>
    <w:rsid w:val="006D224F"/>
    <w:rsid w:val="006D2672"/>
    <w:rsid w:val="006D27CB"/>
    <w:rsid w:val="006D2836"/>
    <w:rsid w:val="006D2BDD"/>
    <w:rsid w:val="006D2D61"/>
    <w:rsid w:val="006D2DE2"/>
    <w:rsid w:val="006D2F08"/>
    <w:rsid w:val="006D3057"/>
    <w:rsid w:val="006D30A0"/>
    <w:rsid w:val="006D310A"/>
    <w:rsid w:val="006D31D4"/>
    <w:rsid w:val="006D31FD"/>
    <w:rsid w:val="006D32BF"/>
    <w:rsid w:val="006D34EC"/>
    <w:rsid w:val="006D3699"/>
    <w:rsid w:val="006D374A"/>
    <w:rsid w:val="006D39E3"/>
    <w:rsid w:val="006D3CB0"/>
    <w:rsid w:val="006D3FB2"/>
    <w:rsid w:val="006D411D"/>
    <w:rsid w:val="006D413C"/>
    <w:rsid w:val="006D419A"/>
    <w:rsid w:val="006D452B"/>
    <w:rsid w:val="006D4661"/>
    <w:rsid w:val="006D5011"/>
    <w:rsid w:val="006D576C"/>
    <w:rsid w:val="006D5865"/>
    <w:rsid w:val="006D5913"/>
    <w:rsid w:val="006D5D67"/>
    <w:rsid w:val="006D6004"/>
    <w:rsid w:val="006D60F9"/>
    <w:rsid w:val="006D6121"/>
    <w:rsid w:val="006D6386"/>
    <w:rsid w:val="006D64B9"/>
    <w:rsid w:val="006D6770"/>
    <w:rsid w:val="006D6780"/>
    <w:rsid w:val="006D679E"/>
    <w:rsid w:val="006D6937"/>
    <w:rsid w:val="006D6A62"/>
    <w:rsid w:val="006D6B11"/>
    <w:rsid w:val="006D6C3A"/>
    <w:rsid w:val="006D6DCD"/>
    <w:rsid w:val="006D6E50"/>
    <w:rsid w:val="006D6EB1"/>
    <w:rsid w:val="006D71FB"/>
    <w:rsid w:val="006D74FE"/>
    <w:rsid w:val="006D7E6C"/>
    <w:rsid w:val="006E0053"/>
    <w:rsid w:val="006E021B"/>
    <w:rsid w:val="006E078A"/>
    <w:rsid w:val="006E07C2"/>
    <w:rsid w:val="006E0B4C"/>
    <w:rsid w:val="006E0D91"/>
    <w:rsid w:val="006E17F7"/>
    <w:rsid w:val="006E1929"/>
    <w:rsid w:val="006E2021"/>
    <w:rsid w:val="006E2528"/>
    <w:rsid w:val="006E258A"/>
    <w:rsid w:val="006E2C0F"/>
    <w:rsid w:val="006E2D0D"/>
    <w:rsid w:val="006E363C"/>
    <w:rsid w:val="006E3653"/>
    <w:rsid w:val="006E36E6"/>
    <w:rsid w:val="006E38F7"/>
    <w:rsid w:val="006E3A73"/>
    <w:rsid w:val="006E3D21"/>
    <w:rsid w:val="006E3F6D"/>
    <w:rsid w:val="006E41CE"/>
    <w:rsid w:val="006E4B1B"/>
    <w:rsid w:val="006E4B6C"/>
    <w:rsid w:val="006E4E28"/>
    <w:rsid w:val="006E4F6E"/>
    <w:rsid w:val="006E52CE"/>
    <w:rsid w:val="006E537F"/>
    <w:rsid w:val="006E5445"/>
    <w:rsid w:val="006E6531"/>
    <w:rsid w:val="006E7242"/>
    <w:rsid w:val="006E7612"/>
    <w:rsid w:val="006E7821"/>
    <w:rsid w:val="006E7D93"/>
    <w:rsid w:val="006F06F9"/>
    <w:rsid w:val="006F0872"/>
    <w:rsid w:val="006F08D8"/>
    <w:rsid w:val="006F0B86"/>
    <w:rsid w:val="006F0B96"/>
    <w:rsid w:val="006F0C48"/>
    <w:rsid w:val="006F0E4C"/>
    <w:rsid w:val="006F109C"/>
    <w:rsid w:val="006F1186"/>
    <w:rsid w:val="006F1311"/>
    <w:rsid w:val="006F138E"/>
    <w:rsid w:val="006F1634"/>
    <w:rsid w:val="006F19AD"/>
    <w:rsid w:val="006F1C8F"/>
    <w:rsid w:val="006F1DD6"/>
    <w:rsid w:val="006F2325"/>
    <w:rsid w:val="006F26F0"/>
    <w:rsid w:val="006F2A5F"/>
    <w:rsid w:val="006F2A7E"/>
    <w:rsid w:val="006F2C80"/>
    <w:rsid w:val="006F2D77"/>
    <w:rsid w:val="006F2F62"/>
    <w:rsid w:val="006F3141"/>
    <w:rsid w:val="006F3351"/>
    <w:rsid w:val="006F3E54"/>
    <w:rsid w:val="006F4484"/>
    <w:rsid w:val="006F47B0"/>
    <w:rsid w:val="006F48F5"/>
    <w:rsid w:val="006F4913"/>
    <w:rsid w:val="006F4E41"/>
    <w:rsid w:val="006F55C1"/>
    <w:rsid w:val="006F5642"/>
    <w:rsid w:val="006F596F"/>
    <w:rsid w:val="006F5C14"/>
    <w:rsid w:val="006F5CCA"/>
    <w:rsid w:val="006F5D3A"/>
    <w:rsid w:val="006F6514"/>
    <w:rsid w:val="006F6613"/>
    <w:rsid w:val="006F6721"/>
    <w:rsid w:val="006F675E"/>
    <w:rsid w:val="006F6A74"/>
    <w:rsid w:val="006F6E8D"/>
    <w:rsid w:val="006F6FA4"/>
    <w:rsid w:val="006F72E0"/>
    <w:rsid w:val="006F73A8"/>
    <w:rsid w:val="006F749B"/>
    <w:rsid w:val="006F77B3"/>
    <w:rsid w:val="006F7802"/>
    <w:rsid w:val="00700429"/>
    <w:rsid w:val="00700F68"/>
    <w:rsid w:val="0070133D"/>
    <w:rsid w:val="00701552"/>
    <w:rsid w:val="00701655"/>
    <w:rsid w:val="007016B2"/>
    <w:rsid w:val="007018EA"/>
    <w:rsid w:val="007019C9"/>
    <w:rsid w:val="00701AA8"/>
    <w:rsid w:val="00701DA7"/>
    <w:rsid w:val="0070233E"/>
    <w:rsid w:val="007023C2"/>
    <w:rsid w:val="00702443"/>
    <w:rsid w:val="00702782"/>
    <w:rsid w:val="007029A3"/>
    <w:rsid w:val="00702AB8"/>
    <w:rsid w:val="00702B69"/>
    <w:rsid w:val="00702CE3"/>
    <w:rsid w:val="00702E2E"/>
    <w:rsid w:val="00703081"/>
    <w:rsid w:val="00703B63"/>
    <w:rsid w:val="00703E93"/>
    <w:rsid w:val="00703F26"/>
    <w:rsid w:val="0070458A"/>
    <w:rsid w:val="0070467E"/>
    <w:rsid w:val="00704844"/>
    <w:rsid w:val="00704866"/>
    <w:rsid w:val="007048EA"/>
    <w:rsid w:val="00704D25"/>
    <w:rsid w:val="007054E1"/>
    <w:rsid w:val="00705837"/>
    <w:rsid w:val="00705CE5"/>
    <w:rsid w:val="00705DF2"/>
    <w:rsid w:val="00705FC2"/>
    <w:rsid w:val="00706086"/>
    <w:rsid w:val="007061AA"/>
    <w:rsid w:val="007061F0"/>
    <w:rsid w:val="00706436"/>
    <w:rsid w:val="007066EC"/>
    <w:rsid w:val="00706A14"/>
    <w:rsid w:val="00706A1D"/>
    <w:rsid w:val="00706BAA"/>
    <w:rsid w:val="00706BE4"/>
    <w:rsid w:val="00706E4E"/>
    <w:rsid w:val="00707064"/>
    <w:rsid w:val="007071E8"/>
    <w:rsid w:val="0070754B"/>
    <w:rsid w:val="00707596"/>
    <w:rsid w:val="007075A9"/>
    <w:rsid w:val="0070791C"/>
    <w:rsid w:val="00707D0D"/>
    <w:rsid w:val="00707F21"/>
    <w:rsid w:val="00707F45"/>
    <w:rsid w:val="007102AC"/>
    <w:rsid w:val="0071044A"/>
    <w:rsid w:val="0071078D"/>
    <w:rsid w:val="00710A35"/>
    <w:rsid w:val="00710D49"/>
    <w:rsid w:val="00710E71"/>
    <w:rsid w:val="00711974"/>
    <w:rsid w:val="00711B27"/>
    <w:rsid w:val="007123D3"/>
    <w:rsid w:val="0071286A"/>
    <w:rsid w:val="00712A96"/>
    <w:rsid w:val="007131B5"/>
    <w:rsid w:val="0071365D"/>
    <w:rsid w:val="007136FA"/>
    <w:rsid w:val="0071383C"/>
    <w:rsid w:val="0071384C"/>
    <w:rsid w:val="007139A2"/>
    <w:rsid w:val="007139C4"/>
    <w:rsid w:val="00713FAE"/>
    <w:rsid w:val="00713FCA"/>
    <w:rsid w:val="007141A7"/>
    <w:rsid w:val="007148E0"/>
    <w:rsid w:val="00714AF5"/>
    <w:rsid w:val="00714C78"/>
    <w:rsid w:val="00714D82"/>
    <w:rsid w:val="00715094"/>
    <w:rsid w:val="00715438"/>
    <w:rsid w:val="00715536"/>
    <w:rsid w:val="007156CD"/>
    <w:rsid w:val="00715722"/>
    <w:rsid w:val="0071581A"/>
    <w:rsid w:val="007159BE"/>
    <w:rsid w:val="00715BAF"/>
    <w:rsid w:val="00715D72"/>
    <w:rsid w:val="0071600C"/>
    <w:rsid w:val="00716547"/>
    <w:rsid w:val="007165BD"/>
    <w:rsid w:val="00716BC4"/>
    <w:rsid w:val="00717096"/>
    <w:rsid w:val="00717214"/>
    <w:rsid w:val="00717D16"/>
    <w:rsid w:val="00717D4F"/>
    <w:rsid w:val="00720135"/>
    <w:rsid w:val="00720242"/>
    <w:rsid w:val="0072045D"/>
    <w:rsid w:val="007205F2"/>
    <w:rsid w:val="00720696"/>
    <w:rsid w:val="00720A61"/>
    <w:rsid w:val="00720E16"/>
    <w:rsid w:val="00721032"/>
    <w:rsid w:val="0072112B"/>
    <w:rsid w:val="00721463"/>
    <w:rsid w:val="007214A3"/>
    <w:rsid w:val="007215FF"/>
    <w:rsid w:val="007217C2"/>
    <w:rsid w:val="00721AC7"/>
    <w:rsid w:val="00721B55"/>
    <w:rsid w:val="00721FCB"/>
    <w:rsid w:val="007222E5"/>
    <w:rsid w:val="007224E6"/>
    <w:rsid w:val="00722970"/>
    <w:rsid w:val="00722C01"/>
    <w:rsid w:val="00722D16"/>
    <w:rsid w:val="00722E92"/>
    <w:rsid w:val="00722F9E"/>
    <w:rsid w:val="00723026"/>
    <w:rsid w:val="0072317F"/>
    <w:rsid w:val="007232BF"/>
    <w:rsid w:val="00723596"/>
    <w:rsid w:val="00723896"/>
    <w:rsid w:val="0072389D"/>
    <w:rsid w:val="00723C40"/>
    <w:rsid w:val="0072492F"/>
    <w:rsid w:val="00724B1B"/>
    <w:rsid w:val="00724D52"/>
    <w:rsid w:val="00724FCA"/>
    <w:rsid w:val="0072508E"/>
    <w:rsid w:val="007250EB"/>
    <w:rsid w:val="007253B2"/>
    <w:rsid w:val="00725544"/>
    <w:rsid w:val="00725A2E"/>
    <w:rsid w:val="00725A5C"/>
    <w:rsid w:val="00726192"/>
    <w:rsid w:val="00726280"/>
    <w:rsid w:val="007263E6"/>
    <w:rsid w:val="007264CA"/>
    <w:rsid w:val="00726583"/>
    <w:rsid w:val="0072662C"/>
    <w:rsid w:val="00726CE4"/>
    <w:rsid w:val="00726EA7"/>
    <w:rsid w:val="00726FA2"/>
    <w:rsid w:val="007271B2"/>
    <w:rsid w:val="0073021B"/>
    <w:rsid w:val="007303A0"/>
    <w:rsid w:val="00730545"/>
    <w:rsid w:val="007308AC"/>
    <w:rsid w:val="00730B08"/>
    <w:rsid w:val="00730CDE"/>
    <w:rsid w:val="00730D5A"/>
    <w:rsid w:val="00730DC1"/>
    <w:rsid w:val="00730F64"/>
    <w:rsid w:val="00731297"/>
    <w:rsid w:val="007312EB"/>
    <w:rsid w:val="0073146F"/>
    <w:rsid w:val="007315E3"/>
    <w:rsid w:val="00731616"/>
    <w:rsid w:val="00731757"/>
    <w:rsid w:val="007318A1"/>
    <w:rsid w:val="00731AD9"/>
    <w:rsid w:val="0073212C"/>
    <w:rsid w:val="007324EC"/>
    <w:rsid w:val="00732519"/>
    <w:rsid w:val="00732780"/>
    <w:rsid w:val="007327B3"/>
    <w:rsid w:val="007328A3"/>
    <w:rsid w:val="00732929"/>
    <w:rsid w:val="00732F1B"/>
    <w:rsid w:val="00733610"/>
    <w:rsid w:val="00733B09"/>
    <w:rsid w:val="00734143"/>
    <w:rsid w:val="00734439"/>
    <w:rsid w:val="00734502"/>
    <w:rsid w:val="00734645"/>
    <w:rsid w:val="00734805"/>
    <w:rsid w:val="00734BC5"/>
    <w:rsid w:val="00734BF8"/>
    <w:rsid w:val="00735189"/>
    <w:rsid w:val="0073573A"/>
    <w:rsid w:val="00735755"/>
    <w:rsid w:val="00735896"/>
    <w:rsid w:val="00735897"/>
    <w:rsid w:val="00735CDF"/>
    <w:rsid w:val="00736118"/>
    <w:rsid w:val="00736191"/>
    <w:rsid w:val="007361C0"/>
    <w:rsid w:val="0073685D"/>
    <w:rsid w:val="00736F20"/>
    <w:rsid w:val="00737172"/>
    <w:rsid w:val="007371EE"/>
    <w:rsid w:val="00737281"/>
    <w:rsid w:val="007372D4"/>
    <w:rsid w:val="00737C74"/>
    <w:rsid w:val="00737E47"/>
    <w:rsid w:val="00737E9B"/>
    <w:rsid w:val="007400D3"/>
    <w:rsid w:val="00740292"/>
    <w:rsid w:val="007404AE"/>
    <w:rsid w:val="007404CA"/>
    <w:rsid w:val="0074070A"/>
    <w:rsid w:val="00740A9A"/>
    <w:rsid w:val="00740DAE"/>
    <w:rsid w:val="00740EAC"/>
    <w:rsid w:val="00740FDB"/>
    <w:rsid w:val="00740FE7"/>
    <w:rsid w:val="00741497"/>
    <w:rsid w:val="0074197D"/>
    <w:rsid w:val="00741ADC"/>
    <w:rsid w:val="00741F45"/>
    <w:rsid w:val="0074203F"/>
    <w:rsid w:val="00742210"/>
    <w:rsid w:val="007422CF"/>
    <w:rsid w:val="007425B0"/>
    <w:rsid w:val="0074318D"/>
    <w:rsid w:val="0074319D"/>
    <w:rsid w:val="00743651"/>
    <w:rsid w:val="007438A1"/>
    <w:rsid w:val="00743B85"/>
    <w:rsid w:val="00743E3B"/>
    <w:rsid w:val="007440B2"/>
    <w:rsid w:val="00744956"/>
    <w:rsid w:val="00745197"/>
    <w:rsid w:val="0074586A"/>
    <w:rsid w:val="00745A5C"/>
    <w:rsid w:val="00745AEA"/>
    <w:rsid w:val="00745C13"/>
    <w:rsid w:val="00745FEE"/>
    <w:rsid w:val="0074605F"/>
    <w:rsid w:val="0074699E"/>
    <w:rsid w:val="00746A9D"/>
    <w:rsid w:val="00746AD1"/>
    <w:rsid w:val="00746F5C"/>
    <w:rsid w:val="00746F60"/>
    <w:rsid w:val="00747114"/>
    <w:rsid w:val="00747136"/>
    <w:rsid w:val="007473B8"/>
    <w:rsid w:val="0074755A"/>
    <w:rsid w:val="007475B0"/>
    <w:rsid w:val="0074768B"/>
    <w:rsid w:val="0074768F"/>
    <w:rsid w:val="00747785"/>
    <w:rsid w:val="00747E94"/>
    <w:rsid w:val="00750179"/>
    <w:rsid w:val="00750374"/>
    <w:rsid w:val="00750702"/>
    <w:rsid w:val="007507DC"/>
    <w:rsid w:val="00751212"/>
    <w:rsid w:val="007514E0"/>
    <w:rsid w:val="0075163E"/>
    <w:rsid w:val="00751642"/>
    <w:rsid w:val="00751919"/>
    <w:rsid w:val="00751D81"/>
    <w:rsid w:val="00752067"/>
    <w:rsid w:val="007520D3"/>
    <w:rsid w:val="007524B9"/>
    <w:rsid w:val="00752699"/>
    <w:rsid w:val="007528F7"/>
    <w:rsid w:val="00752977"/>
    <w:rsid w:val="0075297E"/>
    <w:rsid w:val="00752D47"/>
    <w:rsid w:val="00752FC6"/>
    <w:rsid w:val="00752FE7"/>
    <w:rsid w:val="007533AA"/>
    <w:rsid w:val="0075383E"/>
    <w:rsid w:val="007539AA"/>
    <w:rsid w:val="007539DB"/>
    <w:rsid w:val="00754032"/>
    <w:rsid w:val="007540AC"/>
    <w:rsid w:val="007540B8"/>
    <w:rsid w:val="00754C04"/>
    <w:rsid w:val="00754C83"/>
    <w:rsid w:val="00754D86"/>
    <w:rsid w:val="00755214"/>
    <w:rsid w:val="00755666"/>
    <w:rsid w:val="0075572B"/>
    <w:rsid w:val="0075619E"/>
    <w:rsid w:val="00756389"/>
    <w:rsid w:val="00756736"/>
    <w:rsid w:val="00756C8A"/>
    <w:rsid w:val="0075700E"/>
    <w:rsid w:val="0075737A"/>
    <w:rsid w:val="007575F4"/>
    <w:rsid w:val="00757A64"/>
    <w:rsid w:val="00757BC7"/>
    <w:rsid w:val="0076027F"/>
    <w:rsid w:val="00760F6F"/>
    <w:rsid w:val="00761615"/>
    <w:rsid w:val="00761A2A"/>
    <w:rsid w:val="00761E5C"/>
    <w:rsid w:val="00761F51"/>
    <w:rsid w:val="00762228"/>
    <w:rsid w:val="007625DB"/>
    <w:rsid w:val="00762697"/>
    <w:rsid w:val="00763829"/>
    <w:rsid w:val="00763936"/>
    <w:rsid w:val="007639A6"/>
    <w:rsid w:val="00763F30"/>
    <w:rsid w:val="00763FE2"/>
    <w:rsid w:val="0076402A"/>
    <w:rsid w:val="00764198"/>
    <w:rsid w:val="007649C5"/>
    <w:rsid w:val="00764A68"/>
    <w:rsid w:val="00764D36"/>
    <w:rsid w:val="00764DB3"/>
    <w:rsid w:val="00764F22"/>
    <w:rsid w:val="00765051"/>
    <w:rsid w:val="0076528A"/>
    <w:rsid w:val="00765C55"/>
    <w:rsid w:val="00765DF8"/>
    <w:rsid w:val="00766131"/>
    <w:rsid w:val="00766200"/>
    <w:rsid w:val="0076670B"/>
    <w:rsid w:val="00766749"/>
    <w:rsid w:val="007668DE"/>
    <w:rsid w:val="0076697D"/>
    <w:rsid w:val="00766D8C"/>
    <w:rsid w:val="00766E19"/>
    <w:rsid w:val="0076700F"/>
    <w:rsid w:val="0076711F"/>
    <w:rsid w:val="00767627"/>
    <w:rsid w:val="00767A9B"/>
    <w:rsid w:val="00767C1B"/>
    <w:rsid w:val="00767C26"/>
    <w:rsid w:val="00767C4C"/>
    <w:rsid w:val="00767CF8"/>
    <w:rsid w:val="00767D7F"/>
    <w:rsid w:val="00767DAF"/>
    <w:rsid w:val="00767DE0"/>
    <w:rsid w:val="00767E5D"/>
    <w:rsid w:val="00767F6C"/>
    <w:rsid w:val="00767F7C"/>
    <w:rsid w:val="00770228"/>
    <w:rsid w:val="007702B2"/>
    <w:rsid w:val="007702C3"/>
    <w:rsid w:val="00770395"/>
    <w:rsid w:val="00770449"/>
    <w:rsid w:val="0077087F"/>
    <w:rsid w:val="007709A1"/>
    <w:rsid w:val="00770AAF"/>
    <w:rsid w:val="00770B3F"/>
    <w:rsid w:val="00770F7F"/>
    <w:rsid w:val="007713F4"/>
    <w:rsid w:val="007714A3"/>
    <w:rsid w:val="007714A9"/>
    <w:rsid w:val="007715F2"/>
    <w:rsid w:val="00771B76"/>
    <w:rsid w:val="007724B7"/>
    <w:rsid w:val="0077257A"/>
    <w:rsid w:val="007727A9"/>
    <w:rsid w:val="007728D8"/>
    <w:rsid w:val="00772AF3"/>
    <w:rsid w:val="00772B9A"/>
    <w:rsid w:val="00772D65"/>
    <w:rsid w:val="00772F81"/>
    <w:rsid w:val="007730DE"/>
    <w:rsid w:val="00773299"/>
    <w:rsid w:val="007737B1"/>
    <w:rsid w:val="0077397B"/>
    <w:rsid w:val="00773BBE"/>
    <w:rsid w:val="00773F69"/>
    <w:rsid w:val="007740F4"/>
    <w:rsid w:val="0077447B"/>
    <w:rsid w:val="0077471E"/>
    <w:rsid w:val="00774CC1"/>
    <w:rsid w:val="00774D45"/>
    <w:rsid w:val="00774F81"/>
    <w:rsid w:val="00774F88"/>
    <w:rsid w:val="00774FDB"/>
    <w:rsid w:val="00775278"/>
    <w:rsid w:val="00775630"/>
    <w:rsid w:val="007756A5"/>
    <w:rsid w:val="00775770"/>
    <w:rsid w:val="00775B45"/>
    <w:rsid w:val="007762AB"/>
    <w:rsid w:val="007762F8"/>
    <w:rsid w:val="00776732"/>
    <w:rsid w:val="0077699D"/>
    <w:rsid w:val="00776B9D"/>
    <w:rsid w:val="00776D53"/>
    <w:rsid w:val="007772E1"/>
    <w:rsid w:val="0077769E"/>
    <w:rsid w:val="007778E9"/>
    <w:rsid w:val="007779EF"/>
    <w:rsid w:val="00777BA2"/>
    <w:rsid w:val="00777C45"/>
    <w:rsid w:val="00777D10"/>
    <w:rsid w:val="00777DF7"/>
    <w:rsid w:val="00777EE4"/>
    <w:rsid w:val="007800E2"/>
    <w:rsid w:val="00780355"/>
    <w:rsid w:val="007803FD"/>
    <w:rsid w:val="00780803"/>
    <w:rsid w:val="00781408"/>
    <w:rsid w:val="00781446"/>
    <w:rsid w:val="0078145D"/>
    <w:rsid w:val="007814D6"/>
    <w:rsid w:val="00781A46"/>
    <w:rsid w:val="00781C51"/>
    <w:rsid w:val="00781C55"/>
    <w:rsid w:val="00781CF8"/>
    <w:rsid w:val="00781FC0"/>
    <w:rsid w:val="007823BA"/>
    <w:rsid w:val="007827C6"/>
    <w:rsid w:val="00782A42"/>
    <w:rsid w:val="00782A86"/>
    <w:rsid w:val="00782B81"/>
    <w:rsid w:val="00782C3E"/>
    <w:rsid w:val="00782CEB"/>
    <w:rsid w:val="00783311"/>
    <w:rsid w:val="00783514"/>
    <w:rsid w:val="0078392F"/>
    <w:rsid w:val="00783AA0"/>
    <w:rsid w:val="00783C0F"/>
    <w:rsid w:val="00784060"/>
    <w:rsid w:val="00784092"/>
    <w:rsid w:val="0078425F"/>
    <w:rsid w:val="007845DB"/>
    <w:rsid w:val="00784978"/>
    <w:rsid w:val="00784DF7"/>
    <w:rsid w:val="00784F6C"/>
    <w:rsid w:val="00784F7F"/>
    <w:rsid w:val="00785339"/>
    <w:rsid w:val="007857DB"/>
    <w:rsid w:val="00785DE4"/>
    <w:rsid w:val="00786244"/>
    <w:rsid w:val="007866A0"/>
    <w:rsid w:val="00786790"/>
    <w:rsid w:val="00786BA1"/>
    <w:rsid w:val="00786F30"/>
    <w:rsid w:val="00787159"/>
    <w:rsid w:val="00787163"/>
    <w:rsid w:val="00787490"/>
    <w:rsid w:val="007878BD"/>
    <w:rsid w:val="00787C96"/>
    <w:rsid w:val="00790A75"/>
    <w:rsid w:val="00790AD6"/>
    <w:rsid w:val="00790B62"/>
    <w:rsid w:val="00791035"/>
    <w:rsid w:val="007912F0"/>
    <w:rsid w:val="0079146D"/>
    <w:rsid w:val="007916ED"/>
    <w:rsid w:val="00791B1B"/>
    <w:rsid w:val="00791C57"/>
    <w:rsid w:val="00791C60"/>
    <w:rsid w:val="007921F6"/>
    <w:rsid w:val="00792253"/>
    <w:rsid w:val="0079229E"/>
    <w:rsid w:val="00792585"/>
    <w:rsid w:val="00792AEB"/>
    <w:rsid w:val="00792C55"/>
    <w:rsid w:val="00793007"/>
    <w:rsid w:val="0079367A"/>
    <w:rsid w:val="007937F1"/>
    <w:rsid w:val="00793924"/>
    <w:rsid w:val="0079396D"/>
    <w:rsid w:val="00793A49"/>
    <w:rsid w:val="00793B5F"/>
    <w:rsid w:val="00794001"/>
    <w:rsid w:val="0079402C"/>
    <w:rsid w:val="007941F4"/>
    <w:rsid w:val="00794575"/>
    <w:rsid w:val="00794B0B"/>
    <w:rsid w:val="00794DD7"/>
    <w:rsid w:val="00795333"/>
    <w:rsid w:val="007953F7"/>
    <w:rsid w:val="00795AF8"/>
    <w:rsid w:val="00795B42"/>
    <w:rsid w:val="00795B57"/>
    <w:rsid w:val="00795EBD"/>
    <w:rsid w:val="00795F44"/>
    <w:rsid w:val="00796567"/>
    <w:rsid w:val="00796E0D"/>
    <w:rsid w:val="00796F25"/>
    <w:rsid w:val="007973B9"/>
    <w:rsid w:val="007976DA"/>
    <w:rsid w:val="00797749"/>
    <w:rsid w:val="007979ED"/>
    <w:rsid w:val="00797DD5"/>
    <w:rsid w:val="00797E44"/>
    <w:rsid w:val="00797F0D"/>
    <w:rsid w:val="007A00D5"/>
    <w:rsid w:val="007A01DC"/>
    <w:rsid w:val="007A02AF"/>
    <w:rsid w:val="007A02F1"/>
    <w:rsid w:val="007A047E"/>
    <w:rsid w:val="007A072C"/>
    <w:rsid w:val="007A0B71"/>
    <w:rsid w:val="007A0F26"/>
    <w:rsid w:val="007A175B"/>
    <w:rsid w:val="007A1779"/>
    <w:rsid w:val="007A186D"/>
    <w:rsid w:val="007A1D42"/>
    <w:rsid w:val="007A208F"/>
    <w:rsid w:val="007A20A3"/>
    <w:rsid w:val="007A23CD"/>
    <w:rsid w:val="007A2C41"/>
    <w:rsid w:val="007A2E98"/>
    <w:rsid w:val="007A2ED1"/>
    <w:rsid w:val="007A2FA9"/>
    <w:rsid w:val="007A30A2"/>
    <w:rsid w:val="007A35BC"/>
    <w:rsid w:val="007A382E"/>
    <w:rsid w:val="007A390A"/>
    <w:rsid w:val="007A3A09"/>
    <w:rsid w:val="007A3BA3"/>
    <w:rsid w:val="007A3D95"/>
    <w:rsid w:val="007A3DBC"/>
    <w:rsid w:val="007A40EA"/>
    <w:rsid w:val="007A416E"/>
    <w:rsid w:val="007A43FA"/>
    <w:rsid w:val="007A46F0"/>
    <w:rsid w:val="007A4966"/>
    <w:rsid w:val="007A4995"/>
    <w:rsid w:val="007A49E2"/>
    <w:rsid w:val="007A4D9E"/>
    <w:rsid w:val="007A5076"/>
    <w:rsid w:val="007A5158"/>
    <w:rsid w:val="007A549F"/>
    <w:rsid w:val="007A54AD"/>
    <w:rsid w:val="007A55A1"/>
    <w:rsid w:val="007A57DC"/>
    <w:rsid w:val="007A5C54"/>
    <w:rsid w:val="007A636B"/>
    <w:rsid w:val="007A6460"/>
    <w:rsid w:val="007A659C"/>
    <w:rsid w:val="007A6BE9"/>
    <w:rsid w:val="007A6BEE"/>
    <w:rsid w:val="007A6C6C"/>
    <w:rsid w:val="007A6CBD"/>
    <w:rsid w:val="007A6CC0"/>
    <w:rsid w:val="007A6E44"/>
    <w:rsid w:val="007A7358"/>
    <w:rsid w:val="007A7421"/>
    <w:rsid w:val="007A77C5"/>
    <w:rsid w:val="007A77CA"/>
    <w:rsid w:val="007A78B5"/>
    <w:rsid w:val="007A7B8A"/>
    <w:rsid w:val="007A7DBE"/>
    <w:rsid w:val="007A7DC9"/>
    <w:rsid w:val="007A7E66"/>
    <w:rsid w:val="007A7FEC"/>
    <w:rsid w:val="007B00FC"/>
    <w:rsid w:val="007B083D"/>
    <w:rsid w:val="007B09BF"/>
    <w:rsid w:val="007B1499"/>
    <w:rsid w:val="007B14EF"/>
    <w:rsid w:val="007B1760"/>
    <w:rsid w:val="007B1788"/>
    <w:rsid w:val="007B1791"/>
    <w:rsid w:val="007B1BBF"/>
    <w:rsid w:val="007B1E64"/>
    <w:rsid w:val="007B1F65"/>
    <w:rsid w:val="007B2383"/>
    <w:rsid w:val="007B24FC"/>
    <w:rsid w:val="007B26B3"/>
    <w:rsid w:val="007B2730"/>
    <w:rsid w:val="007B28E2"/>
    <w:rsid w:val="007B2960"/>
    <w:rsid w:val="007B29E2"/>
    <w:rsid w:val="007B3115"/>
    <w:rsid w:val="007B31D9"/>
    <w:rsid w:val="007B3404"/>
    <w:rsid w:val="007B355D"/>
    <w:rsid w:val="007B3679"/>
    <w:rsid w:val="007B3A32"/>
    <w:rsid w:val="007B3F3F"/>
    <w:rsid w:val="007B43A3"/>
    <w:rsid w:val="007B43FA"/>
    <w:rsid w:val="007B4646"/>
    <w:rsid w:val="007B4782"/>
    <w:rsid w:val="007B4F7C"/>
    <w:rsid w:val="007B5023"/>
    <w:rsid w:val="007B517A"/>
    <w:rsid w:val="007B52F0"/>
    <w:rsid w:val="007B55FA"/>
    <w:rsid w:val="007B58B7"/>
    <w:rsid w:val="007B590C"/>
    <w:rsid w:val="007B598E"/>
    <w:rsid w:val="007B5AA5"/>
    <w:rsid w:val="007B5AE3"/>
    <w:rsid w:val="007B5B61"/>
    <w:rsid w:val="007B5E2B"/>
    <w:rsid w:val="007B5F48"/>
    <w:rsid w:val="007B6429"/>
    <w:rsid w:val="007B6574"/>
    <w:rsid w:val="007B67CB"/>
    <w:rsid w:val="007B68DC"/>
    <w:rsid w:val="007B766F"/>
    <w:rsid w:val="007B7756"/>
    <w:rsid w:val="007B776C"/>
    <w:rsid w:val="007B7817"/>
    <w:rsid w:val="007B7980"/>
    <w:rsid w:val="007B7F8A"/>
    <w:rsid w:val="007C0149"/>
    <w:rsid w:val="007C0243"/>
    <w:rsid w:val="007C0795"/>
    <w:rsid w:val="007C07A2"/>
    <w:rsid w:val="007C08C7"/>
    <w:rsid w:val="007C0ACA"/>
    <w:rsid w:val="007C0C87"/>
    <w:rsid w:val="007C0DEF"/>
    <w:rsid w:val="007C1006"/>
    <w:rsid w:val="007C11A5"/>
    <w:rsid w:val="007C11FB"/>
    <w:rsid w:val="007C1A71"/>
    <w:rsid w:val="007C1A81"/>
    <w:rsid w:val="007C1AF4"/>
    <w:rsid w:val="007C1DA0"/>
    <w:rsid w:val="007C1E1F"/>
    <w:rsid w:val="007C2395"/>
    <w:rsid w:val="007C23CD"/>
    <w:rsid w:val="007C23D7"/>
    <w:rsid w:val="007C2948"/>
    <w:rsid w:val="007C2B30"/>
    <w:rsid w:val="007C2CFE"/>
    <w:rsid w:val="007C3ADA"/>
    <w:rsid w:val="007C3F1C"/>
    <w:rsid w:val="007C40DE"/>
    <w:rsid w:val="007C41E9"/>
    <w:rsid w:val="007C42CF"/>
    <w:rsid w:val="007C47D3"/>
    <w:rsid w:val="007C49A5"/>
    <w:rsid w:val="007C4A00"/>
    <w:rsid w:val="007C4D0F"/>
    <w:rsid w:val="007C4E6C"/>
    <w:rsid w:val="007C4EA4"/>
    <w:rsid w:val="007C53DF"/>
    <w:rsid w:val="007C5408"/>
    <w:rsid w:val="007C56D0"/>
    <w:rsid w:val="007C5A46"/>
    <w:rsid w:val="007C5B88"/>
    <w:rsid w:val="007C5D5A"/>
    <w:rsid w:val="007C5EA0"/>
    <w:rsid w:val="007C5FBB"/>
    <w:rsid w:val="007C607F"/>
    <w:rsid w:val="007C61F7"/>
    <w:rsid w:val="007C64F3"/>
    <w:rsid w:val="007C65B8"/>
    <w:rsid w:val="007C65C1"/>
    <w:rsid w:val="007C663B"/>
    <w:rsid w:val="007C6756"/>
    <w:rsid w:val="007C67F5"/>
    <w:rsid w:val="007C6816"/>
    <w:rsid w:val="007C685A"/>
    <w:rsid w:val="007C68E3"/>
    <w:rsid w:val="007C6B5C"/>
    <w:rsid w:val="007C6BBB"/>
    <w:rsid w:val="007C6D4B"/>
    <w:rsid w:val="007C6DD4"/>
    <w:rsid w:val="007C6E58"/>
    <w:rsid w:val="007C716B"/>
    <w:rsid w:val="007C79DD"/>
    <w:rsid w:val="007C7A9E"/>
    <w:rsid w:val="007C7AC0"/>
    <w:rsid w:val="007C7E94"/>
    <w:rsid w:val="007D05FF"/>
    <w:rsid w:val="007D0632"/>
    <w:rsid w:val="007D07F8"/>
    <w:rsid w:val="007D08EA"/>
    <w:rsid w:val="007D0A71"/>
    <w:rsid w:val="007D0F69"/>
    <w:rsid w:val="007D101B"/>
    <w:rsid w:val="007D111F"/>
    <w:rsid w:val="007D1991"/>
    <w:rsid w:val="007D19B6"/>
    <w:rsid w:val="007D19BC"/>
    <w:rsid w:val="007D1A56"/>
    <w:rsid w:val="007D1A97"/>
    <w:rsid w:val="007D1CFE"/>
    <w:rsid w:val="007D1F7A"/>
    <w:rsid w:val="007D2297"/>
    <w:rsid w:val="007D2813"/>
    <w:rsid w:val="007D2AA2"/>
    <w:rsid w:val="007D2CD6"/>
    <w:rsid w:val="007D2D00"/>
    <w:rsid w:val="007D2FC8"/>
    <w:rsid w:val="007D3063"/>
    <w:rsid w:val="007D35D2"/>
    <w:rsid w:val="007D3790"/>
    <w:rsid w:val="007D3AC7"/>
    <w:rsid w:val="007D3CEB"/>
    <w:rsid w:val="007D41BE"/>
    <w:rsid w:val="007D4313"/>
    <w:rsid w:val="007D459C"/>
    <w:rsid w:val="007D4B72"/>
    <w:rsid w:val="007D4C3D"/>
    <w:rsid w:val="007D4E64"/>
    <w:rsid w:val="007D5485"/>
    <w:rsid w:val="007D5642"/>
    <w:rsid w:val="007D5931"/>
    <w:rsid w:val="007D5B75"/>
    <w:rsid w:val="007D5C33"/>
    <w:rsid w:val="007D5D98"/>
    <w:rsid w:val="007D6093"/>
    <w:rsid w:val="007D647F"/>
    <w:rsid w:val="007D6823"/>
    <w:rsid w:val="007D682C"/>
    <w:rsid w:val="007D6D95"/>
    <w:rsid w:val="007D7364"/>
    <w:rsid w:val="007D74DF"/>
    <w:rsid w:val="007D76FB"/>
    <w:rsid w:val="007D7793"/>
    <w:rsid w:val="007D7985"/>
    <w:rsid w:val="007D79C4"/>
    <w:rsid w:val="007D7BC2"/>
    <w:rsid w:val="007D7E6B"/>
    <w:rsid w:val="007D7ECE"/>
    <w:rsid w:val="007E0251"/>
    <w:rsid w:val="007E03A1"/>
    <w:rsid w:val="007E03ED"/>
    <w:rsid w:val="007E056B"/>
    <w:rsid w:val="007E06C0"/>
    <w:rsid w:val="007E08EC"/>
    <w:rsid w:val="007E0B41"/>
    <w:rsid w:val="007E0E14"/>
    <w:rsid w:val="007E0E3B"/>
    <w:rsid w:val="007E1521"/>
    <w:rsid w:val="007E16A5"/>
    <w:rsid w:val="007E16DC"/>
    <w:rsid w:val="007E1DF6"/>
    <w:rsid w:val="007E1F36"/>
    <w:rsid w:val="007E2299"/>
    <w:rsid w:val="007E2449"/>
    <w:rsid w:val="007E2526"/>
    <w:rsid w:val="007E2B49"/>
    <w:rsid w:val="007E32B9"/>
    <w:rsid w:val="007E33A5"/>
    <w:rsid w:val="007E3493"/>
    <w:rsid w:val="007E355D"/>
    <w:rsid w:val="007E36E1"/>
    <w:rsid w:val="007E37C3"/>
    <w:rsid w:val="007E38BE"/>
    <w:rsid w:val="007E38F6"/>
    <w:rsid w:val="007E39C7"/>
    <w:rsid w:val="007E3ABB"/>
    <w:rsid w:val="007E3C32"/>
    <w:rsid w:val="007E3F23"/>
    <w:rsid w:val="007E40FD"/>
    <w:rsid w:val="007E4184"/>
    <w:rsid w:val="007E4944"/>
    <w:rsid w:val="007E4CA4"/>
    <w:rsid w:val="007E4E1E"/>
    <w:rsid w:val="007E5022"/>
    <w:rsid w:val="007E5065"/>
    <w:rsid w:val="007E50B7"/>
    <w:rsid w:val="007E5255"/>
    <w:rsid w:val="007E529F"/>
    <w:rsid w:val="007E5319"/>
    <w:rsid w:val="007E561A"/>
    <w:rsid w:val="007E562A"/>
    <w:rsid w:val="007E59AD"/>
    <w:rsid w:val="007E59C6"/>
    <w:rsid w:val="007E5E4D"/>
    <w:rsid w:val="007E60A1"/>
    <w:rsid w:val="007E61FD"/>
    <w:rsid w:val="007E6367"/>
    <w:rsid w:val="007E6418"/>
    <w:rsid w:val="007E6419"/>
    <w:rsid w:val="007E6451"/>
    <w:rsid w:val="007E6537"/>
    <w:rsid w:val="007E67F9"/>
    <w:rsid w:val="007E68A2"/>
    <w:rsid w:val="007E6C76"/>
    <w:rsid w:val="007E6D57"/>
    <w:rsid w:val="007E6D92"/>
    <w:rsid w:val="007E6ED3"/>
    <w:rsid w:val="007E7459"/>
    <w:rsid w:val="007E75B7"/>
    <w:rsid w:val="007E7683"/>
    <w:rsid w:val="007E7A8D"/>
    <w:rsid w:val="007F014D"/>
    <w:rsid w:val="007F0295"/>
    <w:rsid w:val="007F02AD"/>
    <w:rsid w:val="007F031A"/>
    <w:rsid w:val="007F03A8"/>
    <w:rsid w:val="007F0515"/>
    <w:rsid w:val="007F0F77"/>
    <w:rsid w:val="007F1154"/>
    <w:rsid w:val="007F13EC"/>
    <w:rsid w:val="007F1432"/>
    <w:rsid w:val="007F17C9"/>
    <w:rsid w:val="007F1A9A"/>
    <w:rsid w:val="007F1F0E"/>
    <w:rsid w:val="007F1F81"/>
    <w:rsid w:val="007F205A"/>
    <w:rsid w:val="007F23D0"/>
    <w:rsid w:val="007F25CF"/>
    <w:rsid w:val="007F263E"/>
    <w:rsid w:val="007F2757"/>
    <w:rsid w:val="007F309A"/>
    <w:rsid w:val="007F3380"/>
    <w:rsid w:val="007F34CE"/>
    <w:rsid w:val="007F3E45"/>
    <w:rsid w:val="007F42D1"/>
    <w:rsid w:val="007F45A6"/>
    <w:rsid w:val="007F4666"/>
    <w:rsid w:val="007F4676"/>
    <w:rsid w:val="007F4699"/>
    <w:rsid w:val="007F4902"/>
    <w:rsid w:val="007F49FA"/>
    <w:rsid w:val="007F4A8A"/>
    <w:rsid w:val="007F4E20"/>
    <w:rsid w:val="007F52FC"/>
    <w:rsid w:val="007F54C4"/>
    <w:rsid w:val="007F5A72"/>
    <w:rsid w:val="007F5C78"/>
    <w:rsid w:val="007F5D67"/>
    <w:rsid w:val="007F5D82"/>
    <w:rsid w:val="007F63A0"/>
    <w:rsid w:val="007F63D4"/>
    <w:rsid w:val="007F64FF"/>
    <w:rsid w:val="007F65DF"/>
    <w:rsid w:val="007F6644"/>
    <w:rsid w:val="007F66B2"/>
    <w:rsid w:val="007F6C13"/>
    <w:rsid w:val="007F6E9A"/>
    <w:rsid w:val="007F707A"/>
    <w:rsid w:val="007F7141"/>
    <w:rsid w:val="007F721E"/>
    <w:rsid w:val="007F7291"/>
    <w:rsid w:val="007F72C5"/>
    <w:rsid w:val="007F776A"/>
    <w:rsid w:val="007F78F5"/>
    <w:rsid w:val="007F792E"/>
    <w:rsid w:val="007F7C93"/>
    <w:rsid w:val="0080004D"/>
    <w:rsid w:val="0080005C"/>
    <w:rsid w:val="0080032C"/>
    <w:rsid w:val="008006BF"/>
    <w:rsid w:val="008006C5"/>
    <w:rsid w:val="008006CB"/>
    <w:rsid w:val="00800CCD"/>
    <w:rsid w:val="008010F2"/>
    <w:rsid w:val="0080156A"/>
    <w:rsid w:val="008015AE"/>
    <w:rsid w:val="00801655"/>
    <w:rsid w:val="008016C9"/>
    <w:rsid w:val="00801836"/>
    <w:rsid w:val="00801ADD"/>
    <w:rsid w:val="00801DAE"/>
    <w:rsid w:val="00801EE6"/>
    <w:rsid w:val="00801FEB"/>
    <w:rsid w:val="0080212F"/>
    <w:rsid w:val="008021FF"/>
    <w:rsid w:val="00802507"/>
    <w:rsid w:val="008025B4"/>
    <w:rsid w:val="008025B7"/>
    <w:rsid w:val="008026AB"/>
    <w:rsid w:val="00802963"/>
    <w:rsid w:val="008030ED"/>
    <w:rsid w:val="00803284"/>
    <w:rsid w:val="008032CA"/>
    <w:rsid w:val="00803DCC"/>
    <w:rsid w:val="00804217"/>
    <w:rsid w:val="00804271"/>
    <w:rsid w:val="008043C6"/>
    <w:rsid w:val="0080440F"/>
    <w:rsid w:val="008044D4"/>
    <w:rsid w:val="00804A3B"/>
    <w:rsid w:val="00804B3B"/>
    <w:rsid w:val="00804C08"/>
    <w:rsid w:val="00804E35"/>
    <w:rsid w:val="008054D3"/>
    <w:rsid w:val="008056FE"/>
    <w:rsid w:val="008057D7"/>
    <w:rsid w:val="00805B38"/>
    <w:rsid w:val="00805C64"/>
    <w:rsid w:val="00805DEB"/>
    <w:rsid w:val="00805F1A"/>
    <w:rsid w:val="008060C4"/>
    <w:rsid w:val="00806177"/>
    <w:rsid w:val="00806253"/>
    <w:rsid w:val="008062D9"/>
    <w:rsid w:val="0080654F"/>
    <w:rsid w:val="00806572"/>
    <w:rsid w:val="008066BB"/>
    <w:rsid w:val="00806881"/>
    <w:rsid w:val="00806BDF"/>
    <w:rsid w:val="00806C77"/>
    <w:rsid w:val="00806E0B"/>
    <w:rsid w:val="008073D2"/>
    <w:rsid w:val="0080741E"/>
    <w:rsid w:val="00807740"/>
    <w:rsid w:val="008078A0"/>
    <w:rsid w:val="00807B7A"/>
    <w:rsid w:val="00807F29"/>
    <w:rsid w:val="00810261"/>
    <w:rsid w:val="008104A9"/>
    <w:rsid w:val="00810773"/>
    <w:rsid w:val="00810952"/>
    <w:rsid w:val="008109D9"/>
    <w:rsid w:val="00810A45"/>
    <w:rsid w:val="00810AB4"/>
    <w:rsid w:val="00810CD4"/>
    <w:rsid w:val="0081125E"/>
    <w:rsid w:val="00811C67"/>
    <w:rsid w:val="008122B7"/>
    <w:rsid w:val="0081254B"/>
    <w:rsid w:val="0081266E"/>
    <w:rsid w:val="00812DD5"/>
    <w:rsid w:val="0081308D"/>
    <w:rsid w:val="0081331A"/>
    <w:rsid w:val="00813347"/>
    <w:rsid w:val="008133CF"/>
    <w:rsid w:val="00813505"/>
    <w:rsid w:val="008135E9"/>
    <w:rsid w:val="00813687"/>
    <w:rsid w:val="00813796"/>
    <w:rsid w:val="00813C52"/>
    <w:rsid w:val="00813DAF"/>
    <w:rsid w:val="0081475E"/>
    <w:rsid w:val="00814A60"/>
    <w:rsid w:val="00814C44"/>
    <w:rsid w:val="0081513E"/>
    <w:rsid w:val="00815E3C"/>
    <w:rsid w:val="008164A5"/>
    <w:rsid w:val="00816790"/>
    <w:rsid w:val="00816792"/>
    <w:rsid w:val="00816813"/>
    <w:rsid w:val="00816A45"/>
    <w:rsid w:val="00816FDA"/>
    <w:rsid w:val="00817295"/>
    <w:rsid w:val="008172CD"/>
    <w:rsid w:val="008173DD"/>
    <w:rsid w:val="00817487"/>
    <w:rsid w:val="0081787A"/>
    <w:rsid w:val="00817B56"/>
    <w:rsid w:val="00817C2E"/>
    <w:rsid w:val="00817F8B"/>
    <w:rsid w:val="0082021E"/>
    <w:rsid w:val="0082075C"/>
    <w:rsid w:val="00820768"/>
    <w:rsid w:val="00820F18"/>
    <w:rsid w:val="00821295"/>
    <w:rsid w:val="0082138A"/>
    <w:rsid w:val="0082193D"/>
    <w:rsid w:val="00821A88"/>
    <w:rsid w:val="00821A8E"/>
    <w:rsid w:val="00821B30"/>
    <w:rsid w:val="00821D86"/>
    <w:rsid w:val="00821E16"/>
    <w:rsid w:val="008220FF"/>
    <w:rsid w:val="00822128"/>
    <w:rsid w:val="00822E10"/>
    <w:rsid w:val="0082322E"/>
    <w:rsid w:val="00823361"/>
    <w:rsid w:val="0082495D"/>
    <w:rsid w:val="00824E2F"/>
    <w:rsid w:val="00824FEA"/>
    <w:rsid w:val="00824FED"/>
    <w:rsid w:val="008253F7"/>
    <w:rsid w:val="008258DC"/>
    <w:rsid w:val="00826160"/>
    <w:rsid w:val="00826379"/>
    <w:rsid w:val="00826438"/>
    <w:rsid w:val="008266FC"/>
    <w:rsid w:val="00826725"/>
    <w:rsid w:val="00826826"/>
    <w:rsid w:val="008269D8"/>
    <w:rsid w:val="00826F66"/>
    <w:rsid w:val="00827257"/>
    <w:rsid w:val="008278E4"/>
    <w:rsid w:val="00827938"/>
    <w:rsid w:val="008279E0"/>
    <w:rsid w:val="00827DB1"/>
    <w:rsid w:val="00827ED2"/>
    <w:rsid w:val="00827FAF"/>
    <w:rsid w:val="00830142"/>
    <w:rsid w:val="008301C3"/>
    <w:rsid w:val="00830434"/>
    <w:rsid w:val="008304AB"/>
    <w:rsid w:val="008306C8"/>
    <w:rsid w:val="00830B61"/>
    <w:rsid w:val="00831064"/>
    <w:rsid w:val="008310BC"/>
    <w:rsid w:val="008315DD"/>
    <w:rsid w:val="00831AC3"/>
    <w:rsid w:val="00831C14"/>
    <w:rsid w:val="00831D4B"/>
    <w:rsid w:val="008320DF"/>
    <w:rsid w:val="0083210E"/>
    <w:rsid w:val="008324EA"/>
    <w:rsid w:val="00832674"/>
    <w:rsid w:val="00834029"/>
    <w:rsid w:val="008342B2"/>
    <w:rsid w:val="008349AE"/>
    <w:rsid w:val="008349CF"/>
    <w:rsid w:val="008349FE"/>
    <w:rsid w:val="00834A8C"/>
    <w:rsid w:val="00834B2E"/>
    <w:rsid w:val="00834F80"/>
    <w:rsid w:val="00835579"/>
    <w:rsid w:val="00835B7C"/>
    <w:rsid w:val="00835BB8"/>
    <w:rsid w:val="00835D0D"/>
    <w:rsid w:val="00835FDA"/>
    <w:rsid w:val="00836701"/>
    <w:rsid w:val="00836A6A"/>
    <w:rsid w:val="00836B5C"/>
    <w:rsid w:val="00836BCD"/>
    <w:rsid w:val="00836D4B"/>
    <w:rsid w:val="00836FCE"/>
    <w:rsid w:val="008371F3"/>
    <w:rsid w:val="008375FF"/>
    <w:rsid w:val="008377BD"/>
    <w:rsid w:val="00837B44"/>
    <w:rsid w:val="00837C97"/>
    <w:rsid w:val="00837CA8"/>
    <w:rsid w:val="00837EB1"/>
    <w:rsid w:val="00837FE5"/>
    <w:rsid w:val="00840137"/>
    <w:rsid w:val="0084051C"/>
    <w:rsid w:val="00840540"/>
    <w:rsid w:val="008407DA"/>
    <w:rsid w:val="008408FF"/>
    <w:rsid w:val="00841041"/>
    <w:rsid w:val="008412EB"/>
    <w:rsid w:val="00841371"/>
    <w:rsid w:val="0084143F"/>
    <w:rsid w:val="0084151A"/>
    <w:rsid w:val="00841B4E"/>
    <w:rsid w:val="00841D7D"/>
    <w:rsid w:val="00842306"/>
    <w:rsid w:val="00842A6B"/>
    <w:rsid w:val="00842C2C"/>
    <w:rsid w:val="00842E5F"/>
    <w:rsid w:val="00842F8D"/>
    <w:rsid w:val="008432DD"/>
    <w:rsid w:val="00843347"/>
    <w:rsid w:val="00843455"/>
    <w:rsid w:val="008437DA"/>
    <w:rsid w:val="008439B4"/>
    <w:rsid w:val="00843B82"/>
    <w:rsid w:val="00843CF4"/>
    <w:rsid w:val="00843D0E"/>
    <w:rsid w:val="00843F59"/>
    <w:rsid w:val="00844286"/>
    <w:rsid w:val="00844348"/>
    <w:rsid w:val="00844CEB"/>
    <w:rsid w:val="00845180"/>
    <w:rsid w:val="00845650"/>
    <w:rsid w:val="00845684"/>
    <w:rsid w:val="0084596F"/>
    <w:rsid w:val="00845ABE"/>
    <w:rsid w:val="00845B04"/>
    <w:rsid w:val="00845C96"/>
    <w:rsid w:val="00845D0D"/>
    <w:rsid w:val="00845DDF"/>
    <w:rsid w:val="0084639D"/>
    <w:rsid w:val="008463E1"/>
    <w:rsid w:val="00846484"/>
    <w:rsid w:val="0084676A"/>
    <w:rsid w:val="00846EC9"/>
    <w:rsid w:val="00847207"/>
    <w:rsid w:val="00847208"/>
    <w:rsid w:val="00847666"/>
    <w:rsid w:val="00847863"/>
    <w:rsid w:val="008478DF"/>
    <w:rsid w:val="008479F3"/>
    <w:rsid w:val="00847C3E"/>
    <w:rsid w:val="00847C44"/>
    <w:rsid w:val="00847FAB"/>
    <w:rsid w:val="008500E5"/>
    <w:rsid w:val="0085099D"/>
    <w:rsid w:val="00850D24"/>
    <w:rsid w:val="00850FAF"/>
    <w:rsid w:val="0085110F"/>
    <w:rsid w:val="00851513"/>
    <w:rsid w:val="008515C6"/>
    <w:rsid w:val="008515EF"/>
    <w:rsid w:val="00851C5D"/>
    <w:rsid w:val="00851DFB"/>
    <w:rsid w:val="00851E97"/>
    <w:rsid w:val="00851F3F"/>
    <w:rsid w:val="008521D8"/>
    <w:rsid w:val="00852283"/>
    <w:rsid w:val="00852445"/>
    <w:rsid w:val="00852862"/>
    <w:rsid w:val="00852E5C"/>
    <w:rsid w:val="00852E70"/>
    <w:rsid w:val="00852FBB"/>
    <w:rsid w:val="00853029"/>
    <w:rsid w:val="00853089"/>
    <w:rsid w:val="00853437"/>
    <w:rsid w:val="00853C11"/>
    <w:rsid w:val="008540A9"/>
    <w:rsid w:val="008540E9"/>
    <w:rsid w:val="008542E1"/>
    <w:rsid w:val="00854423"/>
    <w:rsid w:val="0085450D"/>
    <w:rsid w:val="008545DC"/>
    <w:rsid w:val="0085495C"/>
    <w:rsid w:val="00854A67"/>
    <w:rsid w:val="00854DB4"/>
    <w:rsid w:val="00854E6F"/>
    <w:rsid w:val="0085501B"/>
    <w:rsid w:val="00855058"/>
    <w:rsid w:val="008550B8"/>
    <w:rsid w:val="0085520F"/>
    <w:rsid w:val="008555CF"/>
    <w:rsid w:val="00855C8E"/>
    <w:rsid w:val="00855F91"/>
    <w:rsid w:val="008562D9"/>
    <w:rsid w:val="0085632E"/>
    <w:rsid w:val="008569B8"/>
    <w:rsid w:val="00856E11"/>
    <w:rsid w:val="00856EDC"/>
    <w:rsid w:val="008571A8"/>
    <w:rsid w:val="008577FB"/>
    <w:rsid w:val="0085785D"/>
    <w:rsid w:val="008579EF"/>
    <w:rsid w:val="00857C5D"/>
    <w:rsid w:val="00857CB5"/>
    <w:rsid w:val="00857D11"/>
    <w:rsid w:val="00857F74"/>
    <w:rsid w:val="0086015B"/>
    <w:rsid w:val="00860394"/>
    <w:rsid w:val="00860759"/>
    <w:rsid w:val="00860828"/>
    <w:rsid w:val="008608EE"/>
    <w:rsid w:val="00860A43"/>
    <w:rsid w:val="00860CBF"/>
    <w:rsid w:val="008612D6"/>
    <w:rsid w:val="008615D5"/>
    <w:rsid w:val="008615EA"/>
    <w:rsid w:val="008616B8"/>
    <w:rsid w:val="00861CCE"/>
    <w:rsid w:val="00861DA8"/>
    <w:rsid w:val="00861E1C"/>
    <w:rsid w:val="00862007"/>
    <w:rsid w:val="00862361"/>
    <w:rsid w:val="00862364"/>
    <w:rsid w:val="008623B5"/>
    <w:rsid w:val="00862551"/>
    <w:rsid w:val="00862570"/>
    <w:rsid w:val="0086263A"/>
    <w:rsid w:val="00862B56"/>
    <w:rsid w:val="00862BA6"/>
    <w:rsid w:val="00862BC4"/>
    <w:rsid w:val="00862F46"/>
    <w:rsid w:val="0086304F"/>
    <w:rsid w:val="008631B2"/>
    <w:rsid w:val="008637C9"/>
    <w:rsid w:val="00863906"/>
    <w:rsid w:val="00863BE0"/>
    <w:rsid w:val="00863C8F"/>
    <w:rsid w:val="00864103"/>
    <w:rsid w:val="00864281"/>
    <w:rsid w:val="00864A55"/>
    <w:rsid w:val="00864A9C"/>
    <w:rsid w:val="00864B74"/>
    <w:rsid w:val="00864D3F"/>
    <w:rsid w:val="008654E8"/>
    <w:rsid w:val="00865772"/>
    <w:rsid w:val="00865AA6"/>
    <w:rsid w:val="00865F2D"/>
    <w:rsid w:val="00865F41"/>
    <w:rsid w:val="00866053"/>
    <w:rsid w:val="008665F7"/>
    <w:rsid w:val="008666E3"/>
    <w:rsid w:val="00866929"/>
    <w:rsid w:val="00866E68"/>
    <w:rsid w:val="00866F36"/>
    <w:rsid w:val="00867394"/>
    <w:rsid w:val="0086748E"/>
    <w:rsid w:val="00870163"/>
    <w:rsid w:val="00870332"/>
    <w:rsid w:val="00870ABA"/>
    <w:rsid w:val="00870D95"/>
    <w:rsid w:val="00870E5C"/>
    <w:rsid w:val="008710B4"/>
    <w:rsid w:val="008710E1"/>
    <w:rsid w:val="0087144F"/>
    <w:rsid w:val="008716E2"/>
    <w:rsid w:val="008716E5"/>
    <w:rsid w:val="00871B10"/>
    <w:rsid w:val="00871B98"/>
    <w:rsid w:val="00871BAC"/>
    <w:rsid w:val="00871EE9"/>
    <w:rsid w:val="00872006"/>
    <w:rsid w:val="008720A2"/>
    <w:rsid w:val="0087227D"/>
    <w:rsid w:val="00872631"/>
    <w:rsid w:val="008732FF"/>
    <w:rsid w:val="00873A22"/>
    <w:rsid w:val="00873DC5"/>
    <w:rsid w:val="00873E01"/>
    <w:rsid w:val="00873FE0"/>
    <w:rsid w:val="00874946"/>
    <w:rsid w:val="00874B1C"/>
    <w:rsid w:val="00874D62"/>
    <w:rsid w:val="00874E62"/>
    <w:rsid w:val="00874F28"/>
    <w:rsid w:val="0087501E"/>
    <w:rsid w:val="0087509C"/>
    <w:rsid w:val="00875324"/>
    <w:rsid w:val="00875603"/>
    <w:rsid w:val="0087586C"/>
    <w:rsid w:val="008758FA"/>
    <w:rsid w:val="00875952"/>
    <w:rsid w:val="00875A4E"/>
    <w:rsid w:val="00875CA4"/>
    <w:rsid w:val="00875F83"/>
    <w:rsid w:val="008765B3"/>
    <w:rsid w:val="00876884"/>
    <w:rsid w:val="00876926"/>
    <w:rsid w:val="008769CF"/>
    <w:rsid w:val="00876A53"/>
    <w:rsid w:val="008773F7"/>
    <w:rsid w:val="008776E3"/>
    <w:rsid w:val="0087790D"/>
    <w:rsid w:val="00877FCE"/>
    <w:rsid w:val="0088001E"/>
    <w:rsid w:val="00880092"/>
    <w:rsid w:val="00880361"/>
    <w:rsid w:val="00880591"/>
    <w:rsid w:val="00880702"/>
    <w:rsid w:val="00880776"/>
    <w:rsid w:val="00880AC3"/>
    <w:rsid w:val="00880AF3"/>
    <w:rsid w:val="00880C84"/>
    <w:rsid w:val="00880D12"/>
    <w:rsid w:val="00880DA4"/>
    <w:rsid w:val="00880DF7"/>
    <w:rsid w:val="0088117C"/>
    <w:rsid w:val="0088118F"/>
    <w:rsid w:val="00881253"/>
    <w:rsid w:val="0088133B"/>
    <w:rsid w:val="00881362"/>
    <w:rsid w:val="008816E2"/>
    <w:rsid w:val="00881CA9"/>
    <w:rsid w:val="00881CBE"/>
    <w:rsid w:val="00881DCD"/>
    <w:rsid w:val="00881F95"/>
    <w:rsid w:val="00882758"/>
    <w:rsid w:val="00882E27"/>
    <w:rsid w:val="00883016"/>
    <w:rsid w:val="00883506"/>
    <w:rsid w:val="00883628"/>
    <w:rsid w:val="00883666"/>
    <w:rsid w:val="00883B4E"/>
    <w:rsid w:val="00884082"/>
    <w:rsid w:val="00884334"/>
    <w:rsid w:val="0088433A"/>
    <w:rsid w:val="00884796"/>
    <w:rsid w:val="00884853"/>
    <w:rsid w:val="00884F4F"/>
    <w:rsid w:val="00884FF4"/>
    <w:rsid w:val="0088528C"/>
    <w:rsid w:val="00885544"/>
    <w:rsid w:val="00885930"/>
    <w:rsid w:val="00885E83"/>
    <w:rsid w:val="00885FFD"/>
    <w:rsid w:val="008861FD"/>
    <w:rsid w:val="0088634E"/>
    <w:rsid w:val="0088640C"/>
    <w:rsid w:val="00886530"/>
    <w:rsid w:val="0088679E"/>
    <w:rsid w:val="00886827"/>
    <w:rsid w:val="00886C93"/>
    <w:rsid w:val="00886F50"/>
    <w:rsid w:val="00887120"/>
    <w:rsid w:val="008872CB"/>
    <w:rsid w:val="008874BB"/>
    <w:rsid w:val="00887548"/>
    <w:rsid w:val="00887673"/>
    <w:rsid w:val="0088781E"/>
    <w:rsid w:val="008878DA"/>
    <w:rsid w:val="00887ADB"/>
    <w:rsid w:val="00887AEB"/>
    <w:rsid w:val="00887B19"/>
    <w:rsid w:val="00887F2F"/>
    <w:rsid w:val="0089002F"/>
    <w:rsid w:val="00890425"/>
    <w:rsid w:val="008906AC"/>
    <w:rsid w:val="0089074B"/>
    <w:rsid w:val="0089090F"/>
    <w:rsid w:val="00890CAF"/>
    <w:rsid w:val="00890D3F"/>
    <w:rsid w:val="008913B0"/>
    <w:rsid w:val="00891678"/>
    <w:rsid w:val="00892217"/>
    <w:rsid w:val="00892703"/>
    <w:rsid w:val="0089270C"/>
    <w:rsid w:val="00892A54"/>
    <w:rsid w:val="008931C6"/>
    <w:rsid w:val="008931E1"/>
    <w:rsid w:val="0089327A"/>
    <w:rsid w:val="00893493"/>
    <w:rsid w:val="00893667"/>
    <w:rsid w:val="008938A0"/>
    <w:rsid w:val="00893AB8"/>
    <w:rsid w:val="00893C4A"/>
    <w:rsid w:val="00893CD8"/>
    <w:rsid w:val="00893E28"/>
    <w:rsid w:val="0089458D"/>
    <w:rsid w:val="00894777"/>
    <w:rsid w:val="00894B67"/>
    <w:rsid w:val="00894DA9"/>
    <w:rsid w:val="008953EE"/>
    <w:rsid w:val="00895804"/>
    <w:rsid w:val="00895A38"/>
    <w:rsid w:val="00895BC5"/>
    <w:rsid w:val="00895D1F"/>
    <w:rsid w:val="0089681E"/>
    <w:rsid w:val="00896A6E"/>
    <w:rsid w:val="00896BF3"/>
    <w:rsid w:val="00896CD9"/>
    <w:rsid w:val="00897034"/>
    <w:rsid w:val="008972F2"/>
    <w:rsid w:val="00897318"/>
    <w:rsid w:val="008A0254"/>
    <w:rsid w:val="008A04C8"/>
    <w:rsid w:val="008A066C"/>
    <w:rsid w:val="008A06B9"/>
    <w:rsid w:val="008A0A2D"/>
    <w:rsid w:val="008A0BD2"/>
    <w:rsid w:val="008A16D1"/>
    <w:rsid w:val="008A17EC"/>
    <w:rsid w:val="008A185F"/>
    <w:rsid w:val="008A1B06"/>
    <w:rsid w:val="008A1BB3"/>
    <w:rsid w:val="008A1D6C"/>
    <w:rsid w:val="008A26E9"/>
    <w:rsid w:val="008A2993"/>
    <w:rsid w:val="008A2A89"/>
    <w:rsid w:val="008A2ACA"/>
    <w:rsid w:val="008A2BC9"/>
    <w:rsid w:val="008A2D05"/>
    <w:rsid w:val="008A3161"/>
    <w:rsid w:val="008A35C5"/>
    <w:rsid w:val="008A38E2"/>
    <w:rsid w:val="008A39BD"/>
    <w:rsid w:val="008A3D00"/>
    <w:rsid w:val="008A3E3A"/>
    <w:rsid w:val="008A4066"/>
    <w:rsid w:val="008A496F"/>
    <w:rsid w:val="008A498F"/>
    <w:rsid w:val="008A4A1A"/>
    <w:rsid w:val="008A4AB7"/>
    <w:rsid w:val="008A4B09"/>
    <w:rsid w:val="008A51CD"/>
    <w:rsid w:val="008A5220"/>
    <w:rsid w:val="008A55A9"/>
    <w:rsid w:val="008A5733"/>
    <w:rsid w:val="008A5BD1"/>
    <w:rsid w:val="008A5CE7"/>
    <w:rsid w:val="008A5D0C"/>
    <w:rsid w:val="008A5F13"/>
    <w:rsid w:val="008A68DE"/>
    <w:rsid w:val="008A6913"/>
    <w:rsid w:val="008A6E8C"/>
    <w:rsid w:val="008A6EB2"/>
    <w:rsid w:val="008A7225"/>
    <w:rsid w:val="008A7361"/>
    <w:rsid w:val="008A7372"/>
    <w:rsid w:val="008A7607"/>
    <w:rsid w:val="008A7673"/>
    <w:rsid w:val="008A767E"/>
    <w:rsid w:val="008A77E0"/>
    <w:rsid w:val="008A7B2E"/>
    <w:rsid w:val="008A7D15"/>
    <w:rsid w:val="008B072A"/>
    <w:rsid w:val="008B08D2"/>
    <w:rsid w:val="008B0AB4"/>
    <w:rsid w:val="008B0CFB"/>
    <w:rsid w:val="008B0F5B"/>
    <w:rsid w:val="008B1246"/>
    <w:rsid w:val="008B1544"/>
    <w:rsid w:val="008B17BB"/>
    <w:rsid w:val="008B183E"/>
    <w:rsid w:val="008B1975"/>
    <w:rsid w:val="008B199F"/>
    <w:rsid w:val="008B1AC4"/>
    <w:rsid w:val="008B1F0F"/>
    <w:rsid w:val="008B1F46"/>
    <w:rsid w:val="008B1F83"/>
    <w:rsid w:val="008B21F8"/>
    <w:rsid w:val="008B2602"/>
    <w:rsid w:val="008B276A"/>
    <w:rsid w:val="008B29F4"/>
    <w:rsid w:val="008B2C9E"/>
    <w:rsid w:val="008B2D26"/>
    <w:rsid w:val="008B2F98"/>
    <w:rsid w:val="008B2FE6"/>
    <w:rsid w:val="008B31ED"/>
    <w:rsid w:val="008B3242"/>
    <w:rsid w:val="008B34C3"/>
    <w:rsid w:val="008B36C2"/>
    <w:rsid w:val="008B3897"/>
    <w:rsid w:val="008B3953"/>
    <w:rsid w:val="008B39B9"/>
    <w:rsid w:val="008B3D0E"/>
    <w:rsid w:val="008B3D4A"/>
    <w:rsid w:val="008B408B"/>
    <w:rsid w:val="008B4360"/>
    <w:rsid w:val="008B43DE"/>
    <w:rsid w:val="008B461D"/>
    <w:rsid w:val="008B494D"/>
    <w:rsid w:val="008B4C4B"/>
    <w:rsid w:val="008B4CC9"/>
    <w:rsid w:val="008B4D8D"/>
    <w:rsid w:val="008B4E3C"/>
    <w:rsid w:val="008B4FF9"/>
    <w:rsid w:val="008B5105"/>
    <w:rsid w:val="008B534F"/>
    <w:rsid w:val="008B5482"/>
    <w:rsid w:val="008B54CD"/>
    <w:rsid w:val="008B5C6A"/>
    <w:rsid w:val="008B5E01"/>
    <w:rsid w:val="008B5E6F"/>
    <w:rsid w:val="008B5FF8"/>
    <w:rsid w:val="008B61D1"/>
    <w:rsid w:val="008B63A6"/>
    <w:rsid w:val="008B6466"/>
    <w:rsid w:val="008B682F"/>
    <w:rsid w:val="008B68C6"/>
    <w:rsid w:val="008B6E1A"/>
    <w:rsid w:val="008B70F3"/>
    <w:rsid w:val="008B71C4"/>
    <w:rsid w:val="008B76DF"/>
    <w:rsid w:val="008B78CF"/>
    <w:rsid w:val="008B7985"/>
    <w:rsid w:val="008B7D36"/>
    <w:rsid w:val="008B7FB8"/>
    <w:rsid w:val="008C0010"/>
    <w:rsid w:val="008C028E"/>
    <w:rsid w:val="008C0327"/>
    <w:rsid w:val="008C04C7"/>
    <w:rsid w:val="008C093C"/>
    <w:rsid w:val="008C0969"/>
    <w:rsid w:val="008C0A1E"/>
    <w:rsid w:val="008C0A59"/>
    <w:rsid w:val="008C0BF2"/>
    <w:rsid w:val="008C0C3E"/>
    <w:rsid w:val="008C10F4"/>
    <w:rsid w:val="008C12E4"/>
    <w:rsid w:val="008C15D9"/>
    <w:rsid w:val="008C17CC"/>
    <w:rsid w:val="008C1970"/>
    <w:rsid w:val="008C1CE9"/>
    <w:rsid w:val="008C1D5A"/>
    <w:rsid w:val="008C220B"/>
    <w:rsid w:val="008C24D7"/>
    <w:rsid w:val="008C2BAD"/>
    <w:rsid w:val="008C3044"/>
    <w:rsid w:val="008C32EC"/>
    <w:rsid w:val="008C35A4"/>
    <w:rsid w:val="008C35DC"/>
    <w:rsid w:val="008C3781"/>
    <w:rsid w:val="008C3EE4"/>
    <w:rsid w:val="008C4476"/>
    <w:rsid w:val="008C45DF"/>
    <w:rsid w:val="008C471E"/>
    <w:rsid w:val="008C48F3"/>
    <w:rsid w:val="008C4916"/>
    <w:rsid w:val="008C49D6"/>
    <w:rsid w:val="008C4F61"/>
    <w:rsid w:val="008C4FC0"/>
    <w:rsid w:val="008C5249"/>
    <w:rsid w:val="008C5406"/>
    <w:rsid w:val="008C541D"/>
    <w:rsid w:val="008C5446"/>
    <w:rsid w:val="008C5615"/>
    <w:rsid w:val="008C562C"/>
    <w:rsid w:val="008C585E"/>
    <w:rsid w:val="008C5892"/>
    <w:rsid w:val="008C5983"/>
    <w:rsid w:val="008C5BE1"/>
    <w:rsid w:val="008C5C0A"/>
    <w:rsid w:val="008C635E"/>
    <w:rsid w:val="008C641C"/>
    <w:rsid w:val="008C65F7"/>
    <w:rsid w:val="008C68E3"/>
    <w:rsid w:val="008C68F8"/>
    <w:rsid w:val="008C6B75"/>
    <w:rsid w:val="008C6C00"/>
    <w:rsid w:val="008C6C6E"/>
    <w:rsid w:val="008C6C7B"/>
    <w:rsid w:val="008C7479"/>
    <w:rsid w:val="008C749D"/>
    <w:rsid w:val="008C7C5F"/>
    <w:rsid w:val="008C7D4D"/>
    <w:rsid w:val="008D0109"/>
    <w:rsid w:val="008D0321"/>
    <w:rsid w:val="008D0701"/>
    <w:rsid w:val="008D08A7"/>
    <w:rsid w:val="008D08E3"/>
    <w:rsid w:val="008D0E43"/>
    <w:rsid w:val="008D0E6B"/>
    <w:rsid w:val="008D0FA4"/>
    <w:rsid w:val="008D113D"/>
    <w:rsid w:val="008D160E"/>
    <w:rsid w:val="008D1763"/>
    <w:rsid w:val="008D209A"/>
    <w:rsid w:val="008D209F"/>
    <w:rsid w:val="008D2389"/>
    <w:rsid w:val="008D25A1"/>
    <w:rsid w:val="008D26C5"/>
    <w:rsid w:val="008D29BD"/>
    <w:rsid w:val="008D2CB2"/>
    <w:rsid w:val="008D2E3D"/>
    <w:rsid w:val="008D2F5B"/>
    <w:rsid w:val="008D2F8B"/>
    <w:rsid w:val="008D3087"/>
    <w:rsid w:val="008D3355"/>
    <w:rsid w:val="008D33DA"/>
    <w:rsid w:val="008D3503"/>
    <w:rsid w:val="008D3719"/>
    <w:rsid w:val="008D3B61"/>
    <w:rsid w:val="008D3E51"/>
    <w:rsid w:val="008D3FC3"/>
    <w:rsid w:val="008D4404"/>
    <w:rsid w:val="008D44B1"/>
    <w:rsid w:val="008D4CFA"/>
    <w:rsid w:val="008D4E87"/>
    <w:rsid w:val="008D5071"/>
    <w:rsid w:val="008D517A"/>
    <w:rsid w:val="008D51C3"/>
    <w:rsid w:val="008D593A"/>
    <w:rsid w:val="008D5B0F"/>
    <w:rsid w:val="008D5CD5"/>
    <w:rsid w:val="008D5CE0"/>
    <w:rsid w:val="008D651A"/>
    <w:rsid w:val="008D675C"/>
    <w:rsid w:val="008D70E9"/>
    <w:rsid w:val="008D710A"/>
    <w:rsid w:val="008D74ED"/>
    <w:rsid w:val="008D77D6"/>
    <w:rsid w:val="008D7B4A"/>
    <w:rsid w:val="008D7BA2"/>
    <w:rsid w:val="008D7C99"/>
    <w:rsid w:val="008D7DF4"/>
    <w:rsid w:val="008E0270"/>
    <w:rsid w:val="008E0428"/>
    <w:rsid w:val="008E07BF"/>
    <w:rsid w:val="008E0872"/>
    <w:rsid w:val="008E0E85"/>
    <w:rsid w:val="008E1126"/>
    <w:rsid w:val="008E122F"/>
    <w:rsid w:val="008E1DE0"/>
    <w:rsid w:val="008E1EB5"/>
    <w:rsid w:val="008E20D3"/>
    <w:rsid w:val="008E213A"/>
    <w:rsid w:val="008E21F5"/>
    <w:rsid w:val="008E2557"/>
    <w:rsid w:val="008E257C"/>
    <w:rsid w:val="008E2782"/>
    <w:rsid w:val="008E27A9"/>
    <w:rsid w:val="008E287C"/>
    <w:rsid w:val="008E2AF9"/>
    <w:rsid w:val="008E3033"/>
    <w:rsid w:val="008E3593"/>
    <w:rsid w:val="008E3C89"/>
    <w:rsid w:val="008E45C8"/>
    <w:rsid w:val="008E46D4"/>
    <w:rsid w:val="008E4767"/>
    <w:rsid w:val="008E4E55"/>
    <w:rsid w:val="008E4F31"/>
    <w:rsid w:val="008E4F93"/>
    <w:rsid w:val="008E5772"/>
    <w:rsid w:val="008E5CE7"/>
    <w:rsid w:val="008E5F2C"/>
    <w:rsid w:val="008E6202"/>
    <w:rsid w:val="008E62D5"/>
    <w:rsid w:val="008E632E"/>
    <w:rsid w:val="008E658D"/>
    <w:rsid w:val="008E68BA"/>
    <w:rsid w:val="008E6A80"/>
    <w:rsid w:val="008E6B1A"/>
    <w:rsid w:val="008E6BDF"/>
    <w:rsid w:val="008E7896"/>
    <w:rsid w:val="008E7926"/>
    <w:rsid w:val="008E7A8C"/>
    <w:rsid w:val="008E7B3F"/>
    <w:rsid w:val="008F007A"/>
    <w:rsid w:val="008F013A"/>
    <w:rsid w:val="008F03A1"/>
    <w:rsid w:val="008F0478"/>
    <w:rsid w:val="008F055B"/>
    <w:rsid w:val="008F0706"/>
    <w:rsid w:val="008F07BF"/>
    <w:rsid w:val="008F1121"/>
    <w:rsid w:val="008F16EA"/>
    <w:rsid w:val="008F17AB"/>
    <w:rsid w:val="008F20C1"/>
    <w:rsid w:val="008F2393"/>
    <w:rsid w:val="008F2415"/>
    <w:rsid w:val="008F2D4D"/>
    <w:rsid w:val="008F315D"/>
    <w:rsid w:val="008F32FE"/>
    <w:rsid w:val="008F373A"/>
    <w:rsid w:val="008F389E"/>
    <w:rsid w:val="008F39EF"/>
    <w:rsid w:val="008F40D1"/>
    <w:rsid w:val="008F43C1"/>
    <w:rsid w:val="008F4474"/>
    <w:rsid w:val="008F4625"/>
    <w:rsid w:val="008F4679"/>
    <w:rsid w:val="008F4CB1"/>
    <w:rsid w:val="008F4FA4"/>
    <w:rsid w:val="008F5050"/>
    <w:rsid w:val="008F513E"/>
    <w:rsid w:val="008F51D2"/>
    <w:rsid w:val="008F51FD"/>
    <w:rsid w:val="008F5331"/>
    <w:rsid w:val="008F5ACE"/>
    <w:rsid w:val="008F5B42"/>
    <w:rsid w:val="008F5D28"/>
    <w:rsid w:val="008F65B2"/>
    <w:rsid w:val="008F65DE"/>
    <w:rsid w:val="008F67C3"/>
    <w:rsid w:val="008F68A8"/>
    <w:rsid w:val="008F6D2A"/>
    <w:rsid w:val="008F6E9A"/>
    <w:rsid w:val="008F7017"/>
    <w:rsid w:val="008F7256"/>
    <w:rsid w:val="008F764C"/>
    <w:rsid w:val="008F76C2"/>
    <w:rsid w:val="008F7836"/>
    <w:rsid w:val="009001CD"/>
    <w:rsid w:val="009003E4"/>
    <w:rsid w:val="00900562"/>
    <w:rsid w:val="0090147D"/>
    <w:rsid w:val="00901F2B"/>
    <w:rsid w:val="0090203B"/>
    <w:rsid w:val="00902748"/>
    <w:rsid w:val="009028DD"/>
    <w:rsid w:val="009028E1"/>
    <w:rsid w:val="00902AB7"/>
    <w:rsid w:val="00902AF6"/>
    <w:rsid w:val="00902D23"/>
    <w:rsid w:val="00902EF4"/>
    <w:rsid w:val="00903195"/>
    <w:rsid w:val="00903285"/>
    <w:rsid w:val="0090349E"/>
    <w:rsid w:val="00903FA9"/>
    <w:rsid w:val="0090448C"/>
    <w:rsid w:val="009044CB"/>
    <w:rsid w:val="00904541"/>
    <w:rsid w:val="00905124"/>
    <w:rsid w:val="009051A9"/>
    <w:rsid w:val="0090526B"/>
    <w:rsid w:val="0090563E"/>
    <w:rsid w:val="009057B1"/>
    <w:rsid w:val="00905A57"/>
    <w:rsid w:val="00905C2B"/>
    <w:rsid w:val="00905D8F"/>
    <w:rsid w:val="00905E49"/>
    <w:rsid w:val="009064AF"/>
    <w:rsid w:val="009066EA"/>
    <w:rsid w:val="00906752"/>
    <w:rsid w:val="0090685B"/>
    <w:rsid w:val="00906A60"/>
    <w:rsid w:val="00906AB9"/>
    <w:rsid w:val="00906BF4"/>
    <w:rsid w:val="00906C05"/>
    <w:rsid w:val="00906F40"/>
    <w:rsid w:val="009072EF"/>
    <w:rsid w:val="0090731E"/>
    <w:rsid w:val="00907626"/>
    <w:rsid w:val="009077EE"/>
    <w:rsid w:val="00907C72"/>
    <w:rsid w:val="00907CBD"/>
    <w:rsid w:val="00907DCE"/>
    <w:rsid w:val="00907E56"/>
    <w:rsid w:val="00907E7F"/>
    <w:rsid w:val="00907FB6"/>
    <w:rsid w:val="00910AB1"/>
    <w:rsid w:val="009112C6"/>
    <w:rsid w:val="009112DC"/>
    <w:rsid w:val="009113F6"/>
    <w:rsid w:val="00911A26"/>
    <w:rsid w:val="00911FE2"/>
    <w:rsid w:val="00912248"/>
    <w:rsid w:val="00912249"/>
    <w:rsid w:val="00912279"/>
    <w:rsid w:val="009122A1"/>
    <w:rsid w:val="00912626"/>
    <w:rsid w:val="00912950"/>
    <w:rsid w:val="00912C6F"/>
    <w:rsid w:val="009132D2"/>
    <w:rsid w:val="0091334F"/>
    <w:rsid w:val="00913639"/>
    <w:rsid w:val="009136D0"/>
    <w:rsid w:val="00913A17"/>
    <w:rsid w:val="00913AA1"/>
    <w:rsid w:val="00913AF9"/>
    <w:rsid w:val="00913B25"/>
    <w:rsid w:val="00913E93"/>
    <w:rsid w:val="00913F87"/>
    <w:rsid w:val="0091405F"/>
    <w:rsid w:val="009141B6"/>
    <w:rsid w:val="0091425D"/>
    <w:rsid w:val="009145B6"/>
    <w:rsid w:val="00914D2F"/>
    <w:rsid w:val="00914D3C"/>
    <w:rsid w:val="00914EC7"/>
    <w:rsid w:val="00914F94"/>
    <w:rsid w:val="00914FE3"/>
    <w:rsid w:val="0091547C"/>
    <w:rsid w:val="0091548F"/>
    <w:rsid w:val="0091551B"/>
    <w:rsid w:val="009156D5"/>
    <w:rsid w:val="009158EF"/>
    <w:rsid w:val="00915B1C"/>
    <w:rsid w:val="00915CAF"/>
    <w:rsid w:val="00915D69"/>
    <w:rsid w:val="00915DCF"/>
    <w:rsid w:val="00915E54"/>
    <w:rsid w:val="0091621B"/>
    <w:rsid w:val="0091627E"/>
    <w:rsid w:val="0091696C"/>
    <w:rsid w:val="009169FE"/>
    <w:rsid w:val="00916B4A"/>
    <w:rsid w:val="00917011"/>
    <w:rsid w:val="00917025"/>
    <w:rsid w:val="0091728F"/>
    <w:rsid w:val="009174F3"/>
    <w:rsid w:val="009176D0"/>
    <w:rsid w:val="0091797D"/>
    <w:rsid w:val="00917B76"/>
    <w:rsid w:val="00917F84"/>
    <w:rsid w:val="0092005F"/>
    <w:rsid w:val="00920335"/>
    <w:rsid w:val="0092052B"/>
    <w:rsid w:val="0092065C"/>
    <w:rsid w:val="00920660"/>
    <w:rsid w:val="009206F7"/>
    <w:rsid w:val="0092091F"/>
    <w:rsid w:val="00920BC5"/>
    <w:rsid w:val="00920CBF"/>
    <w:rsid w:val="0092130E"/>
    <w:rsid w:val="0092166E"/>
    <w:rsid w:val="009216C2"/>
    <w:rsid w:val="00921A2C"/>
    <w:rsid w:val="00921B93"/>
    <w:rsid w:val="00922162"/>
    <w:rsid w:val="00922341"/>
    <w:rsid w:val="009223A2"/>
    <w:rsid w:val="009223E1"/>
    <w:rsid w:val="009224F7"/>
    <w:rsid w:val="00922915"/>
    <w:rsid w:val="00922FC3"/>
    <w:rsid w:val="00923443"/>
    <w:rsid w:val="00923561"/>
    <w:rsid w:val="00923A8E"/>
    <w:rsid w:val="00923CBA"/>
    <w:rsid w:val="00923D7B"/>
    <w:rsid w:val="00923F03"/>
    <w:rsid w:val="00924523"/>
    <w:rsid w:val="00924587"/>
    <w:rsid w:val="00924B3C"/>
    <w:rsid w:val="00924D50"/>
    <w:rsid w:val="00924EA1"/>
    <w:rsid w:val="00924ED1"/>
    <w:rsid w:val="0092533D"/>
    <w:rsid w:val="009253D1"/>
    <w:rsid w:val="0092559B"/>
    <w:rsid w:val="0092591C"/>
    <w:rsid w:val="0092596B"/>
    <w:rsid w:val="009259B0"/>
    <w:rsid w:val="00925F11"/>
    <w:rsid w:val="00925FBA"/>
    <w:rsid w:val="00926235"/>
    <w:rsid w:val="00926703"/>
    <w:rsid w:val="00926729"/>
    <w:rsid w:val="009269CF"/>
    <w:rsid w:val="00926AAB"/>
    <w:rsid w:val="00926B97"/>
    <w:rsid w:val="00926C25"/>
    <w:rsid w:val="00926CDE"/>
    <w:rsid w:val="009270C1"/>
    <w:rsid w:val="0092718E"/>
    <w:rsid w:val="009271A8"/>
    <w:rsid w:val="00927376"/>
    <w:rsid w:val="009273BB"/>
    <w:rsid w:val="00927666"/>
    <w:rsid w:val="00927691"/>
    <w:rsid w:val="00927835"/>
    <w:rsid w:val="00927A5F"/>
    <w:rsid w:val="00927B31"/>
    <w:rsid w:val="00927BB7"/>
    <w:rsid w:val="00927EBC"/>
    <w:rsid w:val="00927EBD"/>
    <w:rsid w:val="00930469"/>
    <w:rsid w:val="00930510"/>
    <w:rsid w:val="00930957"/>
    <w:rsid w:val="00930B81"/>
    <w:rsid w:val="00930BE4"/>
    <w:rsid w:val="00930C40"/>
    <w:rsid w:val="00930D49"/>
    <w:rsid w:val="00931011"/>
    <w:rsid w:val="00931044"/>
    <w:rsid w:val="009312B5"/>
    <w:rsid w:val="009312CE"/>
    <w:rsid w:val="009312F1"/>
    <w:rsid w:val="00931300"/>
    <w:rsid w:val="009313AC"/>
    <w:rsid w:val="0093154C"/>
    <w:rsid w:val="009315F3"/>
    <w:rsid w:val="00931873"/>
    <w:rsid w:val="00931A93"/>
    <w:rsid w:val="00931F00"/>
    <w:rsid w:val="0093248E"/>
    <w:rsid w:val="00932721"/>
    <w:rsid w:val="00932742"/>
    <w:rsid w:val="00932845"/>
    <w:rsid w:val="00932B7C"/>
    <w:rsid w:val="00932CD4"/>
    <w:rsid w:val="00932FD3"/>
    <w:rsid w:val="00933031"/>
    <w:rsid w:val="00933144"/>
    <w:rsid w:val="009331AE"/>
    <w:rsid w:val="00933A3A"/>
    <w:rsid w:val="00933B7B"/>
    <w:rsid w:val="00933D6E"/>
    <w:rsid w:val="00933E4B"/>
    <w:rsid w:val="0093402A"/>
    <w:rsid w:val="00934120"/>
    <w:rsid w:val="0093485A"/>
    <w:rsid w:val="00934E2B"/>
    <w:rsid w:val="00934ED6"/>
    <w:rsid w:val="0093514C"/>
    <w:rsid w:val="009351A7"/>
    <w:rsid w:val="00935685"/>
    <w:rsid w:val="00935AF3"/>
    <w:rsid w:val="00935B63"/>
    <w:rsid w:val="009366CE"/>
    <w:rsid w:val="00936891"/>
    <w:rsid w:val="00936D3E"/>
    <w:rsid w:val="00936E95"/>
    <w:rsid w:val="0093711D"/>
    <w:rsid w:val="00937347"/>
    <w:rsid w:val="009375FD"/>
    <w:rsid w:val="00937600"/>
    <w:rsid w:val="009377C4"/>
    <w:rsid w:val="00937CDD"/>
    <w:rsid w:val="009402CC"/>
    <w:rsid w:val="009405AB"/>
    <w:rsid w:val="00940701"/>
    <w:rsid w:val="0094078F"/>
    <w:rsid w:val="00940A69"/>
    <w:rsid w:val="00940DAD"/>
    <w:rsid w:val="00940ED9"/>
    <w:rsid w:val="00940FA3"/>
    <w:rsid w:val="00940FBB"/>
    <w:rsid w:val="0094105A"/>
    <w:rsid w:val="009412E1"/>
    <w:rsid w:val="00941628"/>
    <w:rsid w:val="009418C1"/>
    <w:rsid w:val="009418FE"/>
    <w:rsid w:val="00941CDA"/>
    <w:rsid w:val="00941FB0"/>
    <w:rsid w:val="00942199"/>
    <w:rsid w:val="009426B9"/>
    <w:rsid w:val="009426D4"/>
    <w:rsid w:val="00942A0F"/>
    <w:rsid w:val="00942AB8"/>
    <w:rsid w:val="00942BA1"/>
    <w:rsid w:val="00942DD2"/>
    <w:rsid w:val="009434B8"/>
    <w:rsid w:val="009434F2"/>
    <w:rsid w:val="00943508"/>
    <w:rsid w:val="009435E3"/>
    <w:rsid w:val="00943705"/>
    <w:rsid w:val="0094378A"/>
    <w:rsid w:val="009439F1"/>
    <w:rsid w:val="00943A14"/>
    <w:rsid w:val="00943AD5"/>
    <w:rsid w:val="00943CEB"/>
    <w:rsid w:val="00943DC6"/>
    <w:rsid w:val="00943FF6"/>
    <w:rsid w:val="009441B2"/>
    <w:rsid w:val="00944235"/>
    <w:rsid w:val="009443FC"/>
    <w:rsid w:val="0094440F"/>
    <w:rsid w:val="009447F3"/>
    <w:rsid w:val="0094487A"/>
    <w:rsid w:val="009449FD"/>
    <w:rsid w:val="00944BA3"/>
    <w:rsid w:val="00944C7F"/>
    <w:rsid w:val="00944CDC"/>
    <w:rsid w:val="00944D9D"/>
    <w:rsid w:val="00945161"/>
    <w:rsid w:val="0094519E"/>
    <w:rsid w:val="00945496"/>
    <w:rsid w:val="009454EB"/>
    <w:rsid w:val="009456CC"/>
    <w:rsid w:val="00945733"/>
    <w:rsid w:val="00945906"/>
    <w:rsid w:val="00945AFC"/>
    <w:rsid w:val="00945EFD"/>
    <w:rsid w:val="009462F3"/>
    <w:rsid w:val="0094633F"/>
    <w:rsid w:val="0094635A"/>
    <w:rsid w:val="009464CD"/>
    <w:rsid w:val="00946654"/>
    <w:rsid w:val="00946807"/>
    <w:rsid w:val="00946BCA"/>
    <w:rsid w:val="00946D9D"/>
    <w:rsid w:val="00947646"/>
    <w:rsid w:val="00947ED5"/>
    <w:rsid w:val="00947F25"/>
    <w:rsid w:val="0095006C"/>
    <w:rsid w:val="00950159"/>
    <w:rsid w:val="00950280"/>
    <w:rsid w:val="009503E2"/>
    <w:rsid w:val="009504C0"/>
    <w:rsid w:val="009505ED"/>
    <w:rsid w:val="00950EA6"/>
    <w:rsid w:val="00950EDF"/>
    <w:rsid w:val="009510C6"/>
    <w:rsid w:val="0095131A"/>
    <w:rsid w:val="0095138C"/>
    <w:rsid w:val="009516C6"/>
    <w:rsid w:val="009519FF"/>
    <w:rsid w:val="0095217F"/>
    <w:rsid w:val="00952590"/>
    <w:rsid w:val="009526F7"/>
    <w:rsid w:val="00952D35"/>
    <w:rsid w:val="00953168"/>
    <w:rsid w:val="009543BC"/>
    <w:rsid w:val="0095490B"/>
    <w:rsid w:val="00954A1A"/>
    <w:rsid w:val="00954A44"/>
    <w:rsid w:val="00954BE5"/>
    <w:rsid w:val="00954CBE"/>
    <w:rsid w:val="00955195"/>
    <w:rsid w:val="009553E6"/>
    <w:rsid w:val="009553E8"/>
    <w:rsid w:val="00955471"/>
    <w:rsid w:val="009555E9"/>
    <w:rsid w:val="00955687"/>
    <w:rsid w:val="00955B12"/>
    <w:rsid w:val="00955D1E"/>
    <w:rsid w:val="00956218"/>
    <w:rsid w:val="00956416"/>
    <w:rsid w:val="009564D9"/>
    <w:rsid w:val="009566F5"/>
    <w:rsid w:val="0095674F"/>
    <w:rsid w:val="0095676E"/>
    <w:rsid w:val="009568FB"/>
    <w:rsid w:val="00956990"/>
    <w:rsid w:val="009570B7"/>
    <w:rsid w:val="009573DF"/>
    <w:rsid w:val="00957430"/>
    <w:rsid w:val="0095745B"/>
    <w:rsid w:val="00957A88"/>
    <w:rsid w:val="00957C5D"/>
    <w:rsid w:val="009602A0"/>
    <w:rsid w:val="009602FD"/>
    <w:rsid w:val="0096056D"/>
    <w:rsid w:val="00960A33"/>
    <w:rsid w:val="009615C7"/>
    <w:rsid w:val="00961669"/>
    <w:rsid w:val="0096182C"/>
    <w:rsid w:val="009619FE"/>
    <w:rsid w:val="00961CA1"/>
    <w:rsid w:val="00961DBB"/>
    <w:rsid w:val="00961DD3"/>
    <w:rsid w:val="0096235A"/>
    <w:rsid w:val="00962542"/>
    <w:rsid w:val="0096259B"/>
    <w:rsid w:val="00962867"/>
    <w:rsid w:val="00962B25"/>
    <w:rsid w:val="00963042"/>
    <w:rsid w:val="009633E1"/>
    <w:rsid w:val="0096343C"/>
    <w:rsid w:val="00963472"/>
    <w:rsid w:val="009635C6"/>
    <w:rsid w:val="009638A0"/>
    <w:rsid w:val="0096420B"/>
    <w:rsid w:val="009647FE"/>
    <w:rsid w:val="0096494A"/>
    <w:rsid w:val="00964C2C"/>
    <w:rsid w:val="00964F59"/>
    <w:rsid w:val="00965089"/>
    <w:rsid w:val="00965557"/>
    <w:rsid w:val="009656BF"/>
    <w:rsid w:val="00965A8F"/>
    <w:rsid w:val="00966131"/>
    <w:rsid w:val="00966B7D"/>
    <w:rsid w:val="00966B9F"/>
    <w:rsid w:val="00966ED6"/>
    <w:rsid w:val="0096708B"/>
    <w:rsid w:val="00967958"/>
    <w:rsid w:val="00967A90"/>
    <w:rsid w:val="00967F92"/>
    <w:rsid w:val="0097008D"/>
    <w:rsid w:val="009703D9"/>
    <w:rsid w:val="00970454"/>
    <w:rsid w:val="009705B4"/>
    <w:rsid w:val="00970865"/>
    <w:rsid w:val="00970B48"/>
    <w:rsid w:val="00970E38"/>
    <w:rsid w:val="00970EC0"/>
    <w:rsid w:val="00971127"/>
    <w:rsid w:val="00971186"/>
    <w:rsid w:val="00971914"/>
    <w:rsid w:val="00971A34"/>
    <w:rsid w:val="00971DA2"/>
    <w:rsid w:val="00972058"/>
    <w:rsid w:val="0097228D"/>
    <w:rsid w:val="00972A22"/>
    <w:rsid w:val="00972B28"/>
    <w:rsid w:val="00972E2A"/>
    <w:rsid w:val="00973451"/>
    <w:rsid w:val="00973936"/>
    <w:rsid w:val="00973AFC"/>
    <w:rsid w:val="009741E6"/>
    <w:rsid w:val="00974363"/>
    <w:rsid w:val="009744EC"/>
    <w:rsid w:val="0097461C"/>
    <w:rsid w:val="009749E1"/>
    <w:rsid w:val="009749F8"/>
    <w:rsid w:val="00974C10"/>
    <w:rsid w:val="00974C24"/>
    <w:rsid w:val="00974EB2"/>
    <w:rsid w:val="00975180"/>
    <w:rsid w:val="00975209"/>
    <w:rsid w:val="009753AC"/>
    <w:rsid w:val="009754F3"/>
    <w:rsid w:val="00975547"/>
    <w:rsid w:val="00975B73"/>
    <w:rsid w:val="00975F5A"/>
    <w:rsid w:val="00976232"/>
    <w:rsid w:val="009768C9"/>
    <w:rsid w:val="00976B68"/>
    <w:rsid w:val="00976D2B"/>
    <w:rsid w:val="009771FB"/>
    <w:rsid w:val="009774CA"/>
    <w:rsid w:val="009774E9"/>
    <w:rsid w:val="00977837"/>
    <w:rsid w:val="00977A62"/>
    <w:rsid w:val="00977A69"/>
    <w:rsid w:val="00977B1F"/>
    <w:rsid w:val="00977BDB"/>
    <w:rsid w:val="00977D6D"/>
    <w:rsid w:val="0098015F"/>
    <w:rsid w:val="00980508"/>
    <w:rsid w:val="009806A0"/>
    <w:rsid w:val="00980754"/>
    <w:rsid w:val="009807D7"/>
    <w:rsid w:val="00980EFF"/>
    <w:rsid w:val="0098109B"/>
    <w:rsid w:val="009814CE"/>
    <w:rsid w:val="009814E8"/>
    <w:rsid w:val="009815BB"/>
    <w:rsid w:val="0098169A"/>
    <w:rsid w:val="009817C8"/>
    <w:rsid w:val="00981898"/>
    <w:rsid w:val="009819F7"/>
    <w:rsid w:val="00981CF7"/>
    <w:rsid w:val="00981D95"/>
    <w:rsid w:val="00981F07"/>
    <w:rsid w:val="0098200A"/>
    <w:rsid w:val="0098209C"/>
    <w:rsid w:val="00982130"/>
    <w:rsid w:val="00982135"/>
    <w:rsid w:val="00982317"/>
    <w:rsid w:val="009825C2"/>
    <w:rsid w:val="0098260E"/>
    <w:rsid w:val="009827FD"/>
    <w:rsid w:val="00982930"/>
    <w:rsid w:val="00982940"/>
    <w:rsid w:val="00982A62"/>
    <w:rsid w:val="00982CF8"/>
    <w:rsid w:val="00982DAE"/>
    <w:rsid w:val="00982FAE"/>
    <w:rsid w:val="0098330D"/>
    <w:rsid w:val="00983349"/>
    <w:rsid w:val="00983355"/>
    <w:rsid w:val="00983700"/>
    <w:rsid w:val="0098379B"/>
    <w:rsid w:val="00983964"/>
    <w:rsid w:val="009839AE"/>
    <w:rsid w:val="00983A7B"/>
    <w:rsid w:val="00983C14"/>
    <w:rsid w:val="00983EAA"/>
    <w:rsid w:val="00984074"/>
    <w:rsid w:val="00984214"/>
    <w:rsid w:val="009846A4"/>
    <w:rsid w:val="00984897"/>
    <w:rsid w:val="00984C5A"/>
    <w:rsid w:val="00984E3F"/>
    <w:rsid w:val="00984F11"/>
    <w:rsid w:val="00984FC5"/>
    <w:rsid w:val="00984FF7"/>
    <w:rsid w:val="009856FE"/>
    <w:rsid w:val="009858E2"/>
    <w:rsid w:val="00985A8A"/>
    <w:rsid w:val="00985D6B"/>
    <w:rsid w:val="00985F19"/>
    <w:rsid w:val="0098619C"/>
    <w:rsid w:val="009861B3"/>
    <w:rsid w:val="00986556"/>
    <w:rsid w:val="0098660A"/>
    <w:rsid w:val="009867F3"/>
    <w:rsid w:val="00986867"/>
    <w:rsid w:val="009869F8"/>
    <w:rsid w:val="00986ADD"/>
    <w:rsid w:val="00987B91"/>
    <w:rsid w:val="00987CDF"/>
    <w:rsid w:val="00987F56"/>
    <w:rsid w:val="009900A6"/>
    <w:rsid w:val="0099018C"/>
    <w:rsid w:val="009909D7"/>
    <w:rsid w:val="00990D17"/>
    <w:rsid w:val="0099107E"/>
    <w:rsid w:val="00991316"/>
    <w:rsid w:val="009918F1"/>
    <w:rsid w:val="00991A2B"/>
    <w:rsid w:val="00991CC8"/>
    <w:rsid w:val="00991E59"/>
    <w:rsid w:val="00991FC0"/>
    <w:rsid w:val="0099249B"/>
    <w:rsid w:val="009925EA"/>
    <w:rsid w:val="009925FE"/>
    <w:rsid w:val="009926C4"/>
    <w:rsid w:val="00992783"/>
    <w:rsid w:val="00992C55"/>
    <w:rsid w:val="00992D3E"/>
    <w:rsid w:val="00992E18"/>
    <w:rsid w:val="00992FBD"/>
    <w:rsid w:val="00993039"/>
    <w:rsid w:val="009934E8"/>
    <w:rsid w:val="00993850"/>
    <w:rsid w:val="00993987"/>
    <w:rsid w:val="00993B83"/>
    <w:rsid w:val="00993C39"/>
    <w:rsid w:val="00993C8B"/>
    <w:rsid w:val="00993F16"/>
    <w:rsid w:val="00994146"/>
    <w:rsid w:val="0099414E"/>
    <w:rsid w:val="00994925"/>
    <w:rsid w:val="009949F9"/>
    <w:rsid w:val="009950F5"/>
    <w:rsid w:val="0099523B"/>
    <w:rsid w:val="009953EA"/>
    <w:rsid w:val="0099558E"/>
    <w:rsid w:val="0099577C"/>
    <w:rsid w:val="0099593C"/>
    <w:rsid w:val="00995988"/>
    <w:rsid w:val="009959DB"/>
    <w:rsid w:val="00995F5F"/>
    <w:rsid w:val="00996305"/>
    <w:rsid w:val="0099635C"/>
    <w:rsid w:val="00996752"/>
    <w:rsid w:val="00996894"/>
    <w:rsid w:val="00996FF8"/>
    <w:rsid w:val="0099727D"/>
    <w:rsid w:val="0099754A"/>
    <w:rsid w:val="00997686"/>
    <w:rsid w:val="0099779F"/>
    <w:rsid w:val="009978EB"/>
    <w:rsid w:val="00997BE1"/>
    <w:rsid w:val="00997BE3"/>
    <w:rsid w:val="00997E9F"/>
    <w:rsid w:val="009A021C"/>
    <w:rsid w:val="009A0251"/>
    <w:rsid w:val="009A0614"/>
    <w:rsid w:val="009A098A"/>
    <w:rsid w:val="009A0D39"/>
    <w:rsid w:val="009A0DFE"/>
    <w:rsid w:val="009A1017"/>
    <w:rsid w:val="009A1144"/>
    <w:rsid w:val="009A116E"/>
    <w:rsid w:val="009A1354"/>
    <w:rsid w:val="009A19E7"/>
    <w:rsid w:val="009A1FA0"/>
    <w:rsid w:val="009A2049"/>
    <w:rsid w:val="009A24F1"/>
    <w:rsid w:val="009A2513"/>
    <w:rsid w:val="009A25CC"/>
    <w:rsid w:val="009A2848"/>
    <w:rsid w:val="009A2896"/>
    <w:rsid w:val="009A2900"/>
    <w:rsid w:val="009A29E0"/>
    <w:rsid w:val="009A2BA8"/>
    <w:rsid w:val="009A352F"/>
    <w:rsid w:val="009A3B73"/>
    <w:rsid w:val="009A3BDF"/>
    <w:rsid w:val="009A3FF1"/>
    <w:rsid w:val="009A41CD"/>
    <w:rsid w:val="009A41F4"/>
    <w:rsid w:val="009A42BB"/>
    <w:rsid w:val="009A4531"/>
    <w:rsid w:val="009A4EC3"/>
    <w:rsid w:val="009A4F27"/>
    <w:rsid w:val="009A50A0"/>
    <w:rsid w:val="009A5201"/>
    <w:rsid w:val="009A54A7"/>
    <w:rsid w:val="009A5867"/>
    <w:rsid w:val="009A59E1"/>
    <w:rsid w:val="009A5E66"/>
    <w:rsid w:val="009A6069"/>
    <w:rsid w:val="009A665A"/>
    <w:rsid w:val="009A66BF"/>
    <w:rsid w:val="009A66DD"/>
    <w:rsid w:val="009A69D2"/>
    <w:rsid w:val="009A69F0"/>
    <w:rsid w:val="009A6A54"/>
    <w:rsid w:val="009A6A8E"/>
    <w:rsid w:val="009A6B1A"/>
    <w:rsid w:val="009A6BE7"/>
    <w:rsid w:val="009A7423"/>
    <w:rsid w:val="009B02CE"/>
    <w:rsid w:val="009B036A"/>
    <w:rsid w:val="009B0491"/>
    <w:rsid w:val="009B06FA"/>
    <w:rsid w:val="009B0AAA"/>
    <w:rsid w:val="009B1324"/>
    <w:rsid w:val="009B139C"/>
    <w:rsid w:val="009B1754"/>
    <w:rsid w:val="009B195A"/>
    <w:rsid w:val="009B1AA5"/>
    <w:rsid w:val="009B1BF1"/>
    <w:rsid w:val="009B1DD7"/>
    <w:rsid w:val="009B21D2"/>
    <w:rsid w:val="009B24A5"/>
    <w:rsid w:val="009B2601"/>
    <w:rsid w:val="009B2A0F"/>
    <w:rsid w:val="009B2CB9"/>
    <w:rsid w:val="009B2DE0"/>
    <w:rsid w:val="009B30B8"/>
    <w:rsid w:val="009B3273"/>
    <w:rsid w:val="009B3B8E"/>
    <w:rsid w:val="009B3EB3"/>
    <w:rsid w:val="009B4012"/>
    <w:rsid w:val="009B42F4"/>
    <w:rsid w:val="009B446A"/>
    <w:rsid w:val="009B44A0"/>
    <w:rsid w:val="009B4D83"/>
    <w:rsid w:val="009B4E9E"/>
    <w:rsid w:val="009B50B0"/>
    <w:rsid w:val="009B50EA"/>
    <w:rsid w:val="009B5615"/>
    <w:rsid w:val="009B56EC"/>
    <w:rsid w:val="009B582E"/>
    <w:rsid w:val="009B58F1"/>
    <w:rsid w:val="009B6138"/>
    <w:rsid w:val="009B6343"/>
    <w:rsid w:val="009B70A8"/>
    <w:rsid w:val="009B7222"/>
    <w:rsid w:val="009B723F"/>
    <w:rsid w:val="009B79A1"/>
    <w:rsid w:val="009B7ABD"/>
    <w:rsid w:val="009B7F40"/>
    <w:rsid w:val="009C0417"/>
    <w:rsid w:val="009C064F"/>
    <w:rsid w:val="009C07DE"/>
    <w:rsid w:val="009C0B05"/>
    <w:rsid w:val="009C0DA6"/>
    <w:rsid w:val="009C134B"/>
    <w:rsid w:val="009C142D"/>
    <w:rsid w:val="009C1690"/>
    <w:rsid w:val="009C1B31"/>
    <w:rsid w:val="009C1D6B"/>
    <w:rsid w:val="009C1EA2"/>
    <w:rsid w:val="009C2055"/>
    <w:rsid w:val="009C2298"/>
    <w:rsid w:val="009C240F"/>
    <w:rsid w:val="009C2480"/>
    <w:rsid w:val="009C2588"/>
    <w:rsid w:val="009C25C8"/>
    <w:rsid w:val="009C267C"/>
    <w:rsid w:val="009C3193"/>
    <w:rsid w:val="009C33A3"/>
    <w:rsid w:val="009C3898"/>
    <w:rsid w:val="009C394E"/>
    <w:rsid w:val="009C3972"/>
    <w:rsid w:val="009C3B4D"/>
    <w:rsid w:val="009C3F56"/>
    <w:rsid w:val="009C40D2"/>
    <w:rsid w:val="009C4348"/>
    <w:rsid w:val="009C43AE"/>
    <w:rsid w:val="009C447A"/>
    <w:rsid w:val="009C4853"/>
    <w:rsid w:val="009C492B"/>
    <w:rsid w:val="009C4EB2"/>
    <w:rsid w:val="009C4FB1"/>
    <w:rsid w:val="009C524B"/>
    <w:rsid w:val="009C5C5F"/>
    <w:rsid w:val="009C5F87"/>
    <w:rsid w:val="009C5F9B"/>
    <w:rsid w:val="009C6596"/>
    <w:rsid w:val="009C660F"/>
    <w:rsid w:val="009C6693"/>
    <w:rsid w:val="009C6829"/>
    <w:rsid w:val="009C6881"/>
    <w:rsid w:val="009C6AAF"/>
    <w:rsid w:val="009C6D6F"/>
    <w:rsid w:val="009C6DF3"/>
    <w:rsid w:val="009C70EE"/>
    <w:rsid w:val="009C75E1"/>
    <w:rsid w:val="009C7759"/>
    <w:rsid w:val="009C7E7F"/>
    <w:rsid w:val="009C7F92"/>
    <w:rsid w:val="009D0034"/>
    <w:rsid w:val="009D0199"/>
    <w:rsid w:val="009D043D"/>
    <w:rsid w:val="009D0456"/>
    <w:rsid w:val="009D0529"/>
    <w:rsid w:val="009D064C"/>
    <w:rsid w:val="009D07C8"/>
    <w:rsid w:val="009D08B7"/>
    <w:rsid w:val="009D0AA8"/>
    <w:rsid w:val="009D11ED"/>
    <w:rsid w:val="009D11FF"/>
    <w:rsid w:val="009D18F0"/>
    <w:rsid w:val="009D19C3"/>
    <w:rsid w:val="009D1ACB"/>
    <w:rsid w:val="009D1B63"/>
    <w:rsid w:val="009D1C50"/>
    <w:rsid w:val="009D1E7E"/>
    <w:rsid w:val="009D226F"/>
    <w:rsid w:val="009D244E"/>
    <w:rsid w:val="009D2773"/>
    <w:rsid w:val="009D28F7"/>
    <w:rsid w:val="009D2937"/>
    <w:rsid w:val="009D2B9F"/>
    <w:rsid w:val="009D2F17"/>
    <w:rsid w:val="009D33F5"/>
    <w:rsid w:val="009D34C1"/>
    <w:rsid w:val="009D36ED"/>
    <w:rsid w:val="009D37B6"/>
    <w:rsid w:val="009D3A35"/>
    <w:rsid w:val="009D3E62"/>
    <w:rsid w:val="009D3E81"/>
    <w:rsid w:val="009D3F5A"/>
    <w:rsid w:val="009D4369"/>
    <w:rsid w:val="009D43FA"/>
    <w:rsid w:val="009D450A"/>
    <w:rsid w:val="009D4A45"/>
    <w:rsid w:val="009D4C85"/>
    <w:rsid w:val="009D4C8D"/>
    <w:rsid w:val="009D4CA4"/>
    <w:rsid w:val="009D4FCA"/>
    <w:rsid w:val="009D514F"/>
    <w:rsid w:val="009D5360"/>
    <w:rsid w:val="009D552A"/>
    <w:rsid w:val="009D5652"/>
    <w:rsid w:val="009D56D8"/>
    <w:rsid w:val="009D5830"/>
    <w:rsid w:val="009D5C13"/>
    <w:rsid w:val="009D5CAF"/>
    <w:rsid w:val="009D5E55"/>
    <w:rsid w:val="009D627E"/>
    <w:rsid w:val="009D6448"/>
    <w:rsid w:val="009D66E4"/>
    <w:rsid w:val="009D66EE"/>
    <w:rsid w:val="009D677C"/>
    <w:rsid w:val="009D6C71"/>
    <w:rsid w:val="009D7240"/>
    <w:rsid w:val="009D7453"/>
    <w:rsid w:val="009D7853"/>
    <w:rsid w:val="009D7D47"/>
    <w:rsid w:val="009D7DC4"/>
    <w:rsid w:val="009E0631"/>
    <w:rsid w:val="009E065E"/>
    <w:rsid w:val="009E0794"/>
    <w:rsid w:val="009E09D3"/>
    <w:rsid w:val="009E09EC"/>
    <w:rsid w:val="009E0F41"/>
    <w:rsid w:val="009E0F77"/>
    <w:rsid w:val="009E13AF"/>
    <w:rsid w:val="009E1583"/>
    <w:rsid w:val="009E1639"/>
    <w:rsid w:val="009E16D0"/>
    <w:rsid w:val="009E18D3"/>
    <w:rsid w:val="009E1AEB"/>
    <w:rsid w:val="009E2051"/>
    <w:rsid w:val="009E2533"/>
    <w:rsid w:val="009E2A56"/>
    <w:rsid w:val="009E2B40"/>
    <w:rsid w:val="009E30BB"/>
    <w:rsid w:val="009E317D"/>
    <w:rsid w:val="009E3241"/>
    <w:rsid w:val="009E325F"/>
    <w:rsid w:val="009E34D0"/>
    <w:rsid w:val="009E38FD"/>
    <w:rsid w:val="009E3B35"/>
    <w:rsid w:val="009E3B55"/>
    <w:rsid w:val="009E3C17"/>
    <w:rsid w:val="009E3C35"/>
    <w:rsid w:val="009E3C95"/>
    <w:rsid w:val="009E3D85"/>
    <w:rsid w:val="009E3E11"/>
    <w:rsid w:val="009E4274"/>
    <w:rsid w:val="009E47DE"/>
    <w:rsid w:val="009E483B"/>
    <w:rsid w:val="009E5233"/>
    <w:rsid w:val="009E5333"/>
    <w:rsid w:val="009E593B"/>
    <w:rsid w:val="009E5999"/>
    <w:rsid w:val="009E5A4E"/>
    <w:rsid w:val="009E5C49"/>
    <w:rsid w:val="009E5F72"/>
    <w:rsid w:val="009E6419"/>
    <w:rsid w:val="009E6597"/>
    <w:rsid w:val="009E65DE"/>
    <w:rsid w:val="009E6A4C"/>
    <w:rsid w:val="009E70B1"/>
    <w:rsid w:val="009E72B0"/>
    <w:rsid w:val="009E73A8"/>
    <w:rsid w:val="009E740B"/>
    <w:rsid w:val="009E7642"/>
    <w:rsid w:val="009E7927"/>
    <w:rsid w:val="009F0376"/>
    <w:rsid w:val="009F051D"/>
    <w:rsid w:val="009F05F5"/>
    <w:rsid w:val="009F06F2"/>
    <w:rsid w:val="009F0823"/>
    <w:rsid w:val="009F0AF6"/>
    <w:rsid w:val="009F0B81"/>
    <w:rsid w:val="009F0BB0"/>
    <w:rsid w:val="009F0F2E"/>
    <w:rsid w:val="009F13D6"/>
    <w:rsid w:val="009F1A2D"/>
    <w:rsid w:val="009F1BB3"/>
    <w:rsid w:val="009F23F9"/>
    <w:rsid w:val="009F2401"/>
    <w:rsid w:val="009F24B6"/>
    <w:rsid w:val="009F2845"/>
    <w:rsid w:val="009F2894"/>
    <w:rsid w:val="009F2BF8"/>
    <w:rsid w:val="009F33FE"/>
    <w:rsid w:val="009F3A8F"/>
    <w:rsid w:val="009F3AC8"/>
    <w:rsid w:val="009F3B7F"/>
    <w:rsid w:val="009F3C15"/>
    <w:rsid w:val="009F4325"/>
    <w:rsid w:val="009F4859"/>
    <w:rsid w:val="009F49AD"/>
    <w:rsid w:val="009F4B73"/>
    <w:rsid w:val="009F4C6B"/>
    <w:rsid w:val="009F56FE"/>
    <w:rsid w:val="009F5AB4"/>
    <w:rsid w:val="009F5B2E"/>
    <w:rsid w:val="009F5D3C"/>
    <w:rsid w:val="009F5E7E"/>
    <w:rsid w:val="009F610A"/>
    <w:rsid w:val="009F62A9"/>
    <w:rsid w:val="009F633B"/>
    <w:rsid w:val="009F649F"/>
    <w:rsid w:val="009F6883"/>
    <w:rsid w:val="009F689C"/>
    <w:rsid w:val="009F6BB2"/>
    <w:rsid w:val="009F6BC5"/>
    <w:rsid w:val="009F6C21"/>
    <w:rsid w:val="009F6D16"/>
    <w:rsid w:val="009F6F38"/>
    <w:rsid w:val="009F7088"/>
    <w:rsid w:val="009F7212"/>
    <w:rsid w:val="009F7404"/>
    <w:rsid w:val="009F75DF"/>
    <w:rsid w:val="009F760F"/>
    <w:rsid w:val="009F7710"/>
    <w:rsid w:val="009F7745"/>
    <w:rsid w:val="009F78A8"/>
    <w:rsid w:val="009F7DEE"/>
    <w:rsid w:val="00A00142"/>
    <w:rsid w:val="00A00190"/>
    <w:rsid w:val="00A0028A"/>
    <w:rsid w:val="00A00888"/>
    <w:rsid w:val="00A00A64"/>
    <w:rsid w:val="00A00B5B"/>
    <w:rsid w:val="00A00B63"/>
    <w:rsid w:val="00A00BD2"/>
    <w:rsid w:val="00A00F52"/>
    <w:rsid w:val="00A015E5"/>
    <w:rsid w:val="00A01770"/>
    <w:rsid w:val="00A017E0"/>
    <w:rsid w:val="00A01C16"/>
    <w:rsid w:val="00A01C85"/>
    <w:rsid w:val="00A01F67"/>
    <w:rsid w:val="00A01F9B"/>
    <w:rsid w:val="00A0200D"/>
    <w:rsid w:val="00A0227E"/>
    <w:rsid w:val="00A0239F"/>
    <w:rsid w:val="00A02452"/>
    <w:rsid w:val="00A026B0"/>
    <w:rsid w:val="00A02A0A"/>
    <w:rsid w:val="00A02A2D"/>
    <w:rsid w:val="00A02AD6"/>
    <w:rsid w:val="00A02D37"/>
    <w:rsid w:val="00A02FE5"/>
    <w:rsid w:val="00A03170"/>
    <w:rsid w:val="00A033F4"/>
    <w:rsid w:val="00A034E8"/>
    <w:rsid w:val="00A0359E"/>
    <w:rsid w:val="00A03D9F"/>
    <w:rsid w:val="00A03DA8"/>
    <w:rsid w:val="00A03FFD"/>
    <w:rsid w:val="00A04166"/>
    <w:rsid w:val="00A041DC"/>
    <w:rsid w:val="00A042DD"/>
    <w:rsid w:val="00A04785"/>
    <w:rsid w:val="00A050F2"/>
    <w:rsid w:val="00A05188"/>
    <w:rsid w:val="00A05919"/>
    <w:rsid w:val="00A05D54"/>
    <w:rsid w:val="00A05E64"/>
    <w:rsid w:val="00A05FAF"/>
    <w:rsid w:val="00A06331"/>
    <w:rsid w:val="00A065F7"/>
    <w:rsid w:val="00A06E45"/>
    <w:rsid w:val="00A07096"/>
    <w:rsid w:val="00A07318"/>
    <w:rsid w:val="00A07799"/>
    <w:rsid w:val="00A07B56"/>
    <w:rsid w:val="00A07C1B"/>
    <w:rsid w:val="00A07F73"/>
    <w:rsid w:val="00A102DB"/>
    <w:rsid w:val="00A10575"/>
    <w:rsid w:val="00A105B6"/>
    <w:rsid w:val="00A10802"/>
    <w:rsid w:val="00A10E55"/>
    <w:rsid w:val="00A10FB6"/>
    <w:rsid w:val="00A11370"/>
    <w:rsid w:val="00A1137C"/>
    <w:rsid w:val="00A119FD"/>
    <w:rsid w:val="00A11B06"/>
    <w:rsid w:val="00A11D20"/>
    <w:rsid w:val="00A11E2B"/>
    <w:rsid w:val="00A1258F"/>
    <w:rsid w:val="00A12789"/>
    <w:rsid w:val="00A12933"/>
    <w:rsid w:val="00A12B8A"/>
    <w:rsid w:val="00A12F5B"/>
    <w:rsid w:val="00A13251"/>
    <w:rsid w:val="00A13297"/>
    <w:rsid w:val="00A132FE"/>
    <w:rsid w:val="00A13486"/>
    <w:rsid w:val="00A1387A"/>
    <w:rsid w:val="00A13BA7"/>
    <w:rsid w:val="00A13CBB"/>
    <w:rsid w:val="00A13D76"/>
    <w:rsid w:val="00A14065"/>
    <w:rsid w:val="00A14620"/>
    <w:rsid w:val="00A14929"/>
    <w:rsid w:val="00A1493E"/>
    <w:rsid w:val="00A14962"/>
    <w:rsid w:val="00A15180"/>
    <w:rsid w:val="00A156DB"/>
    <w:rsid w:val="00A1572A"/>
    <w:rsid w:val="00A158F0"/>
    <w:rsid w:val="00A15959"/>
    <w:rsid w:val="00A15D5B"/>
    <w:rsid w:val="00A15DE4"/>
    <w:rsid w:val="00A15EF1"/>
    <w:rsid w:val="00A1602E"/>
    <w:rsid w:val="00A163AF"/>
    <w:rsid w:val="00A163FA"/>
    <w:rsid w:val="00A16A80"/>
    <w:rsid w:val="00A16B89"/>
    <w:rsid w:val="00A16DB1"/>
    <w:rsid w:val="00A16E26"/>
    <w:rsid w:val="00A16ECB"/>
    <w:rsid w:val="00A17290"/>
    <w:rsid w:val="00A1743F"/>
    <w:rsid w:val="00A17473"/>
    <w:rsid w:val="00A1787C"/>
    <w:rsid w:val="00A1799A"/>
    <w:rsid w:val="00A17A3C"/>
    <w:rsid w:val="00A17D66"/>
    <w:rsid w:val="00A202A5"/>
    <w:rsid w:val="00A20396"/>
    <w:rsid w:val="00A203F3"/>
    <w:rsid w:val="00A2077D"/>
    <w:rsid w:val="00A20B80"/>
    <w:rsid w:val="00A20C39"/>
    <w:rsid w:val="00A20D28"/>
    <w:rsid w:val="00A216EB"/>
    <w:rsid w:val="00A21A93"/>
    <w:rsid w:val="00A21CA6"/>
    <w:rsid w:val="00A224CE"/>
    <w:rsid w:val="00A22522"/>
    <w:rsid w:val="00A22939"/>
    <w:rsid w:val="00A22952"/>
    <w:rsid w:val="00A22A9C"/>
    <w:rsid w:val="00A22EC8"/>
    <w:rsid w:val="00A22FB4"/>
    <w:rsid w:val="00A22FCF"/>
    <w:rsid w:val="00A2331F"/>
    <w:rsid w:val="00A23508"/>
    <w:rsid w:val="00A23645"/>
    <w:rsid w:val="00A236D5"/>
    <w:rsid w:val="00A23A6A"/>
    <w:rsid w:val="00A24092"/>
    <w:rsid w:val="00A24359"/>
    <w:rsid w:val="00A244E2"/>
    <w:rsid w:val="00A246B4"/>
    <w:rsid w:val="00A24A86"/>
    <w:rsid w:val="00A24AFD"/>
    <w:rsid w:val="00A24B72"/>
    <w:rsid w:val="00A24DAF"/>
    <w:rsid w:val="00A24E9F"/>
    <w:rsid w:val="00A24F5C"/>
    <w:rsid w:val="00A2533D"/>
    <w:rsid w:val="00A2571C"/>
    <w:rsid w:val="00A25C7B"/>
    <w:rsid w:val="00A25CE0"/>
    <w:rsid w:val="00A25ECF"/>
    <w:rsid w:val="00A2605E"/>
    <w:rsid w:val="00A260FB"/>
    <w:rsid w:val="00A26219"/>
    <w:rsid w:val="00A2623E"/>
    <w:rsid w:val="00A2657D"/>
    <w:rsid w:val="00A2669D"/>
    <w:rsid w:val="00A26803"/>
    <w:rsid w:val="00A26A66"/>
    <w:rsid w:val="00A26B3A"/>
    <w:rsid w:val="00A26D0C"/>
    <w:rsid w:val="00A26DCD"/>
    <w:rsid w:val="00A270F4"/>
    <w:rsid w:val="00A2747F"/>
    <w:rsid w:val="00A276B1"/>
    <w:rsid w:val="00A279FF"/>
    <w:rsid w:val="00A27BA2"/>
    <w:rsid w:val="00A27BA7"/>
    <w:rsid w:val="00A27E71"/>
    <w:rsid w:val="00A27FD7"/>
    <w:rsid w:val="00A30313"/>
    <w:rsid w:val="00A3059F"/>
    <w:rsid w:val="00A30901"/>
    <w:rsid w:val="00A309A1"/>
    <w:rsid w:val="00A30BA4"/>
    <w:rsid w:val="00A311BB"/>
    <w:rsid w:val="00A312D5"/>
    <w:rsid w:val="00A31330"/>
    <w:rsid w:val="00A31341"/>
    <w:rsid w:val="00A31574"/>
    <w:rsid w:val="00A31581"/>
    <w:rsid w:val="00A31723"/>
    <w:rsid w:val="00A31804"/>
    <w:rsid w:val="00A31840"/>
    <w:rsid w:val="00A319F4"/>
    <w:rsid w:val="00A31B0C"/>
    <w:rsid w:val="00A31C30"/>
    <w:rsid w:val="00A3207E"/>
    <w:rsid w:val="00A32349"/>
    <w:rsid w:val="00A324C2"/>
    <w:rsid w:val="00A32F96"/>
    <w:rsid w:val="00A33081"/>
    <w:rsid w:val="00A3359F"/>
    <w:rsid w:val="00A33710"/>
    <w:rsid w:val="00A338F2"/>
    <w:rsid w:val="00A339A8"/>
    <w:rsid w:val="00A33A81"/>
    <w:rsid w:val="00A3408E"/>
    <w:rsid w:val="00A3421E"/>
    <w:rsid w:val="00A34520"/>
    <w:rsid w:val="00A346E2"/>
    <w:rsid w:val="00A34BD0"/>
    <w:rsid w:val="00A34C8E"/>
    <w:rsid w:val="00A34D20"/>
    <w:rsid w:val="00A34EAA"/>
    <w:rsid w:val="00A34FB2"/>
    <w:rsid w:val="00A35596"/>
    <w:rsid w:val="00A35E83"/>
    <w:rsid w:val="00A36851"/>
    <w:rsid w:val="00A36938"/>
    <w:rsid w:val="00A36B23"/>
    <w:rsid w:val="00A36BC3"/>
    <w:rsid w:val="00A36D60"/>
    <w:rsid w:val="00A36DDD"/>
    <w:rsid w:val="00A36FBC"/>
    <w:rsid w:val="00A3736D"/>
    <w:rsid w:val="00A377BF"/>
    <w:rsid w:val="00A378F7"/>
    <w:rsid w:val="00A37C7A"/>
    <w:rsid w:val="00A37D93"/>
    <w:rsid w:val="00A37FB3"/>
    <w:rsid w:val="00A40232"/>
    <w:rsid w:val="00A4065F"/>
    <w:rsid w:val="00A40871"/>
    <w:rsid w:val="00A40876"/>
    <w:rsid w:val="00A408BB"/>
    <w:rsid w:val="00A408DC"/>
    <w:rsid w:val="00A40A53"/>
    <w:rsid w:val="00A40D76"/>
    <w:rsid w:val="00A40EEE"/>
    <w:rsid w:val="00A412AB"/>
    <w:rsid w:val="00A4193E"/>
    <w:rsid w:val="00A41A52"/>
    <w:rsid w:val="00A41DA0"/>
    <w:rsid w:val="00A41EEC"/>
    <w:rsid w:val="00A422FA"/>
    <w:rsid w:val="00A42614"/>
    <w:rsid w:val="00A427C4"/>
    <w:rsid w:val="00A42AB9"/>
    <w:rsid w:val="00A42BCC"/>
    <w:rsid w:val="00A42E45"/>
    <w:rsid w:val="00A42EE5"/>
    <w:rsid w:val="00A4359C"/>
    <w:rsid w:val="00A43805"/>
    <w:rsid w:val="00A43915"/>
    <w:rsid w:val="00A43AFC"/>
    <w:rsid w:val="00A43DB6"/>
    <w:rsid w:val="00A43E08"/>
    <w:rsid w:val="00A44098"/>
    <w:rsid w:val="00A440E0"/>
    <w:rsid w:val="00A442EF"/>
    <w:rsid w:val="00A44871"/>
    <w:rsid w:val="00A44892"/>
    <w:rsid w:val="00A449C9"/>
    <w:rsid w:val="00A44F5B"/>
    <w:rsid w:val="00A4557A"/>
    <w:rsid w:val="00A45B2B"/>
    <w:rsid w:val="00A45EB5"/>
    <w:rsid w:val="00A460FF"/>
    <w:rsid w:val="00A463D3"/>
    <w:rsid w:val="00A463F7"/>
    <w:rsid w:val="00A464DA"/>
    <w:rsid w:val="00A46B35"/>
    <w:rsid w:val="00A46C53"/>
    <w:rsid w:val="00A46D39"/>
    <w:rsid w:val="00A46E82"/>
    <w:rsid w:val="00A47814"/>
    <w:rsid w:val="00A47C5D"/>
    <w:rsid w:val="00A47C9B"/>
    <w:rsid w:val="00A47D20"/>
    <w:rsid w:val="00A47EAC"/>
    <w:rsid w:val="00A5013C"/>
    <w:rsid w:val="00A5040A"/>
    <w:rsid w:val="00A5055F"/>
    <w:rsid w:val="00A50666"/>
    <w:rsid w:val="00A506D3"/>
    <w:rsid w:val="00A507D4"/>
    <w:rsid w:val="00A50BD4"/>
    <w:rsid w:val="00A50DCB"/>
    <w:rsid w:val="00A514A9"/>
    <w:rsid w:val="00A515E5"/>
    <w:rsid w:val="00A518B4"/>
    <w:rsid w:val="00A51905"/>
    <w:rsid w:val="00A51B10"/>
    <w:rsid w:val="00A51D1A"/>
    <w:rsid w:val="00A52120"/>
    <w:rsid w:val="00A52384"/>
    <w:rsid w:val="00A5263A"/>
    <w:rsid w:val="00A52A05"/>
    <w:rsid w:val="00A52C51"/>
    <w:rsid w:val="00A5418D"/>
    <w:rsid w:val="00A5446B"/>
    <w:rsid w:val="00A5474E"/>
    <w:rsid w:val="00A5559B"/>
    <w:rsid w:val="00A55660"/>
    <w:rsid w:val="00A556EB"/>
    <w:rsid w:val="00A55A0B"/>
    <w:rsid w:val="00A561D6"/>
    <w:rsid w:val="00A563BB"/>
    <w:rsid w:val="00A5658C"/>
    <w:rsid w:val="00A56BCA"/>
    <w:rsid w:val="00A56BD9"/>
    <w:rsid w:val="00A56C7C"/>
    <w:rsid w:val="00A56D47"/>
    <w:rsid w:val="00A56D4C"/>
    <w:rsid w:val="00A572D8"/>
    <w:rsid w:val="00A57546"/>
    <w:rsid w:val="00A576D5"/>
    <w:rsid w:val="00A5771C"/>
    <w:rsid w:val="00A57DDD"/>
    <w:rsid w:val="00A57E7A"/>
    <w:rsid w:val="00A57E8E"/>
    <w:rsid w:val="00A6038A"/>
    <w:rsid w:val="00A605A2"/>
    <w:rsid w:val="00A60AE1"/>
    <w:rsid w:val="00A60E4E"/>
    <w:rsid w:val="00A60FE8"/>
    <w:rsid w:val="00A60FEB"/>
    <w:rsid w:val="00A61479"/>
    <w:rsid w:val="00A616F0"/>
    <w:rsid w:val="00A61916"/>
    <w:rsid w:val="00A61F3D"/>
    <w:rsid w:val="00A61FCD"/>
    <w:rsid w:val="00A62341"/>
    <w:rsid w:val="00A62A1B"/>
    <w:rsid w:val="00A62D63"/>
    <w:rsid w:val="00A630C0"/>
    <w:rsid w:val="00A6350D"/>
    <w:rsid w:val="00A6373F"/>
    <w:rsid w:val="00A63B48"/>
    <w:rsid w:val="00A640D8"/>
    <w:rsid w:val="00A64234"/>
    <w:rsid w:val="00A6428C"/>
    <w:rsid w:val="00A646D3"/>
    <w:rsid w:val="00A647EA"/>
    <w:rsid w:val="00A64CB6"/>
    <w:rsid w:val="00A650CA"/>
    <w:rsid w:val="00A65625"/>
    <w:rsid w:val="00A65773"/>
    <w:rsid w:val="00A659BF"/>
    <w:rsid w:val="00A65C27"/>
    <w:rsid w:val="00A66306"/>
    <w:rsid w:val="00A66423"/>
    <w:rsid w:val="00A66627"/>
    <w:rsid w:val="00A666BE"/>
    <w:rsid w:val="00A6674D"/>
    <w:rsid w:val="00A667B0"/>
    <w:rsid w:val="00A669D0"/>
    <w:rsid w:val="00A66EB4"/>
    <w:rsid w:val="00A674AD"/>
    <w:rsid w:val="00A677D8"/>
    <w:rsid w:val="00A6785A"/>
    <w:rsid w:val="00A6796A"/>
    <w:rsid w:val="00A67BE7"/>
    <w:rsid w:val="00A70ADF"/>
    <w:rsid w:val="00A70C50"/>
    <w:rsid w:val="00A70CFE"/>
    <w:rsid w:val="00A70D38"/>
    <w:rsid w:val="00A71355"/>
    <w:rsid w:val="00A71466"/>
    <w:rsid w:val="00A714E4"/>
    <w:rsid w:val="00A71752"/>
    <w:rsid w:val="00A718BF"/>
    <w:rsid w:val="00A718CD"/>
    <w:rsid w:val="00A71C3F"/>
    <w:rsid w:val="00A72287"/>
    <w:rsid w:val="00A72413"/>
    <w:rsid w:val="00A72876"/>
    <w:rsid w:val="00A729A0"/>
    <w:rsid w:val="00A72C39"/>
    <w:rsid w:val="00A72E93"/>
    <w:rsid w:val="00A72F99"/>
    <w:rsid w:val="00A7311A"/>
    <w:rsid w:val="00A73232"/>
    <w:rsid w:val="00A73656"/>
    <w:rsid w:val="00A73C3A"/>
    <w:rsid w:val="00A743E9"/>
    <w:rsid w:val="00A746DD"/>
    <w:rsid w:val="00A7478F"/>
    <w:rsid w:val="00A7486D"/>
    <w:rsid w:val="00A74AD9"/>
    <w:rsid w:val="00A74B5E"/>
    <w:rsid w:val="00A74CE3"/>
    <w:rsid w:val="00A750D2"/>
    <w:rsid w:val="00A7540A"/>
    <w:rsid w:val="00A75654"/>
    <w:rsid w:val="00A756DD"/>
    <w:rsid w:val="00A7571F"/>
    <w:rsid w:val="00A75998"/>
    <w:rsid w:val="00A75B6A"/>
    <w:rsid w:val="00A75C16"/>
    <w:rsid w:val="00A75E7B"/>
    <w:rsid w:val="00A75F26"/>
    <w:rsid w:val="00A75F5D"/>
    <w:rsid w:val="00A7617C"/>
    <w:rsid w:val="00A761C6"/>
    <w:rsid w:val="00A7636F"/>
    <w:rsid w:val="00A76B44"/>
    <w:rsid w:val="00A76F10"/>
    <w:rsid w:val="00A76F51"/>
    <w:rsid w:val="00A76FB7"/>
    <w:rsid w:val="00A77023"/>
    <w:rsid w:val="00A773F1"/>
    <w:rsid w:val="00A7754C"/>
    <w:rsid w:val="00A7778C"/>
    <w:rsid w:val="00A77AE1"/>
    <w:rsid w:val="00A77FAE"/>
    <w:rsid w:val="00A80823"/>
    <w:rsid w:val="00A80A3F"/>
    <w:rsid w:val="00A80AF7"/>
    <w:rsid w:val="00A814B5"/>
    <w:rsid w:val="00A814D2"/>
    <w:rsid w:val="00A81BED"/>
    <w:rsid w:val="00A81CFB"/>
    <w:rsid w:val="00A81DCF"/>
    <w:rsid w:val="00A81E6C"/>
    <w:rsid w:val="00A81EC4"/>
    <w:rsid w:val="00A81F69"/>
    <w:rsid w:val="00A82163"/>
    <w:rsid w:val="00A822B3"/>
    <w:rsid w:val="00A822EF"/>
    <w:rsid w:val="00A824E8"/>
    <w:rsid w:val="00A82661"/>
    <w:rsid w:val="00A828CB"/>
    <w:rsid w:val="00A82928"/>
    <w:rsid w:val="00A830C9"/>
    <w:rsid w:val="00A830DC"/>
    <w:rsid w:val="00A8325C"/>
    <w:rsid w:val="00A832DE"/>
    <w:rsid w:val="00A83401"/>
    <w:rsid w:val="00A83602"/>
    <w:rsid w:val="00A83705"/>
    <w:rsid w:val="00A83A2E"/>
    <w:rsid w:val="00A843D7"/>
    <w:rsid w:val="00A84FAD"/>
    <w:rsid w:val="00A84FC5"/>
    <w:rsid w:val="00A85B16"/>
    <w:rsid w:val="00A85C35"/>
    <w:rsid w:val="00A85F14"/>
    <w:rsid w:val="00A8638C"/>
    <w:rsid w:val="00A8642B"/>
    <w:rsid w:val="00A8667B"/>
    <w:rsid w:val="00A86A0C"/>
    <w:rsid w:val="00A86D44"/>
    <w:rsid w:val="00A86E15"/>
    <w:rsid w:val="00A87878"/>
    <w:rsid w:val="00A87C03"/>
    <w:rsid w:val="00A87C21"/>
    <w:rsid w:val="00A87C5E"/>
    <w:rsid w:val="00A90558"/>
    <w:rsid w:val="00A906BD"/>
    <w:rsid w:val="00A90819"/>
    <w:rsid w:val="00A90F8E"/>
    <w:rsid w:val="00A9128A"/>
    <w:rsid w:val="00A914B6"/>
    <w:rsid w:val="00A91975"/>
    <w:rsid w:val="00A923FA"/>
    <w:rsid w:val="00A92502"/>
    <w:rsid w:val="00A926DD"/>
    <w:rsid w:val="00A92748"/>
    <w:rsid w:val="00A929F6"/>
    <w:rsid w:val="00A92FB4"/>
    <w:rsid w:val="00A93206"/>
    <w:rsid w:val="00A936E2"/>
    <w:rsid w:val="00A9387B"/>
    <w:rsid w:val="00A93BEC"/>
    <w:rsid w:val="00A93C49"/>
    <w:rsid w:val="00A94202"/>
    <w:rsid w:val="00A9422B"/>
    <w:rsid w:val="00A942B8"/>
    <w:rsid w:val="00A9431A"/>
    <w:rsid w:val="00A94965"/>
    <w:rsid w:val="00A94C23"/>
    <w:rsid w:val="00A95371"/>
    <w:rsid w:val="00A957EE"/>
    <w:rsid w:val="00A95C9B"/>
    <w:rsid w:val="00A95E53"/>
    <w:rsid w:val="00A960DA"/>
    <w:rsid w:val="00A962BE"/>
    <w:rsid w:val="00A96343"/>
    <w:rsid w:val="00A9665B"/>
    <w:rsid w:val="00A967FD"/>
    <w:rsid w:val="00A96970"/>
    <w:rsid w:val="00A96979"/>
    <w:rsid w:val="00A96DB0"/>
    <w:rsid w:val="00A96E57"/>
    <w:rsid w:val="00A96F6A"/>
    <w:rsid w:val="00A9703D"/>
    <w:rsid w:val="00A97258"/>
    <w:rsid w:val="00A973D9"/>
    <w:rsid w:val="00A9771C"/>
    <w:rsid w:val="00A97A3B"/>
    <w:rsid w:val="00A97D7E"/>
    <w:rsid w:val="00A97FDB"/>
    <w:rsid w:val="00AA008B"/>
    <w:rsid w:val="00AA0381"/>
    <w:rsid w:val="00AA0C12"/>
    <w:rsid w:val="00AA0D0E"/>
    <w:rsid w:val="00AA16D9"/>
    <w:rsid w:val="00AA202B"/>
    <w:rsid w:val="00AA2345"/>
    <w:rsid w:val="00AA26D7"/>
    <w:rsid w:val="00AA26DD"/>
    <w:rsid w:val="00AA2779"/>
    <w:rsid w:val="00AA2DE5"/>
    <w:rsid w:val="00AA30A7"/>
    <w:rsid w:val="00AA3312"/>
    <w:rsid w:val="00AA3332"/>
    <w:rsid w:val="00AA34B6"/>
    <w:rsid w:val="00AA3635"/>
    <w:rsid w:val="00AA3655"/>
    <w:rsid w:val="00AA3BA8"/>
    <w:rsid w:val="00AA3D42"/>
    <w:rsid w:val="00AA3EB4"/>
    <w:rsid w:val="00AA488C"/>
    <w:rsid w:val="00AA48D1"/>
    <w:rsid w:val="00AA4925"/>
    <w:rsid w:val="00AA4BE2"/>
    <w:rsid w:val="00AA4C7A"/>
    <w:rsid w:val="00AA4D90"/>
    <w:rsid w:val="00AA4F37"/>
    <w:rsid w:val="00AA524A"/>
    <w:rsid w:val="00AA52A5"/>
    <w:rsid w:val="00AA5403"/>
    <w:rsid w:val="00AA541D"/>
    <w:rsid w:val="00AA5791"/>
    <w:rsid w:val="00AA58BA"/>
    <w:rsid w:val="00AA58F7"/>
    <w:rsid w:val="00AA5977"/>
    <w:rsid w:val="00AA5BD0"/>
    <w:rsid w:val="00AA6814"/>
    <w:rsid w:val="00AA6870"/>
    <w:rsid w:val="00AA689F"/>
    <w:rsid w:val="00AA6CCB"/>
    <w:rsid w:val="00AA6FE7"/>
    <w:rsid w:val="00AA76A0"/>
    <w:rsid w:val="00AA777C"/>
    <w:rsid w:val="00AA78C3"/>
    <w:rsid w:val="00AA78F0"/>
    <w:rsid w:val="00AA7BF3"/>
    <w:rsid w:val="00AA7DC1"/>
    <w:rsid w:val="00AA7E85"/>
    <w:rsid w:val="00AB0BA4"/>
    <w:rsid w:val="00AB0F12"/>
    <w:rsid w:val="00AB12F0"/>
    <w:rsid w:val="00AB1548"/>
    <w:rsid w:val="00AB156C"/>
    <w:rsid w:val="00AB1894"/>
    <w:rsid w:val="00AB1F50"/>
    <w:rsid w:val="00AB1FD3"/>
    <w:rsid w:val="00AB24AE"/>
    <w:rsid w:val="00AB256C"/>
    <w:rsid w:val="00AB2DFA"/>
    <w:rsid w:val="00AB2EC9"/>
    <w:rsid w:val="00AB2ED3"/>
    <w:rsid w:val="00AB30A6"/>
    <w:rsid w:val="00AB322F"/>
    <w:rsid w:val="00AB327F"/>
    <w:rsid w:val="00AB3624"/>
    <w:rsid w:val="00AB39A5"/>
    <w:rsid w:val="00AB3A12"/>
    <w:rsid w:val="00AB3C8B"/>
    <w:rsid w:val="00AB3D38"/>
    <w:rsid w:val="00AB3ECC"/>
    <w:rsid w:val="00AB3EE7"/>
    <w:rsid w:val="00AB43E6"/>
    <w:rsid w:val="00AB482A"/>
    <w:rsid w:val="00AB4CD1"/>
    <w:rsid w:val="00AB4D87"/>
    <w:rsid w:val="00AB4F58"/>
    <w:rsid w:val="00AB4F88"/>
    <w:rsid w:val="00AB5195"/>
    <w:rsid w:val="00AB5357"/>
    <w:rsid w:val="00AB54BB"/>
    <w:rsid w:val="00AB5522"/>
    <w:rsid w:val="00AB57CE"/>
    <w:rsid w:val="00AB584F"/>
    <w:rsid w:val="00AB5BA3"/>
    <w:rsid w:val="00AB5D99"/>
    <w:rsid w:val="00AB5EAF"/>
    <w:rsid w:val="00AB63BD"/>
    <w:rsid w:val="00AB673E"/>
    <w:rsid w:val="00AB678E"/>
    <w:rsid w:val="00AB6814"/>
    <w:rsid w:val="00AB6875"/>
    <w:rsid w:val="00AB68F8"/>
    <w:rsid w:val="00AB6B94"/>
    <w:rsid w:val="00AB6DC1"/>
    <w:rsid w:val="00AB70F6"/>
    <w:rsid w:val="00AB72A8"/>
    <w:rsid w:val="00AB74AF"/>
    <w:rsid w:val="00AB79CC"/>
    <w:rsid w:val="00AB7C78"/>
    <w:rsid w:val="00AB7E1C"/>
    <w:rsid w:val="00AB7E3A"/>
    <w:rsid w:val="00AB7F90"/>
    <w:rsid w:val="00AC0226"/>
    <w:rsid w:val="00AC04BA"/>
    <w:rsid w:val="00AC0517"/>
    <w:rsid w:val="00AC0BD1"/>
    <w:rsid w:val="00AC0E39"/>
    <w:rsid w:val="00AC0F78"/>
    <w:rsid w:val="00AC1168"/>
    <w:rsid w:val="00AC18E3"/>
    <w:rsid w:val="00AC199E"/>
    <w:rsid w:val="00AC1A07"/>
    <w:rsid w:val="00AC1CA9"/>
    <w:rsid w:val="00AC1E64"/>
    <w:rsid w:val="00AC2337"/>
    <w:rsid w:val="00AC25A5"/>
    <w:rsid w:val="00AC28D7"/>
    <w:rsid w:val="00AC28F8"/>
    <w:rsid w:val="00AC2A1C"/>
    <w:rsid w:val="00AC2B7A"/>
    <w:rsid w:val="00AC3042"/>
    <w:rsid w:val="00AC33B8"/>
    <w:rsid w:val="00AC34E4"/>
    <w:rsid w:val="00AC3631"/>
    <w:rsid w:val="00AC3BCF"/>
    <w:rsid w:val="00AC3D9B"/>
    <w:rsid w:val="00AC3FA9"/>
    <w:rsid w:val="00AC416C"/>
    <w:rsid w:val="00AC4F33"/>
    <w:rsid w:val="00AC4F59"/>
    <w:rsid w:val="00AC51A7"/>
    <w:rsid w:val="00AC5233"/>
    <w:rsid w:val="00AC5295"/>
    <w:rsid w:val="00AC5631"/>
    <w:rsid w:val="00AC571C"/>
    <w:rsid w:val="00AC5F7D"/>
    <w:rsid w:val="00AC6093"/>
    <w:rsid w:val="00AC60FA"/>
    <w:rsid w:val="00AC637C"/>
    <w:rsid w:val="00AC6617"/>
    <w:rsid w:val="00AC6C04"/>
    <w:rsid w:val="00AC7012"/>
    <w:rsid w:val="00AC717A"/>
    <w:rsid w:val="00AC7785"/>
    <w:rsid w:val="00AC78CB"/>
    <w:rsid w:val="00AC7A99"/>
    <w:rsid w:val="00AC7D82"/>
    <w:rsid w:val="00AD0310"/>
    <w:rsid w:val="00AD053D"/>
    <w:rsid w:val="00AD0885"/>
    <w:rsid w:val="00AD0930"/>
    <w:rsid w:val="00AD1042"/>
    <w:rsid w:val="00AD1517"/>
    <w:rsid w:val="00AD17A3"/>
    <w:rsid w:val="00AD1898"/>
    <w:rsid w:val="00AD192A"/>
    <w:rsid w:val="00AD1E58"/>
    <w:rsid w:val="00AD1E97"/>
    <w:rsid w:val="00AD27E8"/>
    <w:rsid w:val="00AD3082"/>
    <w:rsid w:val="00AD32B4"/>
    <w:rsid w:val="00AD33A0"/>
    <w:rsid w:val="00AD3411"/>
    <w:rsid w:val="00AD3615"/>
    <w:rsid w:val="00AD37BA"/>
    <w:rsid w:val="00AD3AD0"/>
    <w:rsid w:val="00AD3E5F"/>
    <w:rsid w:val="00AD4389"/>
    <w:rsid w:val="00AD4424"/>
    <w:rsid w:val="00AD4AD0"/>
    <w:rsid w:val="00AD4B59"/>
    <w:rsid w:val="00AD4CE6"/>
    <w:rsid w:val="00AD4E84"/>
    <w:rsid w:val="00AD4EDE"/>
    <w:rsid w:val="00AD5436"/>
    <w:rsid w:val="00AD580F"/>
    <w:rsid w:val="00AD5848"/>
    <w:rsid w:val="00AD5863"/>
    <w:rsid w:val="00AD58A7"/>
    <w:rsid w:val="00AD5AE5"/>
    <w:rsid w:val="00AD5FB7"/>
    <w:rsid w:val="00AD60CD"/>
    <w:rsid w:val="00AD6371"/>
    <w:rsid w:val="00AD68B1"/>
    <w:rsid w:val="00AD6B16"/>
    <w:rsid w:val="00AD6C8C"/>
    <w:rsid w:val="00AD6F10"/>
    <w:rsid w:val="00AD7485"/>
    <w:rsid w:val="00AD7648"/>
    <w:rsid w:val="00AD7A71"/>
    <w:rsid w:val="00AD7BD0"/>
    <w:rsid w:val="00AD7F95"/>
    <w:rsid w:val="00AE0325"/>
    <w:rsid w:val="00AE0356"/>
    <w:rsid w:val="00AE0674"/>
    <w:rsid w:val="00AE069D"/>
    <w:rsid w:val="00AE06C2"/>
    <w:rsid w:val="00AE091D"/>
    <w:rsid w:val="00AE0A9B"/>
    <w:rsid w:val="00AE0B9B"/>
    <w:rsid w:val="00AE0F42"/>
    <w:rsid w:val="00AE150D"/>
    <w:rsid w:val="00AE168E"/>
    <w:rsid w:val="00AE19EF"/>
    <w:rsid w:val="00AE1CE8"/>
    <w:rsid w:val="00AE1D86"/>
    <w:rsid w:val="00AE2619"/>
    <w:rsid w:val="00AE2B19"/>
    <w:rsid w:val="00AE2D10"/>
    <w:rsid w:val="00AE2E87"/>
    <w:rsid w:val="00AE336C"/>
    <w:rsid w:val="00AE36D6"/>
    <w:rsid w:val="00AE3B37"/>
    <w:rsid w:val="00AE3B60"/>
    <w:rsid w:val="00AE3BDD"/>
    <w:rsid w:val="00AE4056"/>
    <w:rsid w:val="00AE4078"/>
    <w:rsid w:val="00AE43D0"/>
    <w:rsid w:val="00AE4453"/>
    <w:rsid w:val="00AE445A"/>
    <w:rsid w:val="00AE4510"/>
    <w:rsid w:val="00AE4561"/>
    <w:rsid w:val="00AE49EC"/>
    <w:rsid w:val="00AE4A45"/>
    <w:rsid w:val="00AE4A6F"/>
    <w:rsid w:val="00AE4B8B"/>
    <w:rsid w:val="00AE50E4"/>
    <w:rsid w:val="00AE529C"/>
    <w:rsid w:val="00AE53A1"/>
    <w:rsid w:val="00AE53C8"/>
    <w:rsid w:val="00AE5425"/>
    <w:rsid w:val="00AE5442"/>
    <w:rsid w:val="00AE5607"/>
    <w:rsid w:val="00AE595D"/>
    <w:rsid w:val="00AE5A91"/>
    <w:rsid w:val="00AE5BA8"/>
    <w:rsid w:val="00AE5C07"/>
    <w:rsid w:val="00AE5C6B"/>
    <w:rsid w:val="00AE5F10"/>
    <w:rsid w:val="00AE62C8"/>
    <w:rsid w:val="00AE69F5"/>
    <w:rsid w:val="00AE6C9A"/>
    <w:rsid w:val="00AE6EE6"/>
    <w:rsid w:val="00AE719D"/>
    <w:rsid w:val="00AE7544"/>
    <w:rsid w:val="00AE7627"/>
    <w:rsid w:val="00AE76C7"/>
    <w:rsid w:val="00AE79AE"/>
    <w:rsid w:val="00AE7B50"/>
    <w:rsid w:val="00AE7E31"/>
    <w:rsid w:val="00AF00D4"/>
    <w:rsid w:val="00AF01B7"/>
    <w:rsid w:val="00AF0602"/>
    <w:rsid w:val="00AF07E8"/>
    <w:rsid w:val="00AF087E"/>
    <w:rsid w:val="00AF093D"/>
    <w:rsid w:val="00AF0DC9"/>
    <w:rsid w:val="00AF11A6"/>
    <w:rsid w:val="00AF14F6"/>
    <w:rsid w:val="00AF1A80"/>
    <w:rsid w:val="00AF1BA7"/>
    <w:rsid w:val="00AF1BAE"/>
    <w:rsid w:val="00AF1C50"/>
    <w:rsid w:val="00AF1F35"/>
    <w:rsid w:val="00AF21F4"/>
    <w:rsid w:val="00AF226C"/>
    <w:rsid w:val="00AF2484"/>
    <w:rsid w:val="00AF2504"/>
    <w:rsid w:val="00AF2510"/>
    <w:rsid w:val="00AF2728"/>
    <w:rsid w:val="00AF3286"/>
    <w:rsid w:val="00AF3A21"/>
    <w:rsid w:val="00AF3F70"/>
    <w:rsid w:val="00AF43FD"/>
    <w:rsid w:val="00AF45E8"/>
    <w:rsid w:val="00AF483B"/>
    <w:rsid w:val="00AF4945"/>
    <w:rsid w:val="00AF4AE1"/>
    <w:rsid w:val="00AF4AF6"/>
    <w:rsid w:val="00AF4CF8"/>
    <w:rsid w:val="00AF5391"/>
    <w:rsid w:val="00AF54BB"/>
    <w:rsid w:val="00AF5623"/>
    <w:rsid w:val="00AF5C00"/>
    <w:rsid w:val="00AF63E7"/>
    <w:rsid w:val="00AF6409"/>
    <w:rsid w:val="00AF67D3"/>
    <w:rsid w:val="00AF6BB6"/>
    <w:rsid w:val="00AF6E17"/>
    <w:rsid w:val="00AF7A22"/>
    <w:rsid w:val="00AF7AC1"/>
    <w:rsid w:val="00B00022"/>
    <w:rsid w:val="00B0044C"/>
    <w:rsid w:val="00B007FE"/>
    <w:rsid w:val="00B00892"/>
    <w:rsid w:val="00B00940"/>
    <w:rsid w:val="00B009BB"/>
    <w:rsid w:val="00B0112A"/>
    <w:rsid w:val="00B0139E"/>
    <w:rsid w:val="00B01604"/>
    <w:rsid w:val="00B0165D"/>
    <w:rsid w:val="00B01B60"/>
    <w:rsid w:val="00B01B98"/>
    <w:rsid w:val="00B01E28"/>
    <w:rsid w:val="00B02393"/>
    <w:rsid w:val="00B024BC"/>
    <w:rsid w:val="00B02622"/>
    <w:rsid w:val="00B02C64"/>
    <w:rsid w:val="00B02DCB"/>
    <w:rsid w:val="00B02E43"/>
    <w:rsid w:val="00B031F3"/>
    <w:rsid w:val="00B03299"/>
    <w:rsid w:val="00B036BB"/>
    <w:rsid w:val="00B03777"/>
    <w:rsid w:val="00B04162"/>
    <w:rsid w:val="00B04940"/>
    <w:rsid w:val="00B04B41"/>
    <w:rsid w:val="00B052A4"/>
    <w:rsid w:val="00B053A8"/>
    <w:rsid w:val="00B05481"/>
    <w:rsid w:val="00B058CE"/>
    <w:rsid w:val="00B05E90"/>
    <w:rsid w:val="00B06649"/>
    <w:rsid w:val="00B0664E"/>
    <w:rsid w:val="00B06656"/>
    <w:rsid w:val="00B06787"/>
    <w:rsid w:val="00B0686B"/>
    <w:rsid w:val="00B06C7E"/>
    <w:rsid w:val="00B06CDB"/>
    <w:rsid w:val="00B06DE3"/>
    <w:rsid w:val="00B06DE5"/>
    <w:rsid w:val="00B07018"/>
    <w:rsid w:val="00B073D1"/>
    <w:rsid w:val="00B076E2"/>
    <w:rsid w:val="00B07E33"/>
    <w:rsid w:val="00B10068"/>
    <w:rsid w:val="00B1007B"/>
    <w:rsid w:val="00B1014F"/>
    <w:rsid w:val="00B109E4"/>
    <w:rsid w:val="00B10A20"/>
    <w:rsid w:val="00B10CB7"/>
    <w:rsid w:val="00B1114D"/>
    <w:rsid w:val="00B1129F"/>
    <w:rsid w:val="00B11360"/>
    <w:rsid w:val="00B117AF"/>
    <w:rsid w:val="00B11ABA"/>
    <w:rsid w:val="00B11C19"/>
    <w:rsid w:val="00B11CDA"/>
    <w:rsid w:val="00B11CDC"/>
    <w:rsid w:val="00B1227D"/>
    <w:rsid w:val="00B12284"/>
    <w:rsid w:val="00B12390"/>
    <w:rsid w:val="00B125DE"/>
    <w:rsid w:val="00B12896"/>
    <w:rsid w:val="00B12A18"/>
    <w:rsid w:val="00B12FB0"/>
    <w:rsid w:val="00B13285"/>
    <w:rsid w:val="00B13BA4"/>
    <w:rsid w:val="00B13DF2"/>
    <w:rsid w:val="00B13E0C"/>
    <w:rsid w:val="00B13E64"/>
    <w:rsid w:val="00B13FDD"/>
    <w:rsid w:val="00B14533"/>
    <w:rsid w:val="00B1496C"/>
    <w:rsid w:val="00B14A99"/>
    <w:rsid w:val="00B14EB2"/>
    <w:rsid w:val="00B152FC"/>
    <w:rsid w:val="00B1558C"/>
    <w:rsid w:val="00B15698"/>
    <w:rsid w:val="00B156F1"/>
    <w:rsid w:val="00B16224"/>
    <w:rsid w:val="00B1624C"/>
    <w:rsid w:val="00B16344"/>
    <w:rsid w:val="00B16625"/>
    <w:rsid w:val="00B16727"/>
    <w:rsid w:val="00B1672C"/>
    <w:rsid w:val="00B167AE"/>
    <w:rsid w:val="00B1684D"/>
    <w:rsid w:val="00B1695B"/>
    <w:rsid w:val="00B16CAE"/>
    <w:rsid w:val="00B16E95"/>
    <w:rsid w:val="00B1700F"/>
    <w:rsid w:val="00B17385"/>
    <w:rsid w:val="00B17501"/>
    <w:rsid w:val="00B179BC"/>
    <w:rsid w:val="00B17EC7"/>
    <w:rsid w:val="00B201AD"/>
    <w:rsid w:val="00B20227"/>
    <w:rsid w:val="00B202C2"/>
    <w:rsid w:val="00B20399"/>
    <w:rsid w:val="00B205EA"/>
    <w:rsid w:val="00B2078F"/>
    <w:rsid w:val="00B20C7A"/>
    <w:rsid w:val="00B21144"/>
    <w:rsid w:val="00B214A1"/>
    <w:rsid w:val="00B21582"/>
    <w:rsid w:val="00B21666"/>
    <w:rsid w:val="00B21942"/>
    <w:rsid w:val="00B219E2"/>
    <w:rsid w:val="00B21CAD"/>
    <w:rsid w:val="00B21E49"/>
    <w:rsid w:val="00B21E6D"/>
    <w:rsid w:val="00B21E72"/>
    <w:rsid w:val="00B221CC"/>
    <w:rsid w:val="00B227BA"/>
    <w:rsid w:val="00B22CB2"/>
    <w:rsid w:val="00B22EB2"/>
    <w:rsid w:val="00B2312A"/>
    <w:rsid w:val="00B231CD"/>
    <w:rsid w:val="00B237DE"/>
    <w:rsid w:val="00B23A01"/>
    <w:rsid w:val="00B23B25"/>
    <w:rsid w:val="00B23B8F"/>
    <w:rsid w:val="00B23D5F"/>
    <w:rsid w:val="00B23F10"/>
    <w:rsid w:val="00B24265"/>
    <w:rsid w:val="00B24499"/>
    <w:rsid w:val="00B24576"/>
    <w:rsid w:val="00B246DD"/>
    <w:rsid w:val="00B24A12"/>
    <w:rsid w:val="00B24FA4"/>
    <w:rsid w:val="00B24FD9"/>
    <w:rsid w:val="00B2534C"/>
    <w:rsid w:val="00B254AD"/>
    <w:rsid w:val="00B25679"/>
    <w:rsid w:val="00B25A65"/>
    <w:rsid w:val="00B25D26"/>
    <w:rsid w:val="00B25E4C"/>
    <w:rsid w:val="00B25FDB"/>
    <w:rsid w:val="00B26214"/>
    <w:rsid w:val="00B26713"/>
    <w:rsid w:val="00B26763"/>
    <w:rsid w:val="00B26A9D"/>
    <w:rsid w:val="00B26BF4"/>
    <w:rsid w:val="00B26D40"/>
    <w:rsid w:val="00B26FA3"/>
    <w:rsid w:val="00B26FEA"/>
    <w:rsid w:val="00B27187"/>
    <w:rsid w:val="00B2724F"/>
    <w:rsid w:val="00B27442"/>
    <w:rsid w:val="00B274DA"/>
    <w:rsid w:val="00B2751F"/>
    <w:rsid w:val="00B2769F"/>
    <w:rsid w:val="00B27744"/>
    <w:rsid w:val="00B27A74"/>
    <w:rsid w:val="00B27B39"/>
    <w:rsid w:val="00B30104"/>
    <w:rsid w:val="00B304A6"/>
    <w:rsid w:val="00B3055A"/>
    <w:rsid w:val="00B30678"/>
    <w:rsid w:val="00B30815"/>
    <w:rsid w:val="00B30AC2"/>
    <w:rsid w:val="00B30E5D"/>
    <w:rsid w:val="00B30EE5"/>
    <w:rsid w:val="00B31167"/>
    <w:rsid w:val="00B3148D"/>
    <w:rsid w:val="00B3179E"/>
    <w:rsid w:val="00B31942"/>
    <w:rsid w:val="00B32245"/>
    <w:rsid w:val="00B3249C"/>
    <w:rsid w:val="00B329D8"/>
    <w:rsid w:val="00B32BB9"/>
    <w:rsid w:val="00B32E9F"/>
    <w:rsid w:val="00B336F2"/>
    <w:rsid w:val="00B33777"/>
    <w:rsid w:val="00B337C7"/>
    <w:rsid w:val="00B33AE1"/>
    <w:rsid w:val="00B33C5C"/>
    <w:rsid w:val="00B3427C"/>
    <w:rsid w:val="00B344B5"/>
    <w:rsid w:val="00B345C9"/>
    <w:rsid w:val="00B3462F"/>
    <w:rsid w:val="00B34926"/>
    <w:rsid w:val="00B34AB4"/>
    <w:rsid w:val="00B356F6"/>
    <w:rsid w:val="00B35724"/>
    <w:rsid w:val="00B359C6"/>
    <w:rsid w:val="00B35E28"/>
    <w:rsid w:val="00B35FDE"/>
    <w:rsid w:val="00B3608F"/>
    <w:rsid w:val="00B362D2"/>
    <w:rsid w:val="00B36672"/>
    <w:rsid w:val="00B36848"/>
    <w:rsid w:val="00B36C3B"/>
    <w:rsid w:val="00B36D4C"/>
    <w:rsid w:val="00B36D5C"/>
    <w:rsid w:val="00B36EE3"/>
    <w:rsid w:val="00B37650"/>
    <w:rsid w:val="00B37848"/>
    <w:rsid w:val="00B37C38"/>
    <w:rsid w:val="00B37D46"/>
    <w:rsid w:val="00B37EE6"/>
    <w:rsid w:val="00B37F25"/>
    <w:rsid w:val="00B40439"/>
    <w:rsid w:val="00B406CE"/>
    <w:rsid w:val="00B40818"/>
    <w:rsid w:val="00B40911"/>
    <w:rsid w:val="00B40B51"/>
    <w:rsid w:val="00B40BE4"/>
    <w:rsid w:val="00B40F4C"/>
    <w:rsid w:val="00B40FD0"/>
    <w:rsid w:val="00B410BA"/>
    <w:rsid w:val="00B410F9"/>
    <w:rsid w:val="00B410FF"/>
    <w:rsid w:val="00B413ED"/>
    <w:rsid w:val="00B41485"/>
    <w:rsid w:val="00B418EB"/>
    <w:rsid w:val="00B41B4A"/>
    <w:rsid w:val="00B41FB4"/>
    <w:rsid w:val="00B420A4"/>
    <w:rsid w:val="00B42116"/>
    <w:rsid w:val="00B42274"/>
    <w:rsid w:val="00B423FF"/>
    <w:rsid w:val="00B4288C"/>
    <w:rsid w:val="00B429AA"/>
    <w:rsid w:val="00B42EE2"/>
    <w:rsid w:val="00B4302A"/>
    <w:rsid w:val="00B4310E"/>
    <w:rsid w:val="00B43262"/>
    <w:rsid w:val="00B4364D"/>
    <w:rsid w:val="00B43AF8"/>
    <w:rsid w:val="00B43B01"/>
    <w:rsid w:val="00B43CC8"/>
    <w:rsid w:val="00B43FF9"/>
    <w:rsid w:val="00B44100"/>
    <w:rsid w:val="00B441D9"/>
    <w:rsid w:val="00B444C0"/>
    <w:rsid w:val="00B44605"/>
    <w:rsid w:val="00B44A46"/>
    <w:rsid w:val="00B44A75"/>
    <w:rsid w:val="00B44C50"/>
    <w:rsid w:val="00B44F25"/>
    <w:rsid w:val="00B4580E"/>
    <w:rsid w:val="00B45A64"/>
    <w:rsid w:val="00B45E3E"/>
    <w:rsid w:val="00B46062"/>
    <w:rsid w:val="00B466A2"/>
    <w:rsid w:val="00B46835"/>
    <w:rsid w:val="00B46B58"/>
    <w:rsid w:val="00B46CBA"/>
    <w:rsid w:val="00B46F57"/>
    <w:rsid w:val="00B46F94"/>
    <w:rsid w:val="00B4713B"/>
    <w:rsid w:val="00B4724A"/>
    <w:rsid w:val="00B47269"/>
    <w:rsid w:val="00B47308"/>
    <w:rsid w:val="00B4744A"/>
    <w:rsid w:val="00B47BA3"/>
    <w:rsid w:val="00B505A6"/>
    <w:rsid w:val="00B50B03"/>
    <w:rsid w:val="00B50DBE"/>
    <w:rsid w:val="00B50E87"/>
    <w:rsid w:val="00B510EC"/>
    <w:rsid w:val="00B51343"/>
    <w:rsid w:val="00B51564"/>
    <w:rsid w:val="00B5159D"/>
    <w:rsid w:val="00B5195E"/>
    <w:rsid w:val="00B519B6"/>
    <w:rsid w:val="00B51D72"/>
    <w:rsid w:val="00B51E0D"/>
    <w:rsid w:val="00B51EC0"/>
    <w:rsid w:val="00B52009"/>
    <w:rsid w:val="00B5202C"/>
    <w:rsid w:val="00B5298E"/>
    <w:rsid w:val="00B52A94"/>
    <w:rsid w:val="00B52BCE"/>
    <w:rsid w:val="00B52CBE"/>
    <w:rsid w:val="00B52D00"/>
    <w:rsid w:val="00B52EC7"/>
    <w:rsid w:val="00B52FEE"/>
    <w:rsid w:val="00B5321E"/>
    <w:rsid w:val="00B5341A"/>
    <w:rsid w:val="00B53DA9"/>
    <w:rsid w:val="00B541C9"/>
    <w:rsid w:val="00B542B0"/>
    <w:rsid w:val="00B544D9"/>
    <w:rsid w:val="00B54752"/>
    <w:rsid w:val="00B54DFA"/>
    <w:rsid w:val="00B5508B"/>
    <w:rsid w:val="00B55208"/>
    <w:rsid w:val="00B55505"/>
    <w:rsid w:val="00B5559D"/>
    <w:rsid w:val="00B55BB3"/>
    <w:rsid w:val="00B55CAF"/>
    <w:rsid w:val="00B55E70"/>
    <w:rsid w:val="00B5602F"/>
    <w:rsid w:val="00B56243"/>
    <w:rsid w:val="00B5628C"/>
    <w:rsid w:val="00B56579"/>
    <w:rsid w:val="00B56711"/>
    <w:rsid w:val="00B56BFA"/>
    <w:rsid w:val="00B5712B"/>
    <w:rsid w:val="00B57377"/>
    <w:rsid w:val="00B57388"/>
    <w:rsid w:val="00B57396"/>
    <w:rsid w:val="00B576D6"/>
    <w:rsid w:val="00B57727"/>
    <w:rsid w:val="00B57BFE"/>
    <w:rsid w:val="00B6003C"/>
    <w:rsid w:val="00B601B5"/>
    <w:rsid w:val="00B601FC"/>
    <w:rsid w:val="00B602C6"/>
    <w:rsid w:val="00B60351"/>
    <w:rsid w:val="00B605BF"/>
    <w:rsid w:val="00B606DD"/>
    <w:rsid w:val="00B607B6"/>
    <w:rsid w:val="00B609CB"/>
    <w:rsid w:val="00B60BA7"/>
    <w:rsid w:val="00B60C83"/>
    <w:rsid w:val="00B60D2C"/>
    <w:rsid w:val="00B61B4B"/>
    <w:rsid w:val="00B61F03"/>
    <w:rsid w:val="00B61F04"/>
    <w:rsid w:val="00B6212B"/>
    <w:rsid w:val="00B62267"/>
    <w:rsid w:val="00B622F3"/>
    <w:rsid w:val="00B62507"/>
    <w:rsid w:val="00B625DB"/>
    <w:rsid w:val="00B626E4"/>
    <w:rsid w:val="00B6292D"/>
    <w:rsid w:val="00B62A51"/>
    <w:rsid w:val="00B62C11"/>
    <w:rsid w:val="00B62E47"/>
    <w:rsid w:val="00B62E9E"/>
    <w:rsid w:val="00B62F8C"/>
    <w:rsid w:val="00B6374E"/>
    <w:rsid w:val="00B63A1E"/>
    <w:rsid w:val="00B64012"/>
    <w:rsid w:val="00B64428"/>
    <w:rsid w:val="00B64806"/>
    <w:rsid w:val="00B64E1E"/>
    <w:rsid w:val="00B65162"/>
    <w:rsid w:val="00B65492"/>
    <w:rsid w:val="00B656E1"/>
    <w:rsid w:val="00B65E88"/>
    <w:rsid w:val="00B6646A"/>
    <w:rsid w:val="00B66488"/>
    <w:rsid w:val="00B669E5"/>
    <w:rsid w:val="00B66ABD"/>
    <w:rsid w:val="00B67082"/>
    <w:rsid w:val="00B67092"/>
    <w:rsid w:val="00B67195"/>
    <w:rsid w:val="00B678D1"/>
    <w:rsid w:val="00B67A04"/>
    <w:rsid w:val="00B67D9A"/>
    <w:rsid w:val="00B67E49"/>
    <w:rsid w:val="00B67FC4"/>
    <w:rsid w:val="00B70184"/>
    <w:rsid w:val="00B704E4"/>
    <w:rsid w:val="00B705FD"/>
    <w:rsid w:val="00B70733"/>
    <w:rsid w:val="00B7092D"/>
    <w:rsid w:val="00B7183D"/>
    <w:rsid w:val="00B71C89"/>
    <w:rsid w:val="00B7212A"/>
    <w:rsid w:val="00B72465"/>
    <w:rsid w:val="00B72788"/>
    <w:rsid w:val="00B72ABA"/>
    <w:rsid w:val="00B72ACF"/>
    <w:rsid w:val="00B72B9E"/>
    <w:rsid w:val="00B72C61"/>
    <w:rsid w:val="00B72F4A"/>
    <w:rsid w:val="00B72F5A"/>
    <w:rsid w:val="00B73654"/>
    <w:rsid w:val="00B73D71"/>
    <w:rsid w:val="00B7444A"/>
    <w:rsid w:val="00B74570"/>
    <w:rsid w:val="00B745F1"/>
    <w:rsid w:val="00B74635"/>
    <w:rsid w:val="00B748B3"/>
    <w:rsid w:val="00B748C6"/>
    <w:rsid w:val="00B74DB6"/>
    <w:rsid w:val="00B75059"/>
    <w:rsid w:val="00B75210"/>
    <w:rsid w:val="00B75650"/>
    <w:rsid w:val="00B7587D"/>
    <w:rsid w:val="00B7615F"/>
    <w:rsid w:val="00B76183"/>
    <w:rsid w:val="00B76271"/>
    <w:rsid w:val="00B763ED"/>
    <w:rsid w:val="00B7676F"/>
    <w:rsid w:val="00B767EF"/>
    <w:rsid w:val="00B771CC"/>
    <w:rsid w:val="00B77332"/>
    <w:rsid w:val="00B77532"/>
    <w:rsid w:val="00B7782B"/>
    <w:rsid w:val="00B77AD2"/>
    <w:rsid w:val="00B77BB7"/>
    <w:rsid w:val="00B77C5B"/>
    <w:rsid w:val="00B8009C"/>
    <w:rsid w:val="00B801E8"/>
    <w:rsid w:val="00B8056C"/>
    <w:rsid w:val="00B80A0E"/>
    <w:rsid w:val="00B80AF0"/>
    <w:rsid w:val="00B811EA"/>
    <w:rsid w:val="00B81950"/>
    <w:rsid w:val="00B81D0A"/>
    <w:rsid w:val="00B81E8E"/>
    <w:rsid w:val="00B8223D"/>
    <w:rsid w:val="00B82667"/>
    <w:rsid w:val="00B82783"/>
    <w:rsid w:val="00B82BF1"/>
    <w:rsid w:val="00B82D2D"/>
    <w:rsid w:val="00B82F9E"/>
    <w:rsid w:val="00B82FDC"/>
    <w:rsid w:val="00B8382E"/>
    <w:rsid w:val="00B838C5"/>
    <w:rsid w:val="00B83999"/>
    <w:rsid w:val="00B83C11"/>
    <w:rsid w:val="00B83C27"/>
    <w:rsid w:val="00B83CA6"/>
    <w:rsid w:val="00B84058"/>
    <w:rsid w:val="00B841A0"/>
    <w:rsid w:val="00B845D8"/>
    <w:rsid w:val="00B84BC3"/>
    <w:rsid w:val="00B84BDD"/>
    <w:rsid w:val="00B8503D"/>
    <w:rsid w:val="00B85110"/>
    <w:rsid w:val="00B8542B"/>
    <w:rsid w:val="00B854C5"/>
    <w:rsid w:val="00B85858"/>
    <w:rsid w:val="00B85A8D"/>
    <w:rsid w:val="00B85E4B"/>
    <w:rsid w:val="00B86018"/>
    <w:rsid w:val="00B860BB"/>
    <w:rsid w:val="00B860C4"/>
    <w:rsid w:val="00B8661F"/>
    <w:rsid w:val="00B86974"/>
    <w:rsid w:val="00B86A28"/>
    <w:rsid w:val="00B86BE5"/>
    <w:rsid w:val="00B8700A"/>
    <w:rsid w:val="00B879B7"/>
    <w:rsid w:val="00B87A35"/>
    <w:rsid w:val="00B87B19"/>
    <w:rsid w:val="00B87CC9"/>
    <w:rsid w:val="00B87D6A"/>
    <w:rsid w:val="00B90382"/>
    <w:rsid w:val="00B9045D"/>
    <w:rsid w:val="00B9059F"/>
    <w:rsid w:val="00B906E2"/>
    <w:rsid w:val="00B90DED"/>
    <w:rsid w:val="00B910B5"/>
    <w:rsid w:val="00B9122B"/>
    <w:rsid w:val="00B91824"/>
    <w:rsid w:val="00B91952"/>
    <w:rsid w:val="00B91ED4"/>
    <w:rsid w:val="00B92249"/>
    <w:rsid w:val="00B924FF"/>
    <w:rsid w:val="00B927E1"/>
    <w:rsid w:val="00B92812"/>
    <w:rsid w:val="00B92D45"/>
    <w:rsid w:val="00B92E3E"/>
    <w:rsid w:val="00B93203"/>
    <w:rsid w:val="00B9354B"/>
    <w:rsid w:val="00B93864"/>
    <w:rsid w:val="00B93C56"/>
    <w:rsid w:val="00B93CA4"/>
    <w:rsid w:val="00B93E1E"/>
    <w:rsid w:val="00B93F33"/>
    <w:rsid w:val="00B94292"/>
    <w:rsid w:val="00B9499A"/>
    <w:rsid w:val="00B94A02"/>
    <w:rsid w:val="00B950EB"/>
    <w:rsid w:val="00B957D6"/>
    <w:rsid w:val="00B95BA5"/>
    <w:rsid w:val="00B95BD5"/>
    <w:rsid w:val="00B95E1A"/>
    <w:rsid w:val="00B96162"/>
    <w:rsid w:val="00B96579"/>
    <w:rsid w:val="00B96811"/>
    <w:rsid w:val="00B96935"/>
    <w:rsid w:val="00B96AA4"/>
    <w:rsid w:val="00B96CCC"/>
    <w:rsid w:val="00B96F3D"/>
    <w:rsid w:val="00B97116"/>
    <w:rsid w:val="00B97665"/>
    <w:rsid w:val="00B976B6"/>
    <w:rsid w:val="00B97B45"/>
    <w:rsid w:val="00B97C38"/>
    <w:rsid w:val="00B97C7B"/>
    <w:rsid w:val="00BA0231"/>
    <w:rsid w:val="00BA04C0"/>
    <w:rsid w:val="00BA1028"/>
    <w:rsid w:val="00BA11D0"/>
    <w:rsid w:val="00BA11F4"/>
    <w:rsid w:val="00BA12B1"/>
    <w:rsid w:val="00BA142D"/>
    <w:rsid w:val="00BA1768"/>
    <w:rsid w:val="00BA1A28"/>
    <w:rsid w:val="00BA1E46"/>
    <w:rsid w:val="00BA1E5E"/>
    <w:rsid w:val="00BA1E73"/>
    <w:rsid w:val="00BA2028"/>
    <w:rsid w:val="00BA2075"/>
    <w:rsid w:val="00BA24D5"/>
    <w:rsid w:val="00BA258A"/>
    <w:rsid w:val="00BA260C"/>
    <w:rsid w:val="00BA2ACD"/>
    <w:rsid w:val="00BA2D61"/>
    <w:rsid w:val="00BA2F11"/>
    <w:rsid w:val="00BA301D"/>
    <w:rsid w:val="00BA3082"/>
    <w:rsid w:val="00BA3841"/>
    <w:rsid w:val="00BA4343"/>
    <w:rsid w:val="00BA434F"/>
    <w:rsid w:val="00BA4399"/>
    <w:rsid w:val="00BA43C1"/>
    <w:rsid w:val="00BA46F5"/>
    <w:rsid w:val="00BA47E9"/>
    <w:rsid w:val="00BA4980"/>
    <w:rsid w:val="00BA4AF1"/>
    <w:rsid w:val="00BA4CB6"/>
    <w:rsid w:val="00BA4E0F"/>
    <w:rsid w:val="00BA4EDB"/>
    <w:rsid w:val="00BA539C"/>
    <w:rsid w:val="00BA5765"/>
    <w:rsid w:val="00BA5B0E"/>
    <w:rsid w:val="00BA5D26"/>
    <w:rsid w:val="00BA5FDE"/>
    <w:rsid w:val="00BA605D"/>
    <w:rsid w:val="00BA6119"/>
    <w:rsid w:val="00BA646B"/>
    <w:rsid w:val="00BA66BC"/>
    <w:rsid w:val="00BA68AB"/>
    <w:rsid w:val="00BA68D8"/>
    <w:rsid w:val="00BA6C49"/>
    <w:rsid w:val="00BA70D6"/>
    <w:rsid w:val="00BA7168"/>
    <w:rsid w:val="00BA755D"/>
    <w:rsid w:val="00BA77F9"/>
    <w:rsid w:val="00BA7AB6"/>
    <w:rsid w:val="00BB0009"/>
    <w:rsid w:val="00BB00A9"/>
    <w:rsid w:val="00BB0386"/>
    <w:rsid w:val="00BB04E8"/>
    <w:rsid w:val="00BB0815"/>
    <w:rsid w:val="00BB0A2A"/>
    <w:rsid w:val="00BB0D9F"/>
    <w:rsid w:val="00BB0EC0"/>
    <w:rsid w:val="00BB1035"/>
    <w:rsid w:val="00BB1374"/>
    <w:rsid w:val="00BB152E"/>
    <w:rsid w:val="00BB159D"/>
    <w:rsid w:val="00BB17E8"/>
    <w:rsid w:val="00BB1A8A"/>
    <w:rsid w:val="00BB21F5"/>
    <w:rsid w:val="00BB22BC"/>
    <w:rsid w:val="00BB242F"/>
    <w:rsid w:val="00BB2551"/>
    <w:rsid w:val="00BB26F0"/>
    <w:rsid w:val="00BB2813"/>
    <w:rsid w:val="00BB2E95"/>
    <w:rsid w:val="00BB35C5"/>
    <w:rsid w:val="00BB390C"/>
    <w:rsid w:val="00BB3C87"/>
    <w:rsid w:val="00BB3CBF"/>
    <w:rsid w:val="00BB3F7F"/>
    <w:rsid w:val="00BB3FF5"/>
    <w:rsid w:val="00BB4105"/>
    <w:rsid w:val="00BB4181"/>
    <w:rsid w:val="00BB4239"/>
    <w:rsid w:val="00BB42A2"/>
    <w:rsid w:val="00BB42AB"/>
    <w:rsid w:val="00BB442D"/>
    <w:rsid w:val="00BB44E0"/>
    <w:rsid w:val="00BB45A1"/>
    <w:rsid w:val="00BB45F0"/>
    <w:rsid w:val="00BB477A"/>
    <w:rsid w:val="00BB499D"/>
    <w:rsid w:val="00BB4B08"/>
    <w:rsid w:val="00BB4DFA"/>
    <w:rsid w:val="00BB4EB9"/>
    <w:rsid w:val="00BB4F24"/>
    <w:rsid w:val="00BB508C"/>
    <w:rsid w:val="00BB5791"/>
    <w:rsid w:val="00BB5797"/>
    <w:rsid w:val="00BB5814"/>
    <w:rsid w:val="00BB5A3A"/>
    <w:rsid w:val="00BB5B35"/>
    <w:rsid w:val="00BB5F4B"/>
    <w:rsid w:val="00BB6335"/>
    <w:rsid w:val="00BB636B"/>
    <w:rsid w:val="00BB6465"/>
    <w:rsid w:val="00BB6863"/>
    <w:rsid w:val="00BB6A3B"/>
    <w:rsid w:val="00BB6B8F"/>
    <w:rsid w:val="00BB6C1F"/>
    <w:rsid w:val="00BB73D1"/>
    <w:rsid w:val="00BB7585"/>
    <w:rsid w:val="00BB7686"/>
    <w:rsid w:val="00BB7802"/>
    <w:rsid w:val="00BB785B"/>
    <w:rsid w:val="00BB78AF"/>
    <w:rsid w:val="00BB7ADC"/>
    <w:rsid w:val="00BB7C7A"/>
    <w:rsid w:val="00BB7CE3"/>
    <w:rsid w:val="00BB7D0A"/>
    <w:rsid w:val="00BB7E24"/>
    <w:rsid w:val="00BC0044"/>
    <w:rsid w:val="00BC034F"/>
    <w:rsid w:val="00BC04F3"/>
    <w:rsid w:val="00BC05B5"/>
    <w:rsid w:val="00BC08F1"/>
    <w:rsid w:val="00BC0F86"/>
    <w:rsid w:val="00BC1315"/>
    <w:rsid w:val="00BC17C3"/>
    <w:rsid w:val="00BC1A32"/>
    <w:rsid w:val="00BC1FC4"/>
    <w:rsid w:val="00BC23D6"/>
    <w:rsid w:val="00BC23F9"/>
    <w:rsid w:val="00BC26DB"/>
    <w:rsid w:val="00BC2779"/>
    <w:rsid w:val="00BC2789"/>
    <w:rsid w:val="00BC27D2"/>
    <w:rsid w:val="00BC28C5"/>
    <w:rsid w:val="00BC2DCE"/>
    <w:rsid w:val="00BC3421"/>
    <w:rsid w:val="00BC365B"/>
    <w:rsid w:val="00BC38CE"/>
    <w:rsid w:val="00BC39AB"/>
    <w:rsid w:val="00BC3E99"/>
    <w:rsid w:val="00BC3FD8"/>
    <w:rsid w:val="00BC413C"/>
    <w:rsid w:val="00BC4402"/>
    <w:rsid w:val="00BC4412"/>
    <w:rsid w:val="00BC452B"/>
    <w:rsid w:val="00BC45BD"/>
    <w:rsid w:val="00BC462B"/>
    <w:rsid w:val="00BC4B74"/>
    <w:rsid w:val="00BC507F"/>
    <w:rsid w:val="00BC53DE"/>
    <w:rsid w:val="00BC5475"/>
    <w:rsid w:val="00BC58C6"/>
    <w:rsid w:val="00BC5A96"/>
    <w:rsid w:val="00BC5B7A"/>
    <w:rsid w:val="00BC5C5C"/>
    <w:rsid w:val="00BC5F00"/>
    <w:rsid w:val="00BC60B1"/>
    <w:rsid w:val="00BC61BF"/>
    <w:rsid w:val="00BC61ED"/>
    <w:rsid w:val="00BC6E98"/>
    <w:rsid w:val="00BC6FEA"/>
    <w:rsid w:val="00BC72B0"/>
    <w:rsid w:val="00BC732C"/>
    <w:rsid w:val="00BC7830"/>
    <w:rsid w:val="00BC79A4"/>
    <w:rsid w:val="00BD04BF"/>
    <w:rsid w:val="00BD04F9"/>
    <w:rsid w:val="00BD080D"/>
    <w:rsid w:val="00BD0E27"/>
    <w:rsid w:val="00BD12D2"/>
    <w:rsid w:val="00BD162E"/>
    <w:rsid w:val="00BD16D1"/>
    <w:rsid w:val="00BD1987"/>
    <w:rsid w:val="00BD1B63"/>
    <w:rsid w:val="00BD21BB"/>
    <w:rsid w:val="00BD22CF"/>
    <w:rsid w:val="00BD2764"/>
    <w:rsid w:val="00BD293A"/>
    <w:rsid w:val="00BD2C4C"/>
    <w:rsid w:val="00BD2D30"/>
    <w:rsid w:val="00BD2F2D"/>
    <w:rsid w:val="00BD374C"/>
    <w:rsid w:val="00BD3D68"/>
    <w:rsid w:val="00BD40ED"/>
    <w:rsid w:val="00BD4134"/>
    <w:rsid w:val="00BD441E"/>
    <w:rsid w:val="00BD4421"/>
    <w:rsid w:val="00BD495D"/>
    <w:rsid w:val="00BD4E03"/>
    <w:rsid w:val="00BD5332"/>
    <w:rsid w:val="00BD53F8"/>
    <w:rsid w:val="00BD562B"/>
    <w:rsid w:val="00BD567F"/>
    <w:rsid w:val="00BD594F"/>
    <w:rsid w:val="00BD5E3D"/>
    <w:rsid w:val="00BD61B4"/>
    <w:rsid w:val="00BD67B6"/>
    <w:rsid w:val="00BD68A7"/>
    <w:rsid w:val="00BD6AE7"/>
    <w:rsid w:val="00BD6D5B"/>
    <w:rsid w:val="00BD6DA9"/>
    <w:rsid w:val="00BD6DE4"/>
    <w:rsid w:val="00BD7162"/>
    <w:rsid w:val="00BD7250"/>
    <w:rsid w:val="00BD739C"/>
    <w:rsid w:val="00BD763C"/>
    <w:rsid w:val="00BD7940"/>
    <w:rsid w:val="00BD7B55"/>
    <w:rsid w:val="00BE01ED"/>
    <w:rsid w:val="00BE06B2"/>
    <w:rsid w:val="00BE07A6"/>
    <w:rsid w:val="00BE08B3"/>
    <w:rsid w:val="00BE0BCD"/>
    <w:rsid w:val="00BE0F68"/>
    <w:rsid w:val="00BE0FC4"/>
    <w:rsid w:val="00BE16A1"/>
    <w:rsid w:val="00BE1833"/>
    <w:rsid w:val="00BE1ABC"/>
    <w:rsid w:val="00BE1E62"/>
    <w:rsid w:val="00BE205D"/>
    <w:rsid w:val="00BE235A"/>
    <w:rsid w:val="00BE2580"/>
    <w:rsid w:val="00BE266D"/>
    <w:rsid w:val="00BE270D"/>
    <w:rsid w:val="00BE2999"/>
    <w:rsid w:val="00BE2A92"/>
    <w:rsid w:val="00BE323E"/>
    <w:rsid w:val="00BE331B"/>
    <w:rsid w:val="00BE3450"/>
    <w:rsid w:val="00BE354D"/>
    <w:rsid w:val="00BE3938"/>
    <w:rsid w:val="00BE3B63"/>
    <w:rsid w:val="00BE3D06"/>
    <w:rsid w:val="00BE4113"/>
    <w:rsid w:val="00BE429C"/>
    <w:rsid w:val="00BE43FC"/>
    <w:rsid w:val="00BE4B50"/>
    <w:rsid w:val="00BE4C11"/>
    <w:rsid w:val="00BE4C32"/>
    <w:rsid w:val="00BE4EC5"/>
    <w:rsid w:val="00BE5156"/>
    <w:rsid w:val="00BE54BD"/>
    <w:rsid w:val="00BE554C"/>
    <w:rsid w:val="00BE5752"/>
    <w:rsid w:val="00BE5B2C"/>
    <w:rsid w:val="00BE5CC8"/>
    <w:rsid w:val="00BE5F76"/>
    <w:rsid w:val="00BE6325"/>
    <w:rsid w:val="00BE6628"/>
    <w:rsid w:val="00BE67C6"/>
    <w:rsid w:val="00BE6C36"/>
    <w:rsid w:val="00BE6E81"/>
    <w:rsid w:val="00BE6FA8"/>
    <w:rsid w:val="00BE702F"/>
    <w:rsid w:val="00BE714E"/>
    <w:rsid w:val="00BE71C0"/>
    <w:rsid w:val="00BE745A"/>
    <w:rsid w:val="00BE74D5"/>
    <w:rsid w:val="00BE7692"/>
    <w:rsid w:val="00BE77DD"/>
    <w:rsid w:val="00BE7834"/>
    <w:rsid w:val="00BE7E03"/>
    <w:rsid w:val="00BF0062"/>
    <w:rsid w:val="00BF0227"/>
    <w:rsid w:val="00BF0282"/>
    <w:rsid w:val="00BF0674"/>
    <w:rsid w:val="00BF0D9E"/>
    <w:rsid w:val="00BF1670"/>
    <w:rsid w:val="00BF1782"/>
    <w:rsid w:val="00BF194A"/>
    <w:rsid w:val="00BF1D8F"/>
    <w:rsid w:val="00BF1DDF"/>
    <w:rsid w:val="00BF20B8"/>
    <w:rsid w:val="00BF20D1"/>
    <w:rsid w:val="00BF2441"/>
    <w:rsid w:val="00BF25E8"/>
    <w:rsid w:val="00BF26FF"/>
    <w:rsid w:val="00BF2767"/>
    <w:rsid w:val="00BF2DED"/>
    <w:rsid w:val="00BF2F1A"/>
    <w:rsid w:val="00BF30B8"/>
    <w:rsid w:val="00BF354D"/>
    <w:rsid w:val="00BF36AC"/>
    <w:rsid w:val="00BF380F"/>
    <w:rsid w:val="00BF3BC9"/>
    <w:rsid w:val="00BF3C78"/>
    <w:rsid w:val="00BF3F28"/>
    <w:rsid w:val="00BF451C"/>
    <w:rsid w:val="00BF4732"/>
    <w:rsid w:val="00BF48A8"/>
    <w:rsid w:val="00BF4D28"/>
    <w:rsid w:val="00BF53C8"/>
    <w:rsid w:val="00BF55FE"/>
    <w:rsid w:val="00BF5C77"/>
    <w:rsid w:val="00BF5D65"/>
    <w:rsid w:val="00BF5E1B"/>
    <w:rsid w:val="00BF5EC6"/>
    <w:rsid w:val="00BF610C"/>
    <w:rsid w:val="00BF6136"/>
    <w:rsid w:val="00BF61C9"/>
    <w:rsid w:val="00BF6461"/>
    <w:rsid w:val="00BF6984"/>
    <w:rsid w:val="00BF6AB1"/>
    <w:rsid w:val="00BF6FFC"/>
    <w:rsid w:val="00BF7104"/>
    <w:rsid w:val="00BF7306"/>
    <w:rsid w:val="00BF7332"/>
    <w:rsid w:val="00BF76A9"/>
    <w:rsid w:val="00BF7CA3"/>
    <w:rsid w:val="00C00044"/>
    <w:rsid w:val="00C00061"/>
    <w:rsid w:val="00C00594"/>
    <w:rsid w:val="00C005D1"/>
    <w:rsid w:val="00C0060B"/>
    <w:rsid w:val="00C00631"/>
    <w:rsid w:val="00C00C5A"/>
    <w:rsid w:val="00C00E10"/>
    <w:rsid w:val="00C010B6"/>
    <w:rsid w:val="00C01513"/>
    <w:rsid w:val="00C018B6"/>
    <w:rsid w:val="00C018E3"/>
    <w:rsid w:val="00C01A6C"/>
    <w:rsid w:val="00C01E00"/>
    <w:rsid w:val="00C01F59"/>
    <w:rsid w:val="00C02056"/>
    <w:rsid w:val="00C02441"/>
    <w:rsid w:val="00C025A1"/>
    <w:rsid w:val="00C0277D"/>
    <w:rsid w:val="00C0293C"/>
    <w:rsid w:val="00C02C8E"/>
    <w:rsid w:val="00C02F26"/>
    <w:rsid w:val="00C03163"/>
    <w:rsid w:val="00C03291"/>
    <w:rsid w:val="00C033A8"/>
    <w:rsid w:val="00C037FC"/>
    <w:rsid w:val="00C038D7"/>
    <w:rsid w:val="00C03946"/>
    <w:rsid w:val="00C039BF"/>
    <w:rsid w:val="00C03AAA"/>
    <w:rsid w:val="00C03EFC"/>
    <w:rsid w:val="00C04480"/>
    <w:rsid w:val="00C04665"/>
    <w:rsid w:val="00C0474F"/>
    <w:rsid w:val="00C04777"/>
    <w:rsid w:val="00C0478F"/>
    <w:rsid w:val="00C04914"/>
    <w:rsid w:val="00C04B7B"/>
    <w:rsid w:val="00C04B8D"/>
    <w:rsid w:val="00C04C8B"/>
    <w:rsid w:val="00C04FCF"/>
    <w:rsid w:val="00C050EE"/>
    <w:rsid w:val="00C053A1"/>
    <w:rsid w:val="00C05547"/>
    <w:rsid w:val="00C05558"/>
    <w:rsid w:val="00C05688"/>
    <w:rsid w:val="00C059AF"/>
    <w:rsid w:val="00C05D57"/>
    <w:rsid w:val="00C05F1C"/>
    <w:rsid w:val="00C06329"/>
    <w:rsid w:val="00C065A1"/>
    <w:rsid w:val="00C06847"/>
    <w:rsid w:val="00C068D6"/>
    <w:rsid w:val="00C0693D"/>
    <w:rsid w:val="00C06BD4"/>
    <w:rsid w:val="00C06CDB"/>
    <w:rsid w:val="00C06D74"/>
    <w:rsid w:val="00C06ECA"/>
    <w:rsid w:val="00C07086"/>
    <w:rsid w:val="00C0711F"/>
    <w:rsid w:val="00C07876"/>
    <w:rsid w:val="00C0795D"/>
    <w:rsid w:val="00C07B3D"/>
    <w:rsid w:val="00C10159"/>
    <w:rsid w:val="00C10360"/>
    <w:rsid w:val="00C103BB"/>
    <w:rsid w:val="00C108FC"/>
    <w:rsid w:val="00C1099E"/>
    <w:rsid w:val="00C10B1F"/>
    <w:rsid w:val="00C119BC"/>
    <w:rsid w:val="00C11AA2"/>
    <w:rsid w:val="00C11BEA"/>
    <w:rsid w:val="00C11CDA"/>
    <w:rsid w:val="00C11F23"/>
    <w:rsid w:val="00C11FE8"/>
    <w:rsid w:val="00C12138"/>
    <w:rsid w:val="00C12347"/>
    <w:rsid w:val="00C123AE"/>
    <w:rsid w:val="00C1249E"/>
    <w:rsid w:val="00C1253C"/>
    <w:rsid w:val="00C1256A"/>
    <w:rsid w:val="00C1256C"/>
    <w:rsid w:val="00C1261F"/>
    <w:rsid w:val="00C1294D"/>
    <w:rsid w:val="00C12A2C"/>
    <w:rsid w:val="00C12D90"/>
    <w:rsid w:val="00C1347A"/>
    <w:rsid w:val="00C1347E"/>
    <w:rsid w:val="00C13CA7"/>
    <w:rsid w:val="00C14173"/>
    <w:rsid w:val="00C141BA"/>
    <w:rsid w:val="00C14A6A"/>
    <w:rsid w:val="00C14AA3"/>
    <w:rsid w:val="00C14AD5"/>
    <w:rsid w:val="00C15B0D"/>
    <w:rsid w:val="00C15D78"/>
    <w:rsid w:val="00C15FFB"/>
    <w:rsid w:val="00C16198"/>
    <w:rsid w:val="00C16218"/>
    <w:rsid w:val="00C1648A"/>
    <w:rsid w:val="00C170BA"/>
    <w:rsid w:val="00C1713E"/>
    <w:rsid w:val="00C172C0"/>
    <w:rsid w:val="00C17313"/>
    <w:rsid w:val="00C17677"/>
    <w:rsid w:val="00C17A62"/>
    <w:rsid w:val="00C17DC7"/>
    <w:rsid w:val="00C20158"/>
    <w:rsid w:val="00C20593"/>
    <w:rsid w:val="00C2083D"/>
    <w:rsid w:val="00C20935"/>
    <w:rsid w:val="00C20A87"/>
    <w:rsid w:val="00C2153A"/>
    <w:rsid w:val="00C2170A"/>
    <w:rsid w:val="00C2182F"/>
    <w:rsid w:val="00C21BFF"/>
    <w:rsid w:val="00C21DB4"/>
    <w:rsid w:val="00C21DD7"/>
    <w:rsid w:val="00C21F7C"/>
    <w:rsid w:val="00C22033"/>
    <w:rsid w:val="00C22321"/>
    <w:rsid w:val="00C22533"/>
    <w:rsid w:val="00C2255D"/>
    <w:rsid w:val="00C22692"/>
    <w:rsid w:val="00C22A57"/>
    <w:rsid w:val="00C22DAA"/>
    <w:rsid w:val="00C22E33"/>
    <w:rsid w:val="00C2308C"/>
    <w:rsid w:val="00C239C9"/>
    <w:rsid w:val="00C23B23"/>
    <w:rsid w:val="00C23BDB"/>
    <w:rsid w:val="00C24271"/>
    <w:rsid w:val="00C24466"/>
    <w:rsid w:val="00C244C2"/>
    <w:rsid w:val="00C248C2"/>
    <w:rsid w:val="00C24A53"/>
    <w:rsid w:val="00C24AFD"/>
    <w:rsid w:val="00C24B15"/>
    <w:rsid w:val="00C24B7C"/>
    <w:rsid w:val="00C24BC8"/>
    <w:rsid w:val="00C24E38"/>
    <w:rsid w:val="00C24FD3"/>
    <w:rsid w:val="00C2532B"/>
    <w:rsid w:val="00C254F6"/>
    <w:rsid w:val="00C255DB"/>
    <w:rsid w:val="00C25DBB"/>
    <w:rsid w:val="00C25E21"/>
    <w:rsid w:val="00C2609B"/>
    <w:rsid w:val="00C26175"/>
    <w:rsid w:val="00C26258"/>
    <w:rsid w:val="00C265A9"/>
    <w:rsid w:val="00C265F8"/>
    <w:rsid w:val="00C266D6"/>
    <w:rsid w:val="00C26A66"/>
    <w:rsid w:val="00C26AA2"/>
    <w:rsid w:val="00C26D0E"/>
    <w:rsid w:val="00C26FA2"/>
    <w:rsid w:val="00C26FD3"/>
    <w:rsid w:val="00C2718C"/>
    <w:rsid w:val="00C27629"/>
    <w:rsid w:val="00C2791D"/>
    <w:rsid w:val="00C27DAC"/>
    <w:rsid w:val="00C27DB9"/>
    <w:rsid w:val="00C27E28"/>
    <w:rsid w:val="00C27EF7"/>
    <w:rsid w:val="00C302A4"/>
    <w:rsid w:val="00C3054B"/>
    <w:rsid w:val="00C30C43"/>
    <w:rsid w:val="00C30D16"/>
    <w:rsid w:val="00C310AC"/>
    <w:rsid w:val="00C312EB"/>
    <w:rsid w:val="00C316A1"/>
    <w:rsid w:val="00C31A0A"/>
    <w:rsid w:val="00C31B96"/>
    <w:rsid w:val="00C31C6F"/>
    <w:rsid w:val="00C31CA9"/>
    <w:rsid w:val="00C31D96"/>
    <w:rsid w:val="00C320AF"/>
    <w:rsid w:val="00C32509"/>
    <w:rsid w:val="00C3279C"/>
    <w:rsid w:val="00C327A9"/>
    <w:rsid w:val="00C329BE"/>
    <w:rsid w:val="00C32DA7"/>
    <w:rsid w:val="00C32EF9"/>
    <w:rsid w:val="00C330CA"/>
    <w:rsid w:val="00C33134"/>
    <w:rsid w:val="00C3328E"/>
    <w:rsid w:val="00C33330"/>
    <w:rsid w:val="00C33541"/>
    <w:rsid w:val="00C33668"/>
    <w:rsid w:val="00C33E84"/>
    <w:rsid w:val="00C33E90"/>
    <w:rsid w:val="00C33F50"/>
    <w:rsid w:val="00C340AA"/>
    <w:rsid w:val="00C34174"/>
    <w:rsid w:val="00C34212"/>
    <w:rsid w:val="00C34512"/>
    <w:rsid w:val="00C34A05"/>
    <w:rsid w:val="00C35423"/>
    <w:rsid w:val="00C35846"/>
    <w:rsid w:val="00C35AFD"/>
    <w:rsid w:val="00C35C5D"/>
    <w:rsid w:val="00C35CCE"/>
    <w:rsid w:val="00C35F81"/>
    <w:rsid w:val="00C360D6"/>
    <w:rsid w:val="00C362C2"/>
    <w:rsid w:val="00C366F5"/>
    <w:rsid w:val="00C3698C"/>
    <w:rsid w:val="00C36F73"/>
    <w:rsid w:val="00C370C3"/>
    <w:rsid w:val="00C3713A"/>
    <w:rsid w:val="00C37179"/>
    <w:rsid w:val="00C37266"/>
    <w:rsid w:val="00C37C0F"/>
    <w:rsid w:val="00C37FC5"/>
    <w:rsid w:val="00C40082"/>
    <w:rsid w:val="00C4032F"/>
    <w:rsid w:val="00C40659"/>
    <w:rsid w:val="00C40AA0"/>
    <w:rsid w:val="00C40D68"/>
    <w:rsid w:val="00C40D80"/>
    <w:rsid w:val="00C40F18"/>
    <w:rsid w:val="00C40F93"/>
    <w:rsid w:val="00C4128D"/>
    <w:rsid w:val="00C41432"/>
    <w:rsid w:val="00C4155B"/>
    <w:rsid w:val="00C417E2"/>
    <w:rsid w:val="00C4193B"/>
    <w:rsid w:val="00C419C4"/>
    <w:rsid w:val="00C419CB"/>
    <w:rsid w:val="00C41EAE"/>
    <w:rsid w:val="00C41F21"/>
    <w:rsid w:val="00C42340"/>
    <w:rsid w:val="00C426EB"/>
    <w:rsid w:val="00C42994"/>
    <w:rsid w:val="00C42E03"/>
    <w:rsid w:val="00C42F20"/>
    <w:rsid w:val="00C43D1E"/>
    <w:rsid w:val="00C43EE0"/>
    <w:rsid w:val="00C43F58"/>
    <w:rsid w:val="00C44047"/>
    <w:rsid w:val="00C4414F"/>
    <w:rsid w:val="00C447A9"/>
    <w:rsid w:val="00C44D0B"/>
    <w:rsid w:val="00C44E3E"/>
    <w:rsid w:val="00C45155"/>
    <w:rsid w:val="00C45384"/>
    <w:rsid w:val="00C456FA"/>
    <w:rsid w:val="00C459F8"/>
    <w:rsid w:val="00C45E21"/>
    <w:rsid w:val="00C45E8D"/>
    <w:rsid w:val="00C45F03"/>
    <w:rsid w:val="00C45F20"/>
    <w:rsid w:val="00C46102"/>
    <w:rsid w:val="00C462AA"/>
    <w:rsid w:val="00C46E23"/>
    <w:rsid w:val="00C47040"/>
    <w:rsid w:val="00C471AF"/>
    <w:rsid w:val="00C473B5"/>
    <w:rsid w:val="00C4747D"/>
    <w:rsid w:val="00C47584"/>
    <w:rsid w:val="00C47A7A"/>
    <w:rsid w:val="00C47CE4"/>
    <w:rsid w:val="00C501CD"/>
    <w:rsid w:val="00C503C8"/>
    <w:rsid w:val="00C5045F"/>
    <w:rsid w:val="00C50D6B"/>
    <w:rsid w:val="00C50EC7"/>
    <w:rsid w:val="00C51221"/>
    <w:rsid w:val="00C513BE"/>
    <w:rsid w:val="00C513C9"/>
    <w:rsid w:val="00C51424"/>
    <w:rsid w:val="00C5171B"/>
    <w:rsid w:val="00C51730"/>
    <w:rsid w:val="00C5193A"/>
    <w:rsid w:val="00C519DE"/>
    <w:rsid w:val="00C51A7E"/>
    <w:rsid w:val="00C51AB4"/>
    <w:rsid w:val="00C51CAB"/>
    <w:rsid w:val="00C5209E"/>
    <w:rsid w:val="00C5235B"/>
    <w:rsid w:val="00C523B1"/>
    <w:rsid w:val="00C524C9"/>
    <w:rsid w:val="00C52826"/>
    <w:rsid w:val="00C52A23"/>
    <w:rsid w:val="00C52AD4"/>
    <w:rsid w:val="00C52CD9"/>
    <w:rsid w:val="00C52F9D"/>
    <w:rsid w:val="00C53C4C"/>
    <w:rsid w:val="00C54071"/>
    <w:rsid w:val="00C5444E"/>
    <w:rsid w:val="00C544C7"/>
    <w:rsid w:val="00C5498F"/>
    <w:rsid w:val="00C54F2A"/>
    <w:rsid w:val="00C55031"/>
    <w:rsid w:val="00C550EF"/>
    <w:rsid w:val="00C5519A"/>
    <w:rsid w:val="00C55235"/>
    <w:rsid w:val="00C5547A"/>
    <w:rsid w:val="00C556EF"/>
    <w:rsid w:val="00C55935"/>
    <w:rsid w:val="00C55C33"/>
    <w:rsid w:val="00C55D9E"/>
    <w:rsid w:val="00C55F78"/>
    <w:rsid w:val="00C5616C"/>
    <w:rsid w:val="00C5631F"/>
    <w:rsid w:val="00C568E8"/>
    <w:rsid w:val="00C569FF"/>
    <w:rsid w:val="00C56DB1"/>
    <w:rsid w:val="00C57317"/>
    <w:rsid w:val="00C5752B"/>
    <w:rsid w:val="00C5777E"/>
    <w:rsid w:val="00C57BCF"/>
    <w:rsid w:val="00C57CD2"/>
    <w:rsid w:val="00C601CC"/>
    <w:rsid w:val="00C60348"/>
    <w:rsid w:val="00C6047D"/>
    <w:rsid w:val="00C60807"/>
    <w:rsid w:val="00C61077"/>
    <w:rsid w:val="00C611A9"/>
    <w:rsid w:val="00C6146C"/>
    <w:rsid w:val="00C614E8"/>
    <w:rsid w:val="00C61FF5"/>
    <w:rsid w:val="00C6202A"/>
    <w:rsid w:val="00C6206E"/>
    <w:rsid w:val="00C62334"/>
    <w:rsid w:val="00C627CD"/>
    <w:rsid w:val="00C62C6C"/>
    <w:rsid w:val="00C62F19"/>
    <w:rsid w:val="00C62F69"/>
    <w:rsid w:val="00C63036"/>
    <w:rsid w:val="00C63380"/>
    <w:rsid w:val="00C63402"/>
    <w:rsid w:val="00C63489"/>
    <w:rsid w:val="00C63F6E"/>
    <w:rsid w:val="00C640C6"/>
    <w:rsid w:val="00C64334"/>
    <w:rsid w:val="00C64CD0"/>
    <w:rsid w:val="00C6513E"/>
    <w:rsid w:val="00C65563"/>
    <w:rsid w:val="00C65A30"/>
    <w:rsid w:val="00C65F61"/>
    <w:rsid w:val="00C6684F"/>
    <w:rsid w:val="00C6693D"/>
    <w:rsid w:val="00C66A66"/>
    <w:rsid w:val="00C66D22"/>
    <w:rsid w:val="00C676BE"/>
    <w:rsid w:val="00C6773E"/>
    <w:rsid w:val="00C67A17"/>
    <w:rsid w:val="00C701C2"/>
    <w:rsid w:val="00C70330"/>
    <w:rsid w:val="00C703ED"/>
    <w:rsid w:val="00C708BD"/>
    <w:rsid w:val="00C70ABB"/>
    <w:rsid w:val="00C70B11"/>
    <w:rsid w:val="00C70C5F"/>
    <w:rsid w:val="00C70D6F"/>
    <w:rsid w:val="00C70E70"/>
    <w:rsid w:val="00C70F08"/>
    <w:rsid w:val="00C7141C"/>
    <w:rsid w:val="00C7170C"/>
    <w:rsid w:val="00C7212A"/>
    <w:rsid w:val="00C725C0"/>
    <w:rsid w:val="00C72602"/>
    <w:rsid w:val="00C728D6"/>
    <w:rsid w:val="00C72951"/>
    <w:rsid w:val="00C729B4"/>
    <w:rsid w:val="00C72A03"/>
    <w:rsid w:val="00C72B90"/>
    <w:rsid w:val="00C72E04"/>
    <w:rsid w:val="00C732AC"/>
    <w:rsid w:val="00C732E5"/>
    <w:rsid w:val="00C7385A"/>
    <w:rsid w:val="00C73A00"/>
    <w:rsid w:val="00C73F3B"/>
    <w:rsid w:val="00C74759"/>
    <w:rsid w:val="00C748C2"/>
    <w:rsid w:val="00C74945"/>
    <w:rsid w:val="00C74C2A"/>
    <w:rsid w:val="00C74EAD"/>
    <w:rsid w:val="00C75074"/>
    <w:rsid w:val="00C75091"/>
    <w:rsid w:val="00C750C6"/>
    <w:rsid w:val="00C7570B"/>
    <w:rsid w:val="00C75ED8"/>
    <w:rsid w:val="00C75F8D"/>
    <w:rsid w:val="00C76452"/>
    <w:rsid w:val="00C76B08"/>
    <w:rsid w:val="00C77162"/>
    <w:rsid w:val="00C77380"/>
    <w:rsid w:val="00C775DB"/>
    <w:rsid w:val="00C7776B"/>
    <w:rsid w:val="00C80163"/>
    <w:rsid w:val="00C8017F"/>
    <w:rsid w:val="00C8030B"/>
    <w:rsid w:val="00C80477"/>
    <w:rsid w:val="00C805D4"/>
    <w:rsid w:val="00C80639"/>
    <w:rsid w:val="00C80E1E"/>
    <w:rsid w:val="00C814E0"/>
    <w:rsid w:val="00C816E9"/>
    <w:rsid w:val="00C81C1B"/>
    <w:rsid w:val="00C8247D"/>
    <w:rsid w:val="00C825B3"/>
    <w:rsid w:val="00C826C7"/>
    <w:rsid w:val="00C82802"/>
    <w:rsid w:val="00C829E2"/>
    <w:rsid w:val="00C82AFD"/>
    <w:rsid w:val="00C82F12"/>
    <w:rsid w:val="00C82F35"/>
    <w:rsid w:val="00C834D8"/>
    <w:rsid w:val="00C836CC"/>
    <w:rsid w:val="00C83770"/>
    <w:rsid w:val="00C8395A"/>
    <w:rsid w:val="00C83D0C"/>
    <w:rsid w:val="00C8424E"/>
    <w:rsid w:val="00C84526"/>
    <w:rsid w:val="00C8470C"/>
    <w:rsid w:val="00C847CC"/>
    <w:rsid w:val="00C84890"/>
    <w:rsid w:val="00C84D27"/>
    <w:rsid w:val="00C8504B"/>
    <w:rsid w:val="00C85256"/>
    <w:rsid w:val="00C853A2"/>
    <w:rsid w:val="00C85830"/>
    <w:rsid w:val="00C85ADE"/>
    <w:rsid w:val="00C85AF8"/>
    <w:rsid w:val="00C85D56"/>
    <w:rsid w:val="00C86243"/>
    <w:rsid w:val="00C863B0"/>
    <w:rsid w:val="00C8658A"/>
    <w:rsid w:val="00C865FE"/>
    <w:rsid w:val="00C867F9"/>
    <w:rsid w:val="00C86C4E"/>
    <w:rsid w:val="00C86C50"/>
    <w:rsid w:val="00C87062"/>
    <w:rsid w:val="00C87349"/>
    <w:rsid w:val="00C874EC"/>
    <w:rsid w:val="00C87A1C"/>
    <w:rsid w:val="00C87C2F"/>
    <w:rsid w:val="00C87D99"/>
    <w:rsid w:val="00C87E8A"/>
    <w:rsid w:val="00C87F71"/>
    <w:rsid w:val="00C90210"/>
    <w:rsid w:val="00C90216"/>
    <w:rsid w:val="00C9029A"/>
    <w:rsid w:val="00C90DCE"/>
    <w:rsid w:val="00C913C8"/>
    <w:rsid w:val="00C913D6"/>
    <w:rsid w:val="00C9172A"/>
    <w:rsid w:val="00C91E54"/>
    <w:rsid w:val="00C92695"/>
    <w:rsid w:val="00C92FC7"/>
    <w:rsid w:val="00C932CF"/>
    <w:rsid w:val="00C932F7"/>
    <w:rsid w:val="00C934A7"/>
    <w:rsid w:val="00C9382C"/>
    <w:rsid w:val="00C9397C"/>
    <w:rsid w:val="00C939AD"/>
    <w:rsid w:val="00C939D6"/>
    <w:rsid w:val="00C93E9E"/>
    <w:rsid w:val="00C93EAB"/>
    <w:rsid w:val="00C93EF3"/>
    <w:rsid w:val="00C94352"/>
    <w:rsid w:val="00C945B4"/>
    <w:rsid w:val="00C945DF"/>
    <w:rsid w:val="00C94790"/>
    <w:rsid w:val="00C94BFB"/>
    <w:rsid w:val="00C94DAE"/>
    <w:rsid w:val="00C955C4"/>
    <w:rsid w:val="00C95678"/>
    <w:rsid w:val="00C9586C"/>
    <w:rsid w:val="00C95A73"/>
    <w:rsid w:val="00C95B6D"/>
    <w:rsid w:val="00C95E48"/>
    <w:rsid w:val="00C95FD2"/>
    <w:rsid w:val="00C960EF"/>
    <w:rsid w:val="00C96392"/>
    <w:rsid w:val="00C964AE"/>
    <w:rsid w:val="00C968B8"/>
    <w:rsid w:val="00C96FC3"/>
    <w:rsid w:val="00C97365"/>
    <w:rsid w:val="00C97716"/>
    <w:rsid w:val="00C97736"/>
    <w:rsid w:val="00C9776B"/>
    <w:rsid w:val="00C97908"/>
    <w:rsid w:val="00C979C8"/>
    <w:rsid w:val="00C97AD7"/>
    <w:rsid w:val="00C97B04"/>
    <w:rsid w:val="00CA0251"/>
    <w:rsid w:val="00CA03B1"/>
    <w:rsid w:val="00CA04E7"/>
    <w:rsid w:val="00CA05F5"/>
    <w:rsid w:val="00CA06DC"/>
    <w:rsid w:val="00CA0C44"/>
    <w:rsid w:val="00CA1409"/>
    <w:rsid w:val="00CA14FE"/>
    <w:rsid w:val="00CA1674"/>
    <w:rsid w:val="00CA1B47"/>
    <w:rsid w:val="00CA24B6"/>
    <w:rsid w:val="00CA25A7"/>
    <w:rsid w:val="00CA2624"/>
    <w:rsid w:val="00CA2656"/>
    <w:rsid w:val="00CA304A"/>
    <w:rsid w:val="00CA335E"/>
    <w:rsid w:val="00CA345A"/>
    <w:rsid w:val="00CA35AC"/>
    <w:rsid w:val="00CA3942"/>
    <w:rsid w:val="00CA395F"/>
    <w:rsid w:val="00CA3D16"/>
    <w:rsid w:val="00CA410F"/>
    <w:rsid w:val="00CA4233"/>
    <w:rsid w:val="00CA4514"/>
    <w:rsid w:val="00CA474E"/>
    <w:rsid w:val="00CA4934"/>
    <w:rsid w:val="00CA49E5"/>
    <w:rsid w:val="00CA4A00"/>
    <w:rsid w:val="00CA4A6C"/>
    <w:rsid w:val="00CA4A6F"/>
    <w:rsid w:val="00CA4BA2"/>
    <w:rsid w:val="00CA500D"/>
    <w:rsid w:val="00CA50FB"/>
    <w:rsid w:val="00CA5883"/>
    <w:rsid w:val="00CA5C93"/>
    <w:rsid w:val="00CA5CBD"/>
    <w:rsid w:val="00CA5F68"/>
    <w:rsid w:val="00CA619F"/>
    <w:rsid w:val="00CA6267"/>
    <w:rsid w:val="00CA6A42"/>
    <w:rsid w:val="00CA70BB"/>
    <w:rsid w:val="00CA74BC"/>
    <w:rsid w:val="00CA77F2"/>
    <w:rsid w:val="00CB0031"/>
    <w:rsid w:val="00CB014A"/>
    <w:rsid w:val="00CB01CB"/>
    <w:rsid w:val="00CB046C"/>
    <w:rsid w:val="00CB050F"/>
    <w:rsid w:val="00CB059E"/>
    <w:rsid w:val="00CB0947"/>
    <w:rsid w:val="00CB095F"/>
    <w:rsid w:val="00CB0B02"/>
    <w:rsid w:val="00CB0B25"/>
    <w:rsid w:val="00CB0C1E"/>
    <w:rsid w:val="00CB0E75"/>
    <w:rsid w:val="00CB1032"/>
    <w:rsid w:val="00CB12EC"/>
    <w:rsid w:val="00CB151E"/>
    <w:rsid w:val="00CB18E6"/>
    <w:rsid w:val="00CB1CAD"/>
    <w:rsid w:val="00CB1E82"/>
    <w:rsid w:val="00CB1F4B"/>
    <w:rsid w:val="00CB22B8"/>
    <w:rsid w:val="00CB243F"/>
    <w:rsid w:val="00CB24C4"/>
    <w:rsid w:val="00CB329E"/>
    <w:rsid w:val="00CB3347"/>
    <w:rsid w:val="00CB36B6"/>
    <w:rsid w:val="00CB36CC"/>
    <w:rsid w:val="00CB382B"/>
    <w:rsid w:val="00CB3FE9"/>
    <w:rsid w:val="00CB4989"/>
    <w:rsid w:val="00CB4AAC"/>
    <w:rsid w:val="00CB4BA8"/>
    <w:rsid w:val="00CB52D7"/>
    <w:rsid w:val="00CB62EE"/>
    <w:rsid w:val="00CB6490"/>
    <w:rsid w:val="00CB69EE"/>
    <w:rsid w:val="00CB6CEF"/>
    <w:rsid w:val="00CB6F06"/>
    <w:rsid w:val="00CB7060"/>
    <w:rsid w:val="00CB72D3"/>
    <w:rsid w:val="00CB7479"/>
    <w:rsid w:val="00CB751F"/>
    <w:rsid w:val="00CB7C2A"/>
    <w:rsid w:val="00CB7CB3"/>
    <w:rsid w:val="00CB7F3D"/>
    <w:rsid w:val="00CC0694"/>
    <w:rsid w:val="00CC06FA"/>
    <w:rsid w:val="00CC08AD"/>
    <w:rsid w:val="00CC0C69"/>
    <w:rsid w:val="00CC0D50"/>
    <w:rsid w:val="00CC0EBA"/>
    <w:rsid w:val="00CC1374"/>
    <w:rsid w:val="00CC1B07"/>
    <w:rsid w:val="00CC1F47"/>
    <w:rsid w:val="00CC23FB"/>
    <w:rsid w:val="00CC280F"/>
    <w:rsid w:val="00CC2AA7"/>
    <w:rsid w:val="00CC3122"/>
    <w:rsid w:val="00CC338A"/>
    <w:rsid w:val="00CC360B"/>
    <w:rsid w:val="00CC3626"/>
    <w:rsid w:val="00CC3650"/>
    <w:rsid w:val="00CC37DE"/>
    <w:rsid w:val="00CC38BD"/>
    <w:rsid w:val="00CC38CB"/>
    <w:rsid w:val="00CC3B1E"/>
    <w:rsid w:val="00CC3B80"/>
    <w:rsid w:val="00CC3BBF"/>
    <w:rsid w:val="00CC3C06"/>
    <w:rsid w:val="00CC3E1D"/>
    <w:rsid w:val="00CC41FA"/>
    <w:rsid w:val="00CC4429"/>
    <w:rsid w:val="00CC46B2"/>
    <w:rsid w:val="00CC4731"/>
    <w:rsid w:val="00CC479C"/>
    <w:rsid w:val="00CC492D"/>
    <w:rsid w:val="00CC4A84"/>
    <w:rsid w:val="00CC4DB2"/>
    <w:rsid w:val="00CC566A"/>
    <w:rsid w:val="00CC56AC"/>
    <w:rsid w:val="00CC57D1"/>
    <w:rsid w:val="00CC5CE3"/>
    <w:rsid w:val="00CC5FF1"/>
    <w:rsid w:val="00CC6120"/>
    <w:rsid w:val="00CC6151"/>
    <w:rsid w:val="00CC6315"/>
    <w:rsid w:val="00CC64CF"/>
    <w:rsid w:val="00CC663A"/>
    <w:rsid w:val="00CC66CF"/>
    <w:rsid w:val="00CC6732"/>
    <w:rsid w:val="00CC6786"/>
    <w:rsid w:val="00CC68D1"/>
    <w:rsid w:val="00CC69C5"/>
    <w:rsid w:val="00CC6B9B"/>
    <w:rsid w:val="00CC6BDC"/>
    <w:rsid w:val="00CC6D44"/>
    <w:rsid w:val="00CC6FAA"/>
    <w:rsid w:val="00CC6FFF"/>
    <w:rsid w:val="00CC70ED"/>
    <w:rsid w:val="00CC7432"/>
    <w:rsid w:val="00CC7C30"/>
    <w:rsid w:val="00CD05D9"/>
    <w:rsid w:val="00CD05E5"/>
    <w:rsid w:val="00CD072A"/>
    <w:rsid w:val="00CD0999"/>
    <w:rsid w:val="00CD0AF2"/>
    <w:rsid w:val="00CD0CD3"/>
    <w:rsid w:val="00CD0D5A"/>
    <w:rsid w:val="00CD0FAD"/>
    <w:rsid w:val="00CD130D"/>
    <w:rsid w:val="00CD1356"/>
    <w:rsid w:val="00CD135A"/>
    <w:rsid w:val="00CD13B0"/>
    <w:rsid w:val="00CD1AE3"/>
    <w:rsid w:val="00CD1D30"/>
    <w:rsid w:val="00CD2196"/>
    <w:rsid w:val="00CD2410"/>
    <w:rsid w:val="00CD25D3"/>
    <w:rsid w:val="00CD264E"/>
    <w:rsid w:val="00CD26D9"/>
    <w:rsid w:val="00CD2797"/>
    <w:rsid w:val="00CD2B9C"/>
    <w:rsid w:val="00CD2C52"/>
    <w:rsid w:val="00CD2DAD"/>
    <w:rsid w:val="00CD2FC7"/>
    <w:rsid w:val="00CD3095"/>
    <w:rsid w:val="00CD3124"/>
    <w:rsid w:val="00CD317E"/>
    <w:rsid w:val="00CD3457"/>
    <w:rsid w:val="00CD364C"/>
    <w:rsid w:val="00CD3673"/>
    <w:rsid w:val="00CD3832"/>
    <w:rsid w:val="00CD3835"/>
    <w:rsid w:val="00CD3C83"/>
    <w:rsid w:val="00CD4485"/>
    <w:rsid w:val="00CD49F8"/>
    <w:rsid w:val="00CD4A03"/>
    <w:rsid w:val="00CD523A"/>
    <w:rsid w:val="00CD531A"/>
    <w:rsid w:val="00CD5532"/>
    <w:rsid w:val="00CD5649"/>
    <w:rsid w:val="00CD5685"/>
    <w:rsid w:val="00CD57FF"/>
    <w:rsid w:val="00CD5897"/>
    <w:rsid w:val="00CD5A64"/>
    <w:rsid w:val="00CD5B16"/>
    <w:rsid w:val="00CD5E54"/>
    <w:rsid w:val="00CD6436"/>
    <w:rsid w:val="00CD6460"/>
    <w:rsid w:val="00CD6766"/>
    <w:rsid w:val="00CD686F"/>
    <w:rsid w:val="00CD6935"/>
    <w:rsid w:val="00CD6ACF"/>
    <w:rsid w:val="00CD6C21"/>
    <w:rsid w:val="00CD6E6D"/>
    <w:rsid w:val="00CD6F74"/>
    <w:rsid w:val="00CD6FD7"/>
    <w:rsid w:val="00CD7005"/>
    <w:rsid w:val="00CD70BF"/>
    <w:rsid w:val="00CD7104"/>
    <w:rsid w:val="00CD71CF"/>
    <w:rsid w:val="00CD73F3"/>
    <w:rsid w:val="00CD760B"/>
    <w:rsid w:val="00CD7633"/>
    <w:rsid w:val="00CD77E6"/>
    <w:rsid w:val="00CD7963"/>
    <w:rsid w:val="00CD7D35"/>
    <w:rsid w:val="00CD7E37"/>
    <w:rsid w:val="00CD7E9F"/>
    <w:rsid w:val="00CD7FBE"/>
    <w:rsid w:val="00CE003D"/>
    <w:rsid w:val="00CE05CC"/>
    <w:rsid w:val="00CE0973"/>
    <w:rsid w:val="00CE0C0C"/>
    <w:rsid w:val="00CE0D9B"/>
    <w:rsid w:val="00CE0FC3"/>
    <w:rsid w:val="00CE12F2"/>
    <w:rsid w:val="00CE1368"/>
    <w:rsid w:val="00CE13BF"/>
    <w:rsid w:val="00CE1472"/>
    <w:rsid w:val="00CE17AD"/>
    <w:rsid w:val="00CE1842"/>
    <w:rsid w:val="00CE1C70"/>
    <w:rsid w:val="00CE1EC8"/>
    <w:rsid w:val="00CE232A"/>
    <w:rsid w:val="00CE27DA"/>
    <w:rsid w:val="00CE296E"/>
    <w:rsid w:val="00CE2F56"/>
    <w:rsid w:val="00CE3279"/>
    <w:rsid w:val="00CE33A2"/>
    <w:rsid w:val="00CE35F7"/>
    <w:rsid w:val="00CE3A03"/>
    <w:rsid w:val="00CE3C96"/>
    <w:rsid w:val="00CE3DF6"/>
    <w:rsid w:val="00CE443D"/>
    <w:rsid w:val="00CE45E8"/>
    <w:rsid w:val="00CE46DF"/>
    <w:rsid w:val="00CE47CE"/>
    <w:rsid w:val="00CE4A41"/>
    <w:rsid w:val="00CE4C12"/>
    <w:rsid w:val="00CE5130"/>
    <w:rsid w:val="00CE51A8"/>
    <w:rsid w:val="00CE53E5"/>
    <w:rsid w:val="00CE570C"/>
    <w:rsid w:val="00CE5FBC"/>
    <w:rsid w:val="00CE6143"/>
    <w:rsid w:val="00CE619D"/>
    <w:rsid w:val="00CE653A"/>
    <w:rsid w:val="00CE6916"/>
    <w:rsid w:val="00CE6948"/>
    <w:rsid w:val="00CE6DD6"/>
    <w:rsid w:val="00CE72FC"/>
    <w:rsid w:val="00CE781C"/>
    <w:rsid w:val="00CE7954"/>
    <w:rsid w:val="00CE79C1"/>
    <w:rsid w:val="00CE79E0"/>
    <w:rsid w:val="00CE7BB1"/>
    <w:rsid w:val="00CF04AA"/>
    <w:rsid w:val="00CF06FD"/>
    <w:rsid w:val="00CF0BE4"/>
    <w:rsid w:val="00CF0BFE"/>
    <w:rsid w:val="00CF0DF7"/>
    <w:rsid w:val="00CF0E19"/>
    <w:rsid w:val="00CF14C3"/>
    <w:rsid w:val="00CF1597"/>
    <w:rsid w:val="00CF1669"/>
    <w:rsid w:val="00CF1C4E"/>
    <w:rsid w:val="00CF2168"/>
    <w:rsid w:val="00CF21FF"/>
    <w:rsid w:val="00CF2208"/>
    <w:rsid w:val="00CF2908"/>
    <w:rsid w:val="00CF2987"/>
    <w:rsid w:val="00CF32BA"/>
    <w:rsid w:val="00CF369B"/>
    <w:rsid w:val="00CF3C0C"/>
    <w:rsid w:val="00CF3CD1"/>
    <w:rsid w:val="00CF4250"/>
    <w:rsid w:val="00CF42AD"/>
    <w:rsid w:val="00CF4452"/>
    <w:rsid w:val="00CF4632"/>
    <w:rsid w:val="00CF47E5"/>
    <w:rsid w:val="00CF4D19"/>
    <w:rsid w:val="00CF4EE6"/>
    <w:rsid w:val="00CF51D6"/>
    <w:rsid w:val="00CF5A4A"/>
    <w:rsid w:val="00CF5A92"/>
    <w:rsid w:val="00CF5EBB"/>
    <w:rsid w:val="00CF5EF4"/>
    <w:rsid w:val="00CF5FC2"/>
    <w:rsid w:val="00CF61E9"/>
    <w:rsid w:val="00CF6529"/>
    <w:rsid w:val="00CF6726"/>
    <w:rsid w:val="00CF687A"/>
    <w:rsid w:val="00CF6DD4"/>
    <w:rsid w:val="00CF6E26"/>
    <w:rsid w:val="00CF70CC"/>
    <w:rsid w:val="00CF72C4"/>
    <w:rsid w:val="00CF7393"/>
    <w:rsid w:val="00CF73B8"/>
    <w:rsid w:val="00CF7480"/>
    <w:rsid w:val="00CF77D7"/>
    <w:rsid w:val="00CF785C"/>
    <w:rsid w:val="00CF7B00"/>
    <w:rsid w:val="00CF7DC2"/>
    <w:rsid w:val="00D002FE"/>
    <w:rsid w:val="00D007BE"/>
    <w:rsid w:val="00D00C7F"/>
    <w:rsid w:val="00D00CF2"/>
    <w:rsid w:val="00D00E28"/>
    <w:rsid w:val="00D0159D"/>
    <w:rsid w:val="00D01846"/>
    <w:rsid w:val="00D019EA"/>
    <w:rsid w:val="00D01BB1"/>
    <w:rsid w:val="00D01DE9"/>
    <w:rsid w:val="00D01EAE"/>
    <w:rsid w:val="00D021B2"/>
    <w:rsid w:val="00D0241C"/>
    <w:rsid w:val="00D0250A"/>
    <w:rsid w:val="00D0269E"/>
    <w:rsid w:val="00D02779"/>
    <w:rsid w:val="00D02A1B"/>
    <w:rsid w:val="00D02B1E"/>
    <w:rsid w:val="00D03276"/>
    <w:rsid w:val="00D032AE"/>
    <w:rsid w:val="00D03351"/>
    <w:rsid w:val="00D03447"/>
    <w:rsid w:val="00D0378D"/>
    <w:rsid w:val="00D03820"/>
    <w:rsid w:val="00D03C2A"/>
    <w:rsid w:val="00D03F7C"/>
    <w:rsid w:val="00D040EC"/>
    <w:rsid w:val="00D04283"/>
    <w:rsid w:val="00D0446F"/>
    <w:rsid w:val="00D04740"/>
    <w:rsid w:val="00D04794"/>
    <w:rsid w:val="00D0483E"/>
    <w:rsid w:val="00D04939"/>
    <w:rsid w:val="00D04BE0"/>
    <w:rsid w:val="00D04C58"/>
    <w:rsid w:val="00D052C5"/>
    <w:rsid w:val="00D05575"/>
    <w:rsid w:val="00D0576C"/>
    <w:rsid w:val="00D05C84"/>
    <w:rsid w:val="00D05D6C"/>
    <w:rsid w:val="00D06200"/>
    <w:rsid w:val="00D0634F"/>
    <w:rsid w:val="00D064B0"/>
    <w:rsid w:val="00D0660E"/>
    <w:rsid w:val="00D06678"/>
    <w:rsid w:val="00D06896"/>
    <w:rsid w:val="00D06B81"/>
    <w:rsid w:val="00D06E50"/>
    <w:rsid w:val="00D0701B"/>
    <w:rsid w:val="00D07162"/>
    <w:rsid w:val="00D07446"/>
    <w:rsid w:val="00D074A3"/>
    <w:rsid w:val="00D07500"/>
    <w:rsid w:val="00D075D4"/>
    <w:rsid w:val="00D077F5"/>
    <w:rsid w:val="00D100A0"/>
    <w:rsid w:val="00D100CC"/>
    <w:rsid w:val="00D109C9"/>
    <w:rsid w:val="00D10CB1"/>
    <w:rsid w:val="00D10CBE"/>
    <w:rsid w:val="00D10F8D"/>
    <w:rsid w:val="00D10FAE"/>
    <w:rsid w:val="00D110D5"/>
    <w:rsid w:val="00D1138F"/>
    <w:rsid w:val="00D1157C"/>
    <w:rsid w:val="00D1180D"/>
    <w:rsid w:val="00D11955"/>
    <w:rsid w:val="00D11DFE"/>
    <w:rsid w:val="00D11FF3"/>
    <w:rsid w:val="00D122D0"/>
    <w:rsid w:val="00D124F8"/>
    <w:rsid w:val="00D125A6"/>
    <w:rsid w:val="00D126F6"/>
    <w:rsid w:val="00D12BE9"/>
    <w:rsid w:val="00D14113"/>
    <w:rsid w:val="00D142C7"/>
    <w:rsid w:val="00D14354"/>
    <w:rsid w:val="00D143C5"/>
    <w:rsid w:val="00D143CC"/>
    <w:rsid w:val="00D14581"/>
    <w:rsid w:val="00D1468F"/>
    <w:rsid w:val="00D146FA"/>
    <w:rsid w:val="00D14CB9"/>
    <w:rsid w:val="00D14DCE"/>
    <w:rsid w:val="00D15282"/>
    <w:rsid w:val="00D15773"/>
    <w:rsid w:val="00D15810"/>
    <w:rsid w:val="00D15988"/>
    <w:rsid w:val="00D15B08"/>
    <w:rsid w:val="00D15BEF"/>
    <w:rsid w:val="00D1648D"/>
    <w:rsid w:val="00D16770"/>
    <w:rsid w:val="00D16D21"/>
    <w:rsid w:val="00D16D4E"/>
    <w:rsid w:val="00D16DEA"/>
    <w:rsid w:val="00D16F95"/>
    <w:rsid w:val="00D16FE3"/>
    <w:rsid w:val="00D1732C"/>
    <w:rsid w:val="00D173D3"/>
    <w:rsid w:val="00D17454"/>
    <w:rsid w:val="00D17567"/>
    <w:rsid w:val="00D17AB0"/>
    <w:rsid w:val="00D17F0D"/>
    <w:rsid w:val="00D20176"/>
    <w:rsid w:val="00D20327"/>
    <w:rsid w:val="00D20810"/>
    <w:rsid w:val="00D20878"/>
    <w:rsid w:val="00D20C23"/>
    <w:rsid w:val="00D216FA"/>
    <w:rsid w:val="00D218EC"/>
    <w:rsid w:val="00D21AF0"/>
    <w:rsid w:val="00D22225"/>
    <w:rsid w:val="00D22627"/>
    <w:rsid w:val="00D22704"/>
    <w:rsid w:val="00D22D5F"/>
    <w:rsid w:val="00D22F85"/>
    <w:rsid w:val="00D234C2"/>
    <w:rsid w:val="00D23613"/>
    <w:rsid w:val="00D23899"/>
    <w:rsid w:val="00D2395D"/>
    <w:rsid w:val="00D23D50"/>
    <w:rsid w:val="00D23D8C"/>
    <w:rsid w:val="00D23DFA"/>
    <w:rsid w:val="00D241BB"/>
    <w:rsid w:val="00D24307"/>
    <w:rsid w:val="00D2448B"/>
    <w:rsid w:val="00D24578"/>
    <w:rsid w:val="00D2461C"/>
    <w:rsid w:val="00D2473A"/>
    <w:rsid w:val="00D24896"/>
    <w:rsid w:val="00D2503C"/>
    <w:rsid w:val="00D25387"/>
    <w:rsid w:val="00D25619"/>
    <w:rsid w:val="00D2573C"/>
    <w:rsid w:val="00D2598B"/>
    <w:rsid w:val="00D25AA4"/>
    <w:rsid w:val="00D25D24"/>
    <w:rsid w:val="00D25F7D"/>
    <w:rsid w:val="00D261E1"/>
    <w:rsid w:val="00D262BE"/>
    <w:rsid w:val="00D2631C"/>
    <w:rsid w:val="00D2632B"/>
    <w:rsid w:val="00D263BD"/>
    <w:rsid w:val="00D265E7"/>
    <w:rsid w:val="00D265EF"/>
    <w:rsid w:val="00D27A7D"/>
    <w:rsid w:val="00D27A7E"/>
    <w:rsid w:val="00D27BDE"/>
    <w:rsid w:val="00D27F41"/>
    <w:rsid w:val="00D30134"/>
    <w:rsid w:val="00D3034A"/>
    <w:rsid w:val="00D304BF"/>
    <w:rsid w:val="00D30753"/>
    <w:rsid w:val="00D30ADC"/>
    <w:rsid w:val="00D30EB3"/>
    <w:rsid w:val="00D311E6"/>
    <w:rsid w:val="00D31407"/>
    <w:rsid w:val="00D31495"/>
    <w:rsid w:val="00D31599"/>
    <w:rsid w:val="00D3166D"/>
    <w:rsid w:val="00D3168C"/>
    <w:rsid w:val="00D31792"/>
    <w:rsid w:val="00D31977"/>
    <w:rsid w:val="00D31D55"/>
    <w:rsid w:val="00D321BB"/>
    <w:rsid w:val="00D321C7"/>
    <w:rsid w:val="00D32337"/>
    <w:rsid w:val="00D32701"/>
    <w:rsid w:val="00D32709"/>
    <w:rsid w:val="00D32975"/>
    <w:rsid w:val="00D32D28"/>
    <w:rsid w:val="00D330D0"/>
    <w:rsid w:val="00D33132"/>
    <w:rsid w:val="00D3325C"/>
    <w:rsid w:val="00D33326"/>
    <w:rsid w:val="00D33525"/>
    <w:rsid w:val="00D33855"/>
    <w:rsid w:val="00D3398F"/>
    <w:rsid w:val="00D33AEA"/>
    <w:rsid w:val="00D33D4D"/>
    <w:rsid w:val="00D33E01"/>
    <w:rsid w:val="00D33E37"/>
    <w:rsid w:val="00D33F6D"/>
    <w:rsid w:val="00D34379"/>
    <w:rsid w:val="00D34681"/>
    <w:rsid w:val="00D347E9"/>
    <w:rsid w:val="00D3496B"/>
    <w:rsid w:val="00D34B1D"/>
    <w:rsid w:val="00D34D60"/>
    <w:rsid w:val="00D34D9C"/>
    <w:rsid w:val="00D34E2D"/>
    <w:rsid w:val="00D34F8A"/>
    <w:rsid w:val="00D3522D"/>
    <w:rsid w:val="00D3535D"/>
    <w:rsid w:val="00D353B5"/>
    <w:rsid w:val="00D354C9"/>
    <w:rsid w:val="00D354CB"/>
    <w:rsid w:val="00D35977"/>
    <w:rsid w:val="00D35B58"/>
    <w:rsid w:val="00D35C25"/>
    <w:rsid w:val="00D36095"/>
    <w:rsid w:val="00D36179"/>
    <w:rsid w:val="00D36441"/>
    <w:rsid w:val="00D36525"/>
    <w:rsid w:val="00D3690D"/>
    <w:rsid w:val="00D36994"/>
    <w:rsid w:val="00D36B21"/>
    <w:rsid w:val="00D36BB6"/>
    <w:rsid w:val="00D36F19"/>
    <w:rsid w:val="00D37154"/>
    <w:rsid w:val="00D37179"/>
    <w:rsid w:val="00D376DF"/>
    <w:rsid w:val="00D37EEB"/>
    <w:rsid w:val="00D4058A"/>
    <w:rsid w:val="00D4064E"/>
    <w:rsid w:val="00D408EF"/>
    <w:rsid w:val="00D40BEF"/>
    <w:rsid w:val="00D40CB5"/>
    <w:rsid w:val="00D41045"/>
    <w:rsid w:val="00D416C7"/>
    <w:rsid w:val="00D41A60"/>
    <w:rsid w:val="00D4244F"/>
    <w:rsid w:val="00D42594"/>
    <w:rsid w:val="00D4295E"/>
    <w:rsid w:val="00D429AA"/>
    <w:rsid w:val="00D429B1"/>
    <w:rsid w:val="00D42A2A"/>
    <w:rsid w:val="00D42C2D"/>
    <w:rsid w:val="00D43429"/>
    <w:rsid w:val="00D439AF"/>
    <w:rsid w:val="00D43B47"/>
    <w:rsid w:val="00D43FAB"/>
    <w:rsid w:val="00D441CA"/>
    <w:rsid w:val="00D444E3"/>
    <w:rsid w:val="00D446E1"/>
    <w:rsid w:val="00D4472A"/>
    <w:rsid w:val="00D44E9B"/>
    <w:rsid w:val="00D44EAF"/>
    <w:rsid w:val="00D44F05"/>
    <w:rsid w:val="00D45258"/>
    <w:rsid w:val="00D453B3"/>
    <w:rsid w:val="00D453F6"/>
    <w:rsid w:val="00D45476"/>
    <w:rsid w:val="00D456D0"/>
    <w:rsid w:val="00D459C2"/>
    <w:rsid w:val="00D45B15"/>
    <w:rsid w:val="00D45F33"/>
    <w:rsid w:val="00D460C8"/>
    <w:rsid w:val="00D4685E"/>
    <w:rsid w:val="00D46AD6"/>
    <w:rsid w:val="00D46BBD"/>
    <w:rsid w:val="00D46CF1"/>
    <w:rsid w:val="00D46CFE"/>
    <w:rsid w:val="00D46E6E"/>
    <w:rsid w:val="00D46F2D"/>
    <w:rsid w:val="00D4708E"/>
    <w:rsid w:val="00D473E3"/>
    <w:rsid w:val="00D473F3"/>
    <w:rsid w:val="00D475FE"/>
    <w:rsid w:val="00D47855"/>
    <w:rsid w:val="00D47860"/>
    <w:rsid w:val="00D47AB2"/>
    <w:rsid w:val="00D47AEB"/>
    <w:rsid w:val="00D47DC6"/>
    <w:rsid w:val="00D50160"/>
    <w:rsid w:val="00D50218"/>
    <w:rsid w:val="00D50286"/>
    <w:rsid w:val="00D503CA"/>
    <w:rsid w:val="00D50DB9"/>
    <w:rsid w:val="00D51066"/>
    <w:rsid w:val="00D51302"/>
    <w:rsid w:val="00D51335"/>
    <w:rsid w:val="00D51358"/>
    <w:rsid w:val="00D519BC"/>
    <w:rsid w:val="00D519DA"/>
    <w:rsid w:val="00D51AD1"/>
    <w:rsid w:val="00D51B3D"/>
    <w:rsid w:val="00D51DCD"/>
    <w:rsid w:val="00D51F2F"/>
    <w:rsid w:val="00D52049"/>
    <w:rsid w:val="00D5215E"/>
    <w:rsid w:val="00D52859"/>
    <w:rsid w:val="00D52ADF"/>
    <w:rsid w:val="00D52C43"/>
    <w:rsid w:val="00D53064"/>
    <w:rsid w:val="00D532A2"/>
    <w:rsid w:val="00D533F4"/>
    <w:rsid w:val="00D535F8"/>
    <w:rsid w:val="00D5398F"/>
    <w:rsid w:val="00D539F0"/>
    <w:rsid w:val="00D53B83"/>
    <w:rsid w:val="00D53D7A"/>
    <w:rsid w:val="00D53E4C"/>
    <w:rsid w:val="00D54120"/>
    <w:rsid w:val="00D541F6"/>
    <w:rsid w:val="00D543D3"/>
    <w:rsid w:val="00D5470B"/>
    <w:rsid w:val="00D5471A"/>
    <w:rsid w:val="00D54999"/>
    <w:rsid w:val="00D54C33"/>
    <w:rsid w:val="00D54CAF"/>
    <w:rsid w:val="00D54E66"/>
    <w:rsid w:val="00D54E8E"/>
    <w:rsid w:val="00D54FDF"/>
    <w:rsid w:val="00D55090"/>
    <w:rsid w:val="00D55764"/>
    <w:rsid w:val="00D55C0C"/>
    <w:rsid w:val="00D55C28"/>
    <w:rsid w:val="00D55D87"/>
    <w:rsid w:val="00D55E35"/>
    <w:rsid w:val="00D55E8E"/>
    <w:rsid w:val="00D564D3"/>
    <w:rsid w:val="00D56744"/>
    <w:rsid w:val="00D568D5"/>
    <w:rsid w:val="00D56C14"/>
    <w:rsid w:val="00D56C47"/>
    <w:rsid w:val="00D56CE5"/>
    <w:rsid w:val="00D56D2B"/>
    <w:rsid w:val="00D56F81"/>
    <w:rsid w:val="00D570AD"/>
    <w:rsid w:val="00D578F3"/>
    <w:rsid w:val="00D57D9F"/>
    <w:rsid w:val="00D6069C"/>
    <w:rsid w:val="00D6087F"/>
    <w:rsid w:val="00D60E3C"/>
    <w:rsid w:val="00D61243"/>
    <w:rsid w:val="00D618AE"/>
    <w:rsid w:val="00D61AF5"/>
    <w:rsid w:val="00D6205A"/>
    <w:rsid w:val="00D622F3"/>
    <w:rsid w:val="00D623A7"/>
    <w:rsid w:val="00D6249E"/>
    <w:rsid w:val="00D6278E"/>
    <w:rsid w:val="00D627AC"/>
    <w:rsid w:val="00D627EF"/>
    <w:rsid w:val="00D62831"/>
    <w:rsid w:val="00D63373"/>
    <w:rsid w:val="00D635F8"/>
    <w:rsid w:val="00D636BE"/>
    <w:rsid w:val="00D63722"/>
    <w:rsid w:val="00D63753"/>
    <w:rsid w:val="00D63817"/>
    <w:rsid w:val="00D63DD0"/>
    <w:rsid w:val="00D64139"/>
    <w:rsid w:val="00D64776"/>
    <w:rsid w:val="00D64826"/>
    <w:rsid w:val="00D64911"/>
    <w:rsid w:val="00D64EF9"/>
    <w:rsid w:val="00D64FB1"/>
    <w:rsid w:val="00D6507F"/>
    <w:rsid w:val="00D65381"/>
    <w:rsid w:val="00D655EE"/>
    <w:rsid w:val="00D657EC"/>
    <w:rsid w:val="00D659DC"/>
    <w:rsid w:val="00D65A0D"/>
    <w:rsid w:val="00D65BD5"/>
    <w:rsid w:val="00D6601F"/>
    <w:rsid w:val="00D66116"/>
    <w:rsid w:val="00D662C8"/>
    <w:rsid w:val="00D6649E"/>
    <w:rsid w:val="00D6699A"/>
    <w:rsid w:val="00D66D1A"/>
    <w:rsid w:val="00D66E59"/>
    <w:rsid w:val="00D66EA7"/>
    <w:rsid w:val="00D6720D"/>
    <w:rsid w:val="00D67219"/>
    <w:rsid w:val="00D6747D"/>
    <w:rsid w:val="00D6753B"/>
    <w:rsid w:val="00D675CD"/>
    <w:rsid w:val="00D6774D"/>
    <w:rsid w:val="00D678B6"/>
    <w:rsid w:val="00D67B13"/>
    <w:rsid w:val="00D67D97"/>
    <w:rsid w:val="00D67E91"/>
    <w:rsid w:val="00D67F7D"/>
    <w:rsid w:val="00D7001B"/>
    <w:rsid w:val="00D7003E"/>
    <w:rsid w:val="00D7021F"/>
    <w:rsid w:val="00D70B8D"/>
    <w:rsid w:val="00D70C10"/>
    <w:rsid w:val="00D715F5"/>
    <w:rsid w:val="00D71753"/>
    <w:rsid w:val="00D71811"/>
    <w:rsid w:val="00D71DF1"/>
    <w:rsid w:val="00D71F45"/>
    <w:rsid w:val="00D72743"/>
    <w:rsid w:val="00D72A3A"/>
    <w:rsid w:val="00D72D9C"/>
    <w:rsid w:val="00D7301C"/>
    <w:rsid w:val="00D730BC"/>
    <w:rsid w:val="00D733B6"/>
    <w:rsid w:val="00D73539"/>
    <w:rsid w:val="00D73735"/>
    <w:rsid w:val="00D73817"/>
    <w:rsid w:val="00D73912"/>
    <w:rsid w:val="00D7398A"/>
    <w:rsid w:val="00D73A27"/>
    <w:rsid w:val="00D73A36"/>
    <w:rsid w:val="00D73A9D"/>
    <w:rsid w:val="00D73DDA"/>
    <w:rsid w:val="00D74428"/>
    <w:rsid w:val="00D745D8"/>
    <w:rsid w:val="00D74723"/>
    <w:rsid w:val="00D74737"/>
    <w:rsid w:val="00D74B67"/>
    <w:rsid w:val="00D74E11"/>
    <w:rsid w:val="00D753AC"/>
    <w:rsid w:val="00D75D23"/>
    <w:rsid w:val="00D75EE4"/>
    <w:rsid w:val="00D7616A"/>
    <w:rsid w:val="00D761B6"/>
    <w:rsid w:val="00D762F4"/>
    <w:rsid w:val="00D764E5"/>
    <w:rsid w:val="00D765C0"/>
    <w:rsid w:val="00D765C7"/>
    <w:rsid w:val="00D76A43"/>
    <w:rsid w:val="00D76CEE"/>
    <w:rsid w:val="00D77250"/>
    <w:rsid w:val="00D77629"/>
    <w:rsid w:val="00D777CA"/>
    <w:rsid w:val="00D77B75"/>
    <w:rsid w:val="00D8009E"/>
    <w:rsid w:val="00D801D3"/>
    <w:rsid w:val="00D8051C"/>
    <w:rsid w:val="00D8075F"/>
    <w:rsid w:val="00D80C89"/>
    <w:rsid w:val="00D810BB"/>
    <w:rsid w:val="00D817F4"/>
    <w:rsid w:val="00D81903"/>
    <w:rsid w:val="00D81EB3"/>
    <w:rsid w:val="00D81EBA"/>
    <w:rsid w:val="00D8201B"/>
    <w:rsid w:val="00D82334"/>
    <w:rsid w:val="00D82AEE"/>
    <w:rsid w:val="00D82B38"/>
    <w:rsid w:val="00D82CF1"/>
    <w:rsid w:val="00D82F22"/>
    <w:rsid w:val="00D83263"/>
    <w:rsid w:val="00D8335E"/>
    <w:rsid w:val="00D83461"/>
    <w:rsid w:val="00D8354C"/>
    <w:rsid w:val="00D8422A"/>
    <w:rsid w:val="00D8457C"/>
    <w:rsid w:val="00D845DE"/>
    <w:rsid w:val="00D84A7B"/>
    <w:rsid w:val="00D84B81"/>
    <w:rsid w:val="00D84B93"/>
    <w:rsid w:val="00D84EC1"/>
    <w:rsid w:val="00D85226"/>
    <w:rsid w:val="00D852C9"/>
    <w:rsid w:val="00D85B1D"/>
    <w:rsid w:val="00D8649E"/>
    <w:rsid w:val="00D8686B"/>
    <w:rsid w:val="00D86E3D"/>
    <w:rsid w:val="00D87413"/>
    <w:rsid w:val="00D876E6"/>
    <w:rsid w:val="00D87B94"/>
    <w:rsid w:val="00D90059"/>
    <w:rsid w:val="00D90807"/>
    <w:rsid w:val="00D90C08"/>
    <w:rsid w:val="00D90DFA"/>
    <w:rsid w:val="00D911C3"/>
    <w:rsid w:val="00D916A0"/>
    <w:rsid w:val="00D91942"/>
    <w:rsid w:val="00D91962"/>
    <w:rsid w:val="00D91985"/>
    <w:rsid w:val="00D91A4D"/>
    <w:rsid w:val="00D920AF"/>
    <w:rsid w:val="00D92350"/>
    <w:rsid w:val="00D92728"/>
    <w:rsid w:val="00D92BA4"/>
    <w:rsid w:val="00D92BAF"/>
    <w:rsid w:val="00D92CEF"/>
    <w:rsid w:val="00D92D49"/>
    <w:rsid w:val="00D92D52"/>
    <w:rsid w:val="00D92D93"/>
    <w:rsid w:val="00D92EC1"/>
    <w:rsid w:val="00D93548"/>
    <w:rsid w:val="00D9362A"/>
    <w:rsid w:val="00D936F1"/>
    <w:rsid w:val="00D93C36"/>
    <w:rsid w:val="00D93D0A"/>
    <w:rsid w:val="00D940E8"/>
    <w:rsid w:val="00D94261"/>
    <w:rsid w:val="00D9465C"/>
    <w:rsid w:val="00D94C93"/>
    <w:rsid w:val="00D94C9A"/>
    <w:rsid w:val="00D95086"/>
    <w:rsid w:val="00D950CD"/>
    <w:rsid w:val="00D95ACD"/>
    <w:rsid w:val="00D95AEF"/>
    <w:rsid w:val="00D95F31"/>
    <w:rsid w:val="00D964E4"/>
    <w:rsid w:val="00D967ED"/>
    <w:rsid w:val="00D968AF"/>
    <w:rsid w:val="00D96A65"/>
    <w:rsid w:val="00D96DEA"/>
    <w:rsid w:val="00D96E97"/>
    <w:rsid w:val="00D96F2D"/>
    <w:rsid w:val="00D974D9"/>
    <w:rsid w:val="00D976FC"/>
    <w:rsid w:val="00D977D8"/>
    <w:rsid w:val="00D97C64"/>
    <w:rsid w:val="00D97CE6"/>
    <w:rsid w:val="00DA0110"/>
    <w:rsid w:val="00DA01F9"/>
    <w:rsid w:val="00DA03C4"/>
    <w:rsid w:val="00DA04CE"/>
    <w:rsid w:val="00DA05E4"/>
    <w:rsid w:val="00DA09FF"/>
    <w:rsid w:val="00DA0DDD"/>
    <w:rsid w:val="00DA0FE5"/>
    <w:rsid w:val="00DA101F"/>
    <w:rsid w:val="00DA159A"/>
    <w:rsid w:val="00DA1825"/>
    <w:rsid w:val="00DA1EBB"/>
    <w:rsid w:val="00DA20A5"/>
    <w:rsid w:val="00DA20C9"/>
    <w:rsid w:val="00DA2205"/>
    <w:rsid w:val="00DA2232"/>
    <w:rsid w:val="00DA2691"/>
    <w:rsid w:val="00DA2B31"/>
    <w:rsid w:val="00DA2C75"/>
    <w:rsid w:val="00DA3055"/>
    <w:rsid w:val="00DA323E"/>
    <w:rsid w:val="00DA328E"/>
    <w:rsid w:val="00DA33D8"/>
    <w:rsid w:val="00DA358F"/>
    <w:rsid w:val="00DA36D8"/>
    <w:rsid w:val="00DA3733"/>
    <w:rsid w:val="00DA38B4"/>
    <w:rsid w:val="00DA3AAF"/>
    <w:rsid w:val="00DA3B68"/>
    <w:rsid w:val="00DA3D44"/>
    <w:rsid w:val="00DA3E01"/>
    <w:rsid w:val="00DA41B1"/>
    <w:rsid w:val="00DA4251"/>
    <w:rsid w:val="00DA458E"/>
    <w:rsid w:val="00DA4702"/>
    <w:rsid w:val="00DA4CBC"/>
    <w:rsid w:val="00DA4D53"/>
    <w:rsid w:val="00DA4D60"/>
    <w:rsid w:val="00DA4E41"/>
    <w:rsid w:val="00DA5091"/>
    <w:rsid w:val="00DA5790"/>
    <w:rsid w:val="00DA57DD"/>
    <w:rsid w:val="00DA5875"/>
    <w:rsid w:val="00DA59FC"/>
    <w:rsid w:val="00DA5B18"/>
    <w:rsid w:val="00DA5C0D"/>
    <w:rsid w:val="00DA5D88"/>
    <w:rsid w:val="00DA6249"/>
    <w:rsid w:val="00DA6298"/>
    <w:rsid w:val="00DA655E"/>
    <w:rsid w:val="00DA6803"/>
    <w:rsid w:val="00DA6828"/>
    <w:rsid w:val="00DA68AE"/>
    <w:rsid w:val="00DA6C56"/>
    <w:rsid w:val="00DA6D5E"/>
    <w:rsid w:val="00DA6DC0"/>
    <w:rsid w:val="00DA7482"/>
    <w:rsid w:val="00DA7943"/>
    <w:rsid w:val="00DA7A47"/>
    <w:rsid w:val="00DA7A67"/>
    <w:rsid w:val="00DA7C19"/>
    <w:rsid w:val="00DA7C1B"/>
    <w:rsid w:val="00DA7E54"/>
    <w:rsid w:val="00DA7ED4"/>
    <w:rsid w:val="00DA7F09"/>
    <w:rsid w:val="00DB04A9"/>
    <w:rsid w:val="00DB0992"/>
    <w:rsid w:val="00DB0C37"/>
    <w:rsid w:val="00DB0F72"/>
    <w:rsid w:val="00DB117A"/>
    <w:rsid w:val="00DB1910"/>
    <w:rsid w:val="00DB2047"/>
    <w:rsid w:val="00DB25BB"/>
    <w:rsid w:val="00DB2663"/>
    <w:rsid w:val="00DB2866"/>
    <w:rsid w:val="00DB2891"/>
    <w:rsid w:val="00DB2918"/>
    <w:rsid w:val="00DB2D9F"/>
    <w:rsid w:val="00DB2EB0"/>
    <w:rsid w:val="00DB3342"/>
    <w:rsid w:val="00DB340B"/>
    <w:rsid w:val="00DB3582"/>
    <w:rsid w:val="00DB3B59"/>
    <w:rsid w:val="00DB3B5B"/>
    <w:rsid w:val="00DB3EA3"/>
    <w:rsid w:val="00DB40E3"/>
    <w:rsid w:val="00DB4288"/>
    <w:rsid w:val="00DB4425"/>
    <w:rsid w:val="00DB4445"/>
    <w:rsid w:val="00DB4986"/>
    <w:rsid w:val="00DB4D10"/>
    <w:rsid w:val="00DB4DAC"/>
    <w:rsid w:val="00DB4DDD"/>
    <w:rsid w:val="00DB4F3C"/>
    <w:rsid w:val="00DB5173"/>
    <w:rsid w:val="00DB5565"/>
    <w:rsid w:val="00DB5714"/>
    <w:rsid w:val="00DB5748"/>
    <w:rsid w:val="00DB57C8"/>
    <w:rsid w:val="00DB582D"/>
    <w:rsid w:val="00DB59F3"/>
    <w:rsid w:val="00DB5F0D"/>
    <w:rsid w:val="00DB64A1"/>
    <w:rsid w:val="00DB65CC"/>
    <w:rsid w:val="00DB66CD"/>
    <w:rsid w:val="00DB673E"/>
    <w:rsid w:val="00DB6842"/>
    <w:rsid w:val="00DB6DFE"/>
    <w:rsid w:val="00DB6F50"/>
    <w:rsid w:val="00DB70E1"/>
    <w:rsid w:val="00DB725A"/>
    <w:rsid w:val="00DB7731"/>
    <w:rsid w:val="00DB7873"/>
    <w:rsid w:val="00DB78E6"/>
    <w:rsid w:val="00DB7E18"/>
    <w:rsid w:val="00DB7F88"/>
    <w:rsid w:val="00DB7FC2"/>
    <w:rsid w:val="00DC0078"/>
    <w:rsid w:val="00DC00D2"/>
    <w:rsid w:val="00DC0157"/>
    <w:rsid w:val="00DC0228"/>
    <w:rsid w:val="00DC05DA"/>
    <w:rsid w:val="00DC062B"/>
    <w:rsid w:val="00DC067D"/>
    <w:rsid w:val="00DC0822"/>
    <w:rsid w:val="00DC0CC1"/>
    <w:rsid w:val="00DC0EC0"/>
    <w:rsid w:val="00DC1096"/>
    <w:rsid w:val="00DC1326"/>
    <w:rsid w:val="00DC1364"/>
    <w:rsid w:val="00DC155E"/>
    <w:rsid w:val="00DC1619"/>
    <w:rsid w:val="00DC187B"/>
    <w:rsid w:val="00DC1915"/>
    <w:rsid w:val="00DC193A"/>
    <w:rsid w:val="00DC1A45"/>
    <w:rsid w:val="00DC1B63"/>
    <w:rsid w:val="00DC229D"/>
    <w:rsid w:val="00DC29B4"/>
    <w:rsid w:val="00DC2D5B"/>
    <w:rsid w:val="00DC2EF4"/>
    <w:rsid w:val="00DC3110"/>
    <w:rsid w:val="00DC33A6"/>
    <w:rsid w:val="00DC33C7"/>
    <w:rsid w:val="00DC3424"/>
    <w:rsid w:val="00DC3428"/>
    <w:rsid w:val="00DC34E8"/>
    <w:rsid w:val="00DC35B6"/>
    <w:rsid w:val="00DC3681"/>
    <w:rsid w:val="00DC3685"/>
    <w:rsid w:val="00DC36E8"/>
    <w:rsid w:val="00DC3ED8"/>
    <w:rsid w:val="00DC416B"/>
    <w:rsid w:val="00DC4191"/>
    <w:rsid w:val="00DC4353"/>
    <w:rsid w:val="00DC4710"/>
    <w:rsid w:val="00DC4A3E"/>
    <w:rsid w:val="00DC4FF6"/>
    <w:rsid w:val="00DC50FB"/>
    <w:rsid w:val="00DC55B5"/>
    <w:rsid w:val="00DC57D8"/>
    <w:rsid w:val="00DC5949"/>
    <w:rsid w:val="00DC6114"/>
    <w:rsid w:val="00DC625A"/>
    <w:rsid w:val="00DC63E9"/>
    <w:rsid w:val="00DC6BC3"/>
    <w:rsid w:val="00DC6D28"/>
    <w:rsid w:val="00DC6D94"/>
    <w:rsid w:val="00DC6EA2"/>
    <w:rsid w:val="00DC7311"/>
    <w:rsid w:val="00DC73ED"/>
    <w:rsid w:val="00DC7600"/>
    <w:rsid w:val="00DC76D8"/>
    <w:rsid w:val="00DC7717"/>
    <w:rsid w:val="00DC7C34"/>
    <w:rsid w:val="00DC7CE0"/>
    <w:rsid w:val="00DC7DD8"/>
    <w:rsid w:val="00DC7E88"/>
    <w:rsid w:val="00DD0071"/>
    <w:rsid w:val="00DD0099"/>
    <w:rsid w:val="00DD02AC"/>
    <w:rsid w:val="00DD031D"/>
    <w:rsid w:val="00DD0333"/>
    <w:rsid w:val="00DD054E"/>
    <w:rsid w:val="00DD056D"/>
    <w:rsid w:val="00DD0742"/>
    <w:rsid w:val="00DD0AFD"/>
    <w:rsid w:val="00DD0C54"/>
    <w:rsid w:val="00DD0D1E"/>
    <w:rsid w:val="00DD1854"/>
    <w:rsid w:val="00DD1883"/>
    <w:rsid w:val="00DD1966"/>
    <w:rsid w:val="00DD1A43"/>
    <w:rsid w:val="00DD1A50"/>
    <w:rsid w:val="00DD25D7"/>
    <w:rsid w:val="00DD2952"/>
    <w:rsid w:val="00DD2A16"/>
    <w:rsid w:val="00DD2B9F"/>
    <w:rsid w:val="00DD2CC6"/>
    <w:rsid w:val="00DD370D"/>
    <w:rsid w:val="00DD37D1"/>
    <w:rsid w:val="00DD39CA"/>
    <w:rsid w:val="00DD3A46"/>
    <w:rsid w:val="00DD3B6D"/>
    <w:rsid w:val="00DD3C44"/>
    <w:rsid w:val="00DD3C83"/>
    <w:rsid w:val="00DD3D3D"/>
    <w:rsid w:val="00DD420E"/>
    <w:rsid w:val="00DD49EA"/>
    <w:rsid w:val="00DD4A20"/>
    <w:rsid w:val="00DD55BA"/>
    <w:rsid w:val="00DD55C3"/>
    <w:rsid w:val="00DD5D57"/>
    <w:rsid w:val="00DD5F15"/>
    <w:rsid w:val="00DD60FD"/>
    <w:rsid w:val="00DD63D9"/>
    <w:rsid w:val="00DD66B3"/>
    <w:rsid w:val="00DD6DC1"/>
    <w:rsid w:val="00DD6E66"/>
    <w:rsid w:val="00DD7244"/>
    <w:rsid w:val="00DD72FF"/>
    <w:rsid w:val="00DD73C2"/>
    <w:rsid w:val="00DD78E2"/>
    <w:rsid w:val="00DD7990"/>
    <w:rsid w:val="00DD7BBD"/>
    <w:rsid w:val="00DD7CDB"/>
    <w:rsid w:val="00DD7F5E"/>
    <w:rsid w:val="00DE01DF"/>
    <w:rsid w:val="00DE0228"/>
    <w:rsid w:val="00DE0354"/>
    <w:rsid w:val="00DE0365"/>
    <w:rsid w:val="00DE0845"/>
    <w:rsid w:val="00DE0ABA"/>
    <w:rsid w:val="00DE12D2"/>
    <w:rsid w:val="00DE12D9"/>
    <w:rsid w:val="00DE185D"/>
    <w:rsid w:val="00DE198E"/>
    <w:rsid w:val="00DE1A9B"/>
    <w:rsid w:val="00DE1B0B"/>
    <w:rsid w:val="00DE2179"/>
    <w:rsid w:val="00DE23F2"/>
    <w:rsid w:val="00DE2497"/>
    <w:rsid w:val="00DE2588"/>
    <w:rsid w:val="00DE263D"/>
    <w:rsid w:val="00DE272F"/>
    <w:rsid w:val="00DE2859"/>
    <w:rsid w:val="00DE28BA"/>
    <w:rsid w:val="00DE2B37"/>
    <w:rsid w:val="00DE2C8F"/>
    <w:rsid w:val="00DE2D31"/>
    <w:rsid w:val="00DE2DBD"/>
    <w:rsid w:val="00DE3095"/>
    <w:rsid w:val="00DE319B"/>
    <w:rsid w:val="00DE3368"/>
    <w:rsid w:val="00DE3672"/>
    <w:rsid w:val="00DE38B9"/>
    <w:rsid w:val="00DE3D03"/>
    <w:rsid w:val="00DE3E18"/>
    <w:rsid w:val="00DE3FEB"/>
    <w:rsid w:val="00DE4755"/>
    <w:rsid w:val="00DE4D9E"/>
    <w:rsid w:val="00DE5133"/>
    <w:rsid w:val="00DE5170"/>
    <w:rsid w:val="00DE53ED"/>
    <w:rsid w:val="00DE56BB"/>
    <w:rsid w:val="00DE57D1"/>
    <w:rsid w:val="00DE5F3B"/>
    <w:rsid w:val="00DE5FAA"/>
    <w:rsid w:val="00DE5FEE"/>
    <w:rsid w:val="00DE60A6"/>
    <w:rsid w:val="00DE60E3"/>
    <w:rsid w:val="00DE6392"/>
    <w:rsid w:val="00DE6572"/>
    <w:rsid w:val="00DE6666"/>
    <w:rsid w:val="00DE6D9C"/>
    <w:rsid w:val="00DE6DD7"/>
    <w:rsid w:val="00DE6E17"/>
    <w:rsid w:val="00DE6EC0"/>
    <w:rsid w:val="00DE720B"/>
    <w:rsid w:val="00DE76A4"/>
    <w:rsid w:val="00DE7802"/>
    <w:rsid w:val="00DE78A1"/>
    <w:rsid w:val="00DE7C7D"/>
    <w:rsid w:val="00DE7C96"/>
    <w:rsid w:val="00DE7E57"/>
    <w:rsid w:val="00DE7F6B"/>
    <w:rsid w:val="00DF025F"/>
    <w:rsid w:val="00DF0882"/>
    <w:rsid w:val="00DF0BF8"/>
    <w:rsid w:val="00DF0FBD"/>
    <w:rsid w:val="00DF13B7"/>
    <w:rsid w:val="00DF161B"/>
    <w:rsid w:val="00DF1844"/>
    <w:rsid w:val="00DF1A45"/>
    <w:rsid w:val="00DF1A6A"/>
    <w:rsid w:val="00DF1AA9"/>
    <w:rsid w:val="00DF1E0C"/>
    <w:rsid w:val="00DF1EA9"/>
    <w:rsid w:val="00DF2278"/>
    <w:rsid w:val="00DF25DB"/>
    <w:rsid w:val="00DF2AD6"/>
    <w:rsid w:val="00DF2B17"/>
    <w:rsid w:val="00DF2B4E"/>
    <w:rsid w:val="00DF2BDE"/>
    <w:rsid w:val="00DF34FE"/>
    <w:rsid w:val="00DF37B6"/>
    <w:rsid w:val="00DF3979"/>
    <w:rsid w:val="00DF3A74"/>
    <w:rsid w:val="00DF3B95"/>
    <w:rsid w:val="00DF450B"/>
    <w:rsid w:val="00DF4688"/>
    <w:rsid w:val="00DF4875"/>
    <w:rsid w:val="00DF4967"/>
    <w:rsid w:val="00DF4AEB"/>
    <w:rsid w:val="00DF4DC0"/>
    <w:rsid w:val="00DF4FA0"/>
    <w:rsid w:val="00DF5043"/>
    <w:rsid w:val="00DF51E7"/>
    <w:rsid w:val="00DF52BB"/>
    <w:rsid w:val="00DF5319"/>
    <w:rsid w:val="00DF558F"/>
    <w:rsid w:val="00DF56AA"/>
    <w:rsid w:val="00DF56AF"/>
    <w:rsid w:val="00DF59A6"/>
    <w:rsid w:val="00DF5B7B"/>
    <w:rsid w:val="00DF5CF6"/>
    <w:rsid w:val="00DF5D01"/>
    <w:rsid w:val="00DF637C"/>
    <w:rsid w:val="00DF6723"/>
    <w:rsid w:val="00DF78CB"/>
    <w:rsid w:val="00DF78E7"/>
    <w:rsid w:val="00DF7951"/>
    <w:rsid w:val="00DF7BC6"/>
    <w:rsid w:val="00E0084E"/>
    <w:rsid w:val="00E00922"/>
    <w:rsid w:val="00E00AE2"/>
    <w:rsid w:val="00E00CBF"/>
    <w:rsid w:val="00E00F45"/>
    <w:rsid w:val="00E01124"/>
    <w:rsid w:val="00E0112B"/>
    <w:rsid w:val="00E0131E"/>
    <w:rsid w:val="00E017DA"/>
    <w:rsid w:val="00E0184F"/>
    <w:rsid w:val="00E018CB"/>
    <w:rsid w:val="00E0197F"/>
    <w:rsid w:val="00E01A95"/>
    <w:rsid w:val="00E01C8C"/>
    <w:rsid w:val="00E01D3E"/>
    <w:rsid w:val="00E01D72"/>
    <w:rsid w:val="00E01DA9"/>
    <w:rsid w:val="00E01E14"/>
    <w:rsid w:val="00E01F3E"/>
    <w:rsid w:val="00E01FB5"/>
    <w:rsid w:val="00E01FC5"/>
    <w:rsid w:val="00E02274"/>
    <w:rsid w:val="00E02547"/>
    <w:rsid w:val="00E025A3"/>
    <w:rsid w:val="00E02896"/>
    <w:rsid w:val="00E02CCE"/>
    <w:rsid w:val="00E02DF4"/>
    <w:rsid w:val="00E02FEE"/>
    <w:rsid w:val="00E03A89"/>
    <w:rsid w:val="00E03C69"/>
    <w:rsid w:val="00E03EBF"/>
    <w:rsid w:val="00E040EC"/>
    <w:rsid w:val="00E0411B"/>
    <w:rsid w:val="00E04170"/>
    <w:rsid w:val="00E04231"/>
    <w:rsid w:val="00E04820"/>
    <w:rsid w:val="00E04886"/>
    <w:rsid w:val="00E04C47"/>
    <w:rsid w:val="00E05046"/>
    <w:rsid w:val="00E05200"/>
    <w:rsid w:val="00E0589F"/>
    <w:rsid w:val="00E05AB6"/>
    <w:rsid w:val="00E05BCC"/>
    <w:rsid w:val="00E05D53"/>
    <w:rsid w:val="00E05F4E"/>
    <w:rsid w:val="00E06557"/>
    <w:rsid w:val="00E0687C"/>
    <w:rsid w:val="00E06B62"/>
    <w:rsid w:val="00E06BD6"/>
    <w:rsid w:val="00E06BF8"/>
    <w:rsid w:val="00E06F53"/>
    <w:rsid w:val="00E07016"/>
    <w:rsid w:val="00E076CF"/>
    <w:rsid w:val="00E07864"/>
    <w:rsid w:val="00E07A2C"/>
    <w:rsid w:val="00E07B06"/>
    <w:rsid w:val="00E10538"/>
    <w:rsid w:val="00E10869"/>
    <w:rsid w:val="00E10A2F"/>
    <w:rsid w:val="00E10A43"/>
    <w:rsid w:val="00E10A65"/>
    <w:rsid w:val="00E10F58"/>
    <w:rsid w:val="00E10F7C"/>
    <w:rsid w:val="00E110E0"/>
    <w:rsid w:val="00E110E3"/>
    <w:rsid w:val="00E111DB"/>
    <w:rsid w:val="00E112C7"/>
    <w:rsid w:val="00E11321"/>
    <w:rsid w:val="00E11DBB"/>
    <w:rsid w:val="00E11E99"/>
    <w:rsid w:val="00E11F17"/>
    <w:rsid w:val="00E11FBD"/>
    <w:rsid w:val="00E12016"/>
    <w:rsid w:val="00E122EB"/>
    <w:rsid w:val="00E124C4"/>
    <w:rsid w:val="00E12660"/>
    <w:rsid w:val="00E1278E"/>
    <w:rsid w:val="00E12845"/>
    <w:rsid w:val="00E128BF"/>
    <w:rsid w:val="00E128C4"/>
    <w:rsid w:val="00E12946"/>
    <w:rsid w:val="00E12B3D"/>
    <w:rsid w:val="00E12B90"/>
    <w:rsid w:val="00E12BD7"/>
    <w:rsid w:val="00E12FE7"/>
    <w:rsid w:val="00E13363"/>
    <w:rsid w:val="00E13F67"/>
    <w:rsid w:val="00E14197"/>
    <w:rsid w:val="00E145A8"/>
    <w:rsid w:val="00E147E1"/>
    <w:rsid w:val="00E14A06"/>
    <w:rsid w:val="00E14DF9"/>
    <w:rsid w:val="00E14DFB"/>
    <w:rsid w:val="00E14E83"/>
    <w:rsid w:val="00E15121"/>
    <w:rsid w:val="00E15371"/>
    <w:rsid w:val="00E15391"/>
    <w:rsid w:val="00E153D5"/>
    <w:rsid w:val="00E156C0"/>
    <w:rsid w:val="00E1571E"/>
    <w:rsid w:val="00E159F2"/>
    <w:rsid w:val="00E15B69"/>
    <w:rsid w:val="00E15D1E"/>
    <w:rsid w:val="00E1603B"/>
    <w:rsid w:val="00E16273"/>
    <w:rsid w:val="00E1627B"/>
    <w:rsid w:val="00E162C4"/>
    <w:rsid w:val="00E16349"/>
    <w:rsid w:val="00E169FD"/>
    <w:rsid w:val="00E16D75"/>
    <w:rsid w:val="00E16EBD"/>
    <w:rsid w:val="00E17254"/>
    <w:rsid w:val="00E17589"/>
    <w:rsid w:val="00E17675"/>
    <w:rsid w:val="00E17892"/>
    <w:rsid w:val="00E17B88"/>
    <w:rsid w:val="00E17C7F"/>
    <w:rsid w:val="00E20149"/>
    <w:rsid w:val="00E206ED"/>
    <w:rsid w:val="00E2077F"/>
    <w:rsid w:val="00E207C3"/>
    <w:rsid w:val="00E20A23"/>
    <w:rsid w:val="00E20CCF"/>
    <w:rsid w:val="00E20DCD"/>
    <w:rsid w:val="00E20E0D"/>
    <w:rsid w:val="00E20FAC"/>
    <w:rsid w:val="00E20FBE"/>
    <w:rsid w:val="00E21056"/>
    <w:rsid w:val="00E2136F"/>
    <w:rsid w:val="00E2162F"/>
    <w:rsid w:val="00E21675"/>
    <w:rsid w:val="00E216FE"/>
    <w:rsid w:val="00E21A16"/>
    <w:rsid w:val="00E21A39"/>
    <w:rsid w:val="00E22154"/>
    <w:rsid w:val="00E22219"/>
    <w:rsid w:val="00E22360"/>
    <w:rsid w:val="00E2240C"/>
    <w:rsid w:val="00E22416"/>
    <w:rsid w:val="00E22CD4"/>
    <w:rsid w:val="00E23107"/>
    <w:rsid w:val="00E23408"/>
    <w:rsid w:val="00E23895"/>
    <w:rsid w:val="00E23AC3"/>
    <w:rsid w:val="00E23F95"/>
    <w:rsid w:val="00E240B3"/>
    <w:rsid w:val="00E24104"/>
    <w:rsid w:val="00E2420F"/>
    <w:rsid w:val="00E24499"/>
    <w:rsid w:val="00E24633"/>
    <w:rsid w:val="00E247DD"/>
    <w:rsid w:val="00E249CB"/>
    <w:rsid w:val="00E24BDB"/>
    <w:rsid w:val="00E24F21"/>
    <w:rsid w:val="00E24F36"/>
    <w:rsid w:val="00E25162"/>
    <w:rsid w:val="00E258C6"/>
    <w:rsid w:val="00E25921"/>
    <w:rsid w:val="00E25982"/>
    <w:rsid w:val="00E25B13"/>
    <w:rsid w:val="00E25EDD"/>
    <w:rsid w:val="00E25F8F"/>
    <w:rsid w:val="00E26392"/>
    <w:rsid w:val="00E268B6"/>
    <w:rsid w:val="00E26EEB"/>
    <w:rsid w:val="00E26F05"/>
    <w:rsid w:val="00E26FE8"/>
    <w:rsid w:val="00E27511"/>
    <w:rsid w:val="00E27841"/>
    <w:rsid w:val="00E27A0F"/>
    <w:rsid w:val="00E27A76"/>
    <w:rsid w:val="00E27E53"/>
    <w:rsid w:val="00E302D0"/>
    <w:rsid w:val="00E30362"/>
    <w:rsid w:val="00E30569"/>
    <w:rsid w:val="00E309AC"/>
    <w:rsid w:val="00E30D59"/>
    <w:rsid w:val="00E30DA7"/>
    <w:rsid w:val="00E312EE"/>
    <w:rsid w:val="00E314D0"/>
    <w:rsid w:val="00E319BD"/>
    <w:rsid w:val="00E31E8C"/>
    <w:rsid w:val="00E32313"/>
    <w:rsid w:val="00E32901"/>
    <w:rsid w:val="00E32DFF"/>
    <w:rsid w:val="00E32E1E"/>
    <w:rsid w:val="00E33021"/>
    <w:rsid w:val="00E334B7"/>
    <w:rsid w:val="00E334FE"/>
    <w:rsid w:val="00E33BE1"/>
    <w:rsid w:val="00E33C1F"/>
    <w:rsid w:val="00E3439D"/>
    <w:rsid w:val="00E344BF"/>
    <w:rsid w:val="00E3467E"/>
    <w:rsid w:val="00E3474F"/>
    <w:rsid w:val="00E3487F"/>
    <w:rsid w:val="00E34CB4"/>
    <w:rsid w:val="00E351E8"/>
    <w:rsid w:val="00E3527C"/>
    <w:rsid w:val="00E3561F"/>
    <w:rsid w:val="00E3562C"/>
    <w:rsid w:val="00E35707"/>
    <w:rsid w:val="00E35990"/>
    <w:rsid w:val="00E35C14"/>
    <w:rsid w:val="00E3602D"/>
    <w:rsid w:val="00E36264"/>
    <w:rsid w:val="00E3642D"/>
    <w:rsid w:val="00E365C5"/>
    <w:rsid w:val="00E3688A"/>
    <w:rsid w:val="00E368F2"/>
    <w:rsid w:val="00E3696C"/>
    <w:rsid w:val="00E36AA1"/>
    <w:rsid w:val="00E36F49"/>
    <w:rsid w:val="00E36F50"/>
    <w:rsid w:val="00E370AC"/>
    <w:rsid w:val="00E37242"/>
    <w:rsid w:val="00E372D7"/>
    <w:rsid w:val="00E3765B"/>
    <w:rsid w:val="00E37660"/>
    <w:rsid w:val="00E3784F"/>
    <w:rsid w:val="00E37DC0"/>
    <w:rsid w:val="00E4038E"/>
    <w:rsid w:val="00E40550"/>
    <w:rsid w:val="00E40578"/>
    <w:rsid w:val="00E40721"/>
    <w:rsid w:val="00E4125A"/>
    <w:rsid w:val="00E412D6"/>
    <w:rsid w:val="00E4195F"/>
    <w:rsid w:val="00E41A89"/>
    <w:rsid w:val="00E41A8D"/>
    <w:rsid w:val="00E41D45"/>
    <w:rsid w:val="00E41E34"/>
    <w:rsid w:val="00E41ECB"/>
    <w:rsid w:val="00E41FA6"/>
    <w:rsid w:val="00E42220"/>
    <w:rsid w:val="00E42467"/>
    <w:rsid w:val="00E4247E"/>
    <w:rsid w:val="00E42676"/>
    <w:rsid w:val="00E42DE1"/>
    <w:rsid w:val="00E42EE1"/>
    <w:rsid w:val="00E43679"/>
    <w:rsid w:val="00E43A91"/>
    <w:rsid w:val="00E43B02"/>
    <w:rsid w:val="00E44360"/>
    <w:rsid w:val="00E44415"/>
    <w:rsid w:val="00E45040"/>
    <w:rsid w:val="00E4510A"/>
    <w:rsid w:val="00E453C1"/>
    <w:rsid w:val="00E4566D"/>
    <w:rsid w:val="00E45B81"/>
    <w:rsid w:val="00E45D6D"/>
    <w:rsid w:val="00E45E4F"/>
    <w:rsid w:val="00E46344"/>
    <w:rsid w:val="00E463AA"/>
    <w:rsid w:val="00E464CC"/>
    <w:rsid w:val="00E467C2"/>
    <w:rsid w:val="00E4681B"/>
    <w:rsid w:val="00E4695B"/>
    <w:rsid w:val="00E469B4"/>
    <w:rsid w:val="00E46F0F"/>
    <w:rsid w:val="00E46F67"/>
    <w:rsid w:val="00E47230"/>
    <w:rsid w:val="00E47476"/>
    <w:rsid w:val="00E47707"/>
    <w:rsid w:val="00E47834"/>
    <w:rsid w:val="00E47856"/>
    <w:rsid w:val="00E4790A"/>
    <w:rsid w:val="00E47AE9"/>
    <w:rsid w:val="00E47C94"/>
    <w:rsid w:val="00E47E12"/>
    <w:rsid w:val="00E50284"/>
    <w:rsid w:val="00E504EB"/>
    <w:rsid w:val="00E507A2"/>
    <w:rsid w:val="00E50D0E"/>
    <w:rsid w:val="00E50DDE"/>
    <w:rsid w:val="00E511DD"/>
    <w:rsid w:val="00E517C2"/>
    <w:rsid w:val="00E51B10"/>
    <w:rsid w:val="00E51B83"/>
    <w:rsid w:val="00E52327"/>
    <w:rsid w:val="00E52583"/>
    <w:rsid w:val="00E525DB"/>
    <w:rsid w:val="00E526B7"/>
    <w:rsid w:val="00E5285C"/>
    <w:rsid w:val="00E52956"/>
    <w:rsid w:val="00E52A2B"/>
    <w:rsid w:val="00E531BD"/>
    <w:rsid w:val="00E534A0"/>
    <w:rsid w:val="00E534EF"/>
    <w:rsid w:val="00E535F8"/>
    <w:rsid w:val="00E537E8"/>
    <w:rsid w:val="00E53858"/>
    <w:rsid w:val="00E53AAD"/>
    <w:rsid w:val="00E53BC8"/>
    <w:rsid w:val="00E53BCC"/>
    <w:rsid w:val="00E53D77"/>
    <w:rsid w:val="00E540A8"/>
    <w:rsid w:val="00E5426D"/>
    <w:rsid w:val="00E5430E"/>
    <w:rsid w:val="00E54604"/>
    <w:rsid w:val="00E547B2"/>
    <w:rsid w:val="00E54D4F"/>
    <w:rsid w:val="00E54F94"/>
    <w:rsid w:val="00E54FDB"/>
    <w:rsid w:val="00E5505F"/>
    <w:rsid w:val="00E551D2"/>
    <w:rsid w:val="00E55231"/>
    <w:rsid w:val="00E55486"/>
    <w:rsid w:val="00E5551E"/>
    <w:rsid w:val="00E55769"/>
    <w:rsid w:val="00E557C3"/>
    <w:rsid w:val="00E55955"/>
    <w:rsid w:val="00E55A10"/>
    <w:rsid w:val="00E55A2C"/>
    <w:rsid w:val="00E55E97"/>
    <w:rsid w:val="00E55FA6"/>
    <w:rsid w:val="00E5617D"/>
    <w:rsid w:val="00E5639A"/>
    <w:rsid w:val="00E563D7"/>
    <w:rsid w:val="00E5641C"/>
    <w:rsid w:val="00E5658C"/>
    <w:rsid w:val="00E5675A"/>
    <w:rsid w:val="00E5696A"/>
    <w:rsid w:val="00E56A5D"/>
    <w:rsid w:val="00E56A7E"/>
    <w:rsid w:val="00E56C4D"/>
    <w:rsid w:val="00E5717F"/>
    <w:rsid w:val="00E57333"/>
    <w:rsid w:val="00E57517"/>
    <w:rsid w:val="00E5753C"/>
    <w:rsid w:val="00E576FF"/>
    <w:rsid w:val="00E57834"/>
    <w:rsid w:val="00E57D9E"/>
    <w:rsid w:val="00E60000"/>
    <w:rsid w:val="00E600EA"/>
    <w:rsid w:val="00E60428"/>
    <w:rsid w:val="00E60461"/>
    <w:rsid w:val="00E6109C"/>
    <w:rsid w:val="00E6184F"/>
    <w:rsid w:val="00E62102"/>
    <w:rsid w:val="00E62325"/>
    <w:rsid w:val="00E623DA"/>
    <w:rsid w:val="00E62804"/>
    <w:rsid w:val="00E629B0"/>
    <w:rsid w:val="00E62E21"/>
    <w:rsid w:val="00E6326E"/>
    <w:rsid w:val="00E634FA"/>
    <w:rsid w:val="00E638D2"/>
    <w:rsid w:val="00E63B95"/>
    <w:rsid w:val="00E63E46"/>
    <w:rsid w:val="00E6400F"/>
    <w:rsid w:val="00E6409F"/>
    <w:rsid w:val="00E6446C"/>
    <w:rsid w:val="00E647B8"/>
    <w:rsid w:val="00E64945"/>
    <w:rsid w:val="00E64ADC"/>
    <w:rsid w:val="00E64C53"/>
    <w:rsid w:val="00E64EB4"/>
    <w:rsid w:val="00E65057"/>
    <w:rsid w:val="00E65168"/>
    <w:rsid w:val="00E651DD"/>
    <w:rsid w:val="00E652B5"/>
    <w:rsid w:val="00E655FE"/>
    <w:rsid w:val="00E6581A"/>
    <w:rsid w:val="00E65A8F"/>
    <w:rsid w:val="00E65A9A"/>
    <w:rsid w:val="00E65CBB"/>
    <w:rsid w:val="00E66116"/>
    <w:rsid w:val="00E6618A"/>
    <w:rsid w:val="00E662CD"/>
    <w:rsid w:val="00E66332"/>
    <w:rsid w:val="00E663F4"/>
    <w:rsid w:val="00E6640A"/>
    <w:rsid w:val="00E66520"/>
    <w:rsid w:val="00E666F2"/>
    <w:rsid w:val="00E66932"/>
    <w:rsid w:val="00E66DD4"/>
    <w:rsid w:val="00E675C6"/>
    <w:rsid w:val="00E6776E"/>
    <w:rsid w:val="00E677D8"/>
    <w:rsid w:val="00E67929"/>
    <w:rsid w:val="00E67BAE"/>
    <w:rsid w:val="00E67BC6"/>
    <w:rsid w:val="00E67EEC"/>
    <w:rsid w:val="00E7006F"/>
    <w:rsid w:val="00E7065A"/>
    <w:rsid w:val="00E71138"/>
    <w:rsid w:val="00E71187"/>
    <w:rsid w:val="00E71249"/>
    <w:rsid w:val="00E7133D"/>
    <w:rsid w:val="00E7141A"/>
    <w:rsid w:val="00E717A8"/>
    <w:rsid w:val="00E7181C"/>
    <w:rsid w:val="00E71872"/>
    <w:rsid w:val="00E7188B"/>
    <w:rsid w:val="00E71A1A"/>
    <w:rsid w:val="00E71A4E"/>
    <w:rsid w:val="00E7213F"/>
    <w:rsid w:val="00E722D1"/>
    <w:rsid w:val="00E7234C"/>
    <w:rsid w:val="00E72494"/>
    <w:rsid w:val="00E72650"/>
    <w:rsid w:val="00E72677"/>
    <w:rsid w:val="00E729AD"/>
    <w:rsid w:val="00E729D9"/>
    <w:rsid w:val="00E73049"/>
    <w:rsid w:val="00E73577"/>
    <w:rsid w:val="00E7389C"/>
    <w:rsid w:val="00E73A2A"/>
    <w:rsid w:val="00E73A3A"/>
    <w:rsid w:val="00E73B25"/>
    <w:rsid w:val="00E73C8B"/>
    <w:rsid w:val="00E73F11"/>
    <w:rsid w:val="00E7445F"/>
    <w:rsid w:val="00E74614"/>
    <w:rsid w:val="00E74774"/>
    <w:rsid w:val="00E748CC"/>
    <w:rsid w:val="00E74938"/>
    <w:rsid w:val="00E74A80"/>
    <w:rsid w:val="00E74E67"/>
    <w:rsid w:val="00E74F15"/>
    <w:rsid w:val="00E7503A"/>
    <w:rsid w:val="00E75079"/>
    <w:rsid w:val="00E75415"/>
    <w:rsid w:val="00E756ED"/>
    <w:rsid w:val="00E75945"/>
    <w:rsid w:val="00E75A09"/>
    <w:rsid w:val="00E75DAB"/>
    <w:rsid w:val="00E75F9D"/>
    <w:rsid w:val="00E76559"/>
    <w:rsid w:val="00E7688F"/>
    <w:rsid w:val="00E769F0"/>
    <w:rsid w:val="00E76A61"/>
    <w:rsid w:val="00E775B1"/>
    <w:rsid w:val="00E77682"/>
    <w:rsid w:val="00E77BE5"/>
    <w:rsid w:val="00E77F09"/>
    <w:rsid w:val="00E803EE"/>
    <w:rsid w:val="00E8069C"/>
    <w:rsid w:val="00E80B3D"/>
    <w:rsid w:val="00E80D80"/>
    <w:rsid w:val="00E80E95"/>
    <w:rsid w:val="00E80F03"/>
    <w:rsid w:val="00E810A7"/>
    <w:rsid w:val="00E8120F"/>
    <w:rsid w:val="00E8132A"/>
    <w:rsid w:val="00E8152A"/>
    <w:rsid w:val="00E81590"/>
    <w:rsid w:val="00E8178A"/>
    <w:rsid w:val="00E817C7"/>
    <w:rsid w:val="00E8199F"/>
    <w:rsid w:val="00E81A4E"/>
    <w:rsid w:val="00E81B06"/>
    <w:rsid w:val="00E81DC1"/>
    <w:rsid w:val="00E81F1D"/>
    <w:rsid w:val="00E825E8"/>
    <w:rsid w:val="00E82727"/>
    <w:rsid w:val="00E8276B"/>
    <w:rsid w:val="00E827C1"/>
    <w:rsid w:val="00E82D01"/>
    <w:rsid w:val="00E82F8B"/>
    <w:rsid w:val="00E833D5"/>
    <w:rsid w:val="00E836EA"/>
    <w:rsid w:val="00E83724"/>
    <w:rsid w:val="00E83790"/>
    <w:rsid w:val="00E83963"/>
    <w:rsid w:val="00E83B3F"/>
    <w:rsid w:val="00E83BA8"/>
    <w:rsid w:val="00E83CC6"/>
    <w:rsid w:val="00E840F4"/>
    <w:rsid w:val="00E842A2"/>
    <w:rsid w:val="00E84333"/>
    <w:rsid w:val="00E84334"/>
    <w:rsid w:val="00E84400"/>
    <w:rsid w:val="00E84850"/>
    <w:rsid w:val="00E8491E"/>
    <w:rsid w:val="00E8497C"/>
    <w:rsid w:val="00E849A7"/>
    <w:rsid w:val="00E84A90"/>
    <w:rsid w:val="00E84C97"/>
    <w:rsid w:val="00E84D8D"/>
    <w:rsid w:val="00E84F91"/>
    <w:rsid w:val="00E851E1"/>
    <w:rsid w:val="00E859F7"/>
    <w:rsid w:val="00E85ABC"/>
    <w:rsid w:val="00E85DDB"/>
    <w:rsid w:val="00E85FFE"/>
    <w:rsid w:val="00E8615C"/>
    <w:rsid w:val="00E8681E"/>
    <w:rsid w:val="00E87031"/>
    <w:rsid w:val="00E87065"/>
    <w:rsid w:val="00E87288"/>
    <w:rsid w:val="00E874BF"/>
    <w:rsid w:val="00E87A81"/>
    <w:rsid w:val="00E87FD9"/>
    <w:rsid w:val="00E900BD"/>
    <w:rsid w:val="00E9010D"/>
    <w:rsid w:val="00E9023E"/>
    <w:rsid w:val="00E906AD"/>
    <w:rsid w:val="00E91472"/>
    <w:rsid w:val="00E91A74"/>
    <w:rsid w:val="00E91C9B"/>
    <w:rsid w:val="00E92411"/>
    <w:rsid w:val="00E92674"/>
    <w:rsid w:val="00E926DD"/>
    <w:rsid w:val="00E92716"/>
    <w:rsid w:val="00E92A1A"/>
    <w:rsid w:val="00E92C0E"/>
    <w:rsid w:val="00E92EC0"/>
    <w:rsid w:val="00E93489"/>
    <w:rsid w:val="00E93505"/>
    <w:rsid w:val="00E935B0"/>
    <w:rsid w:val="00E93629"/>
    <w:rsid w:val="00E93AAC"/>
    <w:rsid w:val="00E93B5C"/>
    <w:rsid w:val="00E94304"/>
    <w:rsid w:val="00E944E7"/>
    <w:rsid w:val="00E9450F"/>
    <w:rsid w:val="00E947CA"/>
    <w:rsid w:val="00E94B80"/>
    <w:rsid w:val="00E94CEC"/>
    <w:rsid w:val="00E94E8E"/>
    <w:rsid w:val="00E9529B"/>
    <w:rsid w:val="00E953EC"/>
    <w:rsid w:val="00E95A36"/>
    <w:rsid w:val="00E96227"/>
    <w:rsid w:val="00E9679F"/>
    <w:rsid w:val="00E96A18"/>
    <w:rsid w:val="00E96C3C"/>
    <w:rsid w:val="00E96D5C"/>
    <w:rsid w:val="00E96F3F"/>
    <w:rsid w:val="00E972CF"/>
    <w:rsid w:val="00E97613"/>
    <w:rsid w:val="00E976FB"/>
    <w:rsid w:val="00E9773C"/>
    <w:rsid w:val="00E97DDC"/>
    <w:rsid w:val="00E97F72"/>
    <w:rsid w:val="00EA04EF"/>
    <w:rsid w:val="00EA054B"/>
    <w:rsid w:val="00EA06CE"/>
    <w:rsid w:val="00EA0843"/>
    <w:rsid w:val="00EA0969"/>
    <w:rsid w:val="00EA0A96"/>
    <w:rsid w:val="00EA0C16"/>
    <w:rsid w:val="00EA13EA"/>
    <w:rsid w:val="00EA16CD"/>
    <w:rsid w:val="00EA172E"/>
    <w:rsid w:val="00EA1930"/>
    <w:rsid w:val="00EA20FD"/>
    <w:rsid w:val="00EA229A"/>
    <w:rsid w:val="00EA24DC"/>
    <w:rsid w:val="00EA2B5C"/>
    <w:rsid w:val="00EA2C60"/>
    <w:rsid w:val="00EA3333"/>
    <w:rsid w:val="00EA373D"/>
    <w:rsid w:val="00EA38DF"/>
    <w:rsid w:val="00EA4213"/>
    <w:rsid w:val="00EA429A"/>
    <w:rsid w:val="00EA440B"/>
    <w:rsid w:val="00EA4941"/>
    <w:rsid w:val="00EA495F"/>
    <w:rsid w:val="00EA49BC"/>
    <w:rsid w:val="00EA4B26"/>
    <w:rsid w:val="00EA4B8D"/>
    <w:rsid w:val="00EA4E84"/>
    <w:rsid w:val="00EA4EC2"/>
    <w:rsid w:val="00EA53C3"/>
    <w:rsid w:val="00EA56FD"/>
    <w:rsid w:val="00EA572F"/>
    <w:rsid w:val="00EA5CFA"/>
    <w:rsid w:val="00EA5D2E"/>
    <w:rsid w:val="00EA6012"/>
    <w:rsid w:val="00EA62D0"/>
    <w:rsid w:val="00EA66B2"/>
    <w:rsid w:val="00EA693C"/>
    <w:rsid w:val="00EA696E"/>
    <w:rsid w:val="00EA6C2F"/>
    <w:rsid w:val="00EA6C79"/>
    <w:rsid w:val="00EA6F10"/>
    <w:rsid w:val="00EA6F19"/>
    <w:rsid w:val="00EA76CC"/>
    <w:rsid w:val="00EA77B8"/>
    <w:rsid w:val="00EA7872"/>
    <w:rsid w:val="00EA7D97"/>
    <w:rsid w:val="00EA7F94"/>
    <w:rsid w:val="00EB01F5"/>
    <w:rsid w:val="00EB027C"/>
    <w:rsid w:val="00EB0796"/>
    <w:rsid w:val="00EB095D"/>
    <w:rsid w:val="00EB097B"/>
    <w:rsid w:val="00EB0C64"/>
    <w:rsid w:val="00EB0DFB"/>
    <w:rsid w:val="00EB0E01"/>
    <w:rsid w:val="00EB0E9F"/>
    <w:rsid w:val="00EB0F60"/>
    <w:rsid w:val="00EB1491"/>
    <w:rsid w:val="00EB15F9"/>
    <w:rsid w:val="00EB1C1F"/>
    <w:rsid w:val="00EB2214"/>
    <w:rsid w:val="00EB2520"/>
    <w:rsid w:val="00EB25D5"/>
    <w:rsid w:val="00EB265E"/>
    <w:rsid w:val="00EB270F"/>
    <w:rsid w:val="00EB2A3C"/>
    <w:rsid w:val="00EB2B2F"/>
    <w:rsid w:val="00EB2D9D"/>
    <w:rsid w:val="00EB2EE9"/>
    <w:rsid w:val="00EB33E4"/>
    <w:rsid w:val="00EB368E"/>
    <w:rsid w:val="00EB3DD0"/>
    <w:rsid w:val="00EB405B"/>
    <w:rsid w:val="00EB40FF"/>
    <w:rsid w:val="00EB41CF"/>
    <w:rsid w:val="00EB47C1"/>
    <w:rsid w:val="00EB497D"/>
    <w:rsid w:val="00EB4DDC"/>
    <w:rsid w:val="00EB4E7D"/>
    <w:rsid w:val="00EB51A1"/>
    <w:rsid w:val="00EB51B8"/>
    <w:rsid w:val="00EB5308"/>
    <w:rsid w:val="00EB5500"/>
    <w:rsid w:val="00EB5501"/>
    <w:rsid w:val="00EB5523"/>
    <w:rsid w:val="00EB5A4A"/>
    <w:rsid w:val="00EB5B36"/>
    <w:rsid w:val="00EB6059"/>
    <w:rsid w:val="00EB6188"/>
    <w:rsid w:val="00EB6379"/>
    <w:rsid w:val="00EB63DF"/>
    <w:rsid w:val="00EB665C"/>
    <w:rsid w:val="00EB6691"/>
    <w:rsid w:val="00EB66A7"/>
    <w:rsid w:val="00EB670F"/>
    <w:rsid w:val="00EB694C"/>
    <w:rsid w:val="00EB69FB"/>
    <w:rsid w:val="00EB6E0E"/>
    <w:rsid w:val="00EB6F23"/>
    <w:rsid w:val="00EB6F61"/>
    <w:rsid w:val="00EB7087"/>
    <w:rsid w:val="00EB7090"/>
    <w:rsid w:val="00EB75F3"/>
    <w:rsid w:val="00EB77BE"/>
    <w:rsid w:val="00EB7858"/>
    <w:rsid w:val="00EB7A2B"/>
    <w:rsid w:val="00EC0140"/>
    <w:rsid w:val="00EC043A"/>
    <w:rsid w:val="00EC083B"/>
    <w:rsid w:val="00EC0893"/>
    <w:rsid w:val="00EC0E35"/>
    <w:rsid w:val="00EC162D"/>
    <w:rsid w:val="00EC1BA1"/>
    <w:rsid w:val="00EC1BBE"/>
    <w:rsid w:val="00EC2069"/>
    <w:rsid w:val="00EC213F"/>
    <w:rsid w:val="00EC24BC"/>
    <w:rsid w:val="00EC264E"/>
    <w:rsid w:val="00EC2B68"/>
    <w:rsid w:val="00EC2C7C"/>
    <w:rsid w:val="00EC2D11"/>
    <w:rsid w:val="00EC2FA3"/>
    <w:rsid w:val="00EC316F"/>
    <w:rsid w:val="00EC326A"/>
    <w:rsid w:val="00EC3411"/>
    <w:rsid w:val="00EC3A76"/>
    <w:rsid w:val="00EC3AEF"/>
    <w:rsid w:val="00EC424F"/>
    <w:rsid w:val="00EC4661"/>
    <w:rsid w:val="00EC4ECE"/>
    <w:rsid w:val="00EC55B1"/>
    <w:rsid w:val="00EC5CD7"/>
    <w:rsid w:val="00EC5DF1"/>
    <w:rsid w:val="00EC6337"/>
    <w:rsid w:val="00EC6547"/>
    <w:rsid w:val="00EC6F41"/>
    <w:rsid w:val="00EC7172"/>
    <w:rsid w:val="00EC73BB"/>
    <w:rsid w:val="00EC75EA"/>
    <w:rsid w:val="00EC799F"/>
    <w:rsid w:val="00ED0091"/>
    <w:rsid w:val="00ED0141"/>
    <w:rsid w:val="00ED018A"/>
    <w:rsid w:val="00ED045F"/>
    <w:rsid w:val="00ED0538"/>
    <w:rsid w:val="00ED0FC7"/>
    <w:rsid w:val="00ED10ED"/>
    <w:rsid w:val="00ED176D"/>
    <w:rsid w:val="00ED1CCB"/>
    <w:rsid w:val="00ED2398"/>
    <w:rsid w:val="00ED270A"/>
    <w:rsid w:val="00ED2F52"/>
    <w:rsid w:val="00ED31D8"/>
    <w:rsid w:val="00ED344B"/>
    <w:rsid w:val="00ED36BE"/>
    <w:rsid w:val="00ED379C"/>
    <w:rsid w:val="00ED39E3"/>
    <w:rsid w:val="00ED3A93"/>
    <w:rsid w:val="00ED43FE"/>
    <w:rsid w:val="00ED4B31"/>
    <w:rsid w:val="00ED4D16"/>
    <w:rsid w:val="00ED502B"/>
    <w:rsid w:val="00ED5D06"/>
    <w:rsid w:val="00ED5D4B"/>
    <w:rsid w:val="00ED6219"/>
    <w:rsid w:val="00ED6817"/>
    <w:rsid w:val="00ED681B"/>
    <w:rsid w:val="00ED6878"/>
    <w:rsid w:val="00ED6945"/>
    <w:rsid w:val="00ED6AD2"/>
    <w:rsid w:val="00ED6C13"/>
    <w:rsid w:val="00ED6DEC"/>
    <w:rsid w:val="00ED6ECA"/>
    <w:rsid w:val="00ED72F9"/>
    <w:rsid w:val="00ED73F4"/>
    <w:rsid w:val="00ED77FC"/>
    <w:rsid w:val="00ED7B74"/>
    <w:rsid w:val="00ED7CE0"/>
    <w:rsid w:val="00ED7D80"/>
    <w:rsid w:val="00ED7DD3"/>
    <w:rsid w:val="00EE0262"/>
    <w:rsid w:val="00EE0337"/>
    <w:rsid w:val="00EE04B0"/>
    <w:rsid w:val="00EE0BFD"/>
    <w:rsid w:val="00EE0E55"/>
    <w:rsid w:val="00EE1297"/>
    <w:rsid w:val="00EE1792"/>
    <w:rsid w:val="00EE1940"/>
    <w:rsid w:val="00EE1D4A"/>
    <w:rsid w:val="00EE1EA9"/>
    <w:rsid w:val="00EE2829"/>
    <w:rsid w:val="00EE2EA7"/>
    <w:rsid w:val="00EE330A"/>
    <w:rsid w:val="00EE33D3"/>
    <w:rsid w:val="00EE3872"/>
    <w:rsid w:val="00EE3C50"/>
    <w:rsid w:val="00EE40B9"/>
    <w:rsid w:val="00EE41D6"/>
    <w:rsid w:val="00EE466F"/>
    <w:rsid w:val="00EE4C1A"/>
    <w:rsid w:val="00EE4CF7"/>
    <w:rsid w:val="00EE4EB4"/>
    <w:rsid w:val="00EE4F37"/>
    <w:rsid w:val="00EE51FE"/>
    <w:rsid w:val="00EE54F2"/>
    <w:rsid w:val="00EE5686"/>
    <w:rsid w:val="00EE5710"/>
    <w:rsid w:val="00EE575E"/>
    <w:rsid w:val="00EE57C0"/>
    <w:rsid w:val="00EE5ADE"/>
    <w:rsid w:val="00EE5D9F"/>
    <w:rsid w:val="00EE5DA0"/>
    <w:rsid w:val="00EE5FB3"/>
    <w:rsid w:val="00EE6530"/>
    <w:rsid w:val="00EE65BD"/>
    <w:rsid w:val="00EE6899"/>
    <w:rsid w:val="00EE6907"/>
    <w:rsid w:val="00EE7596"/>
    <w:rsid w:val="00EE77BB"/>
    <w:rsid w:val="00EE787C"/>
    <w:rsid w:val="00EE7885"/>
    <w:rsid w:val="00EE791F"/>
    <w:rsid w:val="00EE7F1C"/>
    <w:rsid w:val="00EE7F79"/>
    <w:rsid w:val="00EF0183"/>
    <w:rsid w:val="00EF03CC"/>
    <w:rsid w:val="00EF048A"/>
    <w:rsid w:val="00EF0501"/>
    <w:rsid w:val="00EF07CE"/>
    <w:rsid w:val="00EF0D6E"/>
    <w:rsid w:val="00EF1233"/>
    <w:rsid w:val="00EF1262"/>
    <w:rsid w:val="00EF190D"/>
    <w:rsid w:val="00EF1A1C"/>
    <w:rsid w:val="00EF2321"/>
    <w:rsid w:val="00EF2464"/>
    <w:rsid w:val="00EF2702"/>
    <w:rsid w:val="00EF2A0A"/>
    <w:rsid w:val="00EF30D1"/>
    <w:rsid w:val="00EF3726"/>
    <w:rsid w:val="00EF3D14"/>
    <w:rsid w:val="00EF3E88"/>
    <w:rsid w:val="00EF3FF3"/>
    <w:rsid w:val="00EF4396"/>
    <w:rsid w:val="00EF493B"/>
    <w:rsid w:val="00EF4ADA"/>
    <w:rsid w:val="00EF4C21"/>
    <w:rsid w:val="00EF4F7D"/>
    <w:rsid w:val="00EF4FE9"/>
    <w:rsid w:val="00EF5069"/>
    <w:rsid w:val="00EF515E"/>
    <w:rsid w:val="00EF5A32"/>
    <w:rsid w:val="00EF6247"/>
    <w:rsid w:val="00EF6500"/>
    <w:rsid w:val="00EF70EE"/>
    <w:rsid w:val="00EF715A"/>
    <w:rsid w:val="00EF7515"/>
    <w:rsid w:val="00EF76C1"/>
    <w:rsid w:val="00EF7879"/>
    <w:rsid w:val="00EF7D01"/>
    <w:rsid w:val="00EF7EED"/>
    <w:rsid w:val="00EF7FBB"/>
    <w:rsid w:val="00F000F0"/>
    <w:rsid w:val="00F000F4"/>
    <w:rsid w:val="00F00376"/>
    <w:rsid w:val="00F0040C"/>
    <w:rsid w:val="00F008A9"/>
    <w:rsid w:val="00F00B48"/>
    <w:rsid w:val="00F00C8A"/>
    <w:rsid w:val="00F00F82"/>
    <w:rsid w:val="00F018A6"/>
    <w:rsid w:val="00F01B9A"/>
    <w:rsid w:val="00F01C04"/>
    <w:rsid w:val="00F01FF8"/>
    <w:rsid w:val="00F0223C"/>
    <w:rsid w:val="00F025A5"/>
    <w:rsid w:val="00F02A90"/>
    <w:rsid w:val="00F02D8A"/>
    <w:rsid w:val="00F03675"/>
    <w:rsid w:val="00F03922"/>
    <w:rsid w:val="00F03AD4"/>
    <w:rsid w:val="00F03F3B"/>
    <w:rsid w:val="00F0420C"/>
    <w:rsid w:val="00F042DB"/>
    <w:rsid w:val="00F04562"/>
    <w:rsid w:val="00F04A45"/>
    <w:rsid w:val="00F04D91"/>
    <w:rsid w:val="00F05FFD"/>
    <w:rsid w:val="00F06069"/>
    <w:rsid w:val="00F0611D"/>
    <w:rsid w:val="00F063C3"/>
    <w:rsid w:val="00F06777"/>
    <w:rsid w:val="00F06D09"/>
    <w:rsid w:val="00F06E14"/>
    <w:rsid w:val="00F071F0"/>
    <w:rsid w:val="00F074A7"/>
    <w:rsid w:val="00F074AA"/>
    <w:rsid w:val="00F078B3"/>
    <w:rsid w:val="00F10089"/>
    <w:rsid w:val="00F102DC"/>
    <w:rsid w:val="00F1044A"/>
    <w:rsid w:val="00F1054E"/>
    <w:rsid w:val="00F1060A"/>
    <w:rsid w:val="00F106FC"/>
    <w:rsid w:val="00F10B50"/>
    <w:rsid w:val="00F1104F"/>
    <w:rsid w:val="00F110A5"/>
    <w:rsid w:val="00F11115"/>
    <w:rsid w:val="00F11187"/>
    <w:rsid w:val="00F1136E"/>
    <w:rsid w:val="00F113C2"/>
    <w:rsid w:val="00F11833"/>
    <w:rsid w:val="00F11C28"/>
    <w:rsid w:val="00F12009"/>
    <w:rsid w:val="00F121AF"/>
    <w:rsid w:val="00F12BF7"/>
    <w:rsid w:val="00F12CA3"/>
    <w:rsid w:val="00F13015"/>
    <w:rsid w:val="00F130F9"/>
    <w:rsid w:val="00F13294"/>
    <w:rsid w:val="00F14200"/>
    <w:rsid w:val="00F14750"/>
    <w:rsid w:val="00F1487A"/>
    <w:rsid w:val="00F14C8E"/>
    <w:rsid w:val="00F14FF8"/>
    <w:rsid w:val="00F1508C"/>
    <w:rsid w:val="00F15406"/>
    <w:rsid w:val="00F15BC4"/>
    <w:rsid w:val="00F15FA7"/>
    <w:rsid w:val="00F165D6"/>
    <w:rsid w:val="00F16C2A"/>
    <w:rsid w:val="00F16D50"/>
    <w:rsid w:val="00F16F58"/>
    <w:rsid w:val="00F16F7C"/>
    <w:rsid w:val="00F16FA1"/>
    <w:rsid w:val="00F171B3"/>
    <w:rsid w:val="00F175C9"/>
    <w:rsid w:val="00F17775"/>
    <w:rsid w:val="00F177AD"/>
    <w:rsid w:val="00F177F4"/>
    <w:rsid w:val="00F17874"/>
    <w:rsid w:val="00F179D4"/>
    <w:rsid w:val="00F20184"/>
    <w:rsid w:val="00F2045D"/>
    <w:rsid w:val="00F20B74"/>
    <w:rsid w:val="00F20E8E"/>
    <w:rsid w:val="00F211FC"/>
    <w:rsid w:val="00F21907"/>
    <w:rsid w:val="00F21911"/>
    <w:rsid w:val="00F21C7C"/>
    <w:rsid w:val="00F21DBC"/>
    <w:rsid w:val="00F21E54"/>
    <w:rsid w:val="00F21EB6"/>
    <w:rsid w:val="00F21F57"/>
    <w:rsid w:val="00F22078"/>
    <w:rsid w:val="00F220A2"/>
    <w:rsid w:val="00F222C0"/>
    <w:rsid w:val="00F22424"/>
    <w:rsid w:val="00F2253A"/>
    <w:rsid w:val="00F225A4"/>
    <w:rsid w:val="00F22675"/>
    <w:rsid w:val="00F22684"/>
    <w:rsid w:val="00F22898"/>
    <w:rsid w:val="00F22A23"/>
    <w:rsid w:val="00F22A42"/>
    <w:rsid w:val="00F22A66"/>
    <w:rsid w:val="00F22BDD"/>
    <w:rsid w:val="00F22C5F"/>
    <w:rsid w:val="00F2311A"/>
    <w:rsid w:val="00F231A2"/>
    <w:rsid w:val="00F233AC"/>
    <w:rsid w:val="00F23442"/>
    <w:rsid w:val="00F23B63"/>
    <w:rsid w:val="00F23B73"/>
    <w:rsid w:val="00F23DDD"/>
    <w:rsid w:val="00F2404E"/>
    <w:rsid w:val="00F24240"/>
    <w:rsid w:val="00F247E1"/>
    <w:rsid w:val="00F2488B"/>
    <w:rsid w:val="00F24B27"/>
    <w:rsid w:val="00F24B5E"/>
    <w:rsid w:val="00F24C6A"/>
    <w:rsid w:val="00F2500A"/>
    <w:rsid w:val="00F2529F"/>
    <w:rsid w:val="00F253E8"/>
    <w:rsid w:val="00F256FB"/>
    <w:rsid w:val="00F25749"/>
    <w:rsid w:val="00F25CD0"/>
    <w:rsid w:val="00F25FF8"/>
    <w:rsid w:val="00F26057"/>
    <w:rsid w:val="00F2618E"/>
    <w:rsid w:val="00F262F1"/>
    <w:rsid w:val="00F2634F"/>
    <w:rsid w:val="00F2657C"/>
    <w:rsid w:val="00F266E0"/>
    <w:rsid w:val="00F26753"/>
    <w:rsid w:val="00F26B2A"/>
    <w:rsid w:val="00F2702B"/>
    <w:rsid w:val="00F270C9"/>
    <w:rsid w:val="00F27306"/>
    <w:rsid w:val="00F273DF"/>
    <w:rsid w:val="00F275A5"/>
    <w:rsid w:val="00F27692"/>
    <w:rsid w:val="00F27ADA"/>
    <w:rsid w:val="00F27BBB"/>
    <w:rsid w:val="00F3023E"/>
    <w:rsid w:val="00F303E7"/>
    <w:rsid w:val="00F3047B"/>
    <w:rsid w:val="00F306CF"/>
    <w:rsid w:val="00F30713"/>
    <w:rsid w:val="00F30760"/>
    <w:rsid w:val="00F30874"/>
    <w:rsid w:val="00F30966"/>
    <w:rsid w:val="00F30DD9"/>
    <w:rsid w:val="00F30DDD"/>
    <w:rsid w:val="00F3110D"/>
    <w:rsid w:val="00F3126A"/>
    <w:rsid w:val="00F31619"/>
    <w:rsid w:val="00F31621"/>
    <w:rsid w:val="00F316C7"/>
    <w:rsid w:val="00F3177A"/>
    <w:rsid w:val="00F31E6F"/>
    <w:rsid w:val="00F31F51"/>
    <w:rsid w:val="00F320F3"/>
    <w:rsid w:val="00F325D1"/>
    <w:rsid w:val="00F32608"/>
    <w:rsid w:val="00F32660"/>
    <w:rsid w:val="00F3267E"/>
    <w:rsid w:val="00F32BB9"/>
    <w:rsid w:val="00F32C1D"/>
    <w:rsid w:val="00F33AA5"/>
    <w:rsid w:val="00F33C37"/>
    <w:rsid w:val="00F33C56"/>
    <w:rsid w:val="00F33D9E"/>
    <w:rsid w:val="00F33F57"/>
    <w:rsid w:val="00F341B8"/>
    <w:rsid w:val="00F3462A"/>
    <w:rsid w:val="00F347C7"/>
    <w:rsid w:val="00F3483D"/>
    <w:rsid w:val="00F34848"/>
    <w:rsid w:val="00F34925"/>
    <w:rsid w:val="00F34A58"/>
    <w:rsid w:val="00F34C5B"/>
    <w:rsid w:val="00F34CE9"/>
    <w:rsid w:val="00F34CF0"/>
    <w:rsid w:val="00F34D68"/>
    <w:rsid w:val="00F34D8A"/>
    <w:rsid w:val="00F351EC"/>
    <w:rsid w:val="00F353E2"/>
    <w:rsid w:val="00F35826"/>
    <w:rsid w:val="00F35899"/>
    <w:rsid w:val="00F358DD"/>
    <w:rsid w:val="00F35A1B"/>
    <w:rsid w:val="00F35E4C"/>
    <w:rsid w:val="00F361D7"/>
    <w:rsid w:val="00F36297"/>
    <w:rsid w:val="00F367BC"/>
    <w:rsid w:val="00F3684D"/>
    <w:rsid w:val="00F36AB0"/>
    <w:rsid w:val="00F36EB3"/>
    <w:rsid w:val="00F36F3C"/>
    <w:rsid w:val="00F36FE6"/>
    <w:rsid w:val="00F370D9"/>
    <w:rsid w:val="00F37107"/>
    <w:rsid w:val="00F37526"/>
    <w:rsid w:val="00F37574"/>
    <w:rsid w:val="00F37BCD"/>
    <w:rsid w:val="00F37E0A"/>
    <w:rsid w:val="00F4069B"/>
    <w:rsid w:val="00F406D8"/>
    <w:rsid w:val="00F408BB"/>
    <w:rsid w:val="00F40A2E"/>
    <w:rsid w:val="00F40CE0"/>
    <w:rsid w:val="00F4113A"/>
    <w:rsid w:val="00F41166"/>
    <w:rsid w:val="00F41168"/>
    <w:rsid w:val="00F41278"/>
    <w:rsid w:val="00F416FE"/>
    <w:rsid w:val="00F41965"/>
    <w:rsid w:val="00F419A8"/>
    <w:rsid w:val="00F41A86"/>
    <w:rsid w:val="00F41B5A"/>
    <w:rsid w:val="00F41E4A"/>
    <w:rsid w:val="00F42376"/>
    <w:rsid w:val="00F423D3"/>
    <w:rsid w:val="00F42424"/>
    <w:rsid w:val="00F42864"/>
    <w:rsid w:val="00F42AA3"/>
    <w:rsid w:val="00F42D3A"/>
    <w:rsid w:val="00F42D46"/>
    <w:rsid w:val="00F43014"/>
    <w:rsid w:val="00F433CE"/>
    <w:rsid w:val="00F43532"/>
    <w:rsid w:val="00F4376A"/>
    <w:rsid w:val="00F43945"/>
    <w:rsid w:val="00F43D6F"/>
    <w:rsid w:val="00F44162"/>
    <w:rsid w:val="00F44183"/>
    <w:rsid w:val="00F441A9"/>
    <w:rsid w:val="00F441D7"/>
    <w:rsid w:val="00F44379"/>
    <w:rsid w:val="00F445B1"/>
    <w:rsid w:val="00F44660"/>
    <w:rsid w:val="00F4496C"/>
    <w:rsid w:val="00F44C49"/>
    <w:rsid w:val="00F44CC7"/>
    <w:rsid w:val="00F44F3A"/>
    <w:rsid w:val="00F45113"/>
    <w:rsid w:val="00F45208"/>
    <w:rsid w:val="00F45253"/>
    <w:rsid w:val="00F453F1"/>
    <w:rsid w:val="00F45579"/>
    <w:rsid w:val="00F45647"/>
    <w:rsid w:val="00F458EA"/>
    <w:rsid w:val="00F4598A"/>
    <w:rsid w:val="00F45CF7"/>
    <w:rsid w:val="00F45FA0"/>
    <w:rsid w:val="00F46424"/>
    <w:rsid w:val="00F46C1C"/>
    <w:rsid w:val="00F46F04"/>
    <w:rsid w:val="00F476C4"/>
    <w:rsid w:val="00F47B94"/>
    <w:rsid w:val="00F47FC6"/>
    <w:rsid w:val="00F505A1"/>
    <w:rsid w:val="00F5126C"/>
    <w:rsid w:val="00F51C14"/>
    <w:rsid w:val="00F51F10"/>
    <w:rsid w:val="00F52354"/>
    <w:rsid w:val="00F52399"/>
    <w:rsid w:val="00F52753"/>
    <w:rsid w:val="00F529A5"/>
    <w:rsid w:val="00F52DF8"/>
    <w:rsid w:val="00F52FBB"/>
    <w:rsid w:val="00F5310D"/>
    <w:rsid w:val="00F53160"/>
    <w:rsid w:val="00F53268"/>
    <w:rsid w:val="00F534D3"/>
    <w:rsid w:val="00F535FB"/>
    <w:rsid w:val="00F539D6"/>
    <w:rsid w:val="00F53A9B"/>
    <w:rsid w:val="00F54039"/>
    <w:rsid w:val="00F54101"/>
    <w:rsid w:val="00F54539"/>
    <w:rsid w:val="00F54724"/>
    <w:rsid w:val="00F5482D"/>
    <w:rsid w:val="00F54885"/>
    <w:rsid w:val="00F549E9"/>
    <w:rsid w:val="00F54E1B"/>
    <w:rsid w:val="00F5504E"/>
    <w:rsid w:val="00F555B9"/>
    <w:rsid w:val="00F5563A"/>
    <w:rsid w:val="00F55BB1"/>
    <w:rsid w:val="00F55BD1"/>
    <w:rsid w:val="00F56130"/>
    <w:rsid w:val="00F56270"/>
    <w:rsid w:val="00F5657A"/>
    <w:rsid w:val="00F5667A"/>
    <w:rsid w:val="00F56A82"/>
    <w:rsid w:val="00F56CC7"/>
    <w:rsid w:val="00F56D45"/>
    <w:rsid w:val="00F56E9B"/>
    <w:rsid w:val="00F571C1"/>
    <w:rsid w:val="00F57342"/>
    <w:rsid w:val="00F573FB"/>
    <w:rsid w:val="00F575A4"/>
    <w:rsid w:val="00F5766F"/>
    <w:rsid w:val="00F57E04"/>
    <w:rsid w:val="00F57E36"/>
    <w:rsid w:val="00F57F9B"/>
    <w:rsid w:val="00F60151"/>
    <w:rsid w:val="00F603E9"/>
    <w:rsid w:val="00F605C4"/>
    <w:rsid w:val="00F605EF"/>
    <w:rsid w:val="00F607C6"/>
    <w:rsid w:val="00F60908"/>
    <w:rsid w:val="00F609F1"/>
    <w:rsid w:val="00F60ACE"/>
    <w:rsid w:val="00F60BBE"/>
    <w:rsid w:val="00F60F00"/>
    <w:rsid w:val="00F60FC9"/>
    <w:rsid w:val="00F61065"/>
    <w:rsid w:val="00F611C0"/>
    <w:rsid w:val="00F6125D"/>
    <w:rsid w:val="00F6128D"/>
    <w:rsid w:val="00F612CE"/>
    <w:rsid w:val="00F6133B"/>
    <w:rsid w:val="00F61362"/>
    <w:rsid w:val="00F61420"/>
    <w:rsid w:val="00F614C0"/>
    <w:rsid w:val="00F61997"/>
    <w:rsid w:val="00F619CD"/>
    <w:rsid w:val="00F61B3D"/>
    <w:rsid w:val="00F61EB1"/>
    <w:rsid w:val="00F6233B"/>
    <w:rsid w:val="00F626EE"/>
    <w:rsid w:val="00F628A5"/>
    <w:rsid w:val="00F62B01"/>
    <w:rsid w:val="00F63271"/>
    <w:rsid w:val="00F636A2"/>
    <w:rsid w:val="00F636EE"/>
    <w:rsid w:val="00F63761"/>
    <w:rsid w:val="00F638EF"/>
    <w:rsid w:val="00F641D5"/>
    <w:rsid w:val="00F64471"/>
    <w:rsid w:val="00F64631"/>
    <w:rsid w:val="00F64676"/>
    <w:rsid w:val="00F646C2"/>
    <w:rsid w:val="00F64F4F"/>
    <w:rsid w:val="00F65488"/>
    <w:rsid w:val="00F654F6"/>
    <w:rsid w:val="00F65FC8"/>
    <w:rsid w:val="00F6660F"/>
    <w:rsid w:val="00F6677E"/>
    <w:rsid w:val="00F6691B"/>
    <w:rsid w:val="00F66A43"/>
    <w:rsid w:val="00F66C56"/>
    <w:rsid w:val="00F66CE4"/>
    <w:rsid w:val="00F66CEC"/>
    <w:rsid w:val="00F66D1B"/>
    <w:rsid w:val="00F66D2B"/>
    <w:rsid w:val="00F67072"/>
    <w:rsid w:val="00F6708A"/>
    <w:rsid w:val="00F67ACA"/>
    <w:rsid w:val="00F67E03"/>
    <w:rsid w:val="00F70216"/>
    <w:rsid w:val="00F707B7"/>
    <w:rsid w:val="00F71146"/>
    <w:rsid w:val="00F711A6"/>
    <w:rsid w:val="00F711BC"/>
    <w:rsid w:val="00F71451"/>
    <w:rsid w:val="00F71981"/>
    <w:rsid w:val="00F71A0B"/>
    <w:rsid w:val="00F71E6C"/>
    <w:rsid w:val="00F71EE1"/>
    <w:rsid w:val="00F71F35"/>
    <w:rsid w:val="00F71F9C"/>
    <w:rsid w:val="00F7221C"/>
    <w:rsid w:val="00F723B4"/>
    <w:rsid w:val="00F723DC"/>
    <w:rsid w:val="00F72648"/>
    <w:rsid w:val="00F72907"/>
    <w:rsid w:val="00F72C1C"/>
    <w:rsid w:val="00F72DBE"/>
    <w:rsid w:val="00F73328"/>
    <w:rsid w:val="00F73334"/>
    <w:rsid w:val="00F734BB"/>
    <w:rsid w:val="00F73689"/>
    <w:rsid w:val="00F7376D"/>
    <w:rsid w:val="00F739D4"/>
    <w:rsid w:val="00F73A87"/>
    <w:rsid w:val="00F73B58"/>
    <w:rsid w:val="00F73B96"/>
    <w:rsid w:val="00F73BCC"/>
    <w:rsid w:val="00F741AE"/>
    <w:rsid w:val="00F74409"/>
    <w:rsid w:val="00F748E7"/>
    <w:rsid w:val="00F74A4A"/>
    <w:rsid w:val="00F74D1D"/>
    <w:rsid w:val="00F75247"/>
    <w:rsid w:val="00F753D9"/>
    <w:rsid w:val="00F75559"/>
    <w:rsid w:val="00F757C9"/>
    <w:rsid w:val="00F7580C"/>
    <w:rsid w:val="00F75BA4"/>
    <w:rsid w:val="00F75C5A"/>
    <w:rsid w:val="00F760CA"/>
    <w:rsid w:val="00F7669E"/>
    <w:rsid w:val="00F76D34"/>
    <w:rsid w:val="00F77002"/>
    <w:rsid w:val="00F77011"/>
    <w:rsid w:val="00F770DE"/>
    <w:rsid w:val="00F7718D"/>
    <w:rsid w:val="00F778DE"/>
    <w:rsid w:val="00F77E1B"/>
    <w:rsid w:val="00F80201"/>
    <w:rsid w:val="00F80B9C"/>
    <w:rsid w:val="00F80CE9"/>
    <w:rsid w:val="00F80EDA"/>
    <w:rsid w:val="00F80F42"/>
    <w:rsid w:val="00F81454"/>
    <w:rsid w:val="00F8145C"/>
    <w:rsid w:val="00F81D07"/>
    <w:rsid w:val="00F81E36"/>
    <w:rsid w:val="00F8252D"/>
    <w:rsid w:val="00F829B9"/>
    <w:rsid w:val="00F829FE"/>
    <w:rsid w:val="00F82D19"/>
    <w:rsid w:val="00F82F1B"/>
    <w:rsid w:val="00F83608"/>
    <w:rsid w:val="00F83848"/>
    <w:rsid w:val="00F83C7A"/>
    <w:rsid w:val="00F83ECE"/>
    <w:rsid w:val="00F8435B"/>
    <w:rsid w:val="00F84B07"/>
    <w:rsid w:val="00F853E7"/>
    <w:rsid w:val="00F85576"/>
    <w:rsid w:val="00F85A33"/>
    <w:rsid w:val="00F85D07"/>
    <w:rsid w:val="00F86004"/>
    <w:rsid w:val="00F86F46"/>
    <w:rsid w:val="00F87485"/>
    <w:rsid w:val="00F8757D"/>
    <w:rsid w:val="00F8762C"/>
    <w:rsid w:val="00F87AAD"/>
    <w:rsid w:val="00F87F1E"/>
    <w:rsid w:val="00F903F6"/>
    <w:rsid w:val="00F904FB"/>
    <w:rsid w:val="00F90813"/>
    <w:rsid w:val="00F9142B"/>
    <w:rsid w:val="00F917C0"/>
    <w:rsid w:val="00F918DB"/>
    <w:rsid w:val="00F918E4"/>
    <w:rsid w:val="00F91A4C"/>
    <w:rsid w:val="00F91A52"/>
    <w:rsid w:val="00F91C29"/>
    <w:rsid w:val="00F91E35"/>
    <w:rsid w:val="00F91EC7"/>
    <w:rsid w:val="00F9243E"/>
    <w:rsid w:val="00F9263A"/>
    <w:rsid w:val="00F927E2"/>
    <w:rsid w:val="00F928BC"/>
    <w:rsid w:val="00F92EFE"/>
    <w:rsid w:val="00F92FAA"/>
    <w:rsid w:val="00F92FBC"/>
    <w:rsid w:val="00F93265"/>
    <w:rsid w:val="00F9337D"/>
    <w:rsid w:val="00F94326"/>
    <w:rsid w:val="00F94547"/>
    <w:rsid w:val="00F945FA"/>
    <w:rsid w:val="00F94B7D"/>
    <w:rsid w:val="00F94CA1"/>
    <w:rsid w:val="00F94F0B"/>
    <w:rsid w:val="00F95353"/>
    <w:rsid w:val="00F95620"/>
    <w:rsid w:val="00F95815"/>
    <w:rsid w:val="00F9585D"/>
    <w:rsid w:val="00F95AB0"/>
    <w:rsid w:val="00F95CE7"/>
    <w:rsid w:val="00F95D0F"/>
    <w:rsid w:val="00F95D41"/>
    <w:rsid w:val="00F95FDE"/>
    <w:rsid w:val="00F9627D"/>
    <w:rsid w:val="00F9677E"/>
    <w:rsid w:val="00F96911"/>
    <w:rsid w:val="00F96B0C"/>
    <w:rsid w:val="00F96D91"/>
    <w:rsid w:val="00F96E38"/>
    <w:rsid w:val="00F97059"/>
    <w:rsid w:val="00F97337"/>
    <w:rsid w:val="00F9741C"/>
    <w:rsid w:val="00F97512"/>
    <w:rsid w:val="00F97577"/>
    <w:rsid w:val="00F975E9"/>
    <w:rsid w:val="00F97BE6"/>
    <w:rsid w:val="00F97EE5"/>
    <w:rsid w:val="00FA00F8"/>
    <w:rsid w:val="00FA0168"/>
    <w:rsid w:val="00FA02BC"/>
    <w:rsid w:val="00FA03E6"/>
    <w:rsid w:val="00FA0B8F"/>
    <w:rsid w:val="00FA0E7C"/>
    <w:rsid w:val="00FA101C"/>
    <w:rsid w:val="00FA104E"/>
    <w:rsid w:val="00FA1546"/>
    <w:rsid w:val="00FA1717"/>
    <w:rsid w:val="00FA1B7D"/>
    <w:rsid w:val="00FA1B85"/>
    <w:rsid w:val="00FA1BD0"/>
    <w:rsid w:val="00FA1DC3"/>
    <w:rsid w:val="00FA1E2D"/>
    <w:rsid w:val="00FA1ECA"/>
    <w:rsid w:val="00FA1EDC"/>
    <w:rsid w:val="00FA2282"/>
    <w:rsid w:val="00FA2588"/>
    <w:rsid w:val="00FA25FF"/>
    <w:rsid w:val="00FA2600"/>
    <w:rsid w:val="00FA2709"/>
    <w:rsid w:val="00FA27DF"/>
    <w:rsid w:val="00FA27E6"/>
    <w:rsid w:val="00FA31B9"/>
    <w:rsid w:val="00FA3203"/>
    <w:rsid w:val="00FA33AD"/>
    <w:rsid w:val="00FA351A"/>
    <w:rsid w:val="00FA3627"/>
    <w:rsid w:val="00FA3738"/>
    <w:rsid w:val="00FA3810"/>
    <w:rsid w:val="00FA3A5B"/>
    <w:rsid w:val="00FA40A9"/>
    <w:rsid w:val="00FA41B1"/>
    <w:rsid w:val="00FA4373"/>
    <w:rsid w:val="00FA46CC"/>
    <w:rsid w:val="00FA4742"/>
    <w:rsid w:val="00FA479A"/>
    <w:rsid w:val="00FA4C99"/>
    <w:rsid w:val="00FA4CC9"/>
    <w:rsid w:val="00FA4DB0"/>
    <w:rsid w:val="00FA50F2"/>
    <w:rsid w:val="00FA53E4"/>
    <w:rsid w:val="00FA57F3"/>
    <w:rsid w:val="00FA5E3F"/>
    <w:rsid w:val="00FA6359"/>
    <w:rsid w:val="00FA63B9"/>
    <w:rsid w:val="00FA6633"/>
    <w:rsid w:val="00FA6B68"/>
    <w:rsid w:val="00FA6E82"/>
    <w:rsid w:val="00FA706A"/>
    <w:rsid w:val="00FA7464"/>
    <w:rsid w:val="00FA7470"/>
    <w:rsid w:val="00FA78AC"/>
    <w:rsid w:val="00FA7B67"/>
    <w:rsid w:val="00FB0120"/>
    <w:rsid w:val="00FB049E"/>
    <w:rsid w:val="00FB06A6"/>
    <w:rsid w:val="00FB0900"/>
    <w:rsid w:val="00FB0B6E"/>
    <w:rsid w:val="00FB1225"/>
    <w:rsid w:val="00FB1B58"/>
    <w:rsid w:val="00FB1D81"/>
    <w:rsid w:val="00FB2220"/>
    <w:rsid w:val="00FB2373"/>
    <w:rsid w:val="00FB2462"/>
    <w:rsid w:val="00FB258A"/>
    <w:rsid w:val="00FB2B99"/>
    <w:rsid w:val="00FB2F21"/>
    <w:rsid w:val="00FB2F72"/>
    <w:rsid w:val="00FB309F"/>
    <w:rsid w:val="00FB35E6"/>
    <w:rsid w:val="00FB388C"/>
    <w:rsid w:val="00FB3967"/>
    <w:rsid w:val="00FB3C77"/>
    <w:rsid w:val="00FB3FEE"/>
    <w:rsid w:val="00FB4267"/>
    <w:rsid w:val="00FB46D2"/>
    <w:rsid w:val="00FB4982"/>
    <w:rsid w:val="00FB4EBC"/>
    <w:rsid w:val="00FB4F89"/>
    <w:rsid w:val="00FB511C"/>
    <w:rsid w:val="00FB53DD"/>
    <w:rsid w:val="00FB56B0"/>
    <w:rsid w:val="00FB5821"/>
    <w:rsid w:val="00FB58AE"/>
    <w:rsid w:val="00FB5C41"/>
    <w:rsid w:val="00FB5EF7"/>
    <w:rsid w:val="00FB62EE"/>
    <w:rsid w:val="00FB63C8"/>
    <w:rsid w:val="00FB6D27"/>
    <w:rsid w:val="00FB6F3A"/>
    <w:rsid w:val="00FB740D"/>
    <w:rsid w:val="00FB75C6"/>
    <w:rsid w:val="00FB78FF"/>
    <w:rsid w:val="00FB7DDA"/>
    <w:rsid w:val="00FB7E06"/>
    <w:rsid w:val="00FB7E75"/>
    <w:rsid w:val="00FB7F15"/>
    <w:rsid w:val="00FC0231"/>
    <w:rsid w:val="00FC05A8"/>
    <w:rsid w:val="00FC07B9"/>
    <w:rsid w:val="00FC0BB7"/>
    <w:rsid w:val="00FC0BBC"/>
    <w:rsid w:val="00FC0CD9"/>
    <w:rsid w:val="00FC0F38"/>
    <w:rsid w:val="00FC1002"/>
    <w:rsid w:val="00FC1E31"/>
    <w:rsid w:val="00FC21F8"/>
    <w:rsid w:val="00FC24DC"/>
    <w:rsid w:val="00FC372C"/>
    <w:rsid w:val="00FC3E85"/>
    <w:rsid w:val="00FC41F4"/>
    <w:rsid w:val="00FC43CE"/>
    <w:rsid w:val="00FC486F"/>
    <w:rsid w:val="00FC4901"/>
    <w:rsid w:val="00FC4A15"/>
    <w:rsid w:val="00FC4AB4"/>
    <w:rsid w:val="00FC4CE1"/>
    <w:rsid w:val="00FC4D43"/>
    <w:rsid w:val="00FC4E21"/>
    <w:rsid w:val="00FC4FA8"/>
    <w:rsid w:val="00FC5270"/>
    <w:rsid w:val="00FC5641"/>
    <w:rsid w:val="00FC5724"/>
    <w:rsid w:val="00FC58EB"/>
    <w:rsid w:val="00FC5AE7"/>
    <w:rsid w:val="00FC5CB7"/>
    <w:rsid w:val="00FC5F6D"/>
    <w:rsid w:val="00FC61A1"/>
    <w:rsid w:val="00FC6652"/>
    <w:rsid w:val="00FC6926"/>
    <w:rsid w:val="00FC69FF"/>
    <w:rsid w:val="00FC6A43"/>
    <w:rsid w:val="00FC6AD3"/>
    <w:rsid w:val="00FC6C50"/>
    <w:rsid w:val="00FC6D51"/>
    <w:rsid w:val="00FC74B3"/>
    <w:rsid w:val="00FC777F"/>
    <w:rsid w:val="00FC7786"/>
    <w:rsid w:val="00FC7C70"/>
    <w:rsid w:val="00FC7D1B"/>
    <w:rsid w:val="00FD0107"/>
    <w:rsid w:val="00FD0337"/>
    <w:rsid w:val="00FD0824"/>
    <w:rsid w:val="00FD0D13"/>
    <w:rsid w:val="00FD0DF6"/>
    <w:rsid w:val="00FD1073"/>
    <w:rsid w:val="00FD1435"/>
    <w:rsid w:val="00FD1613"/>
    <w:rsid w:val="00FD18DD"/>
    <w:rsid w:val="00FD1997"/>
    <w:rsid w:val="00FD1B78"/>
    <w:rsid w:val="00FD1CCA"/>
    <w:rsid w:val="00FD1E10"/>
    <w:rsid w:val="00FD223A"/>
    <w:rsid w:val="00FD2391"/>
    <w:rsid w:val="00FD2BB6"/>
    <w:rsid w:val="00FD2C2F"/>
    <w:rsid w:val="00FD2DE6"/>
    <w:rsid w:val="00FD30EF"/>
    <w:rsid w:val="00FD31D2"/>
    <w:rsid w:val="00FD3355"/>
    <w:rsid w:val="00FD3AC8"/>
    <w:rsid w:val="00FD3B31"/>
    <w:rsid w:val="00FD3FD2"/>
    <w:rsid w:val="00FD3FF4"/>
    <w:rsid w:val="00FD416A"/>
    <w:rsid w:val="00FD45FC"/>
    <w:rsid w:val="00FD46E0"/>
    <w:rsid w:val="00FD47FD"/>
    <w:rsid w:val="00FD4861"/>
    <w:rsid w:val="00FD489E"/>
    <w:rsid w:val="00FD4A99"/>
    <w:rsid w:val="00FD4D78"/>
    <w:rsid w:val="00FD4E16"/>
    <w:rsid w:val="00FD513D"/>
    <w:rsid w:val="00FD5217"/>
    <w:rsid w:val="00FD5398"/>
    <w:rsid w:val="00FD55E7"/>
    <w:rsid w:val="00FD55EA"/>
    <w:rsid w:val="00FD56AD"/>
    <w:rsid w:val="00FD56C4"/>
    <w:rsid w:val="00FD5B65"/>
    <w:rsid w:val="00FD5ECC"/>
    <w:rsid w:val="00FD61FD"/>
    <w:rsid w:val="00FD6409"/>
    <w:rsid w:val="00FD65C6"/>
    <w:rsid w:val="00FD66CE"/>
    <w:rsid w:val="00FD675D"/>
    <w:rsid w:val="00FD6761"/>
    <w:rsid w:val="00FD6A87"/>
    <w:rsid w:val="00FD6AA2"/>
    <w:rsid w:val="00FD6AC7"/>
    <w:rsid w:val="00FD6EE2"/>
    <w:rsid w:val="00FD737B"/>
    <w:rsid w:val="00FD7498"/>
    <w:rsid w:val="00FD75DF"/>
    <w:rsid w:val="00FD766A"/>
    <w:rsid w:val="00FD7B5A"/>
    <w:rsid w:val="00FD7BA6"/>
    <w:rsid w:val="00FD7C13"/>
    <w:rsid w:val="00FD7C56"/>
    <w:rsid w:val="00FD7D49"/>
    <w:rsid w:val="00FE039D"/>
    <w:rsid w:val="00FE06AB"/>
    <w:rsid w:val="00FE07DE"/>
    <w:rsid w:val="00FE07ED"/>
    <w:rsid w:val="00FE0AD0"/>
    <w:rsid w:val="00FE0B33"/>
    <w:rsid w:val="00FE0C80"/>
    <w:rsid w:val="00FE0C8B"/>
    <w:rsid w:val="00FE0F6C"/>
    <w:rsid w:val="00FE1135"/>
    <w:rsid w:val="00FE11F6"/>
    <w:rsid w:val="00FE126A"/>
    <w:rsid w:val="00FE1823"/>
    <w:rsid w:val="00FE1BAB"/>
    <w:rsid w:val="00FE1CF0"/>
    <w:rsid w:val="00FE1D83"/>
    <w:rsid w:val="00FE1EAB"/>
    <w:rsid w:val="00FE1F2A"/>
    <w:rsid w:val="00FE20B2"/>
    <w:rsid w:val="00FE22EA"/>
    <w:rsid w:val="00FE23B8"/>
    <w:rsid w:val="00FE2741"/>
    <w:rsid w:val="00FE280E"/>
    <w:rsid w:val="00FE297E"/>
    <w:rsid w:val="00FE2A5E"/>
    <w:rsid w:val="00FE2CA2"/>
    <w:rsid w:val="00FE2E2D"/>
    <w:rsid w:val="00FE2F42"/>
    <w:rsid w:val="00FE320D"/>
    <w:rsid w:val="00FE3762"/>
    <w:rsid w:val="00FE383F"/>
    <w:rsid w:val="00FE38DA"/>
    <w:rsid w:val="00FE39B9"/>
    <w:rsid w:val="00FE3AAF"/>
    <w:rsid w:val="00FE4014"/>
    <w:rsid w:val="00FE462E"/>
    <w:rsid w:val="00FE4809"/>
    <w:rsid w:val="00FE487A"/>
    <w:rsid w:val="00FE4963"/>
    <w:rsid w:val="00FE4AEB"/>
    <w:rsid w:val="00FE4D7D"/>
    <w:rsid w:val="00FE52C3"/>
    <w:rsid w:val="00FE5BC8"/>
    <w:rsid w:val="00FE5CC0"/>
    <w:rsid w:val="00FE6146"/>
    <w:rsid w:val="00FE6160"/>
    <w:rsid w:val="00FE63F8"/>
    <w:rsid w:val="00FE6546"/>
    <w:rsid w:val="00FE687D"/>
    <w:rsid w:val="00FE6AFF"/>
    <w:rsid w:val="00FE6E32"/>
    <w:rsid w:val="00FE73C0"/>
    <w:rsid w:val="00FE76D0"/>
    <w:rsid w:val="00FE772B"/>
    <w:rsid w:val="00FE795B"/>
    <w:rsid w:val="00FE79D7"/>
    <w:rsid w:val="00FE7F01"/>
    <w:rsid w:val="00FF0569"/>
    <w:rsid w:val="00FF06CA"/>
    <w:rsid w:val="00FF09B3"/>
    <w:rsid w:val="00FF0A23"/>
    <w:rsid w:val="00FF0B30"/>
    <w:rsid w:val="00FF1636"/>
    <w:rsid w:val="00FF1EA9"/>
    <w:rsid w:val="00FF200D"/>
    <w:rsid w:val="00FF206E"/>
    <w:rsid w:val="00FF21A4"/>
    <w:rsid w:val="00FF248C"/>
    <w:rsid w:val="00FF27E9"/>
    <w:rsid w:val="00FF2D83"/>
    <w:rsid w:val="00FF3869"/>
    <w:rsid w:val="00FF39A8"/>
    <w:rsid w:val="00FF39F4"/>
    <w:rsid w:val="00FF3A78"/>
    <w:rsid w:val="00FF3C69"/>
    <w:rsid w:val="00FF3E33"/>
    <w:rsid w:val="00FF4343"/>
    <w:rsid w:val="00FF4DEB"/>
    <w:rsid w:val="00FF50FE"/>
    <w:rsid w:val="00FF5303"/>
    <w:rsid w:val="00FF53BC"/>
    <w:rsid w:val="00FF5436"/>
    <w:rsid w:val="00FF5D9A"/>
    <w:rsid w:val="00FF5F2E"/>
    <w:rsid w:val="00FF6051"/>
    <w:rsid w:val="00FF6273"/>
    <w:rsid w:val="00FF655B"/>
    <w:rsid w:val="00FF65EE"/>
    <w:rsid w:val="00FF6724"/>
    <w:rsid w:val="00FF6BD6"/>
    <w:rsid w:val="00FF6E0A"/>
    <w:rsid w:val="00FF7088"/>
    <w:rsid w:val="00FF756E"/>
    <w:rsid w:val="00FF78AC"/>
    <w:rsid w:val="00FF7F31"/>
    <w:rsid w:val="0122156A"/>
    <w:rsid w:val="06215007"/>
    <w:rsid w:val="086773B6"/>
    <w:rsid w:val="0BE98E9B"/>
    <w:rsid w:val="0E7264F8"/>
    <w:rsid w:val="11CF5BEF"/>
    <w:rsid w:val="137F4B44"/>
    <w:rsid w:val="14366C8C"/>
    <w:rsid w:val="150CAD84"/>
    <w:rsid w:val="196A0737"/>
    <w:rsid w:val="1C8B118B"/>
    <w:rsid w:val="1CC961A5"/>
    <w:rsid w:val="1E43EA78"/>
    <w:rsid w:val="21880670"/>
    <w:rsid w:val="225E0AB0"/>
    <w:rsid w:val="2B29D61C"/>
    <w:rsid w:val="2B4E80A9"/>
    <w:rsid w:val="2BF7D0A7"/>
    <w:rsid w:val="2E53F822"/>
    <w:rsid w:val="2E7892EA"/>
    <w:rsid w:val="2EF3F0FF"/>
    <w:rsid w:val="31C0C419"/>
    <w:rsid w:val="324C2176"/>
    <w:rsid w:val="3300CEAB"/>
    <w:rsid w:val="33D7DFB4"/>
    <w:rsid w:val="37D40FC6"/>
    <w:rsid w:val="398AE857"/>
    <w:rsid w:val="3AEB6A24"/>
    <w:rsid w:val="3B14BF2B"/>
    <w:rsid w:val="3BC8C641"/>
    <w:rsid w:val="3C7F5F75"/>
    <w:rsid w:val="3C9FF13D"/>
    <w:rsid w:val="3CF1528A"/>
    <w:rsid w:val="3F908797"/>
    <w:rsid w:val="4268D95E"/>
    <w:rsid w:val="43BEEE6C"/>
    <w:rsid w:val="4428F8DE"/>
    <w:rsid w:val="47716199"/>
    <w:rsid w:val="47C1FD43"/>
    <w:rsid w:val="49BA49AE"/>
    <w:rsid w:val="49CA644D"/>
    <w:rsid w:val="519F36C2"/>
    <w:rsid w:val="5407DFC0"/>
    <w:rsid w:val="54C0C248"/>
    <w:rsid w:val="57809CBA"/>
    <w:rsid w:val="581C8A39"/>
    <w:rsid w:val="5837F9AA"/>
    <w:rsid w:val="58D83C7C"/>
    <w:rsid w:val="58DDFDE4"/>
    <w:rsid w:val="59E393A6"/>
    <w:rsid w:val="5A9B863F"/>
    <w:rsid w:val="5B6F9DA5"/>
    <w:rsid w:val="5BA9D465"/>
    <w:rsid w:val="5E2F75A1"/>
    <w:rsid w:val="5EF37A04"/>
    <w:rsid w:val="63C03B02"/>
    <w:rsid w:val="649AECBF"/>
    <w:rsid w:val="64F92C51"/>
    <w:rsid w:val="661B859C"/>
    <w:rsid w:val="686EB4F6"/>
    <w:rsid w:val="69D3FBF3"/>
    <w:rsid w:val="6A2789F8"/>
    <w:rsid w:val="6AA65043"/>
    <w:rsid w:val="6B11DAED"/>
    <w:rsid w:val="7281AD8B"/>
    <w:rsid w:val="72C79AFB"/>
    <w:rsid w:val="7396846B"/>
    <w:rsid w:val="750C52EF"/>
    <w:rsid w:val="770C7B29"/>
    <w:rsid w:val="78C2688E"/>
    <w:rsid w:val="7EB90EAB"/>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C38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Mincho" w:eastAsia="MS Mincho" w:hAnsi="MS Mincho" w:cs="MS Mincho"/>
        <w:sz w:val="24"/>
        <w:szCs w:val="24"/>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D89"/>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MS Mincho" w:hAnsi="MS Mincho"/>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MS Mincho" w:hAnsi="MS Mincho"/>
      <w:sz w:val="24"/>
    </w:rPr>
  </w:style>
  <w:style w:type="paragraph" w:styleId="Heading8">
    <w:name w:val="heading 8"/>
    <w:basedOn w:val="Normal"/>
    <w:next w:val="Normal"/>
    <w:semiHidden/>
    <w:qFormat/>
    <w:rsid w:val="00AD5436"/>
    <w:pPr>
      <w:numPr>
        <w:ilvl w:val="7"/>
        <w:numId w:val="5"/>
      </w:numPr>
      <w:spacing w:before="240" w:after="60"/>
      <w:outlineLvl w:val="7"/>
    </w:pPr>
    <w:rPr>
      <w:rFonts w:ascii="MS Mincho" w:hAnsi="MS Mincho"/>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link w:val="ListBulletChar"/>
    <w:uiPriority w:val="99"/>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uiPriority w:val="99"/>
    <w:qFormat/>
    <w:rsid w:val="00566AB4"/>
    <w:rPr>
      <w:rFonts w:ascii="Cambria" w:hAnsi="Cambria"/>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99"/>
    <w:qFormat/>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Cambria" w:hAnsi="Cambria"/>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Cambria" w:hAnsi="Cambria"/>
      <w:b/>
      <w:bCs/>
      <w:color w:val="323232"/>
      <w:sz w:val="20"/>
      <w:szCs w:val="20"/>
    </w:rPr>
  </w:style>
  <w:style w:type="paragraph" w:customStyle="1" w:styleId="ACMANotes">
    <w:name w:val="ACMA_Notes"/>
    <w:semiHidden/>
    <w:rsid w:val="00FF206E"/>
    <w:pPr>
      <w:spacing w:before="80"/>
    </w:pPr>
    <w:rPr>
      <w:rFonts w:ascii="Cambria" w:hAnsi="Cambria" w:cs="Cambria"/>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Cambria" w:hAnsi="Cambria"/>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9"/>
    <w:rsid w:val="00800CCD"/>
    <w:rPr>
      <w:rFonts w:ascii="Arial" w:hAnsi="Arial" w:cs="Arial"/>
      <w:b/>
      <w:bCs/>
      <w:iCs/>
      <w:sz w:val="28"/>
      <w:szCs w:val="28"/>
    </w:rPr>
  </w:style>
  <w:style w:type="character" w:customStyle="1"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link w:val="ParagraphChar"/>
    <w:qFormat/>
    <w:rsid w:val="00F3267E"/>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Cambria" w:hAnsi="Cambria"/>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DA4D53"/>
    <w:pPr>
      <w:keepNext/>
      <w:spacing w:line="240" w:lineRule="atLeast"/>
    </w:pPr>
    <w:rPr>
      <w:rFonts w:ascii="Arial" w:hAnsi="Arial" w:cs="Arial"/>
    </w:r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semiHidden/>
    <w:rsid w:val="003933E8"/>
    <w:rPr>
      <w:rFonts w:ascii="Calibri" w:hAnsi="Calibri" w:cs="Calibr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Cambria" w:hAnsi="Cambria"/>
      <w:sz w:val="20"/>
    </w:rPr>
  </w:style>
  <w:style w:type="character" w:customStyle="1" w:styleId="normaltextrun">
    <w:name w:val="normaltextrun"/>
    <w:basedOn w:val="DefaultParagraphFont"/>
    <w:rsid w:val="008B4D8D"/>
  </w:style>
  <w:style w:type="paragraph" w:customStyle="1" w:styleId="paragraph0">
    <w:name w:val="paragraph"/>
    <w:basedOn w:val="Normal"/>
    <w:rsid w:val="00BE745A"/>
    <w:pPr>
      <w:spacing w:before="100" w:beforeAutospacing="1" w:after="100" w:afterAutospacing="1" w:line="240" w:lineRule="auto"/>
    </w:pPr>
    <w:rPr>
      <w:rFonts w:ascii="MS Mincho" w:hAnsi="MS Mincho"/>
      <w:sz w:val="24"/>
    </w:rPr>
  </w:style>
  <w:style w:type="character" w:customStyle="1" w:styleId="eop">
    <w:name w:val="eop"/>
    <w:basedOn w:val="DefaultParagraphFont"/>
    <w:rsid w:val="00BE745A"/>
  </w:style>
  <w:style w:type="character" w:customStyle="1" w:styleId="findhit">
    <w:name w:val="findhit"/>
    <w:basedOn w:val="DefaultParagraphFont"/>
    <w:rsid w:val="00BE745A"/>
  </w:style>
  <w:style w:type="paragraph" w:customStyle="1" w:styleId="ACMANumberedList">
    <w:name w:val="ACMA Numbered List"/>
    <w:rsid w:val="00DF3B95"/>
    <w:pPr>
      <w:numPr>
        <w:numId w:val="25"/>
      </w:numPr>
      <w:spacing w:before="20" w:after="20"/>
    </w:pPr>
    <w:rPr>
      <w:szCs w:val="20"/>
      <w:lang w:eastAsia="en-US"/>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99"/>
    <w:qFormat/>
    <w:rsid w:val="00DF3B95"/>
    <w:rPr>
      <w:rFonts w:ascii="Arial" w:hAnsi="Arial"/>
      <w:sz w:val="16"/>
      <w:szCs w:val="16"/>
    </w:rPr>
  </w:style>
  <w:style w:type="paragraph" w:styleId="ListParagraph">
    <w:name w:val="List Paragraph"/>
    <w:basedOn w:val="Normal"/>
    <w:link w:val="ListParagraphChar"/>
    <w:uiPriority w:val="34"/>
    <w:qFormat/>
    <w:rsid w:val="0010254F"/>
    <w:pPr>
      <w:ind w:left="720"/>
      <w:contextualSpacing/>
    </w:pPr>
  </w:style>
  <w:style w:type="character" w:customStyle="1" w:styleId="ListBulletChar">
    <w:name w:val="List Bullet Char"/>
    <w:aliases w:val="List Bullet 1 Char"/>
    <w:basedOn w:val="DefaultParagraphFont"/>
    <w:link w:val="ListBullet"/>
    <w:uiPriority w:val="99"/>
    <w:rsid w:val="002C7F0C"/>
    <w:rPr>
      <w:rFonts w:ascii="Cambria" w:hAnsi="Cambria"/>
      <w:sz w:val="20"/>
    </w:rPr>
  </w:style>
  <w:style w:type="paragraph" w:customStyle="1" w:styleId="Issueforcomment">
    <w:name w:val="Issue for comment"/>
    <w:basedOn w:val="Paragraph"/>
    <w:link w:val="IssueforcommentChar"/>
    <w:qFormat/>
    <w:rsid w:val="00400D2B"/>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pPr>
    <w:rPr>
      <w:b/>
      <w:bCs/>
    </w:rPr>
  </w:style>
  <w:style w:type="character" w:customStyle="1" w:styleId="IssueforcommentChar">
    <w:name w:val="Issue for comment Char"/>
    <w:basedOn w:val="DefaultParagraphFont"/>
    <w:link w:val="Issueforcomment"/>
    <w:rsid w:val="00400D2B"/>
    <w:rPr>
      <w:rFonts w:ascii="Arial" w:hAnsi="Arial" w:cs="Arial"/>
      <w:b/>
      <w:bCs/>
      <w:sz w:val="20"/>
      <w:shd w:val="clear" w:color="auto" w:fill="F2F2F2" w:themeFill="background1" w:themeFillShade="F2"/>
    </w:rPr>
  </w:style>
  <w:style w:type="character" w:customStyle="1" w:styleId="ParagraphChar">
    <w:name w:val="Paragraph Char"/>
    <w:basedOn w:val="DefaultParagraphFont"/>
    <w:link w:val="Paragraph"/>
    <w:rsid w:val="005A5284"/>
    <w:rPr>
      <w:rFonts w:ascii="Arial" w:hAnsi="Arial" w:cs="Arial"/>
      <w:sz w:val="20"/>
    </w:rPr>
  </w:style>
  <w:style w:type="paragraph" w:customStyle="1" w:styleId="Bodystyle">
    <w:name w:val="Body style"/>
    <w:basedOn w:val="ListParagraph"/>
    <w:link w:val="BodystyleChar"/>
    <w:qFormat/>
    <w:rsid w:val="00026945"/>
    <w:pPr>
      <w:spacing w:after="160" w:line="259" w:lineRule="auto"/>
      <w:ind w:left="426" w:hanging="426"/>
      <w:contextualSpacing w:val="0"/>
    </w:pPr>
  </w:style>
  <w:style w:type="character" w:customStyle="1" w:styleId="ListParagraphChar">
    <w:name w:val="List Paragraph Char"/>
    <w:basedOn w:val="DefaultParagraphFont"/>
    <w:link w:val="ListParagraph"/>
    <w:uiPriority w:val="34"/>
    <w:rsid w:val="00026945"/>
    <w:rPr>
      <w:rFonts w:ascii="Arial" w:hAnsi="Arial"/>
      <w:sz w:val="20"/>
    </w:rPr>
  </w:style>
  <w:style w:type="character" w:customStyle="1" w:styleId="BodystyleChar">
    <w:name w:val="Body style Char"/>
    <w:basedOn w:val="ListParagraphChar"/>
    <w:link w:val="Bodystyle"/>
    <w:rsid w:val="00026945"/>
    <w:rPr>
      <w:rFonts w:ascii="Arial" w:hAnsi="Arial"/>
      <w:sz w:val="20"/>
    </w:rPr>
  </w:style>
  <w:style w:type="character" w:customStyle="1" w:styleId="Mention">
    <w:name w:val="Mention"/>
    <w:basedOn w:val="DefaultParagraphFont"/>
    <w:uiPriority w:val="99"/>
    <w:unhideWhenUsed/>
    <w:rsid w:val="00AD37BA"/>
    <w:rPr>
      <w:color w:val="2B579A"/>
      <w:shd w:val="clear" w:color="auto" w:fill="E1DFDD"/>
    </w:rPr>
  </w:style>
  <w:style w:type="table" w:customStyle="1" w:styleId="TableGrid1">
    <w:name w:val="Table Grid1"/>
    <w:basedOn w:val="TableNormal"/>
    <w:next w:val="TableGrid"/>
    <w:uiPriority w:val="39"/>
    <w:rsid w:val="009E3B55"/>
    <w:pPr>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70BBF"/>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7335">
      <w:bodyDiv w:val="1"/>
      <w:marLeft w:val="0"/>
      <w:marRight w:val="0"/>
      <w:marTop w:val="0"/>
      <w:marBottom w:val="0"/>
      <w:divBdr>
        <w:top w:val="none" w:sz="0" w:space="0" w:color="auto"/>
        <w:left w:val="none" w:sz="0" w:space="0" w:color="auto"/>
        <w:bottom w:val="none" w:sz="0" w:space="0" w:color="auto"/>
        <w:right w:val="none" w:sz="0" w:space="0" w:color="auto"/>
      </w:divBdr>
    </w:div>
    <w:div w:id="124548632">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75315412">
      <w:bodyDiv w:val="1"/>
      <w:marLeft w:val="0"/>
      <w:marRight w:val="0"/>
      <w:marTop w:val="0"/>
      <w:marBottom w:val="0"/>
      <w:divBdr>
        <w:top w:val="none" w:sz="0" w:space="0" w:color="auto"/>
        <w:left w:val="none" w:sz="0" w:space="0" w:color="auto"/>
        <w:bottom w:val="none" w:sz="0" w:space="0" w:color="auto"/>
        <w:right w:val="none" w:sz="0" w:space="0" w:color="auto"/>
      </w:divBdr>
      <w:divsChild>
        <w:div w:id="210193855">
          <w:marLeft w:val="0"/>
          <w:marRight w:val="0"/>
          <w:marTop w:val="0"/>
          <w:marBottom w:val="0"/>
          <w:divBdr>
            <w:top w:val="none" w:sz="0" w:space="0" w:color="auto"/>
            <w:left w:val="none" w:sz="0" w:space="0" w:color="auto"/>
            <w:bottom w:val="none" w:sz="0" w:space="0" w:color="auto"/>
            <w:right w:val="none" w:sz="0" w:space="0" w:color="auto"/>
          </w:divBdr>
        </w:div>
        <w:div w:id="406458119">
          <w:marLeft w:val="0"/>
          <w:marRight w:val="0"/>
          <w:marTop w:val="0"/>
          <w:marBottom w:val="0"/>
          <w:divBdr>
            <w:top w:val="none" w:sz="0" w:space="0" w:color="auto"/>
            <w:left w:val="none" w:sz="0" w:space="0" w:color="auto"/>
            <w:bottom w:val="none" w:sz="0" w:space="0" w:color="auto"/>
            <w:right w:val="none" w:sz="0" w:space="0" w:color="auto"/>
          </w:divBdr>
        </w:div>
      </w:divsChild>
    </w:div>
    <w:div w:id="199126832">
      <w:bodyDiv w:val="1"/>
      <w:marLeft w:val="0"/>
      <w:marRight w:val="0"/>
      <w:marTop w:val="0"/>
      <w:marBottom w:val="0"/>
      <w:divBdr>
        <w:top w:val="none" w:sz="0" w:space="0" w:color="auto"/>
        <w:left w:val="none" w:sz="0" w:space="0" w:color="auto"/>
        <w:bottom w:val="none" w:sz="0" w:space="0" w:color="auto"/>
        <w:right w:val="none" w:sz="0" w:space="0" w:color="auto"/>
      </w:divBdr>
    </w:div>
    <w:div w:id="218059211">
      <w:bodyDiv w:val="1"/>
      <w:marLeft w:val="0"/>
      <w:marRight w:val="0"/>
      <w:marTop w:val="0"/>
      <w:marBottom w:val="0"/>
      <w:divBdr>
        <w:top w:val="none" w:sz="0" w:space="0" w:color="auto"/>
        <w:left w:val="none" w:sz="0" w:space="0" w:color="auto"/>
        <w:bottom w:val="none" w:sz="0" w:space="0" w:color="auto"/>
        <w:right w:val="none" w:sz="0" w:space="0" w:color="auto"/>
      </w:divBdr>
    </w:div>
    <w:div w:id="276839867">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26055507">
      <w:bodyDiv w:val="1"/>
      <w:marLeft w:val="0"/>
      <w:marRight w:val="0"/>
      <w:marTop w:val="0"/>
      <w:marBottom w:val="0"/>
      <w:divBdr>
        <w:top w:val="none" w:sz="0" w:space="0" w:color="auto"/>
        <w:left w:val="none" w:sz="0" w:space="0" w:color="auto"/>
        <w:bottom w:val="none" w:sz="0" w:space="0" w:color="auto"/>
        <w:right w:val="none" w:sz="0" w:space="0" w:color="auto"/>
      </w:divBdr>
    </w:div>
    <w:div w:id="354775442">
      <w:bodyDiv w:val="1"/>
      <w:marLeft w:val="0"/>
      <w:marRight w:val="0"/>
      <w:marTop w:val="0"/>
      <w:marBottom w:val="0"/>
      <w:divBdr>
        <w:top w:val="none" w:sz="0" w:space="0" w:color="auto"/>
        <w:left w:val="none" w:sz="0" w:space="0" w:color="auto"/>
        <w:bottom w:val="none" w:sz="0" w:space="0" w:color="auto"/>
        <w:right w:val="none" w:sz="0" w:space="0" w:color="auto"/>
      </w:divBdr>
    </w:div>
    <w:div w:id="403915791">
      <w:bodyDiv w:val="1"/>
      <w:marLeft w:val="0"/>
      <w:marRight w:val="0"/>
      <w:marTop w:val="0"/>
      <w:marBottom w:val="0"/>
      <w:divBdr>
        <w:top w:val="none" w:sz="0" w:space="0" w:color="auto"/>
        <w:left w:val="none" w:sz="0" w:space="0" w:color="auto"/>
        <w:bottom w:val="none" w:sz="0" w:space="0" w:color="auto"/>
        <w:right w:val="none" w:sz="0" w:space="0" w:color="auto"/>
      </w:divBdr>
    </w:div>
    <w:div w:id="495996736">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09703397">
      <w:bodyDiv w:val="1"/>
      <w:marLeft w:val="0"/>
      <w:marRight w:val="0"/>
      <w:marTop w:val="0"/>
      <w:marBottom w:val="0"/>
      <w:divBdr>
        <w:top w:val="none" w:sz="0" w:space="0" w:color="auto"/>
        <w:left w:val="none" w:sz="0" w:space="0" w:color="auto"/>
        <w:bottom w:val="none" w:sz="0" w:space="0" w:color="auto"/>
        <w:right w:val="none" w:sz="0" w:space="0" w:color="auto"/>
      </w:divBdr>
    </w:div>
    <w:div w:id="661473877">
      <w:bodyDiv w:val="1"/>
      <w:marLeft w:val="0"/>
      <w:marRight w:val="0"/>
      <w:marTop w:val="0"/>
      <w:marBottom w:val="0"/>
      <w:divBdr>
        <w:top w:val="none" w:sz="0" w:space="0" w:color="auto"/>
        <w:left w:val="none" w:sz="0" w:space="0" w:color="auto"/>
        <w:bottom w:val="none" w:sz="0" w:space="0" w:color="auto"/>
        <w:right w:val="none" w:sz="0" w:space="0" w:color="auto"/>
      </w:divBdr>
    </w:div>
    <w:div w:id="668754766">
      <w:bodyDiv w:val="1"/>
      <w:marLeft w:val="0"/>
      <w:marRight w:val="0"/>
      <w:marTop w:val="0"/>
      <w:marBottom w:val="0"/>
      <w:divBdr>
        <w:top w:val="none" w:sz="0" w:space="0" w:color="auto"/>
        <w:left w:val="none" w:sz="0" w:space="0" w:color="auto"/>
        <w:bottom w:val="none" w:sz="0" w:space="0" w:color="auto"/>
        <w:right w:val="none" w:sz="0" w:space="0" w:color="auto"/>
      </w:divBdr>
    </w:div>
    <w:div w:id="700057882">
      <w:bodyDiv w:val="1"/>
      <w:marLeft w:val="0"/>
      <w:marRight w:val="0"/>
      <w:marTop w:val="0"/>
      <w:marBottom w:val="0"/>
      <w:divBdr>
        <w:top w:val="none" w:sz="0" w:space="0" w:color="auto"/>
        <w:left w:val="none" w:sz="0" w:space="0" w:color="auto"/>
        <w:bottom w:val="none" w:sz="0" w:space="0" w:color="auto"/>
        <w:right w:val="none" w:sz="0" w:space="0" w:color="auto"/>
      </w:divBdr>
    </w:div>
    <w:div w:id="730152982">
      <w:bodyDiv w:val="1"/>
      <w:marLeft w:val="0"/>
      <w:marRight w:val="0"/>
      <w:marTop w:val="0"/>
      <w:marBottom w:val="0"/>
      <w:divBdr>
        <w:top w:val="none" w:sz="0" w:space="0" w:color="auto"/>
        <w:left w:val="none" w:sz="0" w:space="0" w:color="auto"/>
        <w:bottom w:val="none" w:sz="0" w:space="0" w:color="auto"/>
        <w:right w:val="none" w:sz="0" w:space="0" w:color="auto"/>
      </w:divBdr>
    </w:div>
    <w:div w:id="835463206">
      <w:bodyDiv w:val="1"/>
      <w:marLeft w:val="0"/>
      <w:marRight w:val="0"/>
      <w:marTop w:val="0"/>
      <w:marBottom w:val="0"/>
      <w:divBdr>
        <w:top w:val="none" w:sz="0" w:space="0" w:color="auto"/>
        <w:left w:val="none" w:sz="0" w:space="0" w:color="auto"/>
        <w:bottom w:val="none" w:sz="0" w:space="0" w:color="auto"/>
        <w:right w:val="none" w:sz="0" w:space="0" w:color="auto"/>
      </w:divBdr>
    </w:div>
    <w:div w:id="852107896">
      <w:bodyDiv w:val="1"/>
      <w:marLeft w:val="0"/>
      <w:marRight w:val="0"/>
      <w:marTop w:val="0"/>
      <w:marBottom w:val="0"/>
      <w:divBdr>
        <w:top w:val="none" w:sz="0" w:space="0" w:color="auto"/>
        <w:left w:val="none" w:sz="0" w:space="0" w:color="auto"/>
        <w:bottom w:val="none" w:sz="0" w:space="0" w:color="auto"/>
        <w:right w:val="none" w:sz="0" w:space="0" w:color="auto"/>
      </w:divBdr>
      <w:divsChild>
        <w:div w:id="89158471">
          <w:marLeft w:val="0"/>
          <w:marRight w:val="0"/>
          <w:marTop w:val="0"/>
          <w:marBottom w:val="0"/>
          <w:divBdr>
            <w:top w:val="none" w:sz="0" w:space="0" w:color="auto"/>
            <w:left w:val="none" w:sz="0" w:space="0" w:color="auto"/>
            <w:bottom w:val="none" w:sz="0" w:space="0" w:color="auto"/>
            <w:right w:val="none" w:sz="0" w:space="0" w:color="auto"/>
          </w:divBdr>
        </w:div>
        <w:div w:id="202447070">
          <w:marLeft w:val="0"/>
          <w:marRight w:val="0"/>
          <w:marTop w:val="0"/>
          <w:marBottom w:val="0"/>
          <w:divBdr>
            <w:top w:val="none" w:sz="0" w:space="0" w:color="auto"/>
            <w:left w:val="none" w:sz="0" w:space="0" w:color="auto"/>
            <w:bottom w:val="none" w:sz="0" w:space="0" w:color="auto"/>
            <w:right w:val="none" w:sz="0" w:space="0" w:color="auto"/>
          </w:divBdr>
        </w:div>
        <w:div w:id="547298878">
          <w:marLeft w:val="0"/>
          <w:marRight w:val="0"/>
          <w:marTop w:val="0"/>
          <w:marBottom w:val="0"/>
          <w:divBdr>
            <w:top w:val="none" w:sz="0" w:space="0" w:color="auto"/>
            <w:left w:val="none" w:sz="0" w:space="0" w:color="auto"/>
            <w:bottom w:val="none" w:sz="0" w:space="0" w:color="auto"/>
            <w:right w:val="none" w:sz="0" w:space="0" w:color="auto"/>
          </w:divBdr>
        </w:div>
        <w:div w:id="672877758">
          <w:marLeft w:val="0"/>
          <w:marRight w:val="0"/>
          <w:marTop w:val="0"/>
          <w:marBottom w:val="0"/>
          <w:divBdr>
            <w:top w:val="none" w:sz="0" w:space="0" w:color="auto"/>
            <w:left w:val="none" w:sz="0" w:space="0" w:color="auto"/>
            <w:bottom w:val="none" w:sz="0" w:space="0" w:color="auto"/>
            <w:right w:val="none" w:sz="0" w:space="0" w:color="auto"/>
          </w:divBdr>
        </w:div>
        <w:div w:id="1189222403">
          <w:marLeft w:val="0"/>
          <w:marRight w:val="0"/>
          <w:marTop w:val="0"/>
          <w:marBottom w:val="0"/>
          <w:divBdr>
            <w:top w:val="none" w:sz="0" w:space="0" w:color="auto"/>
            <w:left w:val="none" w:sz="0" w:space="0" w:color="auto"/>
            <w:bottom w:val="none" w:sz="0" w:space="0" w:color="auto"/>
            <w:right w:val="none" w:sz="0" w:space="0" w:color="auto"/>
          </w:divBdr>
        </w:div>
        <w:div w:id="1451241542">
          <w:marLeft w:val="0"/>
          <w:marRight w:val="0"/>
          <w:marTop w:val="0"/>
          <w:marBottom w:val="0"/>
          <w:divBdr>
            <w:top w:val="none" w:sz="0" w:space="0" w:color="auto"/>
            <w:left w:val="none" w:sz="0" w:space="0" w:color="auto"/>
            <w:bottom w:val="none" w:sz="0" w:space="0" w:color="auto"/>
            <w:right w:val="none" w:sz="0" w:space="0" w:color="auto"/>
          </w:divBdr>
        </w:div>
        <w:div w:id="1607885090">
          <w:marLeft w:val="0"/>
          <w:marRight w:val="0"/>
          <w:marTop w:val="0"/>
          <w:marBottom w:val="0"/>
          <w:divBdr>
            <w:top w:val="none" w:sz="0" w:space="0" w:color="auto"/>
            <w:left w:val="none" w:sz="0" w:space="0" w:color="auto"/>
            <w:bottom w:val="none" w:sz="0" w:space="0" w:color="auto"/>
            <w:right w:val="none" w:sz="0" w:space="0" w:color="auto"/>
          </w:divBdr>
        </w:div>
        <w:div w:id="1642537138">
          <w:marLeft w:val="0"/>
          <w:marRight w:val="0"/>
          <w:marTop w:val="0"/>
          <w:marBottom w:val="0"/>
          <w:divBdr>
            <w:top w:val="none" w:sz="0" w:space="0" w:color="auto"/>
            <w:left w:val="none" w:sz="0" w:space="0" w:color="auto"/>
            <w:bottom w:val="none" w:sz="0" w:space="0" w:color="auto"/>
            <w:right w:val="none" w:sz="0" w:space="0" w:color="auto"/>
          </w:divBdr>
        </w:div>
        <w:div w:id="1753313715">
          <w:marLeft w:val="0"/>
          <w:marRight w:val="0"/>
          <w:marTop w:val="0"/>
          <w:marBottom w:val="0"/>
          <w:divBdr>
            <w:top w:val="none" w:sz="0" w:space="0" w:color="auto"/>
            <w:left w:val="none" w:sz="0" w:space="0" w:color="auto"/>
            <w:bottom w:val="none" w:sz="0" w:space="0" w:color="auto"/>
            <w:right w:val="none" w:sz="0" w:space="0" w:color="auto"/>
          </w:divBdr>
        </w:div>
        <w:div w:id="2087264822">
          <w:marLeft w:val="0"/>
          <w:marRight w:val="0"/>
          <w:marTop w:val="0"/>
          <w:marBottom w:val="0"/>
          <w:divBdr>
            <w:top w:val="none" w:sz="0" w:space="0" w:color="auto"/>
            <w:left w:val="none" w:sz="0" w:space="0" w:color="auto"/>
            <w:bottom w:val="none" w:sz="0" w:space="0" w:color="auto"/>
            <w:right w:val="none" w:sz="0" w:space="0" w:color="auto"/>
          </w:divBdr>
        </w:div>
        <w:div w:id="2145809876">
          <w:marLeft w:val="0"/>
          <w:marRight w:val="0"/>
          <w:marTop w:val="0"/>
          <w:marBottom w:val="0"/>
          <w:divBdr>
            <w:top w:val="none" w:sz="0" w:space="0" w:color="auto"/>
            <w:left w:val="none" w:sz="0" w:space="0" w:color="auto"/>
            <w:bottom w:val="none" w:sz="0" w:space="0" w:color="auto"/>
            <w:right w:val="none" w:sz="0" w:space="0" w:color="auto"/>
          </w:divBdr>
        </w:div>
      </w:divsChild>
    </w:div>
    <w:div w:id="855313826">
      <w:bodyDiv w:val="1"/>
      <w:marLeft w:val="0"/>
      <w:marRight w:val="0"/>
      <w:marTop w:val="0"/>
      <w:marBottom w:val="0"/>
      <w:divBdr>
        <w:top w:val="none" w:sz="0" w:space="0" w:color="auto"/>
        <w:left w:val="none" w:sz="0" w:space="0" w:color="auto"/>
        <w:bottom w:val="none" w:sz="0" w:space="0" w:color="auto"/>
        <w:right w:val="none" w:sz="0" w:space="0" w:color="auto"/>
      </w:divBdr>
    </w:div>
    <w:div w:id="930815704">
      <w:bodyDiv w:val="1"/>
      <w:marLeft w:val="0"/>
      <w:marRight w:val="0"/>
      <w:marTop w:val="0"/>
      <w:marBottom w:val="0"/>
      <w:divBdr>
        <w:top w:val="none" w:sz="0" w:space="0" w:color="auto"/>
        <w:left w:val="none" w:sz="0" w:space="0" w:color="auto"/>
        <w:bottom w:val="none" w:sz="0" w:space="0" w:color="auto"/>
        <w:right w:val="none" w:sz="0" w:space="0" w:color="auto"/>
      </w:divBdr>
    </w:div>
    <w:div w:id="956912672">
      <w:bodyDiv w:val="1"/>
      <w:marLeft w:val="0"/>
      <w:marRight w:val="0"/>
      <w:marTop w:val="0"/>
      <w:marBottom w:val="0"/>
      <w:divBdr>
        <w:top w:val="none" w:sz="0" w:space="0" w:color="auto"/>
        <w:left w:val="none" w:sz="0" w:space="0" w:color="auto"/>
        <w:bottom w:val="none" w:sz="0" w:space="0" w:color="auto"/>
        <w:right w:val="none" w:sz="0" w:space="0" w:color="auto"/>
      </w:divBdr>
    </w:div>
    <w:div w:id="1013846081">
      <w:bodyDiv w:val="1"/>
      <w:marLeft w:val="0"/>
      <w:marRight w:val="0"/>
      <w:marTop w:val="0"/>
      <w:marBottom w:val="0"/>
      <w:divBdr>
        <w:top w:val="none" w:sz="0" w:space="0" w:color="auto"/>
        <w:left w:val="none" w:sz="0" w:space="0" w:color="auto"/>
        <w:bottom w:val="none" w:sz="0" w:space="0" w:color="auto"/>
        <w:right w:val="none" w:sz="0" w:space="0" w:color="auto"/>
      </w:divBdr>
    </w:div>
    <w:div w:id="1029601709">
      <w:bodyDiv w:val="1"/>
      <w:marLeft w:val="0"/>
      <w:marRight w:val="0"/>
      <w:marTop w:val="0"/>
      <w:marBottom w:val="0"/>
      <w:divBdr>
        <w:top w:val="none" w:sz="0" w:space="0" w:color="auto"/>
        <w:left w:val="none" w:sz="0" w:space="0" w:color="auto"/>
        <w:bottom w:val="none" w:sz="0" w:space="0" w:color="auto"/>
        <w:right w:val="none" w:sz="0" w:space="0" w:color="auto"/>
      </w:divBdr>
      <w:divsChild>
        <w:div w:id="521863389">
          <w:marLeft w:val="0"/>
          <w:marRight w:val="0"/>
          <w:marTop w:val="0"/>
          <w:marBottom w:val="0"/>
          <w:divBdr>
            <w:top w:val="none" w:sz="0" w:space="0" w:color="auto"/>
            <w:left w:val="none" w:sz="0" w:space="0" w:color="auto"/>
            <w:bottom w:val="none" w:sz="0" w:space="0" w:color="auto"/>
            <w:right w:val="none" w:sz="0" w:space="0" w:color="auto"/>
          </w:divBdr>
        </w:div>
        <w:div w:id="524170902">
          <w:marLeft w:val="0"/>
          <w:marRight w:val="0"/>
          <w:marTop w:val="0"/>
          <w:marBottom w:val="0"/>
          <w:divBdr>
            <w:top w:val="none" w:sz="0" w:space="0" w:color="auto"/>
            <w:left w:val="none" w:sz="0" w:space="0" w:color="auto"/>
            <w:bottom w:val="none" w:sz="0" w:space="0" w:color="auto"/>
            <w:right w:val="none" w:sz="0" w:space="0" w:color="auto"/>
          </w:divBdr>
        </w:div>
      </w:divsChild>
    </w:div>
    <w:div w:id="1053890674">
      <w:bodyDiv w:val="1"/>
      <w:marLeft w:val="0"/>
      <w:marRight w:val="0"/>
      <w:marTop w:val="0"/>
      <w:marBottom w:val="0"/>
      <w:divBdr>
        <w:top w:val="none" w:sz="0" w:space="0" w:color="auto"/>
        <w:left w:val="none" w:sz="0" w:space="0" w:color="auto"/>
        <w:bottom w:val="none" w:sz="0" w:space="0" w:color="auto"/>
        <w:right w:val="none" w:sz="0" w:space="0" w:color="auto"/>
      </w:divBdr>
    </w:div>
    <w:div w:id="1070737164">
      <w:bodyDiv w:val="1"/>
      <w:marLeft w:val="0"/>
      <w:marRight w:val="0"/>
      <w:marTop w:val="0"/>
      <w:marBottom w:val="0"/>
      <w:divBdr>
        <w:top w:val="none" w:sz="0" w:space="0" w:color="auto"/>
        <w:left w:val="none" w:sz="0" w:space="0" w:color="auto"/>
        <w:bottom w:val="none" w:sz="0" w:space="0" w:color="auto"/>
        <w:right w:val="none" w:sz="0" w:space="0" w:color="auto"/>
      </w:divBdr>
    </w:div>
    <w:div w:id="1075205099">
      <w:bodyDiv w:val="1"/>
      <w:marLeft w:val="0"/>
      <w:marRight w:val="0"/>
      <w:marTop w:val="0"/>
      <w:marBottom w:val="0"/>
      <w:divBdr>
        <w:top w:val="none" w:sz="0" w:space="0" w:color="auto"/>
        <w:left w:val="none" w:sz="0" w:space="0" w:color="auto"/>
        <w:bottom w:val="none" w:sz="0" w:space="0" w:color="auto"/>
        <w:right w:val="none" w:sz="0" w:space="0" w:color="auto"/>
      </w:divBdr>
    </w:div>
    <w:div w:id="1081215886">
      <w:bodyDiv w:val="1"/>
      <w:marLeft w:val="0"/>
      <w:marRight w:val="0"/>
      <w:marTop w:val="0"/>
      <w:marBottom w:val="0"/>
      <w:divBdr>
        <w:top w:val="none" w:sz="0" w:space="0" w:color="auto"/>
        <w:left w:val="none" w:sz="0" w:space="0" w:color="auto"/>
        <w:bottom w:val="none" w:sz="0" w:space="0" w:color="auto"/>
        <w:right w:val="none" w:sz="0" w:space="0" w:color="auto"/>
      </w:divBdr>
    </w:div>
    <w:div w:id="1083449154">
      <w:bodyDiv w:val="1"/>
      <w:marLeft w:val="0"/>
      <w:marRight w:val="0"/>
      <w:marTop w:val="0"/>
      <w:marBottom w:val="0"/>
      <w:divBdr>
        <w:top w:val="none" w:sz="0" w:space="0" w:color="auto"/>
        <w:left w:val="none" w:sz="0" w:space="0" w:color="auto"/>
        <w:bottom w:val="none" w:sz="0" w:space="0" w:color="auto"/>
        <w:right w:val="none" w:sz="0" w:space="0" w:color="auto"/>
      </w:divBdr>
      <w:divsChild>
        <w:div w:id="418328597">
          <w:marLeft w:val="0"/>
          <w:marRight w:val="0"/>
          <w:marTop w:val="0"/>
          <w:marBottom w:val="0"/>
          <w:divBdr>
            <w:top w:val="none" w:sz="0" w:space="0" w:color="auto"/>
            <w:left w:val="none" w:sz="0" w:space="0" w:color="auto"/>
            <w:bottom w:val="none" w:sz="0" w:space="0" w:color="auto"/>
            <w:right w:val="none" w:sz="0" w:space="0" w:color="auto"/>
          </w:divBdr>
        </w:div>
        <w:div w:id="2125688871">
          <w:marLeft w:val="0"/>
          <w:marRight w:val="0"/>
          <w:marTop w:val="0"/>
          <w:marBottom w:val="0"/>
          <w:divBdr>
            <w:top w:val="none" w:sz="0" w:space="0" w:color="auto"/>
            <w:left w:val="none" w:sz="0" w:space="0" w:color="auto"/>
            <w:bottom w:val="none" w:sz="0" w:space="0" w:color="auto"/>
            <w:right w:val="none" w:sz="0" w:space="0" w:color="auto"/>
          </w:divBdr>
        </w:div>
      </w:divsChild>
    </w:div>
    <w:div w:id="1083575924">
      <w:bodyDiv w:val="1"/>
      <w:marLeft w:val="0"/>
      <w:marRight w:val="0"/>
      <w:marTop w:val="0"/>
      <w:marBottom w:val="0"/>
      <w:divBdr>
        <w:top w:val="none" w:sz="0" w:space="0" w:color="auto"/>
        <w:left w:val="none" w:sz="0" w:space="0" w:color="auto"/>
        <w:bottom w:val="none" w:sz="0" w:space="0" w:color="auto"/>
        <w:right w:val="none" w:sz="0" w:space="0" w:color="auto"/>
      </w:divBdr>
      <w:divsChild>
        <w:div w:id="443619264">
          <w:marLeft w:val="0"/>
          <w:marRight w:val="0"/>
          <w:marTop w:val="0"/>
          <w:marBottom w:val="0"/>
          <w:divBdr>
            <w:top w:val="none" w:sz="0" w:space="0" w:color="auto"/>
            <w:left w:val="none" w:sz="0" w:space="0" w:color="auto"/>
            <w:bottom w:val="none" w:sz="0" w:space="0" w:color="auto"/>
            <w:right w:val="none" w:sz="0" w:space="0" w:color="auto"/>
          </w:divBdr>
        </w:div>
        <w:div w:id="1355763058">
          <w:marLeft w:val="0"/>
          <w:marRight w:val="0"/>
          <w:marTop w:val="0"/>
          <w:marBottom w:val="0"/>
          <w:divBdr>
            <w:top w:val="none" w:sz="0" w:space="0" w:color="auto"/>
            <w:left w:val="none" w:sz="0" w:space="0" w:color="auto"/>
            <w:bottom w:val="none" w:sz="0" w:space="0" w:color="auto"/>
            <w:right w:val="none" w:sz="0" w:space="0" w:color="auto"/>
          </w:divBdr>
        </w:div>
      </w:divsChild>
    </w:div>
    <w:div w:id="1264150863">
      <w:bodyDiv w:val="1"/>
      <w:marLeft w:val="0"/>
      <w:marRight w:val="0"/>
      <w:marTop w:val="0"/>
      <w:marBottom w:val="0"/>
      <w:divBdr>
        <w:top w:val="none" w:sz="0" w:space="0" w:color="auto"/>
        <w:left w:val="none" w:sz="0" w:space="0" w:color="auto"/>
        <w:bottom w:val="none" w:sz="0" w:space="0" w:color="auto"/>
        <w:right w:val="none" w:sz="0" w:space="0" w:color="auto"/>
      </w:divBdr>
    </w:div>
    <w:div w:id="1314721383">
      <w:bodyDiv w:val="1"/>
      <w:marLeft w:val="0"/>
      <w:marRight w:val="0"/>
      <w:marTop w:val="0"/>
      <w:marBottom w:val="0"/>
      <w:divBdr>
        <w:top w:val="none" w:sz="0" w:space="0" w:color="auto"/>
        <w:left w:val="none" w:sz="0" w:space="0" w:color="auto"/>
        <w:bottom w:val="none" w:sz="0" w:space="0" w:color="auto"/>
        <w:right w:val="none" w:sz="0" w:space="0" w:color="auto"/>
      </w:divBdr>
    </w:div>
    <w:div w:id="1318651393">
      <w:bodyDiv w:val="1"/>
      <w:marLeft w:val="0"/>
      <w:marRight w:val="0"/>
      <w:marTop w:val="0"/>
      <w:marBottom w:val="0"/>
      <w:divBdr>
        <w:top w:val="none" w:sz="0" w:space="0" w:color="auto"/>
        <w:left w:val="none" w:sz="0" w:space="0" w:color="auto"/>
        <w:bottom w:val="none" w:sz="0" w:space="0" w:color="auto"/>
        <w:right w:val="none" w:sz="0" w:space="0" w:color="auto"/>
      </w:divBdr>
      <w:divsChild>
        <w:div w:id="872501025">
          <w:marLeft w:val="0"/>
          <w:marRight w:val="0"/>
          <w:marTop w:val="0"/>
          <w:marBottom w:val="0"/>
          <w:divBdr>
            <w:top w:val="none" w:sz="0" w:space="0" w:color="auto"/>
            <w:left w:val="none" w:sz="0" w:space="0" w:color="auto"/>
            <w:bottom w:val="none" w:sz="0" w:space="0" w:color="auto"/>
            <w:right w:val="none" w:sz="0" w:space="0" w:color="auto"/>
          </w:divBdr>
        </w:div>
        <w:div w:id="1353452747">
          <w:marLeft w:val="0"/>
          <w:marRight w:val="0"/>
          <w:marTop w:val="0"/>
          <w:marBottom w:val="0"/>
          <w:divBdr>
            <w:top w:val="none" w:sz="0" w:space="0" w:color="auto"/>
            <w:left w:val="none" w:sz="0" w:space="0" w:color="auto"/>
            <w:bottom w:val="none" w:sz="0" w:space="0" w:color="auto"/>
            <w:right w:val="none" w:sz="0" w:space="0" w:color="auto"/>
          </w:divBdr>
        </w:div>
      </w:divsChild>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82230718">
      <w:bodyDiv w:val="1"/>
      <w:marLeft w:val="0"/>
      <w:marRight w:val="0"/>
      <w:marTop w:val="0"/>
      <w:marBottom w:val="0"/>
      <w:divBdr>
        <w:top w:val="none" w:sz="0" w:space="0" w:color="auto"/>
        <w:left w:val="none" w:sz="0" w:space="0" w:color="auto"/>
        <w:bottom w:val="none" w:sz="0" w:space="0" w:color="auto"/>
        <w:right w:val="none" w:sz="0" w:space="0" w:color="auto"/>
      </w:divBdr>
    </w:div>
    <w:div w:id="1521237049">
      <w:bodyDiv w:val="1"/>
      <w:marLeft w:val="0"/>
      <w:marRight w:val="0"/>
      <w:marTop w:val="0"/>
      <w:marBottom w:val="0"/>
      <w:divBdr>
        <w:top w:val="none" w:sz="0" w:space="0" w:color="auto"/>
        <w:left w:val="none" w:sz="0" w:space="0" w:color="auto"/>
        <w:bottom w:val="none" w:sz="0" w:space="0" w:color="auto"/>
        <w:right w:val="none" w:sz="0" w:space="0" w:color="auto"/>
      </w:divBdr>
    </w:div>
    <w:div w:id="1541672083">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05379196">
      <w:bodyDiv w:val="1"/>
      <w:marLeft w:val="0"/>
      <w:marRight w:val="0"/>
      <w:marTop w:val="0"/>
      <w:marBottom w:val="0"/>
      <w:divBdr>
        <w:top w:val="none" w:sz="0" w:space="0" w:color="auto"/>
        <w:left w:val="none" w:sz="0" w:space="0" w:color="auto"/>
        <w:bottom w:val="none" w:sz="0" w:space="0" w:color="auto"/>
        <w:right w:val="none" w:sz="0" w:space="0" w:color="auto"/>
      </w:divBdr>
    </w:div>
    <w:div w:id="1632006872">
      <w:bodyDiv w:val="1"/>
      <w:marLeft w:val="0"/>
      <w:marRight w:val="0"/>
      <w:marTop w:val="0"/>
      <w:marBottom w:val="0"/>
      <w:divBdr>
        <w:top w:val="none" w:sz="0" w:space="0" w:color="auto"/>
        <w:left w:val="none" w:sz="0" w:space="0" w:color="auto"/>
        <w:bottom w:val="none" w:sz="0" w:space="0" w:color="auto"/>
        <w:right w:val="none" w:sz="0" w:space="0" w:color="auto"/>
      </w:divBdr>
    </w:div>
    <w:div w:id="1728455509">
      <w:bodyDiv w:val="1"/>
      <w:marLeft w:val="0"/>
      <w:marRight w:val="0"/>
      <w:marTop w:val="0"/>
      <w:marBottom w:val="0"/>
      <w:divBdr>
        <w:top w:val="none" w:sz="0" w:space="0" w:color="auto"/>
        <w:left w:val="none" w:sz="0" w:space="0" w:color="auto"/>
        <w:bottom w:val="none" w:sz="0" w:space="0" w:color="auto"/>
        <w:right w:val="none" w:sz="0" w:space="0" w:color="auto"/>
      </w:divBdr>
      <w:divsChild>
        <w:div w:id="1194538670">
          <w:marLeft w:val="0"/>
          <w:marRight w:val="0"/>
          <w:marTop w:val="0"/>
          <w:marBottom w:val="0"/>
          <w:divBdr>
            <w:top w:val="none" w:sz="0" w:space="0" w:color="auto"/>
            <w:left w:val="none" w:sz="0" w:space="0" w:color="auto"/>
            <w:bottom w:val="none" w:sz="0" w:space="0" w:color="auto"/>
            <w:right w:val="none" w:sz="0" w:space="0" w:color="auto"/>
          </w:divBdr>
        </w:div>
        <w:div w:id="1325669457">
          <w:marLeft w:val="0"/>
          <w:marRight w:val="0"/>
          <w:marTop w:val="0"/>
          <w:marBottom w:val="0"/>
          <w:divBdr>
            <w:top w:val="none" w:sz="0" w:space="0" w:color="auto"/>
            <w:left w:val="none" w:sz="0" w:space="0" w:color="auto"/>
            <w:bottom w:val="none" w:sz="0" w:space="0" w:color="auto"/>
            <w:right w:val="none" w:sz="0" w:space="0" w:color="auto"/>
          </w:divBdr>
        </w:div>
        <w:div w:id="1627852683">
          <w:marLeft w:val="0"/>
          <w:marRight w:val="0"/>
          <w:marTop w:val="0"/>
          <w:marBottom w:val="0"/>
          <w:divBdr>
            <w:top w:val="none" w:sz="0" w:space="0" w:color="auto"/>
            <w:left w:val="none" w:sz="0" w:space="0" w:color="auto"/>
            <w:bottom w:val="none" w:sz="0" w:space="0" w:color="auto"/>
            <w:right w:val="none" w:sz="0" w:space="0" w:color="auto"/>
          </w:divBdr>
        </w:div>
      </w:divsChild>
    </w:div>
    <w:div w:id="1731537206">
      <w:bodyDiv w:val="1"/>
      <w:marLeft w:val="0"/>
      <w:marRight w:val="0"/>
      <w:marTop w:val="0"/>
      <w:marBottom w:val="0"/>
      <w:divBdr>
        <w:top w:val="none" w:sz="0" w:space="0" w:color="auto"/>
        <w:left w:val="none" w:sz="0" w:space="0" w:color="auto"/>
        <w:bottom w:val="none" w:sz="0" w:space="0" w:color="auto"/>
        <w:right w:val="none" w:sz="0" w:space="0" w:color="auto"/>
      </w:divBdr>
    </w:div>
    <w:div w:id="1885211564">
      <w:bodyDiv w:val="1"/>
      <w:marLeft w:val="0"/>
      <w:marRight w:val="0"/>
      <w:marTop w:val="0"/>
      <w:marBottom w:val="0"/>
      <w:divBdr>
        <w:top w:val="none" w:sz="0" w:space="0" w:color="auto"/>
        <w:left w:val="none" w:sz="0" w:space="0" w:color="auto"/>
        <w:bottom w:val="none" w:sz="0" w:space="0" w:color="auto"/>
        <w:right w:val="none" w:sz="0" w:space="0" w:color="auto"/>
      </w:divBdr>
      <w:divsChild>
        <w:div w:id="580221395">
          <w:marLeft w:val="0"/>
          <w:marRight w:val="0"/>
          <w:marTop w:val="0"/>
          <w:marBottom w:val="0"/>
          <w:divBdr>
            <w:top w:val="none" w:sz="0" w:space="0" w:color="auto"/>
            <w:left w:val="none" w:sz="0" w:space="0" w:color="auto"/>
            <w:bottom w:val="none" w:sz="0" w:space="0" w:color="auto"/>
            <w:right w:val="none" w:sz="0" w:space="0" w:color="auto"/>
          </w:divBdr>
        </w:div>
        <w:div w:id="1004237240">
          <w:marLeft w:val="0"/>
          <w:marRight w:val="0"/>
          <w:marTop w:val="0"/>
          <w:marBottom w:val="0"/>
          <w:divBdr>
            <w:top w:val="none" w:sz="0" w:space="0" w:color="auto"/>
            <w:left w:val="none" w:sz="0" w:space="0" w:color="auto"/>
            <w:bottom w:val="none" w:sz="0" w:space="0" w:color="auto"/>
            <w:right w:val="none" w:sz="0" w:space="0" w:color="auto"/>
          </w:divBdr>
        </w:div>
        <w:div w:id="1231234390">
          <w:marLeft w:val="0"/>
          <w:marRight w:val="0"/>
          <w:marTop w:val="0"/>
          <w:marBottom w:val="0"/>
          <w:divBdr>
            <w:top w:val="none" w:sz="0" w:space="0" w:color="auto"/>
            <w:left w:val="none" w:sz="0" w:space="0" w:color="auto"/>
            <w:bottom w:val="none" w:sz="0" w:space="0" w:color="auto"/>
            <w:right w:val="none" w:sz="0" w:space="0" w:color="auto"/>
          </w:divBdr>
        </w:div>
        <w:div w:id="1433476196">
          <w:marLeft w:val="0"/>
          <w:marRight w:val="0"/>
          <w:marTop w:val="0"/>
          <w:marBottom w:val="0"/>
          <w:divBdr>
            <w:top w:val="none" w:sz="0" w:space="0" w:color="auto"/>
            <w:left w:val="none" w:sz="0" w:space="0" w:color="auto"/>
            <w:bottom w:val="none" w:sz="0" w:space="0" w:color="auto"/>
            <w:right w:val="none" w:sz="0" w:space="0" w:color="auto"/>
          </w:divBdr>
        </w:div>
      </w:divsChild>
    </w:div>
    <w:div w:id="1917863363">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75942732">
      <w:bodyDiv w:val="1"/>
      <w:marLeft w:val="0"/>
      <w:marRight w:val="0"/>
      <w:marTop w:val="0"/>
      <w:marBottom w:val="0"/>
      <w:divBdr>
        <w:top w:val="none" w:sz="0" w:space="0" w:color="auto"/>
        <w:left w:val="none" w:sz="0" w:space="0" w:color="auto"/>
        <w:bottom w:val="none" w:sz="0" w:space="0" w:color="auto"/>
        <w:right w:val="none" w:sz="0" w:space="0" w:color="auto"/>
      </w:divBdr>
      <w:divsChild>
        <w:div w:id="109521726">
          <w:marLeft w:val="0"/>
          <w:marRight w:val="0"/>
          <w:marTop w:val="0"/>
          <w:marBottom w:val="0"/>
          <w:divBdr>
            <w:top w:val="none" w:sz="0" w:space="0" w:color="auto"/>
            <w:left w:val="none" w:sz="0" w:space="0" w:color="auto"/>
            <w:bottom w:val="none" w:sz="0" w:space="0" w:color="auto"/>
            <w:right w:val="none" w:sz="0" w:space="0" w:color="auto"/>
          </w:divBdr>
          <w:divsChild>
            <w:div w:id="230391100">
              <w:marLeft w:val="0"/>
              <w:marRight w:val="0"/>
              <w:marTop w:val="0"/>
              <w:marBottom w:val="0"/>
              <w:divBdr>
                <w:top w:val="none" w:sz="0" w:space="0" w:color="auto"/>
                <w:left w:val="none" w:sz="0" w:space="0" w:color="auto"/>
                <w:bottom w:val="none" w:sz="0" w:space="0" w:color="auto"/>
                <w:right w:val="none" w:sz="0" w:space="0" w:color="auto"/>
              </w:divBdr>
            </w:div>
            <w:div w:id="1144392837">
              <w:marLeft w:val="0"/>
              <w:marRight w:val="0"/>
              <w:marTop w:val="0"/>
              <w:marBottom w:val="0"/>
              <w:divBdr>
                <w:top w:val="none" w:sz="0" w:space="0" w:color="auto"/>
                <w:left w:val="none" w:sz="0" w:space="0" w:color="auto"/>
                <w:bottom w:val="none" w:sz="0" w:space="0" w:color="auto"/>
                <w:right w:val="none" w:sz="0" w:space="0" w:color="auto"/>
              </w:divBdr>
            </w:div>
            <w:div w:id="1537280531">
              <w:marLeft w:val="0"/>
              <w:marRight w:val="0"/>
              <w:marTop w:val="0"/>
              <w:marBottom w:val="0"/>
              <w:divBdr>
                <w:top w:val="none" w:sz="0" w:space="0" w:color="auto"/>
                <w:left w:val="none" w:sz="0" w:space="0" w:color="auto"/>
                <w:bottom w:val="none" w:sz="0" w:space="0" w:color="auto"/>
                <w:right w:val="none" w:sz="0" w:space="0" w:color="auto"/>
              </w:divBdr>
            </w:div>
          </w:divsChild>
        </w:div>
        <w:div w:id="322130216">
          <w:marLeft w:val="0"/>
          <w:marRight w:val="0"/>
          <w:marTop w:val="0"/>
          <w:marBottom w:val="0"/>
          <w:divBdr>
            <w:top w:val="none" w:sz="0" w:space="0" w:color="auto"/>
            <w:left w:val="none" w:sz="0" w:space="0" w:color="auto"/>
            <w:bottom w:val="none" w:sz="0" w:space="0" w:color="auto"/>
            <w:right w:val="none" w:sz="0" w:space="0" w:color="auto"/>
          </w:divBdr>
          <w:divsChild>
            <w:div w:id="1323201374">
              <w:marLeft w:val="0"/>
              <w:marRight w:val="0"/>
              <w:marTop w:val="0"/>
              <w:marBottom w:val="0"/>
              <w:divBdr>
                <w:top w:val="none" w:sz="0" w:space="0" w:color="auto"/>
                <w:left w:val="none" w:sz="0" w:space="0" w:color="auto"/>
                <w:bottom w:val="none" w:sz="0" w:space="0" w:color="auto"/>
                <w:right w:val="none" w:sz="0" w:space="0" w:color="auto"/>
              </w:divBdr>
            </w:div>
          </w:divsChild>
        </w:div>
        <w:div w:id="450366997">
          <w:marLeft w:val="0"/>
          <w:marRight w:val="0"/>
          <w:marTop w:val="0"/>
          <w:marBottom w:val="0"/>
          <w:divBdr>
            <w:top w:val="none" w:sz="0" w:space="0" w:color="auto"/>
            <w:left w:val="none" w:sz="0" w:space="0" w:color="auto"/>
            <w:bottom w:val="none" w:sz="0" w:space="0" w:color="auto"/>
            <w:right w:val="none" w:sz="0" w:space="0" w:color="auto"/>
          </w:divBdr>
          <w:divsChild>
            <w:div w:id="1628269653">
              <w:marLeft w:val="0"/>
              <w:marRight w:val="0"/>
              <w:marTop w:val="0"/>
              <w:marBottom w:val="0"/>
              <w:divBdr>
                <w:top w:val="none" w:sz="0" w:space="0" w:color="auto"/>
                <w:left w:val="none" w:sz="0" w:space="0" w:color="auto"/>
                <w:bottom w:val="none" w:sz="0" w:space="0" w:color="auto"/>
                <w:right w:val="none" w:sz="0" w:space="0" w:color="auto"/>
              </w:divBdr>
            </w:div>
          </w:divsChild>
        </w:div>
        <w:div w:id="471140998">
          <w:marLeft w:val="0"/>
          <w:marRight w:val="0"/>
          <w:marTop w:val="0"/>
          <w:marBottom w:val="0"/>
          <w:divBdr>
            <w:top w:val="none" w:sz="0" w:space="0" w:color="auto"/>
            <w:left w:val="none" w:sz="0" w:space="0" w:color="auto"/>
            <w:bottom w:val="none" w:sz="0" w:space="0" w:color="auto"/>
            <w:right w:val="none" w:sz="0" w:space="0" w:color="auto"/>
          </w:divBdr>
          <w:divsChild>
            <w:div w:id="624165612">
              <w:marLeft w:val="0"/>
              <w:marRight w:val="0"/>
              <w:marTop w:val="0"/>
              <w:marBottom w:val="0"/>
              <w:divBdr>
                <w:top w:val="none" w:sz="0" w:space="0" w:color="auto"/>
                <w:left w:val="none" w:sz="0" w:space="0" w:color="auto"/>
                <w:bottom w:val="none" w:sz="0" w:space="0" w:color="auto"/>
                <w:right w:val="none" w:sz="0" w:space="0" w:color="auto"/>
              </w:divBdr>
            </w:div>
            <w:div w:id="1442457026">
              <w:marLeft w:val="0"/>
              <w:marRight w:val="0"/>
              <w:marTop w:val="0"/>
              <w:marBottom w:val="0"/>
              <w:divBdr>
                <w:top w:val="none" w:sz="0" w:space="0" w:color="auto"/>
                <w:left w:val="none" w:sz="0" w:space="0" w:color="auto"/>
                <w:bottom w:val="none" w:sz="0" w:space="0" w:color="auto"/>
                <w:right w:val="none" w:sz="0" w:space="0" w:color="auto"/>
              </w:divBdr>
            </w:div>
            <w:div w:id="2053459679">
              <w:marLeft w:val="0"/>
              <w:marRight w:val="0"/>
              <w:marTop w:val="0"/>
              <w:marBottom w:val="0"/>
              <w:divBdr>
                <w:top w:val="none" w:sz="0" w:space="0" w:color="auto"/>
                <w:left w:val="none" w:sz="0" w:space="0" w:color="auto"/>
                <w:bottom w:val="none" w:sz="0" w:space="0" w:color="auto"/>
                <w:right w:val="none" w:sz="0" w:space="0" w:color="auto"/>
              </w:divBdr>
            </w:div>
          </w:divsChild>
        </w:div>
        <w:div w:id="636955032">
          <w:marLeft w:val="0"/>
          <w:marRight w:val="0"/>
          <w:marTop w:val="0"/>
          <w:marBottom w:val="0"/>
          <w:divBdr>
            <w:top w:val="none" w:sz="0" w:space="0" w:color="auto"/>
            <w:left w:val="none" w:sz="0" w:space="0" w:color="auto"/>
            <w:bottom w:val="none" w:sz="0" w:space="0" w:color="auto"/>
            <w:right w:val="none" w:sz="0" w:space="0" w:color="auto"/>
          </w:divBdr>
          <w:divsChild>
            <w:div w:id="1499274766">
              <w:marLeft w:val="0"/>
              <w:marRight w:val="0"/>
              <w:marTop w:val="0"/>
              <w:marBottom w:val="0"/>
              <w:divBdr>
                <w:top w:val="none" w:sz="0" w:space="0" w:color="auto"/>
                <w:left w:val="none" w:sz="0" w:space="0" w:color="auto"/>
                <w:bottom w:val="none" w:sz="0" w:space="0" w:color="auto"/>
                <w:right w:val="none" w:sz="0" w:space="0" w:color="auto"/>
              </w:divBdr>
            </w:div>
            <w:div w:id="1853841235">
              <w:marLeft w:val="0"/>
              <w:marRight w:val="0"/>
              <w:marTop w:val="0"/>
              <w:marBottom w:val="0"/>
              <w:divBdr>
                <w:top w:val="none" w:sz="0" w:space="0" w:color="auto"/>
                <w:left w:val="none" w:sz="0" w:space="0" w:color="auto"/>
                <w:bottom w:val="none" w:sz="0" w:space="0" w:color="auto"/>
                <w:right w:val="none" w:sz="0" w:space="0" w:color="auto"/>
              </w:divBdr>
            </w:div>
          </w:divsChild>
        </w:div>
        <w:div w:id="641691000">
          <w:marLeft w:val="0"/>
          <w:marRight w:val="0"/>
          <w:marTop w:val="0"/>
          <w:marBottom w:val="0"/>
          <w:divBdr>
            <w:top w:val="none" w:sz="0" w:space="0" w:color="auto"/>
            <w:left w:val="none" w:sz="0" w:space="0" w:color="auto"/>
            <w:bottom w:val="none" w:sz="0" w:space="0" w:color="auto"/>
            <w:right w:val="none" w:sz="0" w:space="0" w:color="auto"/>
          </w:divBdr>
          <w:divsChild>
            <w:div w:id="777873363">
              <w:marLeft w:val="0"/>
              <w:marRight w:val="0"/>
              <w:marTop w:val="0"/>
              <w:marBottom w:val="0"/>
              <w:divBdr>
                <w:top w:val="none" w:sz="0" w:space="0" w:color="auto"/>
                <w:left w:val="none" w:sz="0" w:space="0" w:color="auto"/>
                <w:bottom w:val="none" w:sz="0" w:space="0" w:color="auto"/>
                <w:right w:val="none" w:sz="0" w:space="0" w:color="auto"/>
              </w:divBdr>
            </w:div>
          </w:divsChild>
        </w:div>
        <w:div w:id="710809610">
          <w:marLeft w:val="0"/>
          <w:marRight w:val="0"/>
          <w:marTop w:val="0"/>
          <w:marBottom w:val="0"/>
          <w:divBdr>
            <w:top w:val="none" w:sz="0" w:space="0" w:color="auto"/>
            <w:left w:val="none" w:sz="0" w:space="0" w:color="auto"/>
            <w:bottom w:val="none" w:sz="0" w:space="0" w:color="auto"/>
            <w:right w:val="none" w:sz="0" w:space="0" w:color="auto"/>
          </w:divBdr>
          <w:divsChild>
            <w:div w:id="246118390">
              <w:marLeft w:val="0"/>
              <w:marRight w:val="0"/>
              <w:marTop w:val="0"/>
              <w:marBottom w:val="0"/>
              <w:divBdr>
                <w:top w:val="none" w:sz="0" w:space="0" w:color="auto"/>
                <w:left w:val="none" w:sz="0" w:space="0" w:color="auto"/>
                <w:bottom w:val="none" w:sz="0" w:space="0" w:color="auto"/>
                <w:right w:val="none" w:sz="0" w:space="0" w:color="auto"/>
              </w:divBdr>
            </w:div>
            <w:div w:id="1607076916">
              <w:marLeft w:val="0"/>
              <w:marRight w:val="0"/>
              <w:marTop w:val="0"/>
              <w:marBottom w:val="0"/>
              <w:divBdr>
                <w:top w:val="none" w:sz="0" w:space="0" w:color="auto"/>
                <w:left w:val="none" w:sz="0" w:space="0" w:color="auto"/>
                <w:bottom w:val="none" w:sz="0" w:space="0" w:color="auto"/>
                <w:right w:val="none" w:sz="0" w:space="0" w:color="auto"/>
              </w:divBdr>
            </w:div>
          </w:divsChild>
        </w:div>
        <w:div w:id="862010870">
          <w:marLeft w:val="0"/>
          <w:marRight w:val="0"/>
          <w:marTop w:val="0"/>
          <w:marBottom w:val="0"/>
          <w:divBdr>
            <w:top w:val="none" w:sz="0" w:space="0" w:color="auto"/>
            <w:left w:val="none" w:sz="0" w:space="0" w:color="auto"/>
            <w:bottom w:val="none" w:sz="0" w:space="0" w:color="auto"/>
            <w:right w:val="none" w:sz="0" w:space="0" w:color="auto"/>
          </w:divBdr>
          <w:divsChild>
            <w:div w:id="204952773">
              <w:marLeft w:val="0"/>
              <w:marRight w:val="0"/>
              <w:marTop w:val="0"/>
              <w:marBottom w:val="0"/>
              <w:divBdr>
                <w:top w:val="none" w:sz="0" w:space="0" w:color="auto"/>
                <w:left w:val="none" w:sz="0" w:space="0" w:color="auto"/>
                <w:bottom w:val="none" w:sz="0" w:space="0" w:color="auto"/>
                <w:right w:val="none" w:sz="0" w:space="0" w:color="auto"/>
              </w:divBdr>
            </w:div>
            <w:div w:id="1374381168">
              <w:marLeft w:val="0"/>
              <w:marRight w:val="0"/>
              <w:marTop w:val="0"/>
              <w:marBottom w:val="0"/>
              <w:divBdr>
                <w:top w:val="none" w:sz="0" w:space="0" w:color="auto"/>
                <w:left w:val="none" w:sz="0" w:space="0" w:color="auto"/>
                <w:bottom w:val="none" w:sz="0" w:space="0" w:color="auto"/>
                <w:right w:val="none" w:sz="0" w:space="0" w:color="auto"/>
              </w:divBdr>
            </w:div>
            <w:div w:id="1401446424">
              <w:marLeft w:val="0"/>
              <w:marRight w:val="0"/>
              <w:marTop w:val="0"/>
              <w:marBottom w:val="0"/>
              <w:divBdr>
                <w:top w:val="none" w:sz="0" w:space="0" w:color="auto"/>
                <w:left w:val="none" w:sz="0" w:space="0" w:color="auto"/>
                <w:bottom w:val="none" w:sz="0" w:space="0" w:color="auto"/>
                <w:right w:val="none" w:sz="0" w:space="0" w:color="auto"/>
              </w:divBdr>
            </w:div>
          </w:divsChild>
        </w:div>
        <w:div w:id="899364943">
          <w:marLeft w:val="0"/>
          <w:marRight w:val="0"/>
          <w:marTop w:val="0"/>
          <w:marBottom w:val="0"/>
          <w:divBdr>
            <w:top w:val="none" w:sz="0" w:space="0" w:color="auto"/>
            <w:left w:val="none" w:sz="0" w:space="0" w:color="auto"/>
            <w:bottom w:val="none" w:sz="0" w:space="0" w:color="auto"/>
            <w:right w:val="none" w:sz="0" w:space="0" w:color="auto"/>
          </w:divBdr>
          <w:divsChild>
            <w:div w:id="1041053548">
              <w:marLeft w:val="0"/>
              <w:marRight w:val="0"/>
              <w:marTop w:val="0"/>
              <w:marBottom w:val="0"/>
              <w:divBdr>
                <w:top w:val="none" w:sz="0" w:space="0" w:color="auto"/>
                <w:left w:val="none" w:sz="0" w:space="0" w:color="auto"/>
                <w:bottom w:val="none" w:sz="0" w:space="0" w:color="auto"/>
                <w:right w:val="none" w:sz="0" w:space="0" w:color="auto"/>
              </w:divBdr>
            </w:div>
          </w:divsChild>
        </w:div>
        <w:div w:id="1013144698">
          <w:marLeft w:val="0"/>
          <w:marRight w:val="0"/>
          <w:marTop w:val="0"/>
          <w:marBottom w:val="0"/>
          <w:divBdr>
            <w:top w:val="none" w:sz="0" w:space="0" w:color="auto"/>
            <w:left w:val="none" w:sz="0" w:space="0" w:color="auto"/>
            <w:bottom w:val="none" w:sz="0" w:space="0" w:color="auto"/>
            <w:right w:val="none" w:sz="0" w:space="0" w:color="auto"/>
          </w:divBdr>
          <w:divsChild>
            <w:div w:id="2113626467">
              <w:marLeft w:val="0"/>
              <w:marRight w:val="0"/>
              <w:marTop w:val="0"/>
              <w:marBottom w:val="0"/>
              <w:divBdr>
                <w:top w:val="none" w:sz="0" w:space="0" w:color="auto"/>
                <w:left w:val="none" w:sz="0" w:space="0" w:color="auto"/>
                <w:bottom w:val="none" w:sz="0" w:space="0" w:color="auto"/>
                <w:right w:val="none" w:sz="0" w:space="0" w:color="auto"/>
              </w:divBdr>
            </w:div>
          </w:divsChild>
        </w:div>
        <w:div w:id="1099333226">
          <w:marLeft w:val="0"/>
          <w:marRight w:val="0"/>
          <w:marTop w:val="0"/>
          <w:marBottom w:val="0"/>
          <w:divBdr>
            <w:top w:val="none" w:sz="0" w:space="0" w:color="auto"/>
            <w:left w:val="none" w:sz="0" w:space="0" w:color="auto"/>
            <w:bottom w:val="none" w:sz="0" w:space="0" w:color="auto"/>
            <w:right w:val="none" w:sz="0" w:space="0" w:color="auto"/>
          </w:divBdr>
          <w:divsChild>
            <w:div w:id="266929639">
              <w:marLeft w:val="0"/>
              <w:marRight w:val="0"/>
              <w:marTop w:val="0"/>
              <w:marBottom w:val="0"/>
              <w:divBdr>
                <w:top w:val="none" w:sz="0" w:space="0" w:color="auto"/>
                <w:left w:val="none" w:sz="0" w:space="0" w:color="auto"/>
                <w:bottom w:val="none" w:sz="0" w:space="0" w:color="auto"/>
                <w:right w:val="none" w:sz="0" w:space="0" w:color="auto"/>
              </w:divBdr>
            </w:div>
            <w:div w:id="1971589571">
              <w:marLeft w:val="0"/>
              <w:marRight w:val="0"/>
              <w:marTop w:val="0"/>
              <w:marBottom w:val="0"/>
              <w:divBdr>
                <w:top w:val="none" w:sz="0" w:space="0" w:color="auto"/>
                <w:left w:val="none" w:sz="0" w:space="0" w:color="auto"/>
                <w:bottom w:val="none" w:sz="0" w:space="0" w:color="auto"/>
                <w:right w:val="none" w:sz="0" w:space="0" w:color="auto"/>
              </w:divBdr>
            </w:div>
            <w:div w:id="1995453295">
              <w:marLeft w:val="0"/>
              <w:marRight w:val="0"/>
              <w:marTop w:val="0"/>
              <w:marBottom w:val="0"/>
              <w:divBdr>
                <w:top w:val="none" w:sz="0" w:space="0" w:color="auto"/>
                <w:left w:val="none" w:sz="0" w:space="0" w:color="auto"/>
                <w:bottom w:val="none" w:sz="0" w:space="0" w:color="auto"/>
                <w:right w:val="none" w:sz="0" w:space="0" w:color="auto"/>
              </w:divBdr>
            </w:div>
          </w:divsChild>
        </w:div>
        <w:div w:id="1717702443">
          <w:marLeft w:val="0"/>
          <w:marRight w:val="0"/>
          <w:marTop w:val="0"/>
          <w:marBottom w:val="0"/>
          <w:divBdr>
            <w:top w:val="none" w:sz="0" w:space="0" w:color="auto"/>
            <w:left w:val="none" w:sz="0" w:space="0" w:color="auto"/>
            <w:bottom w:val="none" w:sz="0" w:space="0" w:color="auto"/>
            <w:right w:val="none" w:sz="0" w:space="0" w:color="auto"/>
          </w:divBdr>
          <w:divsChild>
            <w:div w:id="1408112240">
              <w:marLeft w:val="0"/>
              <w:marRight w:val="0"/>
              <w:marTop w:val="0"/>
              <w:marBottom w:val="0"/>
              <w:divBdr>
                <w:top w:val="none" w:sz="0" w:space="0" w:color="auto"/>
                <w:left w:val="none" w:sz="0" w:space="0" w:color="auto"/>
                <w:bottom w:val="none" w:sz="0" w:space="0" w:color="auto"/>
                <w:right w:val="none" w:sz="0" w:space="0" w:color="auto"/>
              </w:divBdr>
            </w:div>
          </w:divsChild>
        </w:div>
        <w:div w:id="1734429196">
          <w:marLeft w:val="0"/>
          <w:marRight w:val="0"/>
          <w:marTop w:val="0"/>
          <w:marBottom w:val="0"/>
          <w:divBdr>
            <w:top w:val="none" w:sz="0" w:space="0" w:color="auto"/>
            <w:left w:val="none" w:sz="0" w:space="0" w:color="auto"/>
            <w:bottom w:val="none" w:sz="0" w:space="0" w:color="auto"/>
            <w:right w:val="none" w:sz="0" w:space="0" w:color="auto"/>
          </w:divBdr>
          <w:divsChild>
            <w:div w:id="1719278296">
              <w:marLeft w:val="0"/>
              <w:marRight w:val="0"/>
              <w:marTop w:val="0"/>
              <w:marBottom w:val="0"/>
              <w:divBdr>
                <w:top w:val="none" w:sz="0" w:space="0" w:color="auto"/>
                <w:left w:val="none" w:sz="0" w:space="0" w:color="auto"/>
                <w:bottom w:val="none" w:sz="0" w:space="0" w:color="auto"/>
                <w:right w:val="none" w:sz="0" w:space="0" w:color="auto"/>
              </w:divBdr>
            </w:div>
          </w:divsChild>
        </w:div>
        <w:div w:id="1850945427">
          <w:marLeft w:val="0"/>
          <w:marRight w:val="0"/>
          <w:marTop w:val="0"/>
          <w:marBottom w:val="0"/>
          <w:divBdr>
            <w:top w:val="none" w:sz="0" w:space="0" w:color="auto"/>
            <w:left w:val="none" w:sz="0" w:space="0" w:color="auto"/>
            <w:bottom w:val="none" w:sz="0" w:space="0" w:color="auto"/>
            <w:right w:val="none" w:sz="0" w:space="0" w:color="auto"/>
          </w:divBdr>
          <w:divsChild>
            <w:div w:id="24907263">
              <w:marLeft w:val="0"/>
              <w:marRight w:val="0"/>
              <w:marTop w:val="0"/>
              <w:marBottom w:val="0"/>
              <w:divBdr>
                <w:top w:val="none" w:sz="0" w:space="0" w:color="auto"/>
                <w:left w:val="none" w:sz="0" w:space="0" w:color="auto"/>
                <w:bottom w:val="none" w:sz="0" w:space="0" w:color="auto"/>
                <w:right w:val="none" w:sz="0" w:space="0" w:color="auto"/>
              </w:divBdr>
            </w:div>
            <w:div w:id="1361315760">
              <w:marLeft w:val="0"/>
              <w:marRight w:val="0"/>
              <w:marTop w:val="0"/>
              <w:marBottom w:val="0"/>
              <w:divBdr>
                <w:top w:val="none" w:sz="0" w:space="0" w:color="auto"/>
                <w:left w:val="none" w:sz="0" w:space="0" w:color="auto"/>
                <w:bottom w:val="none" w:sz="0" w:space="0" w:color="auto"/>
                <w:right w:val="none" w:sz="0" w:space="0" w:color="auto"/>
              </w:divBdr>
            </w:div>
            <w:div w:id="2017880211">
              <w:marLeft w:val="0"/>
              <w:marRight w:val="0"/>
              <w:marTop w:val="0"/>
              <w:marBottom w:val="0"/>
              <w:divBdr>
                <w:top w:val="none" w:sz="0" w:space="0" w:color="auto"/>
                <w:left w:val="none" w:sz="0" w:space="0" w:color="auto"/>
                <w:bottom w:val="none" w:sz="0" w:space="0" w:color="auto"/>
                <w:right w:val="none" w:sz="0" w:space="0" w:color="auto"/>
              </w:divBdr>
            </w:div>
          </w:divsChild>
        </w:div>
        <w:div w:id="1929850927">
          <w:marLeft w:val="0"/>
          <w:marRight w:val="0"/>
          <w:marTop w:val="0"/>
          <w:marBottom w:val="0"/>
          <w:divBdr>
            <w:top w:val="none" w:sz="0" w:space="0" w:color="auto"/>
            <w:left w:val="none" w:sz="0" w:space="0" w:color="auto"/>
            <w:bottom w:val="none" w:sz="0" w:space="0" w:color="auto"/>
            <w:right w:val="none" w:sz="0" w:space="0" w:color="auto"/>
          </w:divBdr>
          <w:divsChild>
            <w:div w:id="1016807834">
              <w:marLeft w:val="0"/>
              <w:marRight w:val="0"/>
              <w:marTop w:val="0"/>
              <w:marBottom w:val="0"/>
              <w:divBdr>
                <w:top w:val="none" w:sz="0" w:space="0" w:color="auto"/>
                <w:left w:val="none" w:sz="0" w:space="0" w:color="auto"/>
                <w:bottom w:val="none" w:sz="0" w:space="0" w:color="auto"/>
                <w:right w:val="none" w:sz="0" w:space="0" w:color="auto"/>
              </w:divBdr>
            </w:div>
            <w:div w:id="1705907992">
              <w:marLeft w:val="0"/>
              <w:marRight w:val="0"/>
              <w:marTop w:val="0"/>
              <w:marBottom w:val="0"/>
              <w:divBdr>
                <w:top w:val="none" w:sz="0" w:space="0" w:color="auto"/>
                <w:left w:val="none" w:sz="0" w:space="0" w:color="auto"/>
                <w:bottom w:val="none" w:sz="0" w:space="0" w:color="auto"/>
                <w:right w:val="none" w:sz="0" w:space="0" w:color="auto"/>
              </w:divBdr>
            </w:div>
          </w:divsChild>
        </w:div>
        <w:div w:id="2115708620">
          <w:marLeft w:val="0"/>
          <w:marRight w:val="0"/>
          <w:marTop w:val="0"/>
          <w:marBottom w:val="0"/>
          <w:divBdr>
            <w:top w:val="none" w:sz="0" w:space="0" w:color="auto"/>
            <w:left w:val="none" w:sz="0" w:space="0" w:color="auto"/>
            <w:bottom w:val="none" w:sz="0" w:space="0" w:color="auto"/>
            <w:right w:val="none" w:sz="0" w:space="0" w:color="auto"/>
          </w:divBdr>
          <w:divsChild>
            <w:div w:id="632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6461">
      <w:bodyDiv w:val="1"/>
      <w:marLeft w:val="0"/>
      <w:marRight w:val="0"/>
      <w:marTop w:val="0"/>
      <w:marBottom w:val="0"/>
      <w:divBdr>
        <w:top w:val="none" w:sz="0" w:space="0" w:color="auto"/>
        <w:left w:val="none" w:sz="0" w:space="0" w:color="auto"/>
        <w:bottom w:val="none" w:sz="0" w:space="0" w:color="auto"/>
        <w:right w:val="none" w:sz="0" w:space="0" w:color="auto"/>
      </w:divBdr>
    </w:div>
    <w:div w:id="20644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5.xml"/><Relationship Id="rId42" Type="http://schemas.openxmlformats.org/officeDocument/2006/relationships/hyperlink" Target="https://www.acma.gov.au/spectrum-licence-technical-liaison-groups" TargetMode="External"/><Relationship Id="rId47" Type="http://schemas.openxmlformats.org/officeDocument/2006/relationships/hyperlink" Target="https://www.acma.gov.au/consultations/2023-06/allocation-area-wide-apparatus-licences-38-ghz-band" TargetMode="External"/><Relationship Id="rId63" Type="http://schemas.openxmlformats.org/officeDocument/2006/relationships/hyperlink" Target="https://www.acma.gov.au/consultations/2023-06/allocation-area-wide-apparatus-licences-38-ghz-band" TargetMode="External"/><Relationship Id="rId68" Type="http://schemas.openxmlformats.org/officeDocument/2006/relationships/header" Target="header8.xml"/><Relationship Id="rId16" Type="http://schemas.openxmlformats.org/officeDocument/2006/relationships/hyperlink" Target="https://creativecommons.org/licenses/by/4.0/" TargetMode="Externa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s://www.acma.gov.au/consultations/2023-05/proposed-affirmation-about-collusion-3437-ghz-bands-auction" TargetMode="External"/><Relationship Id="rId37" Type="http://schemas.openxmlformats.org/officeDocument/2006/relationships/hyperlink" Target="https://www.legislation.gov.au/Details/F2023L00856" TargetMode="External"/><Relationship Id="rId40" Type="http://schemas.openxmlformats.org/officeDocument/2006/relationships/hyperlink" Target="https://www.acma.gov.au/consultations/2022-03/proposed-spectrum-re-allocation-declaration-34-ghz-and-37-ghz-bands-ifc-102022" TargetMode="External"/><Relationship Id="rId45" Type="http://schemas.openxmlformats.org/officeDocument/2006/relationships/hyperlink" Target="https://www.acma.gov.au/5g-and-aviation-services-australia" TargetMode="External"/><Relationship Id="rId53" Type="http://schemas.openxmlformats.org/officeDocument/2006/relationships/hyperlink" Target="https://www.accc.gov.au/system/files/ACCC%20advice%20to%20ACMA%20on%20allocation%20limits%20for%203.4%20and%203.7%20GHz%20spectrum%20allocation.pdf" TargetMode="External"/><Relationship Id="rId58" Type="http://schemas.openxmlformats.org/officeDocument/2006/relationships/hyperlink" Target="https://www.acma.gov.au/publications/2023-06/instruction/rali-ms47-licensing-and-coordination-procedures-area-wide-licences-awl-3400-4000-mhz-band" TargetMode="External"/><Relationship Id="rId66" Type="http://schemas.openxmlformats.org/officeDocument/2006/relationships/hyperlink" Target="https://www.acma.gov.au/area-wide-apparatus-licensing-34-40-ghz-band" TargetMode="External"/><Relationship Id="rId74"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www.acma.gov.au/publications/2023-06/instruction/rali-ms47-licensing-and-coordination-procedures-area-wide-licences-awl-3400-4000-mhz-band" TargetMode="External"/><Relationship Id="rId19" Type="http://schemas.openxmlformats.org/officeDocument/2006/relationships/header" Target="header5.xml"/><Relationship Id="rId14" Type="http://schemas.openxmlformats.org/officeDocument/2006/relationships/hyperlink" Target="http://i.creativecommons.org/l/by/3.0/88x31.png" TargetMode="External"/><Relationship Id="rId22" Type="http://schemas.openxmlformats.org/officeDocument/2006/relationships/header" Target="header6.xml"/><Relationship Id="rId27" Type="http://schemas.openxmlformats.org/officeDocument/2006/relationships/hyperlink" Target="https://www.legislation.gov.au/Series/C2004A04465" TargetMode="External"/><Relationship Id="rId30" Type="http://schemas.openxmlformats.org/officeDocument/2006/relationships/hyperlink" Target="https://www.acma.gov.au/consultations/2023-02/draft-allocation-and-technical-instruments-3437-ghz-bands-auction" TargetMode="External"/><Relationship Id="rId35" Type="http://schemas.openxmlformats.org/officeDocument/2006/relationships/hyperlink" Target="https://www.legislation.gov.au/Details/F2023L00854" TargetMode="External"/><Relationship Id="rId43" Type="http://schemas.openxmlformats.org/officeDocument/2006/relationships/hyperlink" Target="https://www.legislation.gov.au/Series/F2015L00728" TargetMode="External"/><Relationship Id="rId48" Type="http://schemas.openxmlformats.org/officeDocument/2006/relationships/hyperlink" Target="https://www.legislation.gov.au/Series/F2015L00729" TargetMode="External"/><Relationship Id="rId56" Type="http://schemas.openxmlformats.org/officeDocument/2006/relationships/hyperlink" Target="https://www.acma.gov.au/5g-and-aviation-services-australia" TargetMode="External"/><Relationship Id="rId64" Type="http://schemas.openxmlformats.org/officeDocument/2006/relationships/hyperlink" Target="https://www.acma.gov.au/consultations/2023-06/allocation-area-wide-apparatus-licences-38-ghz-band" TargetMode="External"/><Relationship Id="rId69" Type="http://schemas.openxmlformats.org/officeDocument/2006/relationships/header" Target="header9.xml"/><Relationship Id="rId77" Type="http://schemas.openxmlformats.org/officeDocument/2006/relationships/customXml" Target="../customXml/item5.xml"/><Relationship Id="rId8" Type="http://schemas.openxmlformats.org/officeDocument/2006/relationships/header" Target="header1.xml"/><Relationship Id="rId51" Type="http://schemas.openxmlformats.org/officeDocument/2006/relationships/image" Target="media/image4.e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info@acma.gov.au" TargetMode="External"/><Relationship Id="rId25" Type="http://schemas.openxmlformats.org/officeDocument/2006/relationships/footer" Target="footer7.xml"/><Relationship Id="rId33" Type="http://schemas.openxmlformats.org/officeDocument/2006/relationships/hyperlink" Target="https://www.acma.gov.au/consultations/2023-02/draft-allocation-and-technical-instruments-3437-ghz-bands-auction" TargetMode="External"/><Relationship Id="rId38" Type="http://schemas.openxmlformats.org/officeDocument/2006/relationships/hyperlink" Target="https://www.legislation.gov.au/Details/F2023L00855" TargetMode="External"/><Relationship Id="rId46" Type="http://schemas.openxmlformats.org/officeDocument/2006/relationships/hyperlink" Target="https://www.acma.gov.au/publications/2023-06/instruction/rali-ms47-licensing-and-coordination-procedures-area-wide-licences-awl-3400-4000-mhz-band" TargetMode="External"/><Relationship Id="rId59" Type="http://schemas.openxmlformats.org/officeDocument/2006/relationships/hyperlink" Target="https://www.acma.gov.au/consultations/2023-06/allocation-area-wide-apparatus-licences-38-ghz-band" TargetMode="External"/><Relationship Id="rId67" Type="http://schemas.openxmlformats.org/officeDocument/2006/relationships/hyperlink" Target="https://www.acma.gov.au/consultations/2023-06/allocation-area-wide-apparatus-licences-38-ghz-band" TargetMode="External"/><Relationship Id="rId20" Type="http://schemas.openxmlformats.org/officeDocument/2006/relationships/footer" Target="footer4.xml"/><Relationship Id="rId41" Type="http://schemas.openxmlformats.org/officeDocument/2006/relationships/hyperlink" Target="https://www.acma.gov.au/allocating-34-40-ghz-band" TargetMode="External"/><Relationship Id="rId54" Type="http://schemas.openxmlformats.org/officeDocument/2006/relationships/hyperlink" Target="https://www.acma.gov.au/five-year-spectrum-outlook" TargetMode="External"/><Relationship Id="rId62" Type="http://schemas.openxmlformats.org/officeDocument/2006/relationships/hyperlink" Target="https://www.acma.gov.au/consultations/2022-02/allocation-awls-34-40-ghz-band-remote-australia-ifc-112022" TargetMode="External"/><Relationship Id="rId70" Type="http://schemas.openxmlformats.org/officeDocument/2006/relationships/footer" Target="footer9.xml"/><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hyperlink" Target="https://www.legislation.gov.au/Details/F2022L00983" TargetMode="External"/><Relationship Id="rId36" Type="http://schemas.openxmlformats.org/officeDocument/2006/relationships/hyperlink" Target="https://www.legislation.gov.au/Details/F2023L00857" TargetMode="External"/><Relationship Id="rId49" Type="http://schemas.openxmlformats.org/officeDocument/2006/relationships/hyperlink" Target="https://www.acma.gov.au/5g-and-aviation-services-australia" TargetMode="External"/><Relationship Id="rId57" Type="http://schemas.openxmlformats.org/officeDocument/2006/relationships/hyperlink" Target="https://www.legislation.gov.au/Series/F2015L00728" TargetMode="External"/><Relationship Id="rId10" Type="http://schemas.openxmlformats.org/officeDocument/2006/relationships/footer" Target="footer1.xml"/><Relationship Id="rId31" Type="http://schemas.openxmlformats.org/officeDocument/2006/relationships/hyperlink" Target="https://www.acma.gov.au/publications/2023-06/instruction/rali-ms47-licensing-and-coordination-procedures-area-wide-licences-awl-3400-4000-mhz-band" TargetMode="External"/><Relationship Id="rId44" Type="http://schemas.openxmlformats.org/officeDocument/2006/relationships/hyperlink" Target="https://www.acma.gov.au/publications/2023-06/instruction/rali-ms47-licensing-and-coordination-procedures-area-wide-licences-awl-3400-4000-mhz-band" TargetMode="External"/><Relationship Id="rId52" Type="http://schemas.openxmlformats.org/officeDocument/2006/relationships/image" Target="media/image5.png"/><Relationship Id="rId60" Type="http://schemas.openxmlformats.org/officeDocument/2006/relationships/hyperlink" Target="https://www.acma.gov.au/consultations/2023-06/allocation-area-wide-apparatus-licences-38-ghz-band" TargetMode="External"/><Relationship Id="rId65" Type="http://schemas.openxmlformats.org/officeDocument/2006/relationships/hyperlink" Target="https://www.acma.gov.au/allocating-34-40-ghz-band"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hyperlink" Target="https://www.acma.gov.au/consultations/2019-08/optimising-3400-3575-mhz-band-consultation-122019" TargetMode="External"/><Relationship Id="rId34" Type="http://schemas.openxmlformats.org/officeDocument/2006/relationships/hyperlink" Target="https://www.legislation.gov.au/Details/F2023L00865" TargetMode="External"/><Relationship Id="rId50" Type="http://schemas.openxmlformats.org/officeDocument/2006/relationships/hyperlink" Target="https://www.acma.gov.au/consultations/2023-02/draft-allocation-and-technical-instruments-3437-ghz-bands-auction" TargetMode="External"/><Relationship Id="rId55" Type="http://schemas.openxmlformats.org/officeDocument/2006/relationships/hyperlink" Target="https://www.accc.gov.au/about-us/publications/serial-publications/accc-communications-market-report" TargetMode="External"/><Relationship Id="rId76"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footer" Target="footer10.xml"/><Relationship Id="rId2" Type="http://schemas.openxmlformats.org/officeDocument/2006/relationships/numbering" Target="numbering.xml"/><Relationship Id="rId29" Type="http://schemas.openxmlformats.org/officeDocument/2006/relationships/hyperlink" Target="https://www.acma.gov.au/allocating-34-40-ghz-band"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DOCID-322795542-34972</_dlc_DocId>
    <_dlc_DocIdUrl xmlns="4195ad5f-cdf2-4c4a-8d9b-b7944a108e98">
      <Url>https://pmc01.sharepoint.com/sites/CRMOBPR/_layouts/15/DocIdRedir.aspx?ID=DOCID-322795542-34972</Url>
      <Description>DOCID-322795542-34972</Description>
    </_dlc_DocIdUrl>
  </documentManagement>
</p:properties>
</file>

<file path=customXml/itemProps1.xml><?xml version="1.0" encoding="utf-8"?>
<ds:datastoreItem xmlns:ds="http://schemas.openxmlformats.org/officeDocument/2006/customXml" ds:itemID="{76421916-1165-4861-8777-7DFB522430D7}">
  <ds:schemaRefs>
    <ds:schemaRef ds:uri="http://schemas.openxmlformats.org/officeDocument/2006/bibliography"/>
  </ds:schemaRefs>
</ds:datastoreItem>
</file>

<file path=customXml/itemProps2.xml><?xml version="1.0" encoding="utf-8"?>
<ds:datastoreItem xmlns:ds="http://schemas.openxmlformats.org/officeDocument/2006/customXml" ds:itemID="{0691E92F-EC75-4E6A-A71F-B86685D439D9}"/>
</file>

<file path=customXml/itemProps3.xml><?xml version="1.0" encoding="utf-8"?>
<ds:datastoreItem xmlns:ds="http://schemas.openxmlformats.org/officeDocument/2006/customXml" ds:itemID="{6A77B8FE-950E-448A-83BA-3809B8F4F722}"/>
</file>

<file path=customXml/itemProps4.xml><?xml version="1.0" encoding="utf-8"?>
<ds:datastoreItem xmlns:ds="http://schemas.openxmlformats.org/officeDocument/2006/customXml" ds:itemID="{B9C18693-D65E-4C8B-A4C2-8C9DDD1EB844}"/>
</file>

<file path=customXml/itemProps5.xml><?xml version="1.0" encoding="utf-8"?>
<ds:datastoreItem xmlns:ds="http://schemas.openxmlformats.org/officeDocument/2006/customXml" ds:itemID="{86F8FA5E-D107-4DA3-8780-53A12275EB99}"/>
</file>

<file path=docProps/app.xml><?xml version="1.0" encoding="utf-8"?>
<Properties xmlns="http://schemas.openxmlformats.org/officeDocument/2006/extended-properties" xmlns:vt="http://schemas.openxmlformats.org/officeDocument/2006/docPropsVTypes">
  <Template>Normal</Template>
  <TotalTime>0</TotalTime>
  <Pages>45</Pages>
  <Words>19985</Words>
  <Characters>113921</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2023-07-13T04:06:00Z</dcterms:created>
  <dcterms:modified xsi:type="dcterms:W3CDTF">2023-07-13T04:09:00Z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bf7a93c5-42cd-4f0d-81d4-33eacb4fc6ff</vt:lpwstr>
  </property>
  <property fmtid="{D5CDD505-2E9C-101B-9397-08002B2CF9AE}" pid="4" name="MediaServiceImageTags">
    <vt:lpwstr/>
  </property>
</Properties>
</file>