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551D2" w:rsidP="000A07E2" w:rsidRDefault="006F3F05" w14:paraId="6ED0200C" w14:textId="0B05451B">
      <w:pPr>
        <w:pStyle w:val="CoverTitleMain"/>
      </w:pPr>
      <w:r>
        <w:rPr>
          <w:b/>
          <w:bCs/>
        </w:rPr>
        <w:t>Policy Impact Analysis</w:t>
      </w:r>
      <w:r w:rsidR="009643E4">
        <w:br/>
      </w:r>
      <w:r w:rsidR="00C552FC">
        <w:t xml:space="preserve">Multinational tax </w:t>
      </w:r>
      <w:r w:rsidR="001E3B72">
        <w:t>integrity</w:t>
      </w:r>
      <w:r w:rsidR="001D7756">
        <w:t xml:space="preserve"> package</w:t>
      </w:r>
    </w:p>
    <w:p w:rsidR="00193C92" w:rsidP="009643E4" w:rsidRDefault="001D7756" w14:paraId="416A599B" w14:textId="536E5C3A">
      <w:pPr>
        <w:pStyle w:val="CoverTitleSub"/>
      </w:pPr>
      <w:r>
        <w:t>Multinational Tax Transparency</w:t>
      </w:r>
    </w:p>
    <w:p w:rsidR="000029ED" w:rsidP="000029ED" w:rsidRDefault="00B10C09" w14:paraId="27FC62DB" w14:textId="3517F0DD">
      <w:pPr>
        <w:pStyle w:val="CoverDate"/>
        <w:rPr>
          <w:rStyle w:val="ReportDateChar"/>
        </w:rPr>
        <w:sectPr w:rsidR="000029ED" w:rsidSect="00BA38FA">
          <w:headerReference w:type="first" r:id="rId12"/>
          <w:footerReference w:type="first" r:id="rId13"/>
          <w:type w:val="oddPage"/>
          <w:pgSz w:w="11906" w:h="16838"/>
          <w:pgMar w:top="1418" w:right="1418" w:bottom="1418" w:left="1418" w:header="709" w:footer="709" w:gutter="0"/>
          <w:pgNumType w:fmt="lowerRoman"/>
          <w:cols w:space="708"/>
          <w:titlePg/>
          <w:docGrid w:linePitch="360"/>
        </w:sectPr>
      </w:pPr>
      <w:r>
        <w:rPr>
          <w:rStyle w:val="ReportDateChar"/>
        </w:rPr>
        <w:t>June</w:t>
      </w:r>
      <w:r w:rsidR="000C0A5D">
        <w:rPr>
          <w:rStyle w:val="ReportDateChar"/>
        </w:rPr>
        <w:t xml:space="preserve"> </w:t>
      </w:r>
      <w:r w:rsidR="001F0960">
        <w:rPr>
          <w:rStyle w:val="ReportDateChar"/>
        </w:rPr>
        <w:t>2023</w:t>
      </w:r>
    </w:p>
    <w:p w:rsidR="001464B0" w:rsidP="001464B0" w:rsidRDefault="001464B0" w14:paraId="18693358" w14:textId="39A46D44">
      <w:pPr>
        <w:spacing w:before="0" w:after="160" w:line="259" w:lineRule="auto"/>
      </w:pPr>
      <w:r w:rsidRPr="00661BF0">
        <w:t xml:space="preserve">© Commonwealth of </w:t>
      </w:r>
      <w:r w:rsidRPr="009444B9">
        <w:t>Australia 20</w:t>
      </w:r>
      <w:r w:rsidRPr="009444B9" w:rsidR="009444B9">
        <w:t>22</w:t>
      </w:r>
    </w:p>
    <w:p w:rsidRPr="00086F82" w:rsidR="001464B0" w:rsidP="001464B0" w:rsidRDefault="001464B0" w14:paraId="16E36AE6" w14:textId="191B7BA5">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w:history="1" r:id="rId14">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w:history="1" r:id="rId15">
        <w:r w:rsidRPr="001F1B27">
          <w:rPr>
            <w:rStyle w:val="Hyperlink"/>
          </w:rPr>
          <w:t>http://creativecommons.org/licenses/by/3.0/au/legalcode</w:t>
        </w:r>
      </w:hyperlink>
      <w:r w:rsidRPr="006627B4">
        <w:rPr>
          <w:rStyle w:val="Hyperlink"/>
        </w:rPr>
        <w:t>.</w:t>
      </w:r>
      <w:r w:rsidRPr="00D06A21">
        <w:rPr>
          <w:sz w:val="24"/>
          <w:szCs w:val="24"/>
        </w:rPr>
        <w:t xml:space="preserve"> </w:t>
      </w:r>
    </w:p>
    <w:p w:rsidR="001464B0" w:rsidP="001464B0" w:rsidRDefault="001464B0" w14:paraId="2D88A850" w14:textId="77777777">
      <w:pPr>
        <w:pStyle w:val="ChartGraphic"/>
        <w:jc w:val="left"/>
      </w:pPr>
      <w:r w:rsidRPr="00E56DFB">
        <w:rPr>
          <w:noProof/>
        </w:rPr>
        <w:drawing>
          <wp:inline distT="0" distB="0" distL="0" distR="0" wp14:anchorId="4E3DBD63" wp14:editId="31975C40">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rsidRPr="006627B4" w:rsidR="001464B0" w:rsidP="001464B0" w:rsidRDefault="001464B0" w14:paraId="6EADC5B9" w14:textId="77777777">
      <w:pPr>
        <w:tabs>
          <w:tab w:val="left" w:pos="1650"/>
        </w:tabs>
        <w:spacing w:before="240"/>
      </w:pPr>
      <w:r w:rsidRPr="006627B4">
        <w:t>Use of Treasury material under a</w:t>
      </w:r>
      <w:r w:rsidRPr="00476F09">
        <w:rPr>
          <w:rFonts w:cstheme="minorHAnsi"/>
          <w:sz w:val="24"/>
          <w:szCs w:val="24"/>
        </w:rPr>
        <w:t xml:space="preserve"> </w:t>
      </w:r>
      <w:hyperlink w:history="1" r:id="rId17">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rsidRPr="006469CC" w:rsidR="001464B0" w:rsidP="001464B0" w:rsidRDefault="001464B0" w14:paraId="1B87410C" w14:textId="77777777">
      <w:pPr>
        <w:spacing w:before="240"/>
        <w:rPr>
          <w:b/>
        </w:rPr>
      </w:pPr>
      <w:r w:rsidRPr="006469CC">
        <w:rPr>
          <w:b/>
        </w:rPr>
        <w:t>Treasury material used ‘as supplied’.</w:t>
      </w:r>
    </w:p>
    <w:p w:rsidRPr="00476F09" w:rsidR="001464B0" w:rsidP="001464B0" w:rsidRDefault="001464B0" w14:paraId="2ED72022" w14:textId="77777777">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rsidRPr="00A13A11" w:rsidR="001464B0" w:rsidP="001464B0" w:rsidRDefault="001464B0" w14:paraId="0DF889BA" w14:textId="0A957FA0">
      <w:pPr>
        <w:ind w:firstLine="720"/>
      </w:pPr>
      <w:r w:rsidRPr="002F1BC2">
        <w:rPr>
          <w:i/>
        </w:rPr>
        <w:t xml:space="preserve">Source: The </w:t>
      </w:r>
      <w:r w:rsidRPr="002F1BC2">
        <w:rPr>
          <w:i/>
          <w:iCs/>
        </w:rPr>
        <w:t>Australian Government the Treasury</w:t>
      </w:r>
    </w:p>
    <w:p w:rsidRPr="006627B4" w:rsidR="001464B0" w:rsidP="001464B0" w:rsidRDefault="001464B0" w14:paraId="12C86217" w14:textId="77777777">
      <w:pPr>
        <w:spacing w:before="240"/>
      </w:pPr>
      <w:r w:rsidRPr="00CC63CC">
        <w:rPr>
          <w:b/>
        </w:rPr>
        <w:t>Derivative</w:t>
      </w:r>
      <w:r w:rsidRPr="006627B4">
        <w:t xml:space="preserve"> </w:t>
      </w:r>
      <w:r w:rsidRPr="00CC63CC">
        <w:rPr>
          <w:b/>
        </w:rPr>
        <w:t>material</w:t>
      </w:r>
    </w:p>
    <w:p w:rsidRPr="006627B4" w:rsidR="001464B0" w:rsidP="001464B0" w:rsidRDefault="001464B0" w14:paraId="2C67C4B4" w14:textId="77777777">
      <w:r w:rsidRPr="006627B4">
        <w:t xml:space="preserve">If you have modified or transformed Treasury material, or derived new material from those of the Treasury in any way, then Treasury prefers the following attribution: </w:t>
      </w:r>
    </w:p>
    <w:p w:rsidRPr="006627B4" w:rsidR="001464B0" w:rsidP="001464B0" w:rsidRDefault="001464B0" w14:paraId="23F1F7A6" w14:textId="1C3A2764">
      <w:pPr>
        <w:ind w:firstLine="720"/>
      </w:pPr>
      <w:r w:rsidRPr="002F1BC2">
        <w:rPr>
          <w:i/>
        </w:rPr>
        <w:t>Based on The Australian Government the Treasury data</w:t>
      </w:r>
      <w:r>
        <w:t>.</w:t>
      </w:r>
    </w:p>
    <w:p w:rsidRPr="006627B4" w:rsidR="001464B0" w:rsidP="001464B0" w:rsidRDefault="001464B0" w14:paraId="14B64F02" w14:textId="77777777">
      <w:pPr>
        <w:spacing w:before="240"/>
        <w:rPr>
          <w:b/>
        </w:rPr>
      </w:pPr>
      <w:r w:rsidRPr="006627B4">
        <w:rPr>
          <w:b/>
        </w:rPr>
        <w:t>Use of the Coat of Arms</w:t>
      </w:r>
    </w:p>
    <w:p w:rsidRPr="005C503A" w:rsidR="001464B0" w:rsidP="001464B0" w:rsidRDefault="001464B0" w14:paraId="3101BFF1" w14:textId="77777777">
      <w:pPr>
        <w:spacing w:before="240"/>
      </w:pPr>
      <w:r w:rsidRPr="005C503A">
        <w:t xml:space="preserve">The terms under which the Coat of Arms can be used are set out on the Department of the Prime Minister and Cabinet website (see </w:t>
      </w:r>
      <w:hyperlink w:history="1" r:id="rId18">
        <w:r>
          <w:rPr>
            <w:rStyle w:val="Hyperlink"/>
          </w:rPr>
          <w:t>http://www.pmc.gov.au/government/commonwealth-coat-arms</w:t>
        </w:r>
      </w:hyperlink>
      <w:r w:rsidRPr="005C503A">
        <w:t>).</w:t>
      </w:r>
    </w:p>
    <w:p w:rsidRPr="006627B4" w:rsidR="001464B0" w:rsidP="001464B0" w:rsidRDefault="001464B0" w14:paraId="2B2D4D94" w14:textId="77777777">
      <w:pPr>
        <w:spacing w:before="240"/>
        <w:rPr>
          <w:b/>
        </w:rPr>
      </w:pPr>
      <w:r>
        <w:rPr>
          <w:b/>
        </w:rPr>
        <w:t>Other u</w:t>
      </w:r>
      <w:r w:rsidRPr="006627B4">
        <w:rPr>
          <w:b/>
        </w:rPr>
        <w:t>ses</w:t>
      </w:r>
    </w:p>
    <w:p w:rsidRPr="006627B4" w:rsidR="001464B0" w:rsidP="001464B0" w:rsidRDefault="001464B0" w14:paraId="0405F61E" w14:textId="77777777">
      <w:r>
        <w:t>E</w:t>
      </w:r>
      <w:r w:rsidRPr="006627B4">
        <w:t>nquiries regarding this licence and any other use of this document are welcome at:</w:t>
      </w:r>
    </w:p>
    <w:p w:rsidRPr="002F1BC2" w:rsidR="001464B0" w:rsidP="001464B0" w:rsidRDefault="001464B0" w14:paraId="73BF9E15" w14:textId="77777777">
      <w:pPr>
        <w:ind w:left="720"/>
        <w:rPr>
          <w:rStyle w:val="Hyperlink"/>
        </w:rPr>
      </w:pPr>
      <w:r w:rsidRPr="006627B4">
        <w:t>Manager</w:t>
      </w:r>
      <w:r>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w:history="1" r:id="rId19">
        <w:r w:rsidRPr="00B31CFB">
          <w:rPr>
            <w:rStyle w:val="Hyperlink"/>
          </w:rPr>
          <w:t>medialiaison@treasury.gov.au</w:t>
        </w:r>
      </w:hyperlink>
    </w:p>
    <w:p w:rsidR="000029ED" w:rsidP="000029ED" w:rsidRDefault="000029ED" w14:paraId="1A102B7E" w14:textId="77777777">
      <w:pPr>
        <w:rPr>
          <w:rStyle w:val="ReportDateChar"/>
        </w:rPr>
        <w:sectPr w:rsidR="000029ED" w:rsidSect="001B2A30">
          <w:headerReference w:type="first" r:id="rId20"/>
          <w:footerReference w:type="first" r:id="rId21"/>
          <w:pgSz w:w="11906" w:h="16838"/>
          <w:pgMar w:top="1418" w:right="1418" w:bottom="1418" w:left="1418" w:header="709" w:footer="709" w:gutter="0"/>
          <w:pgNumType w:fmt="lowerRoman"/>
          <w:cols w:space="708"/>
          <w:titlePg/>
          <w:docGrid w:linePitch="360"/>
        </w:sectPr>
      </w:pPr>
    </w:p>
    <w:bookmarkStart w:name="_Toc138754489" w:displacedByCustomXml="next" w:id="0"/>
    <w:sdt>
      <w:sdtPr>
        <w:rPr>
          <w:rFonts w:asciiTheme="minorHAnsi" w:hAnsiTheme="minorHAnsi" w:eastAsiaTheme="minorHAnsi" w:cstheme="minorBidi"/>
          <w:b w:val="0"/>
          <w:bCs/>
          <w:color w:val="auto"/>
          <w:kern w:val="0"/>
          <w:sz w:val="22"/>
          <w:szCs w:val="22"/>
          <w:lang w:eastAsia="en-US"/>
        </w:rPr>
        <w:id w:val="-863443742"/>
        <w:docPartObj>
          <w:docPartGallery w:val="Table of Contents"/>
          <w:docPartUnique/>
        </w:docPartObj>
      </w:sdtPr>
      <w:sdtEndPr>
        <w:rPr>
          <w:rFonts w:ascii="Calibri Light" w:hAnsi="Calibri Light" w:eastAsia="Times New Roman" w:cs="Times New Roman"/>
          <w:bCs w:val="0"/>
          <w:noProof/>
          <w:szCs w:val="20"/>
          <w:lang w:eastAsia="en-AU"/>
        </w:rPr>
      </w:sdtEndPr>
      <w:sdtContent>
        <w:p w:rsidR="00E551D2" w:rsidP="00BA38FA" w:rsidRDefault="00E551D2" w14:paraId="796141F5" w14:textId="77777777">
          <w:pPr>
            <w:pStyle w:val="Heading1"/>
          </w:pPr>
          <w:r>
            <w:t>Contents</w:t>
          </w:r>
          <w:bookmarkEnd w:id="0"/>
        </w:p>
        <w:p w:rsidR="00840C6B" w:rsidRDefault="00E551D2" w14:paraId="19EDF106" w14:textId="25C94E45">
          <w:pPr>
            <w:pStyle w:val="TOC1"/>
            <w:rPr>
              <w:rFonts w:asciiTheme="minorHAnsi" w:hAnsiTheme="minorHAnsi" w:eastAsiaTheme="minorEastAsia" w:cstheme="minorBidi"/>
              <w:b w:val="0"/>
              <w:color w:val="auto"/>
            </w:rPr>
          </w:pPr>
          <w:r>
            <w:rPr>
              <w:b w:val="0"/>
              <w:noProof w:val="0"/>
            </w:rPr>
            <w:fldChar w:fldCharType="begin"/>
          </w:r>
          <w:r>
            <w:instrText xml:space="preserve"> TOC \o "1-3" \h \z \u </w:instrText>
          </w:r>
          <w:r>
            <w:rPr>
              <w:b w:val="0"/>
              <w:noProof w:val="0"/>
            </w:rPr>
            <w:fldChar w:fldCharType="separate"/>
          </w:r>
          <w:hyperlink w:history="1" w:anchor="_Toc138754489">
            <w:r w:rsidRPr="00D27873" w:rsidR="00840C6B">
              <w:rPr>
                <w:rStyle w:val="Hyperlink"/>
              </w:rPr>
              <w:t>Contents</w:t>
            </w:r>
            <w:r w:rsidR="00840C6B">
              <w:rPr>
                <w:webHidden/>
              </w:rPr>
              <w:tab/>
            </w:r>
            <w:r w:rsidR="00840C6B">
              <w:rPr>
                <w:webHidden/>
              </w:rPr>
              <w:fldChar w:fldCharType="begin"/>
            </w:r>
            <w:r w:rsidR="00840C6B">
              <w:rPr>
                <w:webHidden/>
              </w:rPr>
              <w:instrText xml:space="preserve"> PAGEREF _Toc138754489 \h </w:instrText>
            </w:r>
            <w:r w:rsidR="00840C6B">
              <w:rPr>
                <w:webHidden/>
              </w:rPr>
            </w:r>
            <w:r w:rsidR="00840C6B">
              <w:rPr>
                <w:webHidden/>
              </w:rPr>
              <w:fldChar w:fldCharType="separate"/>
            </w:r>
            <w:r w:rsidR="00840C6B">
              <w:rPr>
                <w:webHidden/>
              </w:rPr>
              <w:t>iii</w:t>
            </w:r>
            <w:r w:rsidR="00840C6B">
              <w:rPr>
                <w:webHidden/>
              </w:rPr>
              <w:fldChar w:fldCharType="end"/>
            </w:r>
          </w:hyperlink>
        </w:p>
        <w:p w:rsidR="00840C6B" w:rsidRDefault="00AA338C" w14:paraId="584432B8" w14:textId="26C347FD">
          <w:pPr>
            <w:pStyle w:val="TOC1"/>
            <w:rPr>
              <w:rFonts w:asciiTheme="minorHAnsi" w:hAnsiTheme="minorHAnsi" w:eastAsiaTheme="minorEastAsia" w:cstheme="minorBidi"/>
              <w:b w:val="0"/>
              <w:color w:val="auto"/>
            </w:rPr>
          </w:pPr>
          <w:hyperlink w:history="1" w:anchor="_Toc138754490">
            <w:r w:rsidRPr="00D27873" w:rsidR="00840C6B">
              <w:rPr>
                <w:rStyle w:val="Hyperlink"/>
              </w:rPr>
              <w:t>Introduction / Executive Summary</w:t>
            </w:r>
            <w:r w:rsidR="00840C6B">
              <w:rPr>
                <w:webHidden/>
              </w:rPr>
              <w:tab/>
            </w:r>
            <w:r w:rsidR="00840C6B">
              <w:rPr>
                <w:webHidden/>
              </w:rPr>
              <w:fldChar w:fldCharType="begin"/>
            </w:r>
            <w:r w:rsidR="00840C6B">
              <w:rPr>
                <w:webHidden/>
              </w:rPr>
              <w:instrText xml:space="preserve"> PAGEREF _Toc138754490 \h </w:instrText>
            </w:r>
            <w:r w:rsidR="00840C6B">
              <w:rPr>
                <w:webHidden/>
              </w:rPr>
            </w:r>
            <w:r w:rsidR="00840C6B">
              <w:rPr>
                <w:webHidden/>
              </w:rPr>
              <w:fldChar w:fldCharType="separate"/>
            </w:r>
            <w:r w:rsidR="00840C6B">
              <w:rPr>
                <w:webHidden/>
              </w:rPr>
              <w:t>1</w:t>
            </w:r>
            <w:r w:rsidR="00840C6B">
              <w:rPr>
                <w:webHidden/>
              </w:rPr>
              <w:fldChar w:fldCharType="end"/>
            </w:r>
          </w:hyperlink>
        </w:p>
        <w:p w:rsidR="00840C6B" w:rsidRDefault="00AA338C" w14:paraId="4B5A97E2" w14:textId="73CB38DD">
          <w:pPr>
            <w:pStyle w:val="TOC1"/>
            <w:rPr>
              <w:rFonts w:asciiTheme="minorHAnsi" w:hAnsiTheme="minorHAnsi" w:eastAsiaTheme="minorEastAsia" w:cstheme="minorBidi"/>
              <w:b w:val="0"/>
              <w:color w:val="auto"/>
            </w:rPr>
          </w:pPr>
          <w:hyperlink w:history="1" w:anchor="_Toc138754491">
            <w:r w:rsidRPr="00D27873" w:rsidR="00840C6B">
              <w:rPr>
                <w:rStyle w:val="Hyperlink"/>
              </w:rPr>
              <w:t>The problem</w:t>
            </w:r>
            <w:r w:rsidR="00840C6B">
              <w:rPr>
                <w:webHidden/>
              </w:rPr>
              <w:tab/>
            </w:r>
            <w:r w:rsidR="00840C6B">
              <w:rPr>
                <w:webHidden/>
              </w:rPr>
              <w:fldChar w:fldCharType="begin"/>
            </w:r>
            <w:r w:rsidR="00840C6B">
              <w:rPr>
                <w:webHidden/>
              </w:rPr>
              <w:instrText xml:space="preserve"> PAGEREF _Toc138754491 \h </w:instrText>
            </w:r>
            <w:r w:rsidR="00840C6B">
              <w:rPr>
                <w:webHidden/>
              </w:rPr>
            </w:r>
            <w:r w:rsidR="00840C6B">
              <w:rPr>
                <w:webHidden/>
              </w:rPr>
              <w:fldChar w:fldCharType="separate"/>
            </w:r>
            <w:r w:rsidR="00840C6B">
              <w:rPr>
                <w:webHidden/>
              </w:rPr>
              <w:t>2</w:t>
            </w:r>
            <w:r w:rsidR="00840C6B">
              <w:rPr>
                <w:webHidden/>
              </w:rPr>
              <w:fldChar w:fldCharType="end"/>
            </w:r>
          </w:hyperlink>
        </w:p>
        <w:p w:rsidR="00840C6B" w:rsidRDefault="00AA338C" w14:paraId="6D81872D" w14:textId="0D2EFC44">
          <w:pPr>
            <w:pStyle w:val="TOC1"/>
            <w:rPr>
              <w:rFonts w:asciiTheme="minorHAnsi" w:hAnsiTheme="minorHAnsi" w:eastAsiaTheme="minorEastAsia" w:cstheme="minorBidi"/>
              <w:b w:val="0"/>
              <w:color w:val="auto"/>
            </w:rPr>
          </w:pPr>
          <w:hyperlink w:history="1" w:anchor="_Toc138754492">
            <w:r w:rsidRPr="00D27873" w:rsidR="00840C6B">
              <w:rPr>
                <w:rStyle w:val="Hyperlink"/>
              </w:rPr>
              <w:t>Case for government action/objective of reform</w:t>
            </w:r>
            <w:r w:rsidR="00840C6B">
              <w:rPr>
                <w:webHidden/>
              </w:rPr>
              <w:tab/>
            </w:r>
            <w:r w:rsidR="00840C6B">
              <w:rPr>
                <w:webHidden/>
              </w:rPr>
              <w:fldChar w:fldCharType="begin"/>
            </w:r>
            <w:r w:rsidR="00840C6B">
              <w:rPr>
                <w:webHidden/>
              </w:rPr>
              <w:instrText xml:space="preserve"> PAGEREF _Toc138754492 \h </w:instrText>
            </w:r>
            <w:r w:rsidR="00840C6B">
              <w:rPr>
                <w:webHidden/>
              </w:rPr>
            </w:r>
            <w:r w:rsidR="00840C6B">
              <w:rPr>
                <w:webHidden/>
              </w:rPr>
              <w:fldChar w:fldCharType="separate"/>
            </w:r>
            <w:r w:rsidR="00840C6B">
              <w:rPr>
                <w:webHidden/>
              </w:rPr>
              <w:t>4</w:t>
            </w:r>
            <w:r w:rsidR="00840C6B">
              <w:rPr>
                <w:webHidden/>
              </w:rPr>
              <w:fldChar w:fldCharType="end"/>
            </w:r>
          </w:hyperlink>
        </w:p>
        <w:p w:rsidR="00840C6B" w:rsidRDefault="00AA338C" w14:paraId="1D2BAD87" w14:textId="439F08C7">
          <w:pPr>
            <w:pStyle w:val="TOC1"/>
            <w:rPr>
              <w:rFonts w:asciiTheme="minorHAnsi" w:hAnsiTheme="minorHAnsi" w:eastAsiaTheme="minorEastAsia" w:cstheme="minorBidi"/>
              <w:b w:val="0"/>
              <w:color w:val="auto"/>
            </w:rPr>
          </w:pPr>
          <w:hyperlink w:history="1" w:anchor="_Toc138754493">
            <w:r w:rsidRPr="00D27873" w:rsidR="00840C6B">
              <w:rPr>
                <w:rStyle w:val="Hyperlink"/>
              </w:rPr>
              <w:t>Policy options</w:t>
            </w:r>
            <w:r w:rsidR="00840C6B">
              <w:rPr>
                <w:webHidden/>
              </w:rPr>
              <w:tab/>
            </w:r>
            <w:r w:rsidR="00840C6B">
              <w:rPr>
                <w:webHidden/>
              </w:rPr>
              <w:fldChar w:fldCharType="begin"/>
            </w:r>
            <w:r w:rsidR="00840C6B">
              <w:rPr>
                <w:webHidden/>
              </w:rPr>
              <w:instrText xml:space="preserve"> PAGEREF _Toc138754493 \h </w:instrText>
            </w:r>
            <w:r w:rsidR="00840C6B">
              <w:rPr>
                <w:webHidden/>
              </w:rPr>
            </w:r>
            <w:r w:rsidR="00840C6B">
              <w:rPr>
                <w:webHidden/>
              </w:rPr>
              <w:fldChar w:fldCharType="separate"/>
            </w:r>
            <w:r w:rsidR="00840C6B">
              <w:rPr>
                <w:webHidden/>
              </w:rPr>
              <w:t>4</w:t>
            </w:r>
            <w:r w:rsidR="00840C6B">
              <w:rPr>
                <w:webHidden/>
              </w:rPr>
              <w:fldChar w:fldCharType="end"/>
            </w:r>
          </w:hyperlink>
        </w:p>
        <w:p w:rsidR="00840C6B" w:rsidRDefault="00AA338C" w14:paraId="2FACE857" w14:textId="404B394F">
          <w:pPr>
            <w:pStyle w:val="TOC2"/>
            <w:rPr>
              <w:rFonts w:asciiTheme="minorHAnsi" w:hAnsiTheme="minorHAnsi" w:eastAsiaTheme="minorEastAsia" w:cstheme="minorBidi"/>
              <w:color w:val="auto"/>
              <w:szCs w:val="22"/>
            </w:rPr>
          </w:pPr>
          <w:hyperlink w:history="1" w:anchor="_Toc138754494">
            <w:r w:rsidRPr="00D27873" w:rsidR="00840C6B">
              <w:rPr>
                <w:rStyle w:val="Hyperlink"/>
              </w:rPr>
              <w:t>Option 1: Maintain existing arrangements</w:t>
            </w:r>
            <w:r w:rsidR="00840C6B">
              <w:rPr>
                <w:webHidden/>
              </w:rPr>
              <w:tab/>
            </w:r>
            <w:r w:rsidR="00840C6B">
              <w:rPr>
                <w:webHidden/>
              </w:rPr>
              <w:fldChar w:fldCharType="begin"/>
            </w:r>
            <w:r w:rsidR="00840C6B">
              <w:rPr>
                <w:webHidden/>
              </w:rPr>
              <w:instrText xml:space="preserve"> PAGEREF _Toc138754494 \h </w:instrText>
            </w:r>
            <w:r w:rsidR="00840C6B">
              <w:rPr>
                <w:webHidden/>
              </w:rPr>
            </w:r>
            <w:r w:rsidR="00840C6B">
              <w:rPr>
                <w:webHidden/>
              </w:rPr>
              <w:fldChar w:fldCharType="separate"/>
            </w:r>
            <w:r w:rsidR="00840C6B">
              <w:rPr>
                <w:webHidden/>
              </w:rPr>
              <w:t>4</w:t>
            </w:r>
            <w:r w:rsidR="00840C6B">
              <w:rPr>
                <w:webHidden/>
              </w:rPr>
              <w:fldChar w:fldCharType="end"/>
            </w:r>
          </w:hyperlink>
        </w:p>
        <w:p w:rsidR="00840C6B" w:rsidRDefault="00AA338C" w14:paraId="175A1259" w14:textId="5461E3BB">
          <w:pPr>
            <w:pStyle w:val="TOC2"/>
            <w:rPr>
              <w:rFonts w:asciiTheme="minorHAnsi" w:hAnsiTheme="minorHAnsi" w:eastAsiaTheme="minorEastAsia" w:cstheme="minorBidi"/>
              <w:color w:val="auto"/>
              <w:szCs w:val="22"/>
            </w:rPr>
          </w:pPr>
          <w:hyperlink w:history="1" w:anchor="_Toc138754495">
            <w:r w:rsidRPr="00D27873" w:rsidR="00840C6B">
              <w:rPr>
                <w:rStyle w:val="Hyperlink"/>
              </w:rPr>
              <w:t>Option 2: Implementation of the Government’s election commitment to enhance tax transparency reporting</w:t>
            </w:r>
            <w:r w:rsidR="00840C6B">
              <w:rPr>
                <w:webHidden/>
              </w:rPr>
              <w:tab/>
            </w:r>
            <w:r w:rsidR="00840C6B">
              <w:rPr>
                <w:webHidden/>
              </w:rPr>
              <w:fldChar w:fldCharType="begin"/>
            </w:r>
            <w:r w:rsidR="00840C6B">
              <w:rPr>
                <w:webHidden/>
              </w:rPr>
              <w:instrText xml:space="preserve"> PAGEREF _Toc138754495 \h </w:instrText>
            </w:r>
            <w:r w:rsidR="00840C6B">
              <w:rPr>
                <w:webHidden/>
              </w:rPr>
            </w:r>
            <w:r w:rsidR="00840C6B">
              <w:rPr>
                <w:webHidden/>
              </w:rPr>
              <w:fldChar w:fldCharType="separate"/>
            </w:r>
            <w:r w:rsidR="00840C6B">
              <w:rPr>
                <w:webHidden/>
              </w:rPr>
              <w:t>5</w:t>
            </w:r>
            <w:r w:rsidR="00840C6B">
              <w:rPr>
                <w:webHidden/>
              </w:rPr>
              <w:fldChar w:fldCharType="end"/>
            </w:r>
          </w:hyperlink>
        </w:p>
        <w:p w:rsidR="00840C6B" w:rsidRDefault="00AA338C" w14:paraId="757E9168" w14:textId="436FB9AD">
          <w:pPr>
            <w:pStyle w:val="TOC1"/>
            <w:rPr>
              <w:rFonts w:asciiTheme="minorHAnsi" w:hAnsiTheme="minorHAnsi" w:eastAsiaTheme="minorEastAsia" w:cstheme="minorBidi"/>
              <w:b w:val="0"/>
              <w:color w:val="auto"/>
            </w:rPr>
          </w:pPr>
          <w:hyperlink w:history="1" w:anchor="_Toc138754496">
            <w:r w:rsidRPr="00D27873" w:rsidR="00840C6B">
              <w:rPr>
                <w:rStyle w:val="Hyperlink"/>
              </w:rPr>
              <w:t>Cost benefit analysis / Impact analysis</w:t>
            </w:r>
            <w:r w:rsidR="00840C6B">
              <w:rPr>
                <w:webHidden/>
              </w:rPr>
              <w:tab/>
            </w:r>
            <w:r w:rsidR="00840C6B">
              <w:rPr>
                <w:webHidden/>
              </w:rPr>
              <w:fldChar w:fldCharType="begin"/>
            </w:r>
            <w:r w:rsidR="00840C6B">
              <w:rPr>
                <w:webHidden/>
              </w:rPr>
              <w:instrText xml:space="preserve"> PAGEREF _Toc138754496 \h </w:instrText>
            </w:r>
            <w:r w:rsidR="00840C6B">
              <w:rPr>
                <w:webHidden/>
              </w:rPr>
            </w:r>
            <w:r w:rsidR="00840C6B">
              <w:rPr>
                <w:webHidden/>
              </w:rPr>
              <w:fldChar w:fldCharType="separate"/>
            </w:r>
            <w:r w:rsidR="00840C6B">
              <w:rPr>
                <w:webHidden/>
              </w:rPr>
              <w:t>5</w:t>
            </w:r>
            <w:r w:rsidR="00840C6B">
              <w:rPr>
                <w:webHidden/>
              </w:rPr>
              <w:fldChar w:fldCharType="end"/>
            </w:r>
          </w:hyperlink>
        </w:p>
        <w:p w:rsidR="00840C6B" w:rsidRDefault="00AA338C" w14:paraId="139D4203" w14:textId="27929527">
          <w:pPr>
            <w:pStyle w:val="TOC3"/>
            <w:rPr>
              <w:rFonts w:asciiTheme="minorHAnsi" w:hAnsiTheme="minorHAnsi" w:eastAsiaTheme="minorEastAsia" w:cstheme="minorBidi"/>
              <w:szCs w:val="22"/>
            </w:rPr>
          </w:pPr>
          <w:hyperlink w:history="1" w:anchor="_Toc138754497">
            <w:r w:rsidRPr="00D27873" w:rsidR="00840C6B">
              <w:rPr>
                <w:rStyle w:val="Hyperlink"/>
              </w:rPr>
              <w:t>Option 1 – status quo</w:t>
            </w:r>
            <w:r w:rsidR="00840C6B">
              <w:rPr>
                <w:webHidden/>
              </w:rPr>
              <w:tab/>
            </w:r>
            <w:r w:rsidR="00840C6B">
              <w:rPr>
                <w:webHidden/>
              </w:rPr>
              <w:fldChar w:fldCharType="begin"/>
            </w:r>
            <w:r w:rsidR="00840C6B">
              <w:rPr>
                <w:webHidden/>
              </w:rPr>
              <w:instrText xml:space="preserve"> PAGEREF _Toc138754497 \h </w:instrText>
            </w:r>
            <w:r w:rsidR="00840C6B">
              <w:rPr>
                <w:webHidden/>
              </w:rPr>
            </w:r>
            <w:r w:rsidR="00840C6B">
              <w:rPr>
                <w:webHidden/>
              </w:rPr>
              <w:fldChar w:fldCharType="separate"/>
            </w:r>
            <w:r w:rsidR="00840C6B">
              <w:rPr>
                <w:webHidden/>
              </w:rPr>
              <w:t>5</w:t>
            </w:r>
            <w:r w:rsidR="00840C6B">
              <w:rPr>
                <w:webHidden/>
              </w:rPr>
              <w:fldChar w:fldCharType="end"/>
            </w:r>
          </w:hyperlink>
        </w:p>
        <w:p w:rsidR="00840C6B" w:rsidRDefault="00AA338C" w14:paraId="12FA310E" w14:textId="173C94B3">
          <w:pPr>
            <w:pStyle w:val="TOC3"/>
            <w:rPr>
              <w:rFonts w:asciiTheme="minorHAnsi" w:hAnsiTheme="minorHAnsi" w:eastAsiaTheme="minorEastAsia" w:cstheme="minorBidi"/>
              <w:szCs w:val="22"/>
            </w:rPr>
          </w:pPr>
          <w:hyperlink w:history="1" w:anchor="_Toc138754498">
            <w:r w:rsidRPr="00D27873" w:rsidR="00840C6B">
              <w:rPr>
                <w:rStyle w:val="Hyperlink"/>
              </w:rPr>
              <w:t>Option 2 – implementation of election commitment</w:t>
            </w:r>
            <w:r w:rsidR="00840C6B">
              <w:rPr>
                <w:webHidden/>
              </w:rPr>
              <w:tab/>
            </w:r>
            <w:r w:rsidR="00840C6B">
              <w:rPr>
                <w:webHidden/>
              </w:rPr>
              <w:fldChar w:fldCharType="begin"/>
            </w:r>
            <w:r w:rsidR="00840C6B">
              <w:rPr>
                <w:webHidden/>
              </w:rPr>
              <w:instrText xml:space="preserve"> PAGEREF _Toc138754498 \h </w:instrText>
            </w:r>
            <w:r w:rsidR="00840C6B">
              <w:rPr>
                <w:webHidden/>
              </w:rPr>
            </w:r>
            <w:r w:rsidR="00840C6B">
              <w:rPr>
                <w:webHidden/>
              </w:rPr>
              <w:fldChar w:fldCharType="separate"/>
            </w:r>
            <w:r w:rsidR="00840C6B">
              <w:rPr>
                <w:webHidden/>
              </w:rPr>
              <w:t>6</w:t>
            </w:r>
            <w:r w:rsidR="00840C6B">
              <w:rPr>
                <w:webHidden/>
              </w:rPr>
              <w:fldChar w:fldCharType="end"/>
            </w:r>
          </w:hyperlink>
        </w:p>
        <w:p w:rsidR="00840C6B" w:rsidRDefault="00AA338C" w14:paraId="23388FE6" w14:textId="30D39F53">
          <w:pPr>
            <w:pStyle w:val="TOC1"/>
            <w:rPr>
              <w:rFonts w:asciiTheme="minorHAnsi" w:hAnsiTheme="minorHAnsi" w:eastAsiaTheme="minorEastAsia" w:cstheme="minorBidi"/>
              <w:b w:val="0"/>
              <w:color w:val="auto"/>
            </w:rPr>
          </w:pPr>
          <w:hyperlink w:history="1" w:anchor="_Toc138754499">
            <w:r w:rsidRPr="00D27873" w:rsidR="00840C6B">
              <w:rPr>
                <w:rStyle w:val="Hyperlink"/>
              </w:rPr>
              <w:t>Consultation Plan</w:t>
            </w:r>
            <w:r w:rsidR="00840C6B">
              <w:rPr>
                <w:webHidden/>
              </w:rPr>
              <w:tab/>
            </w:r>
            <w:r w:rsidR="00840C6B">
              <w:rPr>
                <w:webHidden/>
              </w:rPr>
              <w:fldChar w:fldCharType="begin"/>
            </w:r>
            <w:r w:rsidR="00840C6B">
              <w:rPr>
                <w:webHidden/>
              </w:rPr>
              <w:instrText xml:space="preserve"> PAGEREF _Toc138754499 \h </w:instrText>
            </w:r>
            <w:r w:rsidR="00840C6B">
              <w:rPr>
                <w:webHidden/>
              </w:rPr>
            </w:r>
            <w:r w:rsidR="00840C6B">
              <w:rPr>
                <w:webHidden/>
              </w:rPr>
              <w:fldChar w:fldCharType="separate"/>
            </w:r>
            <w:r w:rsidR="00840C6B">
              <w:rPr>
                <w:webHidden/>
              </w:rPr>
              <w:t>9</w:t>
            </w:r>
            <w:r w:rsidR="00840C6B">
              <w:rPr>
                <w:webHidden/>
              </w:rPr>
              <w:fldChar w:fldCharType="end"/>
            </w:r>
          </w:hyperlink>
        </w:p>
        <w:p w:rsidR="00840C6B" w:rsidRDefault="00AA338C" w14:paraId="4BF52BAB" w14:textId="4B5150FC">
          <w:pPr>
            <w:pStyle w:val="TOC3"/>
            <w:rPr>
              <w:rFonts w:asciiTheme="minorHAnsi" w:hAnsiTheme="minorHAnsi" w:eastAsiaTheme="minorEastAsia" w:cstheme="minorBidi"/>
              <w:szCs w:val="22"/>
            </w:rPr>
          </w:pPr>
          <w:hyperlink w:history="1" w:anchor="_Toc138754500">
            <w:r w:rsidRPr="00D27873" w:rsidR="00840C6B">
              <w:rPr>
                <w:rStyle w:val="Hyperlink"/>
              </w:rPr>
              <w:t>Consultation: discussion paper (August 2022)</w:t>
            </w:r>
            <w:r w:rsidR="00840C6B">
              <w:rPr>
                <w:webHidden/>
              </w:rPr>
              <w:tab/>
            </w:r>
            <w:r w:rsidR="00840C6B">
              <w:rPr>
                <w:webHidden/>
              </w:rPr>
              <w:fldChar w:fldCharType="begin"/>
            </w:r>
            <w:r w:rsidR="00840C6B">
              <w:rPr>
                <w:webHidden/>
              </w:rPr>
              <w:instrText xml:space="preserve"> PAGEREF _Toc138754500 \h </w:instrText>
            </w:r>
            <w:r w:rsidR="00840C6B">
              <w:rPr>
                <w:webHidden/>
              </w:rPr>
            </w:r>
            <w:r w:rsidR="00840C6B">
              <w:rPr>
                <w:webHidden/>
              </w:rPr>
              <w:fldChar w:fldCharType="separate"/>
            </w:r>
            <w:r w:rsidR="00840C6B">
              <w:rPr>
                <w:webHidden/>
              </w:rPr>
              <w:t>9</w:t>
            </w:r>
            <w:r w:rsidR="00840C6B">
              <w:rPr>
                <w:webHidden/>
              </w:rPr>
              <w:fldChar w:fldCharType="end"/>
            </w:r>
          </w:hyperlink>
        </w:p>
        <w:p w:rsidR="00840C6B" w:rsidRDefault="00AA338C" w14:paraId="1799130B" w14:textId="78DB955A">
          <w:pPr>
            <w:pStyle w:val="TOC2"/>
            <w:rPr>
              <w:rFonts w:asciiTheme="minorHAnsi" w:hAnsiTheme="minorHAnsi" w:eastAsiaTheme="minorEastAsia" w:cstheme="minorBidi"/>
              <w:color w:val="auto"/>
              <w:szCs w:val="22"/>
            </w:rPr>
          </w:pPr>
          <w:hyperlink w:history="1" w:anchor="_Toc138754501">
            <w:r w:rsidRPr="00D27873" w:rsidR="00840C6B">
              <w:rPr>
                <w:rStyle w:val="Hyperlink"/>
              </w:rPr>
              <w:t>Consultation summary</w:t>
            </w:r>
            <w:r w:rsidR="00840C6B">
              <w:rPr>
                <w:webHidden/>
              </w:rPr>
              <w:tab/>
            </w:r>
            <w:r w:rsidR="00840C6B">
              <w:rPr>
                <w:webHidden/>
              </w:rPr>
              <w:fldChar w:fldCharType="begin"/>
            </w:r>
            <w:r w:rsidR="00840C6B">
              <w:rPr>
                <w:webHidden/>
              </w:rPr>
              <w:instrText xml:space="preserve"> PAGEREF _Toc138754501 \h </w:instrText>
            </w:r>
            <w:r w:rsidR="00840C6B">
              <w:rPr>
                <w:webHidden/>
              </w:rPr>
            </w:r>
            <w:r w:rsidR="00840C6B">
              <w:rPr>
                <w:webHidden/>
              </w:rPr>
              <w:fldChar w:fldCharType="separate"/>
            </w:r>
            <w:r w:rsidR="00840C6B">
              <w:rPr>
                <w:webHidden/>
              </w:rPr>
              <w:t>9</w:t>
            </w:r>
            <w:r w:rsidR="00840C6B">
              <w:rPr>
                <w:webHidden/>
              </w:rPr>
              <w:fldChar w:fldCharType="end"/>
            </w:r>
          </w:hyperlink>
        </w:p>
        <w:p w:rsidR="00840C6B" w:rsidRDefault="00AA338C" w14:paraId="667C5141" w14:textId="3699B708">
          <w:pPr>
            <w:pStyle w:val="TOC3"/>
            <w:rPr>
              <w:rFonts w:asciiTheme="minorHAnsi" w:hAnsiTheme="minorHAnsi" w:eastAsiaTheme="minorEastAsia" w:cstheme="minorBidi"/>
              <w:szCs w:val="22"/>
            </w:rPr>
          </w:pPr>
          <w:hyperlink w:history="1" w:anchor="_Toc138754502">
            <w:r w:rsidRPr="00D27873" w:rsidR="00840C6B">
              <w:rPr>
                <w:rStyle w:val="Hyperlink"/>
              </w:rPr>
              <w:t>Consultation: Exposure Draft legislation</w:t>
            </w:r>
            <w:r w:rsidR="00840C6B">
              <w:rPr>
                <w:webHidden/>
              </w:rPr>
              <w:tab/>
            </w:r>
            <w:r w:rsidR="00840C6B">
              <w:rPr>
                <w:webHidden/>
              </w:rPr>
              <w:fldChar w:fldCharType="begin"/>
            </w:r>
            <w:r w:rsidR="00840C6B">
              <w:rPr>
                <w:webHidden/>
              </w:rPr>
              <w:instrText xml:space="preserve"> PAGEREF _Toc138754502 \h </w:instrText>
            </w:r>
            <w:r w:rsidR="00840C6B">
              <w:rPr>
                <w:webHidden/>
              </w:rPr>
            </w:r>
            <w:r w:rsidR="00840C6B">
              <w:rPr>
                <w:webHidden/>
              </w:rPr>
              <w:fldChar w:fldCharType="separate"/>
            </w:r>
            <w:r w:rsidR="00840C6B">
              <w:rPr>
                <w:webHidden/>
              </w:rPr>
              <w:t>10</w:t>
            </w:r>
            <w:r w:rsidR="00840C6B">
              <w:rPr>
                <w:webHidden/>
              </w:rPr>
              <w:fldChar w:fldCharType="end"/>
            </w:r>
          </w:hyperlink>
        </w:p>
        <w:p w:rsidR="00840C6B" w:rsidRDefault="00AA338C" w14:paraId="4A4616A9" w14:textId="5E421D05">
          <w:pPr>
            <w:pStyle w:val="TOC1"/>
            <w:rPr>
              <w:rFonts w:asciiTheme="minorHAnsi" w:hAnsiTheme="minorHAnsi" w:eastAsiaTheme="minorEastAsia" w:cstheme="minorBidi"/>
              <w:b w:val="0"/>
              <w:color w:val="auto"/>
            </w:rPr>
          </w:pPr>
          <w:hyperlink w:history="1" w:anchor="_Toc138754503">
            <w:r w:rsidRPr="00D27873" w:rsidR="00840C6B">
              <w:rPr>
                <w:rStyle w:val="Hyperlink"/>
              </w:rPr>
              <w:t>Preferred option and implementation</w:t>
            </w:r>
            <w:r w:rsidR="00840C6B">
              <w:rPr>
                <w:webHidden/>
              </w:rPr>
              <w:tab/>
            </w:r>
            <w:r w:rsidR="00840C6B">
              <w:rPr>
                <w:webHidden/>
              </w:rPr>
              <w:fldChar w:fldCharType="begin"/>
            </w:r>
            <w:r w:rsidR="00840C6B">
              <w:rPr>
                <w:webHidden/>
              </w:rPr>
              <w:instrText xml:space="preserve"> PAGEREF _Toc138754503 \h </w:instrText>
            </w:r>
            <w:r w:rsidR="00840C6B">
              <w:rPr>
                <w:webHidden/>
              </w:rPr>
            </w:r>
            <w:r w:rsidR="00840C6B">
              <w:rPr>
                <w:webHidden/>
              </w:rPr>
              <w:fldChar w:fldCharType="separate"/>
            </w:r>
            <w:r w:rsidR="00840C6B">
              <w:rPr>
                <w:webHidden/>
              </w:rPr>
              <w:t>11</w:t>
            </w:r>
            <w:r w:rsidR="00840C6B">
              <w:rPr>
                <w:webHidden/>
              </w:rPr>
              <w:fldChar w:fldCharType="end"/>
            </w:r>
          </w:hyperlink>
        </w:p>
        <w:p w:rsidR="00840C6B" w:rsidRDefault="00AA338C" w14:paraId="7DE02862" w14:textId="16EB94E8">
          <w:pPr>
            <w:pStyle w:val="TOC3"/>
            <w:rPr>
              <w:rFonts w:asciiTheme="minorHAnsi" w:hAnsiTheme="minorHAnsi" w:eastAsiaTheme="minorEastAsia" w:cstheme="minorBidi"/>
              <w:szCs w:val="22"/>
            </w:rPr>
          </w:pPr>
          <w:hyperlink w:history="1" w:anchor="_Toc138754504">
            <w:r w:rsidRPr="00D27873" w:rsidR="00840C6B">
              <w:rPr>
                <w:rStyle w:val="Hyperlink"/>
              </w:rPr>
              <w:t>Public Country by Country Reporting</w:t>
            </w:r>
            <w:r w:rsidR="00840C6B">
              <w:rPr>
                <w:webHidden/>
              </w:rPr>
              <w:tab/>
            </w:r>
            <w:r w:rsidR="00840C6B">
              <w:rPr>
                <w:webHidden/>
              </w:rPr>
              <w:fldChar w:fldCharType="begin"/>
            </w:r>
            <w:r w:rsidR="00840C6B">
              <w:rPr>
                <w:webHidden/>
              </w:rPr>
              <w:instrText xml:space="preserve"> PAGEREF _Toc138754504 \h </w:instrText>
            </w:r>
            <w:r w:rsidR="00840C6B">
              <w:rPr>
                <w:webHidden/>
              </w:rPr>
            </w:r>
            <w:r w:rsidR="00840C6B">
              <w:rPr>
                <w:webHidden/>
              </w:rPr>
              <w:fldChar w:fldCharType="separate"/>
            </w:r>
            <w:r w:rsidR="00840C6B">
              <w:rPr>
                <w:webHidden/>
              </w:rPr>
              <w:t>12</w:t>
            </w:r>
            <w:r w:rsidR="00840C6B">
              <w:rPr>
                <w:webHidden/>
              </w:rPr>
              <w:fldChar w:fldCharType="end"/>
            </w:r>
          </w:hyperlink>
        </w:p>
        <w:p w:rsidR="00840C6B" w:rsidRDefault="00AA338C" w14:paraId="1B7A3363" w14:textId="7E96DE07">
          <w:pPr>
            <w:pStyle w:val="TOC3"/>
            <w:rPr>
              <w:rFonts w:asciiTheme="minorHAnsi" w:hAnsiTheme="minorHAnsi" w:eastAsiaTheme="minorEastAsia" w:cstheme="minorBidi"/>
              <w:szCs w:val="22"/>
            </w:rPr>
          </w:pPr>
          <w:hyperlink w:history="1" w:anchor="_Toc138754505">
            <w:r w:rsidRPr="00D27873" w:rsidR="00840C6B">
              <w:rPr>
                <w:rStyle w:val="Hyperlink"/>
              </w:rPr>
              <w:t>Disclosure of corporate subsidiary information</w:t>
            </w:r>
            <w:r w:rsidR="00840C6B">
              <w:rPr>
                <w:webHidden/>
              </w:rPr>
              <w:tab/>
            </w:r>
            <w:r w:rsidR="00840C6B">
              <w:rPr>
                <w:webHidden/>
              </w:rPr>
              <w:fldChar w:fldCharType="begin"/>
            </w:r>
            <w:r w:rsidR="00840C6B">
              <w:rPr>
                <w:webHidden/>
              </w:rPr>
              <w:instrText xml:space="preserve"> PAGEREF _Toc138754505 \h </w:instrText>
            </w:r>
            <w:r w:rsidR="00840C6B">
              <w:rPr>
                <w:webHidden/>
              </w:rPr>
            </w:r>
            <w:r w:rsidR="00840C6B">
              <w:rPr>
                <w:webHidden/>
              </w:rPr>
              <w:fldChar w:fldCharType="separate"/>
            </w:r>
            <w:r w:rsidR="00840C6B">
              <w:rPr>
                <w:webHidden/>
              </w:rPr>
              <w:t>14</w:t>
            </w:r>
            <w:r w:rsidR="00840C6B">
              <w:rPr>
                <w:webHidden/>
              </w:rPr>
              <w:fldChar w:fldCharType="end"/>
            </w:r>
          </w:hyperlink>
        </w:p>
        <w:p w:rsidR="00840C6B" w:rsidRDefault="00AA338C" w14:paraId="3A121324" w14:textId="367A2502">
          <w:pPr>
            <w:pStyle w:val="TOC3"/>
            <w:rPr>
              <w:rFonts w:asciiTheme="minorHAnsi" w:hAnsiTheme="minorHAnsi" w:eastAsiaTheme="minorEastAsia" w:cstheme="minorBidi"/>
              <w:szCs w:val="22"/>
            </w:rPr>
          </w:pPr>
          <w:hyperlink w:history="1" w:anchor="_Toc138754506">
            <w:r w:rsidRPr="00D27873" w:rsidR="00840C6B">
              <w:rPr>
                <w:rStyle w:val="Hyperlink"/>
              </w:rPr>
              <w:t>Requiring government tenderers to disclose their country of tax domicile</w:t>
            </w:r>
            <w:r w:rsidR="00840C6B">
              <w:rPr>
                <w:webHidden/>
              </w:rPr>
              <w:tab/>
            </w:r>
            <w:r w:rsidR="00840C6B">
              <w:rPr>
                <w:webHidden/>
              </w:rPr>
              <w:fldChar w:fldCharType="begin"/>
            </w:r>
            <w:r w:rsidR="00840C6B">
              <w:rPr>
                <w:webHidden/>
              </w:rPr>
              <w:instrText xml:space="preserve"> PAGEREF _Toc138754506 \h </w:instrText>
            </w:r>
            <w:r w:rsidR="00840C6B">
              <w:rPr>
                <w:webHidden/>
              </w:rPr>
            </w:r>
            <w:r w:rsidR="00840C6B">
              <w:rPr>
                <w:webHidden/>
              </w:rPr>
              <w:fldChar w:fldCharType="separate"/>
            </w:r>
            <w:r w:rsidR="00840C6B">
              <w:rPr>
                <w:webHidden/>
              </w:rPr>
              <w:t>15</w:t>
            </w:r>
            <w:r w:rsidR="00840C6B">
              <w:rPr>
                <w:webHidden/>
              </w:rPr>
              <w:fldChar w:fldCharType="end"/>
            </w:r>
          </w:hyperlink>
        </w:p>
        <w:p w:rsidR="00840C6B" w:rsidRDefault="00AA338C" w14:paraId="62750C11" w14:textId="44AE5A77">
          <w:pPr>
            <w:pStyle w:val="TOC1"/>
            <w:rPr>
              <w:rFonts w:asciiTheme="minorHAnsi" w:hAnsiTheme="minorHAnsi" w:eastAsiaTheme="minorEastAsia" w:cstheme="minorBidi"/>
              <w:b w:val="0"/>
              <w:color w:val="auto"/>
            </w:rPr>
          </w:pPr>
          <w:hyperlink w:history="1" w:anchor="_Toc138754507">
            <w:r w:rsidRPr="00D27873" w:rsidR="00840C6B">
              <w:rPr>
                <w:rStyle w:val="Hyperlink"/>
              </w:rPr>
              <w:t>Evaluation</w:t>
            </w:r>
            <w:r w:rsidR="00840C6B">
              <w:rPr>
                <w:webHidden/>
              </w:rPr>
              <w:tab/>
            </w:r>
            <w:r w:rsidR="00840C6B">
              <w:rPr>
                <w:webHidden/>
              </w:rPr>
              <w:fldChar w:fldCharType="begin"/>
            </w:r>
            <w:r w:rsidR="00840C6B">
              <w:rPr>
                <w:webHidden/>
              </w:rPr>
              <w:instrText xml:space="preserve"> PAGEREF _Toc138754507 \h </w:instrText>
            </w:r>
            <w:r w:rsidR="00840C6B">
              <w:rPr>
                <w:webHidden/>
              </w:rPr>
            </w:r>
            <w:r w:rsidR="00840C6B">
              <w:rPr>
                <w:webHidden/>
              </w:rPr>
              <w:fldChar w:fldCharType="separate"/>
            </w:r>
            <w:r w:rsidR="00840C6B">
              <w:rPr>
                <w:webHidden/>
              </w:rPr>
              <w:t>15</w:t>
            </w:r>
            <w:r w:rsidR="00840C6B">
              <w:rPr>
                <w:webHidden/>
              </w:rPr>
              <w:fldChar w:fldCharType="end"/>
            </w:r>
          </w:hyperlink>
        </w:p>
        <w:p w:rsidR="00840C6B" w:rsidRDefault="00AA338C" w14:paraId="3F5CC6A9" w14:textId="6555297A">
          <w:pPr>
            <w:pStyle w:val="TOC1"/>
            <w:rPr>
              <w:rFonts w:asciiTheme="minorHAnsi" w:hAnsiTheme="minorHAnsi" w:eastAsiaTheme="minorEastAsia" w:cstheme="minorBidi"/>
              <w:b w:val="0"/>
              <w:color w:val="auto"/>
            </w:rPr>
          </w:pPr>
          <w:hyperlink w:history="1" w:anchor="_Toc138754508">
            <w:r w:rsidRPr="00D27873" w:rsidR="00840C6B">
              <w:rPr>
                <w:rStyle w:val="Hyperlink"/>
              </w:rPr>
              <w:t>Attachment A – Public CbC reporting – Non</w:t>
            </w:r>
            <w:r w:rsidRPr="00D27873" w:rsidR="00840C6B">
              <w:rPr>
                <w:rStyle w:val="Hyperlink"/>
              </w:rPr>
              <w:noBreakHyphen/>
              <w:t>Confidential Submissions received on Exposure Draft Legislation</w:t>
            </w:r>
            <w:r w:rsidR="00840C6B">
              <w:rPr>
                <w:webHidden/>
              </w:rPr>
              <w:tab/>
            </w:r>
            <w:r w:rsidR="00840C6B">
              <w:rPr>
                <w:webHidden/>
              </w:rPr>
              <w:fldChar w:fldCharType="begin"/>
            </w:r>
            <w:r w:rsidR="00840C6B">
              <w:rPr>
                <w:webHidden/>
              </w:rPr>
              <w:instrText xml:space="preserve"> PAGEREF _Toc138754508 \h </w:instrText>
            </w:r>
            <w:r w:rsidR="00840C6B">
              <w:rPr>
                <w:webHidden/>
              </w:rPr>
            </w:r>
            <w:r w:rsidR="00840C6B">
              <w:rPr>
                <w:webHidden/>
              </w:rPr>
              <w:fldChar w:fldCharType="separate"/>
            </w:r>
            <w:r w:rsidR="00840C6B">
              <w:rPr>
                <w:webHidden/>
              </w:rPr>
              <w:t>16</w:t>
            </w:r>
            <w:r w:rsidR="00840C6B">
              <w:rPr>
                <w:webHidden/>
              </w:rPr>
              <w:fldChar w:fldCharType="end"/>
            </w:r>
          </w:hyperlink>
        </w:p>
        <w:p w:rsidR="00840C6B" w:rsidRDefault="00AA338C" w14:paraId="653E1D1B" w14:textId="2653B3DE">
          <w:pPr>
            <w:pStyle w:val="TOC1"/>
            <w:rPr>
              <w:rFonts w:asciiTheme="minorHAnsi" w:hAnsiTheme="minorHAnsi" w:eastAsiaTheme="minorEastAsia" w:cstheme="minorBidi"/>
              <w:b w:val="0"/>
              <w:color w:val="auto"/>
            </w:rPr>
          </w:pPr>
          <w:hyperlink w:history="1" w:anchor="_Toc138754509">
            <w:r w:rsidRPr="00D27873" w:rsidR="00840C6B">
              <w:rPr>
                <w:rStyle w:val="Hyperlink"/>
              </w:rPr>
              <w:t>Impact analysis timeline</w:t>
            </w:r>
            <w:r w:rsidR="00840C6B">
              <w:rPr>
                <w:webHidden/>
              </w:rPr>
              <w:tab/>
            </w:r>
            <w:r w:rsidR="00840C6B">
              <w:rPr>
                <w:webHidden/>
              </w:rPr>
              <w:fldChar w:fldCharType="begin"/>
            </w:r>
            <w:r w:rsidR="00840C6B">
              <w:rPr>
                <w:webHidden/>
              </w:rPr>
              <w:instrText xml:space="preserve"> PAGEREF _Toc138754509 \h </w:instrText>
            </w:r>
            <w:r w:rsidR="00840C6B">
              <w:rPr>
                <w:webHidden/>
              </w:rPr>
            </w:r>
            <w:r w:rsidR="00840C6B">
              <w:rPr>
                <w:webHidden/>
              </w:rPr>
              <w:fldChar w:fldCharType="separate"/>
            </w:r>
            <w:r w:rsidR="00840C6B">
              <w:rPr>
                <w:webHidden/>
              </w:rPr>
              <w:t>17</w:t>
            </w:r>
            <w:r w:rsidR="00840C6B">
              <w:rPr>
                <w:webHidden/>
              </w:rPr>
              <w:fldChar w:fldCharType="end"/>
            </w:r>
          </w:hyperlink>
        </w:p>
        <w:p w:rsidR="00E551D2" w:rsidRDefault="00E551D2" w14:paraId="47879439" w14:textId="15F329A4">
          <w:r>
            <w:rPr>
              <w:b/>
              <w:bCs/>
              <w:noProof/>
            </w:rPr>
            <w:fldChar w:fldCharType="end"/>
          </w:r>
        </w:p>
      </w:sdtContent>
    </w:sdt>
    <w:p w:rsidRPr="00D94EE3" w:rsidR="00D94EE3" w:rsidP="00D94EE3" w:rsidRDefault="00D94EE3" w14:paraId="374E2600" w14:textId="77777777"/>
    <w:p w:rsidRPr="00D94EE3" w:rsidR="00D94EE3" w:rsidP="00D94EE3" w:rsidRDefault="00D94EE3" w14:paraId="4C1498EE" w14:textId="77777777">
      <w:pPr>
        <w:sectPr w:rsidRPr="00D94EE3" w:rsidR="00D94EE3" w:rsidSect="000029ED">
          <w:footerReference w:type="first" r:id="rId22"/>
          <w:pgSz w:w="11906" w:h="16838"/>
          <w:pgMar w:top="1418" w:right="1418" w:bottom="1418" w:left="1418" w:header="709" w:footer="709" w:gutter="0"/>
          <w:pgNumType w:fmt="lowerRoman"/>
          <w:cols w:space="708"/>
          <w:titlePg/>
          <w:docGrid w:linePitch="360"/>
        </w:sectPr>
      </w:pPr>
    </w:p>
    <w:p w:rsidR="000029ED" w:rsidP="00EA5697" w:rsidRDefault="000029ED" w14:paraId="4D3BAE83" w14:textId="50802F27">
      <w:pPr>
        <w:pStyle w:val="Heading1"/>
      </w:pPr>
      <w:bookmarkStart w:name="_Toc138754490" w:id="1"/>
      <w:r>
        <w:t>Introduction</w:t>
      </w:r>
      <w:r w:rsidR="00DB1702">
        <w:t xml:space="preserve"> / Executive Summary</w:t>
      </w:r>
      <w:bookmarkEnd w:id="1"/>
    </w:p>
    <w:p w:rsidR="00A71C0D" w:rsidP="00F020CB" w:rsidRDefault="00677DFC" w14:paraId="17DCF2CA" w14:textId="73ACEA33">
      <w:r>
        <w:t xml:space="preserve">The Government, as part of its election commitment platform, announced a multinational </w:t>
      </w:r>
      <w:r w:rsidR="003F0D41">
        <w:t xml:space="preserve">(MNE) </w:t>
      </w:r>
      <w:r>
        <w:t xml:space="preserve">tax integrity package to address MNE </w:t>
      </w:r>
      <w:r w:rsidR="00625A39">
        <w:t xml:space="preserve">tax avoidance </w:t>
      </w:r>
      <w:r>
        <w:t xml:space="preserve">and </w:t>
      </w:r>
      <w:r w:rsidR="00E14DC0">
        <w:t xml:space="preserve">to </w:t>
      </w:r>
      <w:r>
        <w:t>improve transparency through better public reporting of MNEs’</w:t>
      </w:r>
      <w:r w:rsidR="00766C47">
        <w:t xml:space="preserve"> and corporate entities</w:t>
      </w:r>
      <w:r>
        <w:t xml:space="preserve"> tax information. These changes form part of the Government’s </w:t>
      </w:r>
      <w:r w:rsidR="000D5F52">
        <w:t xml:space="preserve">overall </w:t>
      </w:r>
      <w:r w:rsidR="00E95C73">
        <w:t>commitment</w:t>
      </w:r>
      <w:r w:rsidR="00A71C0D">
        <w:t xml:space="preserve"> to repair the Budget and improve the fairness and integrity of the tax system.</w:t>
      </w:r>
    </w:p>
    <w:p w:rsidR="008F2449" w:rsidP="00B61F61" w:rsidRDefault="00B61F61" w14:paraId="21C04864" w14:textId="208194EB">
      <w:r>
        <w:t>Tax integrity issues arise due to MNEs adopting tax planning practices</w:t>
      </w:r>
      <w:r w:rsidR="002A21C8">
        <w:t xml:space="preserve"> which</w:t>
      </w:r>
      <w:r>
        <w:t xml:space="preserve"> ta</w:t>
      </w:r>
      <w:r w:rsidR="002A21C8">
        <w:t>ke</w:t>
      </w:r>
      <w:r>
        <w:t xml:space="preserve"> advantage of the differences between jurisdictions’ tax systems to minimise their tax paid, typically by moving the incidence of taxation from a high taxation jurisdiction to a low taxation jurisdiction, or by avoiding a taxable presence in high taxation jurisdictions altogether. This can be aided by opaque tax disclosures.</w:t>
      </w:r>
    </w:p>
    <w:p w:rsidR="00B61F61" w:rsidP="00B61F61" w:rsidRDefault="008F2449" w14:paraId="622DA6EA" w14:textId="36B24E26">
      <w:r>
        <w:t xml:space="preserve">Increased tax transparency can help to deter corporate entities from entering into arrangements to minimise their tax paid by ‘holding companies to account’ on their activities in a jurisdiction. </w:t>
      </w:r>
      <w:r w:rsidR="00813E62">
        <w:t xml:space="preserve">This contributes to the welfare of Australian society. </w:t>
      </w:r>
      <w:r w:rsidR="00662D45">
        <w:t>E</w:t>
      </w:r>
      <w:r>
        <w:t xml:space="preserve">nhanced public scrutiny </w:t>
      </w:r>
      <w:r w:rsidR="00662D45">
        <w:t xml:space="preserve">through </w:t>
      </w:r>
      <w:r>
        <w:t xml:space="preserve">increased </w:t>
      </w:r>
      <w:r w:rsidR="00AE259F">
        <w:t xml:space="preserve">tax </w:t>
      </w:r>
      <w:r>
        <w:t xml:space="preserve">transparency </w:t>
      </w:r>
      <w:r w:rsidR="00FF5920">
        <w:t>allows</w:t>
      </w:r>
      <w:r w:rsidR="00AE259F">
        <w:t xml:space="preserve"> for</w:t>
      </w:r>
      <w:r>
        <w:t xml:space="preserve"> a better assessment of taxpayer activities, and the impact of those activities on the economy, including the amount of tax paid. Transparency, in this regard, is a key factor underpinning the integrity of the tax system.</w:t>
      </w:r>
      <w:r w:rsidR="00B61F61">
        <w:t xml:space="preserve"> </w:t>
      </w:r>
    </w:p>
    <w:p w:rsidR="00A145BD" w:rsidP="00A145BD" w:rsidRDefault="006F5DB9" w14:paraId="3BA5C206" w14:textId="1F03A46B">
      <w:r>
        <w:t>This impact</w:t>
      </w:r>
      <w:r w:rsidDel="005E526B">
        <w:t xml:space="preserve"> </w:t>
      </w:r>
      <w:r>
        <w:t>analysis addresses the tax transparency</w:t>
      </w:r>
      <w:r w:rsidR="004F7926">
        <w:t xml:space="preserve"> element of the </w:t>
      </w:r>
      <w:r w:rsidR="004A5097">
        <w:t xml:space="preserve">Government’s </w:t>
      </w:r>
      <w:r w:rsidR="004F7926">
        <w:t xml:space="preserve">election commitment, as </w:t>
      </w:r>
      <w:r>
        <w:t>announced in</w:t>
      </w:r>
      <w:r w:rsidRPr="005E526B">
        <w:t xml:space="preserve"> the October 2022</w:t>
      </w:r>
      <w:r w:rsidRPr="005E526B">
        <w:rPr>
          <w:rFonts w:ascii="Cambria Math" w:hAnsi="Cambria Math" w:cs="Cambria Math"/>
        </w:rPr>
        <w:t>‑</w:t>
      </w:r>
      <w:r w:rsidRPr="005E526B">
        <w:t>23 Budge</w:t>
      </w:r>
      <w:r w:rsidR="00A145BD">
        <w:t>t</w:t>
      </w:r>
      <w:r w:rsidR="009616C5">
        <w:t>, to require</w:t>
      </w:r>
      <w:r w:rsidR="00A145BD">
        <w:t>:</w:t>
      </w:r>
    </w:p>
    <w:p w:rsidR="00A145BD" w:rsidP="00FF5920" w:rsidRDefault="00A145BD" w14:paraId="61113B84" w14:textId="0AF3DB3B">
      <w:pPr>
        <w:pStyle w:val="Bullet"/>
      </w:pPr>
      <w:r>
        <w:t>the public reporting of tax information on a country-by-country (CbC) basis, targeting MNEs</w:t>
      </w:r>
      <w:r w:rsidR="006E44E8">
        <w:t xml:space="preserve"> </w:t>
      </w:r>
      <w:r w:rsidR="00F2006F">
        <w:t xml:space="preserve">defined </w:t>
      </w:r>
      <w:r w:rsidR="00AC35FC">
        <w:t>as</w:t>
      </w:r>
      <w:r w:rsidR="00136A21">
        <w:t xml:space="preserve"> </w:t>
      </w:r>
      <w:r w:rsidR="00F2006F">
        <w:t xml:space="preserve">CbC reporting </w:t>
      </w:r>
      <w:r w:rsidR="007B2DBF">
        <w:t>entit</w:t>
      </w:r>
      <w:r w:rsidR="00136A21">
        <w:t>ies</w:t>
      </w:r>
      <w:r w:rsidRPr="00040E29" w:rsidR="00672E15">
        <w:rPr>
          <w:vertAlign w:val="superscript"/>
        </w:rPr>
        <w:footnoteReference w:id="2"/>
      </w:r>
      <w:r w:rsidR="00192231">
        <w:t>,</w:t>
      </w:r>
      <w:r w:rsidR="007B2DBF">
        <w:t xml:space="preserve"> with </w:t>
      </w:r>
      <w:r w:rsidR="00F2006F">
        <w:t>annual global income of A$1 billion or more</w:t>
      </w:r>
      <w:r w:rsidR="00192231">
        <w:t>)</w:t>
      </w:r>
      <w:r w:rsidR="004B1B8B">
        <w:t>;</w:t>
      </w:r>
    </w:p>
    <w:p w:rsidR="00E66C74" w:rsidP="00FF5920" w:rsidRDefault="00A145BD" w14:paraId="1D6786BD" w14:textId="77777777">
      <w:pPr>
        <w:pStyle w:val="Bullet"/>
      </w:pPr>
      <w:r>
        <w:t>Australian public companies to disclose information on the number of subsidiaries and their country of tax domicile; and</w:t>
      </w:r>
    </w:p>
    <w:p w:rsidR="006F5DB9" w:rsidP="00FF5920" w:rsidRDefault="00A145BD" w14:paraId="0621F6BB" w14:textId="1CF4F279">
      <w:pPr>
        <w:pStyle w:val="Bullet"/>
      </w:pPr>
      <w:r>
        <w:t>tenderers for Australian government contracts to disclose their country of tax domicile</w:t>
      </w:r>
      <w:r w:rsidR="00E66C74">
        <w:t>.</w:t>
      </w:r>
    </w:p>
    <w:p w:rsidR="00C8081B" w:rsidP="00FF5920" w:rsidRDefault="00C8081B" w14:paraId="7C6DC5D9" w14:textId="3F854163">
      <w:pPr>
        <w:pStyle w:val="Bullet"/>
        <w:numPr>
          <w:ilvl w:val="0"/>
          <w:numId w:val="0"/>
        </w:numPr>
      </w:pPr>
      <w:r>
        <w:t xml:space="preserve">This </w:t>
      </w:r>
      <w:r w:rsidR="00030EE2">
        <w:t xml:space="preserve">impact </w:t>
      </w:r>
      <w:r>
        <w:t xml:space="preserve">analysis considers the </w:t>
      </w:r>
      <w:r w:rsidR="000D08CC">
        <w:t>way</w:t>
      </w:r>
      <w:r>
        <w:t xml:space="preserve"> this commitment (and specific elements within) should be implemented, with reference to the status quo. It has been informed by two rounds of public consultation, including on exposure draft legislation</w:t>
      </w:r>
      <w:r w:rsidR="00D270EE">
        <w:t>, and targeted consultation</w:t>
      </w:r>
      <w:r w:rsidR="007843AD">
        <w:t xml:space="preserve">. </w:t>
      </w:r>
      <w:r w:rsidR="00201D8E">
        <w:t>S</w:t>
      </w:r>
      <w:r>
        <w:t xml:space="preserve">takeholder feedback </w:t>
      </w:r>
      <w:r w:rsidR="00EB547B">
        <w:t xml:space="preserve">on the implementation options </w:t>
      </w:r>
      <w:r w:rsidR="00923020">
        <w:t xml:space="preserve">focused on the </w:t>
      </w:r>
      <w:r w:rsidR="00915522">
        <w:t>cumulative</w:t>
      </w:r>
      <w:r w:rsidR="00923020">
        <w:t xml:space="preserve"> compliance burdens </w:t>
      </w:r>
      <w:r w:rsidR="00915522">
        <w:t xml:space="preserve">that </w:t>
      </w:r>
      <w:r w:rsidR="00476541">
        <w:t xml:space="preserve">arise from </w:t>
      </w:r>
      <w:r w:rsidR="00915522">
        <w:t xml:space="preserve">increased transparency. The </w:t>
      </w:r>
      <w:r>
        <w:t>final option</w:t>
      </w:r>
      <w:r w:rsidR="00915522">
        <w:t xml:space="preserve"> </w:t>
      </w:r>
      <w:r w:rsidR="007A78B8">
        <w:t>to be</w:t>
      </w:r>
      <w:r w:rsidR="00185869">
        <w:t xml:space="preserve"> implemented by Government </w:t>
      </w:r>
      <w:r w:rsidR="00915522">
        <w:t xml:space="preserve">reflects </w:t>
      </w:r>
      <w:r w:rsidR="00185869">
        <w:t>this feedback.</w:t>
      </w:r>
    </w:p>
    <w:p w:rsidR="000911B9" w:rsidP="00FF5920" w:rsidRDefault="00634188" w14:paraId="51CB7B99" w14:textId="482E254C">
      <w:pPr>
        <w:pStyle w:val="Bullet"/>
        <w:numPr>
          <w:ilvl w:val="0"/>
          <w:numId w:val="0"/>
        </w:numPr>
      </w:pPr>
      <w:r>
        <w:t xml:space="preserve">This impact analysis </w:t>
      </w:r>
      <w:r w:rsidR="00D12C3B">
        <w:t>is principally a qualitative assessment</w:t>
      </w:r>
      <w:r w:rsidR="003921E4">
        <w:t xml:space="preserve">, </w:t>
      </w:r>
      <w:r w:rsidR="00B05100">
        <w:t>assessing the trade-offs between</w:t>
      </w:r>
      <w:r w:rsidR="00185869">
        <w:t xml:space="preserve"> </w:t>
      </w:r>
      <w:r w:rsidR="00BA5C5D">
        <w:t xml:space="preserve">enhanced </w:t>
      </w:r>
      <w:r w:rsidR="00185869">
        <w:t>tax transparency</w:t>
      </w:r>
      <w:r w:rsidR="00497189">
        <w:t>/</w:t>
      </w:r>
      <w:r w:rsidR="001B4213">
        <w:t>better data availability</w:t>
      </w:r>
      <w:r w:rsidR="000453EE">
        <w:t xml:space="preserve"> with compliance burdens from this </w:t>
      </w:r>
      <w:r w:rsidR="00497189">
        <w:t>incre</w:t>
      </w:r>
      <w:r w:rsidR="009142C6">
        <w:t xml:space="preserve">ase in </w:t>
      </w:r>
      <w:r w:rsidR="000453EE">
        <w:t>reporting</w:t>
      </w:r>
      <w:r w:rsidR="001B4213">
        <w:t xml:space="preserve">. It </w:t>
      </w:r>
      <w:r>
        <w:t>concludes that introducing a legislative framework for public CbC reporting</w:t>
      </w:r>
      <w:r w:rsidR="006C6DAC">
        <w:t xml:space="preserve"> and corporate subsidiary disclosures</w:t>
      </w:r>
      <w:r>
        <w:t xml:space="preserve"> is an appropriate tool for increasing tax transparency</w:t>
      </w:r>
      <w:r w:rsidR="00814D7D">
        <w:t xml:space="preserve">, to better address information </w:t>
      </w:r>
      <w:r w:rsidR="00E7175D">
        <w:t>asymmetries</w:t>
      </w:r>
      <w:r w:rsidR="00814D7D">
        <w:t xml:space="preserve"> with </w:t>
      </w:r>
      <w:r w:rsidR="00E7175D">
        <w:t>corporate tax disclosures</w:t>
      </w:r>
      <w:r w:rsidR="00311719">
        <w:t>, althou</w:t>
      </w:r>
      <w:r w:rsidR="00282AC2">
        <w:t xml:space="preserve">gh </w:t>
      </w:r>
      <w:r w:rsidR="003772CF">
        <w:t xml:space="preserve">there may be benefit in further consultation </w:t>
      </w:r>
      <w:r w:rsidR="00EA7E35">
        <w:t xml:space="preserve">with industry on elements of the </w:t>
      </w:r>
      <w:r w:rsidR="00653006">
        <w:t xml:space="preserve">public CbC </w:t>
      </w:r>
      <w:r w:rsidR="00EA7E35">
        <w:t>measure</w:t>
      </w:r>
      <w:r w:rsidR="002F0027">
        <w:t>.</w:t>
      </w:r>
      <w:r w:rsidR="00A41A8A">
        <w:t xml:space="preserve"> </w:t>
      </w:r>
      <w:r w:rsidR="00E00484">
        <w:t xml:space="preserve">Amendments to policy </w:t>
      </w:r>
      <w:r w:rsidR="007E5BD9">
        <w:t>design</w:t>
      </w:r>
      <w:r w:rsidR="00E00484">
        <w:t xml:space="preserve"> after </w:t>
      </w:r>
      <w:r w:rsidR="007E5BD9">
        <w:t>stakeholder</w:t>
      </w:r>
      <w:r w:rsidR="00E00484">
        <w:t xml:space="preserve"> consultation seek to minimise compliance burdens</w:t>
      </w:r>
      <w:r w:rsidR="007E5BD9">
        <w:t xml:space="preserve"> and still provide meaningful disclosure.</w:t>
      </w:r>
    </w:p>
    <w:p w:rsidRPr="007835B0" w:rsidR="00EA5697" w:rsidP="007835B0" w:rsidRDefault="00962F90" w14:paraId="5B6138AA" w14:textId="780ED0C1">
      <w:pPr>
        <w:pStyle w:val="Heading1"/>
      </w:pPr>
      <w:bookmarkStart w:name="_Toc138754491" w:id="2"/>
      <w:r w:rsidRPr="007835B0">
        <w:t>The p</w:t>
      </w:r>
      <w:r w:rsidRPr="007835B0" w:rsidR="00EA5697">
        <w:t>roblem</w:t>
      </w:r>
      <w:bookmarkEnd w:id="2"/>
    </w:p>
    <w:p w:rsidR="00FD4DDB" w:rsidP="00FC72FE" w:rsidRDefault="00FD4DDB" w14:paraId="226C4E92" w14:textId="0C1CC9F9">
      <w:r>
        <w:t xml:space="preserve">At a high-level, the problem is about </w:t>
      </w:r>
      <w:r w:rsidR="00B5567F">
        <w:t xml:space="preserve">addressing information asymmetries in </w:t>
      </w:r>
      <w:r w:rsidR="002F061D">
        <w:t xml:space="preserve">corporate tax arrangements </w:t>
      </w:r>
      <w:r w:rsidR="00184124">
        <w:t>with a specific focus on MNEs and large businesses</w:t>
      </w:r>
      <w:r w:rsidR="0045534C">
        <w:t xml:space="preserve"> </w:t>
      </w:r>
      <w:r w:rsidR="00BA7434">
        <w:t xml:space="preserve">tax disclosures, </w:t>
      </w:r>
      <w:r w:rsidR="00F65944">
        <w:t>to</w:t>
      </w:r>
      <w:r w:rsidR="0045534C">
        <w:t xml:space="preserve"> </w:t>
      </w:r>
      <w:r w:rsidR="00F65944">
        <w:t xml:space="preserve">help </w:t>
      </w:r>
      <w:r w:rsidR="00EF4775">
        <w:t>address</w:t>
      </w:r>
      <w:r w:rsidR="00F65944">
        <w:t xml:space="preserve"> </w:t>
      </w:r>
      <w:r w:rsidR="002671A4">
        <w:t>tax avoidance</w:t>
      </w:r>
      <w:r w:rsidR="00273A65">
        <w:t>. This contribute</w:t>
      </w:r>
      <w:r w:rsidR="00FE704E">
        <w:t xml:space="preserve">s to the Government’s broader intent to </w:t>
      </w:r>
      <w:r w:rsidR="001F3F9A">
        <w:t>ensu</w:t>
      </w:r>
      <w:r w:rsidR="00872510">
        <w:t xml:space="preserve">re taxation </w:t>
      </w:r>
      <w:r w:rsidR="00162102">
        <w:t xml:space="preserve">laws </w:t>
      </w:r>
      <w:r w:rsidR="00A66B2E">
        <w:t>operate to raise the intended revenue</w:t>
      </w:r>
      <w:r w:rsidR="00B5567F">
        <w:t xml:space="preserve">. </w:t>
      </w:r>
      <w:r w:rsidR="00C774B3">
        <w:t xml:space="preserve"> </w:t>
      </w:r>
    </w:p>
    <w:p w:rsidR="00FC72FE" w:rsidP="00FC72FE" w:rsidRDefault="007447EF" w14:paraId="263F6651" w14:textId="0E09A0D9">
      <w:r>
        <w:t xml:space="preserve">Following the 2008 Global Financial Crisis, </w:t>
      </w:r>
      <w:r w:rsidR="00350F67">
        <w:t>c</w:t>
      </w:r>
      <w:r w:rsidRPr="00350F67" w:rsidR="00350F67">
        <w:t>orporate tax avoidance has been a matter of considerable public attention</w:t>
      </w:r>
      <w:r w:rsidRPr="00ED1B5E" w:rsidR="00807C23">
        <w:rPr>
          <w:vertAlign w:val="superscript"/>
        </w:rPr>
        <w:footnoteReference w:id="3"/>
      </w:r>
      <w:r w:rsidR="00212E25">
        <w:t xml:space="preserve">, giving </w:t>
      </w:r>
      <w:r w:rsidR="00350F67">
        <w:t xml:space="preserve">rise to </w:t>
      </w:r>
      <w:r>
        <w:t>revelations of aggressive tax planning by MNEs</w:t>
      </w:r>
      <w:r w:rsidR="006B3DAB">
        <w:t xml:space="preserve"> and </w:t>
      </w:r>
      <w:r>
        <w:t xml:space="preserve">concerns about </w:t>
      </w:r>
      <w:r w:rsidRPr="004E54BC">
        <w:t xml:space="preserve">whether MNEs </w:t>
      </w:r>
      <w:r w:rsidRPr="004E54BC" w:rsidR="0075270E">
        <w:t>are</w:t>
      </w:r>
      <w:r w:rsidRPr="004E54BC">
        <w:t xml:space="preserve"> </w:t>
      </w:r>
      <w:r w:rsidRPr="004E54BC" w:rsidR="0020596F">
        <w:t>engaged in unacceptable corporate tax avoidance</w:t>
      </w:r>
      <w:r w:rsidRPr="004E54BC" w:rsidR="00C75833">
        <w:t xml:space="preserve">, </w:t>
      </w:r>
      <w:r w:rsidRPr="004E54BC" w:rsidR="00733A19">
        <w:t>aided by lax tax transparency disclosures</w:t>
      </w:r>
      <w:r w:rsidRPr="004E54BC" w:rsidR="00B9786B">
        <w:t>.</w:t>
      </w:r>
    </w:p>
    <w:p w:rsidR="00FC44A8" w:rsidP="00FC44A8" w:rsidRDefault="00B9786B" w14:paraId="28807AC8" w14:textId="77866C2B">
      <w:r w:rsidRPr="00FC72FE">
        <w:t>Tax avoidance is where a business artificially structures its activities to avoid tax. Typically, this will involve structures designed to avoid attributing profits to, or limit a business’s taxable presence in</w:t>
      </w:r>
      <w:r w:rsidR="00836E5B">
        <w:t>,</w:t>
      </w:r>
      <w:r w:rsidRPr="00FC72FE">
        <w:t xml:space="preserve"> a high tax jurisdiction</w:t>
      </w:r>
      <w:r w:rsidR="009D2E61">
        <w:t xml:space="preserve"> by taking advantage of d</w:t>
      </w:r>
      <w:r w:rsidRPr="00E94559" w:rsidR="00E94559">
        <w:t xml:space="preserve">ifferences between countries’ tax systems </w:t>
      </w:r>
      <w:r w:rsidR="00FC44A8">
        <w:t xml:space="preserve">to </w:t>
      </w:r>
      <w:r w:rsidRPr="00E94559" w:rsidR="00E94559">
        <w:t xml:space="preserve">create opportunities for entities to minimise their tax. MNEs are well placed to take advantage of these differences; they have greater capacity to structure corporate groups and commercial transactions so that income is taxed in low tax jurisdictions. </w:t>
      </w:r>
      <w:r w:rsidR="00FC44A8">
        <w:t>The OECD estimates that</w:t>
      </w:r>
      <w:r w:rsidR="00F3765B">
        <w:t xml:space="preserve"> base erosion and profit shifting</w:t>
      </w:r>
      <w:r w:rsidR="00FC44A8">
        <w:t xml:space="preserve"> </w:t>
      </w:r>
      <w:r w:rsidR="00F3765B">
        <w:t>(</w:t>
      </w:r>
      <w:r w:rsidR="00FC44A8">
        <w:t>BEPS</w:t>
      </w:r>
      <w:r w:rsidR="00F3765B">
        <w:t>)</w:t>
      </w:r>
      <w:r w:rsidR="00FC44A8">
        <w:t xml:space="preserve"> practices cost countries 100-240 billion USD in lost revenue annually</w:t>
      </w:r>
      <w:r w:rsidRPr="00FC44A8" w:rsidR="00FC44A8">
        <w:rPr>
          <w:vertAlign w:val="superscript"/>
        </w:rPr>
        <w:footnoteReference w:id="4"/>
      </w:r>
      <w:r w:rsidR="00FC44A8">
        <w:t xml:space="preserve">.  </w:t>
      </w:r>
    </w:p>
    <w:p w:rsidR="00B9786B" w:rsidP="00B9786B" w:rsidRDefault="00077B9C" w14:paraId="45A5E55F" w14:textId="10D2EC34">
      <w:r>
        <w:t xml:space="preserve">In the Australian context, </w:t>
      </w:r>
      <w:r w:rsidRPr="00FC72FE" w:rsidR="00B9786B">
        <w:t xml:space="preserve">Australia’s relatively high corporate tax rate, the increasing prevalence of highly mobile intangible assets (e.g., intellectual property), and the increased mobility of economic activity generally, can provide </w:t>
      </w:r>
      <w:r w:rsidR="00252DA2">
        <w:t>MNEs</w:t>
      </w:r>
      <w:r w:rsidRPr="00FC72FE" w:rsidR="00B9786B">
        <w:t xml:space="preserve"> with incentives and the opportunity to structure arrangements to artificially lower their tax. This is different to tax minimisation where a business legitimately applies the tax concessions available to it. There are</w:t>
      </w:r>
      <w:r w:rsidR="000F441B">
        <w:t xml:space="preserve"> often</w:t>
      </w:r>
      <w:r w:rsidRPr="00FC72FE" w:rsidR="00B9786B">
        <w:t xml:space="preserve"> valid reasons for a business paying no tax</w:t>
      </w:r>
      <w:r w:rsidR="00252DA2">
        <w:t>.</w:t>
      </w:r>
      <w:r w:rsidR="002D664B">
        <w:t xml:space="preserve"> </w:t>
      </w:r>
    </w:p>
    <w:p w:rsidR="009834A7" w:rsidP="00B9786B" w:rsidRDefault="00EA5BBE" w14:paraId="62CEE8E8" w14:textId="644839E5">
      <w:r w:rsidRPr="00EA5BBE">
        <w:t>Transparency builds trust in tax systems</w:t>
      </w:r>
      <w:r w:rsidR="00007114">
        <w:t xml:space="preserve"> and</w:t>
      </w:r>
      <w:r w:rsidRPr="00EA5BBE">
        <w:t xml:space="preserve"> enhances tax morale</w:t>
      </w:r>
      <w:r w:rsidRPr="00146BA5" w:rsidR="00626E4A">
        <w:rPr>
          <w:vertAlign w:val="superscript"/>
        </w:rPr>
        <w:footnoteReference w:id="5"/>
      </w:r>
      <w:r w:rsidR="00A70CE0">
        <w:t xml:space="preserve"> by helping to </w:t>
      </w:r>
      <w:r w:rsidR="00854709">
        <w:t xml:space="preserve">deter MNEs from entering </w:t>
      </w:r>
      <w:r w:rsidR="00FD4A98">
        <w:t xml:space="preserve">into </w:t>
      </w:r>
      <w:r w:rsidR="00854709">
        <w:t>arrangements to</w:t>
      </w:r>
      <w:r w:rsidR="00AB41A4">
        <w:t xml:space="preserve"> lower</w:t>
      </w:r>
      <w:r w:rsidR="00854709">
        <w:t xml:space="preserve"> their tax paid</w:t>
      </w:r>
      <w:r w:rsidR="00D010FE">
        <w:t>.</w:t>
      </w:r>
      <w:r w:rsidR="00050411">
        <w:t xml:space="preserve"> E</w:t>
      </w:r>
      <w:r w:rsidR="009834A7">
        <w:t xml:space="preserve">nhanced public scrutiny from increased tax transparency is intended to ‘hold companies to account’ on their activities in a jurisdiction, to support </w:t>
      </w:r>
      <w:r w:rsidR="000218B8">
        <w:t xml:space="preserve">a </w:t>
      </w:r>
      <w:r w:rsidR="009834A7">
        <w:t>better assess</w:t>
      </w:r>
      <w:r w:rsidR="000218B8">
        <w:t>ment of</w:t>
      </w:r>
      <w:r w:rsidR="009834A7">
        <w:t xml:space="preserve"> MNEs’ activities in Australia, and the impact of those activities on the economy, including whether they pay an appropriate amount of tax.</w:t>
      </w:r>
    </w:p>
    <w:p w:rsidR="0059426F" w:rsidP="00B9786B" w:rsidRDefault="0059426F" w14:paraId="666F32B4" w14:textId="45EFB93C">
      <w:r>
        <w:t>Australia’s current approach to tax transparency is comprised of three core limbs: the ATO Corporate Tax Transparency Report</w:t>
      </w:r>
      <w:r w:rsidRPr="005B0FAE" w:rsidR="008231BC">
        <w:rPr>
          <w:vertAlign w:val="superscript"/>
        </w:rPr>
        <w:footnoteReference w:id="6"/>
      </w:r>
      <w:r>
        <w:t>, the Board of Tax Voluntary Tax Transparency Code and the (confidential) OECD CbC reporting BEPS minimum standard.</w:t>
      </w:r>
      <w:r w:rsidR="006E4444">
        <w:t xml:space="preserve"> </w:t>
      </w:r>
      <w:r w:rsidR="00567B1B">
        <w:t>T</w:t>
      </w:r>
      <w:r w:rsidR="006E4444">
        <w:t>here are issues with each limb,</w:t>
      </w:r>
      <w:r w:rsidR="004A161A">
        <w:t xml:space="preserve"> as outlined below.</w:t>
      </w:r>
      <w:r w:rsidR="0010524F">
        <w:t xml:space="preserve"> </w:t>
      </w:r>
    </w:p>
    <w:p w:rsidR="00F511C3" w:rsidP="00B9786B" w:rsidRDefault="004A161A" w14:paraId="2AF44AF4" w14:textId="1314FAD7">
      <w:r>
        <w:t>T</w:t>
      </w:r>
      <w:r w:rsidR="004845DE">
        <w:t>he</w:t>
      </w:r>
      <w:r w:rsidR="00D87EED">
        <w:t xml:space="preserve"> availability of </w:t>
      </w:r>
      <w:r w:rsidR="00967BE6">
        <w:t xml:space="preserve">entity tax </w:t>
      </w:r>
      <w:r w:rsidR="00D87EED">
        <w:t>information is only likely to encourage trust if t</w:t>
      </w:r>
      <w:r w:rsidR="00625F86">
        <w:t xml:space="preserve">he community </w:t>
      </w:r>
      <w:r w:rsidR="00D87EED">
        <w:t>can access, understand, and use the information</w:t>
      </w:r>
      <w:r w:rsidRPr="00D87EED" w:rsidR="00D87EED">
        <w:rPr>
          <w:vertAlign w:val="superscript"/>
        </w:rPr>
        <w:footnoteReference w:id="7"/>
      </w:r>
      <w:r w:rsidR="00E26E21">
        <w:t>.</w:t>
      </w:r>
      <w:r w:rsidR="00F61C46">
        <w:t xml:space="preserve"> That is, transparency regimes which give rise to mixed messaging detracts from an informed understanding among the public of an entity’s tax </w:t>
      </w:r>
      <w:r w:rsidR="00187DC5">
        <w:t>position and</w:t>
      </w:r>
      <w:r w:rsidR="00F61C46">
        <w:t xml:space="preserve"> limits the ability for </w:t>
      </w:r>
      <w:r w:rsidRPr="00C552FC" w:rsidR="00F61C46">
        <w:t xml:space="preserve">civil society and the public to scrutinise corporate behaviour and </w:t>
      </w:r>
      <w:r w:rsidR="00F61C46">
        <w:t>assess</w:t>
      </w:r>
      <w:r w:rsidRPr="00C552FC" w:rsidR="00F61C46">
        <w:t xml:space="preserve"> whether it meets public expectations</w:t>
      </w:r>
      <w:r w:rsidR="00A55031">
        <w:t xml:space="preserve">. </w:t>
      </w:r>
      <w:r w:rsidR="001B6B74">
        <w:t>For example, misunderstandings o</w:t>
      </w:r>
      <w:r w:rsidR="00791F5C">
        <w:t>n</w:t>
      </w:r>
      <w:r w:rsidR="001B6B74">
        <w:t xml:space="preserve"> the</w:t>
      </w:r>
      <w:r w:rsidR="00791F5C">
        <w:t xml:space="preserve"> valid</w:t>
      </w:r>
      <w:r w:rsidR="001B6B74">
        <w:t xml:space="preserve"> role that tax losses play</w:t>
      </w:r>
      <w:r w:rsidR="00791F5C">
        <w:t xml:space="preserve"> in determining an entity’s tax position</w:t>
      </w:r>
      <w:r w:rsidRPr="00187DC5" w:rsidR="00791F5C">
        <w:rPr>
          <w:vertAlign w:val="superscript"/>
        </w:rPr>
        <w:footnoteReference w:id="8"/>
      </w:r>
      <w:r w:rsidR="002D62DB">
        <w:t>.</w:t>
      </w:r>
      <w:r w:rsidR="0086671D">
        <w:t xml:space="preserve"> </w:t>
      </w:r>
    </w:p>
    <w:p w:rsidR="00381FDB" w:rsidP="00381FDB" w:rsidRDefault="00381FDB" w14:paraId="5A46852A" w14:textId="5275B1B5">
      <w:r>
        <w:t>Transparency is also dependent on verifiable data. While the ATO’s Corporate Tax Transparency Report is based on information sourced from tax return information, the Board of Taxation</w:t>
      </w:r>
      <w:r w:rsidR="007D2859">
        <w:t>’s</w:t>
      </w:r>
      <w:r>
        <w:t xml:space="preserve"> Voluntary Tax Transparency Code (endorsed in the 2016-17 Budget to improve corporate tax transparency disclosures in Australia)</w:t>
      </w:r>
      <w:r w:rsidRPr="00424A56">
        <w:rPr>
          <w:vertAlign w:val="superscript"/>
        </w:rPr>
        <w:footnoteReference w:id="9"/>
      </w:r>
      <w:r>
        <w:t>, has been criticised by groups who have raised questions regarding the integrity of the information published voluntarily by companies</w:t>
      </w:r>
      <w:r w:rsidRPr="00454325">
        <w:rPr>
          <w:vertAlign w:val="superscript"/>
        </w:rPr>
        <w:footnoteReference w:id="10"/>
      </w:r>
      <w:r>
        <w:t xml:space="preserve">. </w:t>
      </w:r>
      <w:r w:rsidR="00D275CF">
        <w:t xml:space="preserve">The voluntary nature of the report has also resulted in low </w:t>
      </w:r>
      <w:r w:rsidR="00E74E5D">
        <w:t>rates of</w:t>
      </w:r>
      <w:r w:rsidR="00D275CF">
        <w:t xml:space="preserve"> adoption</w:t>
      </w:r>
      <w:r w:rsidRPr="001121C9" w:rsidR="001121C9">
        <w:rPr>
          <w:vertAlign w:val="superscript"/>
        </w:rPr>
        <w:footnoteReference w:id="11"/>
      </w:r>
      <w:r w:rsidR="001121C9">
        <w:t>.</w:t>
      </w:r>
    </w:p>
    <w:p w:rsidR="000B79EE" w:rsidP="00164969" w:rsidRDefault="0047309F" w14:paraId="40AD15F9" w14:textId="3BD8620E">
      <w:r>
        <w:t>The OECD’s CbC reporting framework is a BEPS Action minimum standard</w:t>
      </w:r>
      <w:r w:rsidR="009E0318">
        <w:t>,</w:t>
      </w:r>
      <w:r>
        <w:t xml:space="preserve"> adopted by all OECD countries to support tax administrations in the high-level detection and assessment of transfer pricing and other BEPS-related risks, and is subject to confidentiality restricting what data can be published. </w:t>
      </w:r>
      <w:r w:rsidR="009E0318">
        <w:t>W</w:t>
      </w:r>
      <w:r w:rsidR="00096A3F">
        <w:t>hile</w:t>
      </w:r>
      <w:r w:rsidR="00F3430E">
        <w:t xml:space="preserve"> the OECD</w:t>
      </w:r>
      <w:r w:rsidR="00DA24D1">
        <w:t xml:space="preserve"> </w:t>
      </w:r>
      <w:r w:rsidR="00096A3F">
        <w:t>publish</w:t>
      </w:r>
      <w:r w:rsidR="002671DA">
        <w:t>es</w:t>
      </w:r>
      <w:r w:rsidR="00096A3F">
        <w:t xml:space="preserve"> </w:t>
      </w:r>
      <w:r w:rsidR="00BA3DFA">
        <w:t xml:space="preserve">high-level, anonymised </w:t>
      </w:r>
      <w:r w:rsidR="001121C9">
        <w:t>statistics</w:t>
      </w:r>
      <w:r w:rsidR="000B79EE">
        <w:t xml:space="preserve"> on the data collected from</w:t>
      </w:r>
      <w:r w:rsidR="00332A65">
        <w:t xml:space="preserve"> the OECD</w:t>
      </w:r>
      <w:r w:rsidR="000B79EE">
        <w:t xml:space="preserve"> CbC report</w:t>
      </w:r>
      <w:r w:rsidR="00332A65">
        <w:t>s</w:t>
      </w:r>
      <w:r w:rsidR="00BA3DFA">
        <w:t xml:space="preserve"> (to </w:t>
      </w:r>
      <w:r w:rsidR="000B79EE">
        <w:t>support the</w:t>
      </w:r>
      <w:r w:rsidR="00BA3DFA">
        <w:t xml:space="preserve"> </w:t>
      </w:r>
      <w:r w:rsidR="000B79EE">
        <w:t>economic and statistical analysis of BEPS behaviour and of MNEs in general</w:t>
      </w:r>
      <w:r w:rsidR="00BA3DFA">
        <w:t>), there are</w:t>
      </w:r>
      <w:r w:rsidR="001121C9">
        <w:t xml:space="preserve"> </w:t>
      </w:r>
      <w:r w:rsidR="001E5A67">
        <w:t>several</w:t>
      </w:r>
      <w:r w:rsidR="001121C9">
        <w:t xml:space="preserve"> limitations that affect the quality of the data, </w:t>
      </w:r>
      <w:r w:rsidR="00F52137">
        <w:t>such as</w:t>
      </w:r>
      <w:r w:rsidR="000D5975">
        <w:t xml:space="preserve"> the data being too aggregated</w:t>
      </w:r>
      <w:r w:rsidRPr="00152EC5" w:rsidR="00421FF3">
        <w:rPr>
          <w:vertAlign w:val="superscript"/>
        </w:rPr>
        <w:footnoteReference w:id="12"/>
      </w:r>
      <w:r w:rsidR="000D5975">
        <w:t xml:space="preserve"> and</w:t>
      </w:r>
      <w:r w:rsidR="00F52137">
        <w:t xml:space="preserve"> </w:t>
      </w:r>
      <w:r w:rsidR="000E73B9">
        <w:t>source/</w:t>
      </w:r>
      <w:r w:rsidR="00F33814">
        <w:t xml:space="preserve">microdata </w:t>
      </w:r>
      <w:r w:rsidR="006C1544">
        <w:t>issues</w:t>
      </w:r>
      <w:r w:rsidR="008966D2">
        <w:t xml:space="preserve"> affecting </w:t>
      </w:r>
      <w:r w:rsidR="000D5975">
        <w:t xml:space="preserve">comparability of data across </w:t>
      </w:r>
      <w:r w:rsidR="00203629">
        <w:t>jurisdictions</w:t>
      </w:r>
      <w:r w:rsidRPr="000E73B9" w:rsidR="006C1544">
        <w:rPr>
          <w:vertAlign w:val="superscript"/>
        </w:rPr>
        <w:footnoteReference w:id="13"/>
      </w:r>
      <w:r w:rsidR="00510A4F">
        <w:t xml:space="preserve">. </w:t>
      </w:r>
    </w:p>
    <w:p w:rsidR="00C139D2" w:rsidP="00C139D2" w:rsidRDefault="00560257" w14:paraId="28AD8F13" w14:textId="78E25ADE">
      <w:r>
        <w:t>The</w:t>
      </w:r>
      <w:r w:rsidR="00D329F2">
        <w:t xml:space="preserve"> issues outlined above</w:t>
      </w:r>
      <w:r w:rsidR="009B2F5C">
        <w:t xml:space="preserve"> </w:t>
      </w:r>
      <w:r w:rsidR="0016786E">
        <w:t xml:space="preserve">– </w:t>
      </w:r>
      <w:r w:rsidR="000A60EC">
        <w:t>limited transparency, consistency</w:t>
      </w:r>
      <w:r w:rsidR="00CB0427">
        <w:t xml:space="preserve"> and</w:t>
      </w:r>
      <w:r w:rsidR="000A60EC">
        <w:t xml:space="preserve"> accessibility – </w:t>
      </w:r>
      <w:r w:rsidR="009B2F5C">
        <w:t>with Australia’s existing tax transparency regime</w:t>
      </w:r>
      <w:r w:rsidR="00D329F2">
        <w:t xml:space="preserve"> informed</w:t>
      </w:r>
      <w:r w:rsidR="008F7279">
        <w:t>, in part,</w:t>
      </w:r>
      <w:r w:rsidR="00D329F2">
        <w:t xml:space="preserve"> the Government’s election commitment</w:t>
      </w:r>
      <w:r w:rsidR="008F7279">
        <w:t xml:space="preserve"> to improve tax transparency</w:t>
      </w:r>
      <w:r w:rsidR="00BA6E76">
        <w:t>. The other guiding element was</w:t>
      </w:r>
      <w:r w:rsidR="002A456F">
        <w:t xml:space="preserve"> </w:t>
      </w:r>
      <w:r w:rsidR="00BA6E76">
        <w:t>r</w:t>
      </w:r>
      <w:r w:rsidR="00BF73FE">
        <w:t>ecent international developments</w:t>
      </w:r>
      <w:r w:rsidR="00DB2B72">
        <w:t xml:space="preserve">, namely, the European Union’s </w:t>
      </w:r>
      <w:r w:rsidR="00D8331E">
        <w:t xml:space="preserve">(EU) </w:t>
      </w:r>
      <w:r w:rsidR="00DB2B72">
        <w:t xml:space="preserve">decision in 2021 </w:t>
      </w:r>
      <w:r w:rsidR="003F2C7F">
        <w:t>to legislate a</w:t>
      </w:r>
      <w:r w:rsidR="00C139D2">
        <w:t xml:space="preserve"> public CbC reporting regime</w:t>
      </w:r>
      <w:r w:rsidR="00B64E20">
        <w:t xml:space="preserve"> </w:t>
      </w:r>
      <w:r w:rsidR="00047258">
        <w:t xml:space="preserve">to </w:t>
      </w:r>
      <w:r w:rsidR="009B2F5C">
        <w:t>increas</w:t>
      </w:r>
      <w:r w:rsidR="00047258">
        <w:t>e</w:t>
      </w:r>
      <w:r w:rsidR="009B2F5C">
        <w:t xml:space="preserve"> transparency in relation to the activities of multinational undertakings and </w:t>
      </w:r>
      <w:r w:rsidR="00047258">
        <w:t xml:space="preserve">to </w:t>
      </w:r>
      <w:r w:rsidR="009B2F5C">
        <w:t>enabl</w:t>
      </w:r>
      <w:r w:rsidR="00047258">
        <w:t>e</w:t>
      </w:r>
      <w:r w:rsidR="009B2F5C">
        <w:t xml:space="preserve"> the public to assess the impact of those activities on the real economy</w:t>
      </w:r>
      <w:r w:rsidRPr="008E3D7D" w:rsidR="00AA1995">
        <w:rPr>
          <w:vertAlign w:val="superscript"/>
        </w:rPr>
        <w:footnoteReference w:id="14"/>
      </w:r>
      <w:r w:rsidR="008E3D7D">
        <w:t>.</w:t>
      </w:r>
    </w:p>
    <w:p w:rsidR="00BF73FE" w:rsidP="00BF73FE" w:rsidRDefault="00BF73FE" w14:paraId="6C81F466" w14:textId="0864FD3C">
      <w:r>
        <w:t>The EU’s move to mandate public CbC reporting reflects the shifting public expectations on MNE tax transparency</w:t>
      </w:r>
      <w:r w:rsidRPr="00683DF5" w:rsidR="00683DF5">
        <w:rPr>
          <w:vertAlign w:val="superscript"/>
        </w:rPr>
        <w:footnoteReference w:id="15"/>
      </w:r>
      <w:r w:rsidRPr="00683DF5" w:rsidR="00D70526">
        <w:rPr>
          <w:vertAlign w:val="superscript"/>
        </w:rPr>
        <w:t>.</w:t>
      </w:r>
      <w:r w:rsidR="00D70526">
        <w:t xml:space="preserve"> However,</w:t>
      </w:r>
      <w:r w:rsidR="00131578">
        <w:t xml:space="preserve"> the EU approach currently only provides for CbC reporting in respect of E</w:t>
      </w:r>
      <w:r w:rsidR="00EB1328">
        <w:t>U</w:t>
      </w:r>
      <w:r w:rsidR="00131578">
        <w:t xml:space="preserve"> member states and EU listed non-cooperative jurisdictions. The ‘rest</w:t>
      </w:r>
      <w:r w:rsidR="00D70526">
        <w:t xml:space="preserve"> </w:t>
      </w:r>
      <w:r w:rsidR="00131578">
        <w:t>of world’ activity is</w:t>
      </w:r>
      <w:r w:rsidR="00EB1328">
        <w:t xml:space="preserve"> reported on an </w:t>
      </w:r>
      <w:r w:rsidR="00131578">
        <w:t>aggregated</w:t>
      </w:r>
      <w:r w:rsidR="00EB1328">
        <w:t xml:space="preserve"> basis</w:t>
      </w:r>
      <w:r w:rsidR="00C6207B">
        <w:t>,</w:t>
      </w:r>
      <w:r w:rsidR="00134FD5">
        <w:t xml:space="preserve"> </w:t>
      </w:r>
      <w:r w:rsidR="00C6207B">
        <w:t>limit</w:t>
      </w:r>
      <w:r w:rsidR="00134FD5">
        <w:t>ing</w:t>
      </w:r>
      <w:r w:rsidR="00C6207B">
        <w:t xml:space="preserve"> </w:t>
      </w:r>
      <w:r w:rsidR="00DC247C">
        <w:t xml:space="preserve">economic </w:t>
      </w:r>
      <w:r w:rsidR="00C6207B">
        <w:t xml:space="preserve">analysis </w:t>
      </w:r>
      <w:r w:rsidR="00DC247C">
        <w:t>of MNE BEPS risks</w:t>
      </w:r>
      <w:r w:rsidR="002315DB">
        <w:t>, including in Australia</w:t>
      </w:r>
      <w:r w:rsidR="00DC247C">
        <w:t>.</w:t>
      </w:r>
      <w:r w:rsidR="00EB1328">
        <w:t xml:space="preserve"> </w:t>
      </w:r>
    </w:p>
    <w:p w:rsidR="00B16D80" w:rsidP="004E0AE7" w:rsidRDefault="00C03EB9" w14:paraId="45201F22" w14:textId="472A41AD">
      <w:r>
        <w:t>T</w:t>
      </w:r>
      <w:r w:rsidR="002468C3">
        <w:t>here is</w:t>
      </w:r>
      <w:r w:rsidR="00527DFA">
        <w:t xml:space="preserve"> </w:t>
      </w:r>
      <w:r w:rsidR="007B73BF">
        <w:t>a</w:t>
      </w:r>
      <w:r w:rsidRPr="007B73BF" w:rsidR="007B73BF">
        <w:t xml:space="preserve"> risk</w:t>
      </w:r>
      <w:r>
        <w:t>, however,</w:t>
      </w:r>
      <w:r w:rsidRPr="007B73BF" w:rsidR="007B73BF">
        <w:t xml:space="preserve"> that </w:t>
      </w:r>
      <w:r w:rsidR="007B73BF">
        <w:t xml:space="preserve">enhanced tax </w:t>
      </w:r>
      <w:r w:rsidRPr="007B73BF" w:rsidR="007B73BF">
        <w:t>disclosure</w:t>
      </w:r>
      <w:r w:rsidR="007B73BF">
        <w:t>s</w:t>
      </w:r>
      <w:r w:rsidRPr="007B73BF" w:rsidR="007B73BF">
        <w:t xml:space="preserve"> will not effectively address concerns about unacceptable corporate tax avoidanc</w:t>
      </w:r>
      <w:r w:rsidR="007B73BF">
        <w:t>e</w:t>
      </w:r>
      <w:r w:rsidRPr="00076E2B" w:rsidR="007B73BF">
        <w:rPr>
          <w:vertAlign w:val="superscript"/>
        </w:rPr>
        <w:footnoteReference w:id="16"/>
      </w:r>
      <w:r w:rsidR="00076E2B">
        <w:t xml:space="preserve">. </w:t>
      </w:r>
      <w:r w:rsidR="007D5568">
        <w:t xml:space="preserve">This arises from the </w:t>
      </w:r>
      <w:r w:rsidR="002468C3">
        <w:t>trade-off between the compliance burden for MNEs</w:t>
      </w:r>
      <w:r w:rsidR="00CA1AB4">
        <w:t xml:space="preserve"> from </w:t>
      </w:r>
      <w:r w:rsidR="009B1803">
        <w:t>increased tax transparency</w:t>
      </w:r>
      <w:r w:rsidR="002468C3">
        <w:t xml:space="preserve"> and </w:t>
      </w:r>
      <w:r w:rsidR="00243E8D">
        <w:t xml:space="preserve">increased (improved) </w:t>
      </w:r>
      <w:r w:rsidR="002468C3">
        <w:t>data availability for the economic analysis of BEPS</w:t>
      </w:r>
      <w:r w:rsidR="00FE78CC">
        <w:t xml:space="preserve">. </w:t>
      </w:r>
    </w:p>
    <w:p w:rsidR="00430110" w:rsidP="004E0AE7" w:rsidRDefault="009B1803" w14:paraId="33E05663" w14:textId="03C99763">
      <w:r>
        <w:t xml:space="preserve">An effective tax transparency regime should balance the </w:t>
      </w:r>
      <w:r w:rsidR="004732A7">
        <w:t>‘public good’ element of improved transparency w</w:t>
      </w:r>
      <w:r w:rsidR="008179E2">
        <w:t>hile minimising burdens on the taxpayer (including</w:t>
      </w:r>
      <w:r w:rsidR="00437B72">
        <w:t xml:space="preserve"> </w:t>
      </w:r>
      <w:r w:rsidR="005469F8">
        <w:t xml:space="preserve">having </w:t>
      </w:r>
      <w:r w:rsidR="00437B72">
        <w:t>regard for</w:t>
      </w:r>
      <w:r w:rsidR="004732A7">
        <w:t xml:space="preserve"> MNEs’ commercially sensitive information </w:t>
      </w:r>
      <w:r w:rsidR="00510244">
        <w:t xml:space="preserve">and </w:t>
      </w:r>
      <w:r w:rsidR="005469F8">
        <w:t>continuing to support</w:t>
      </w:r>
      <w:r w:rsidR="00EF168A">
        <w:t xml:space="preserve"> </w:t>
      </w:r>
      <w:r w:rsidR="00005A61">
        <w:t>investment intentions</w:t>
      </w:r>
      <w:r w:rsidR="005469F8">
        <w:t xml:space="preserve"> in Australia</w:t>
      </w:r>
      <w:r w:rsidR="00EF168A">
        <w:t>)</w:t>
      </w:r>
      <w:r w:rsidR="00005A61">
        <w:t xml:space="preserve">. </w:t>
      </w:r>
      <w:r w:rsidR="00AF38AD">
        <w:t xml:space="preserve"> </w:t>
      </w:r>
    </w:p>
    <w:p w:rsidR="00EA5697" w:rsidP="007835B0" w:rsidRDefault="00EA5697" w14:paraId="4E157A08" w14:textId="5362525E">
      <w:pPr>
        <w:pStyle w:val="Heading1"/>
      </w:pPr>
      <w:bookmarkStart w:name="_Toc138754492" w:id="3"/>
      <w:r>
        <w:t>Case for government action</w:t>
      </w:r>
      <w:r w:rsidR="007C6D12">
        <w:t>/</w:t>
      </w:r>
      <w:r w:rsidR="007835B0">
        <w:t>o</w:t>
      </w:r>
      <w:r w:rsidR="00962F90">
        <w:t>bjective of reform</w:t>
      </w:r>
      <w:bookmarkEnd w:id="3"/>
    </w:p>
    <w:p w:rsidR="00451620" w:rsidP="00EF4C69" w:rsidRDefault="0063782C" w14:paraId="03601A98" w14:textId="58837FBC">
      <w:r>
        <w:t xml:space="preserve">Tax avoidance is a </w:t>
      </w:r>
      <w:r w:rsidR="000A781C">
        <w:t>broad problem</w:t>
      </w:r>
      <w:r w:rsidR="00451620">
        <w:t xml:space="preserve"> </w:t>
      </w:r>
      <w:r w:rsidR="00D81970">
        <w:t xml:space="preserve">and </w:t>
      </w:r>
      <w:r w:rsidR="00286181">
        <w:t xml:space="preserve">can be addressed </w:t>
      </w:r>
      <w:r w:rsidR="00C07193">
        <w:t xml:space="preserve">via targeted integrity changes </w:t>
      </w:r>
      <w:r w:rsidRPr="00AA6118" w:rsidR="00C07193">
        <w:rPr>
          <w:u w:val="single"/>
        </w:rPr>
        <w:t>and</w:t>
      </w:r>
      <w:r w:rsidR="00C07193">
        <w:t xml:space="preserve"> increased tax transparency. </w:t>
      </w:r>
      <w:r w:rsidR="004B55FB">
        <w:t>The</w:t>
      </w:r>
      <w:r w:rsidR="00AA6118">
        <w:t xml:space="preserve"> increased transparency </w:t>
      </w:r>
      <w:r w:rsidR="004B55FB">
        <w:t>limb</w:t>
      </w:r>
      <w:r w:rsidR="00AA6118">
        <w:t xml:space="preserve"> </w:t>
      </w:r>
      <w:r w:rsidR="003D1C8F">
        <w:t xml:space="preserve">addresses information </w:t>
      </w:r>
      <w:r w:rsidR="004B55FB">
        <w:t>asymmetries</w:t>
      </w:r>
      <w:r w:rsidR="00A80073">
        <w:t xml:space="preserve"> to </w:t>
      </w:r>
      <w:r w:rsidR="00B70EFA">
        <w:t xml:space="preserve">better </w:t>
      </w:r>
      <w:r w:rsidR="00A80073">
        <w:t>ensure</w:t>
      </w:r>
      <w:r w:rsidR="0000776E">
        <w:t xml:space="preserve"> increased transparency, consistency and accessibility of tax information</w:t>
      </w:r>
      <w:r w:rsidR="00E707F2">
        <w:t>.</w:t>
      </w:r>
      <w:r w:rsidR="00A80073">
        <w:t xml:space="preserve"> </w:t>
      </w:r>
    </w:p>
    <w:p w:rsidR="00147DE2" w:rsidP="00D34D09" w:rsidRDefault="002C111E" w14:paraId="51A07CF9" w14:textId="15F0BDFF">
      <w:r w:rsidDel="00274A2F">
        <w:t>T</w:t>
      </w:r>
      <w:r w:rsidRPr="00C552FC" w:rsidDel="00274A2F">
        <w:t xml:space="preserve">he Government’s </w:t>
      </w:r>
      <w:r w:rsidDel="00274A2F" w:rsidR="00875F6C">
        <w:t>election commitment</w:t>
      </w:r>
      <w:r w:rsidRPr="00C552FC" w:rsidDel="00274A2F">
        <w:t xml:space="preserve"> </w:t>
      </w:r>
      <w:r w:rsidDel="00274A2F" w:rsidR="00153EDB">
        <w:t xml:space="preserve">to increase tax </w:t>
      </w:r>
      <w:r w:rsidDel="00274A2F" w:rsidR="00085B8D">
        <w:t>transparency</w:t>
      </w:r>
      <w:r w:rsidDel="00274A2F" w:rsidR="00153EDB">
        <w:t xml:space="preserve"> is</w:t>
      </w:r>
      <w:r w:rsidDel="00274A2F" w:rsidR="00085B8D">
        <w:t xml:space="preserve"> part of a broader legislative package</w:t>
      </w:r>
      <w:r w:rsidR="00147DE2">
        <w:t xml:space="preserve"> </w:t>
      </w:r>
      <w:r w:rsidR="00FB6CF6">
        <w:t xml:space="preserve">to ensure </w:t>
      </w:r>
      <w:r w:rsidR="00147DE2">
        <w:t>multinational</w:t>
      </w:r>
      <w:r w:rsidR="00A35FEC">
        <w:t>s</w:t>
      </w:r>
      <w:r w:rsidR="00147DE2">
        <w:t xml:space="preserve"> and corporate entities</w:t>
      </w:r>
      <w:r w:rsidR="00AE72ED">
        <w:t xml:space="preserve"> pay </w:t>
      </w:r>
      <w:r w:rsidR="00B31023">
        <w:t xml:space="preserve">the </w:t>
      </w:r>
      <w:r w:rsidR="00AE72ED">
        <w:t>appropriate level of tax</w:t>
      </w:r>
      <w:r w:rsidDel="00274A2F" w:rsidR="00085B8D">
        <w:t xml:space="preserve">. </w:t>
      </w:r>
    </w:p>
    <w:p w:rsidR="0029307E" w:rsidP="0029307E" w:rsidRDefault="00C41D79" w14:paraId="0E9AAAE0" w14:textId="21C83B07">
      <w:r>
        <w:t xml:space="preserve">The objective </w:t>
      </w:r>
      <w:r w:rsidR="00EE694C">
        <w:t xml:space="preserve">of this policy </w:t>
      </w:r>
      <w:r w:rsidR="00085B8D">
        <w:t xml:space="preserve">is </w:t>
      </w:r>
      <w:r w:rsidRPr="00C552FC" w:rsidR="002C111E">
        <w:t>to introduce targeted and balanced tax transparency initiatives directed at MNEs</w:t>
      </w:r>
      <w:r w:rsidR="001E05AF">
        <w:t xml:space="preserve"> and corporates</w:t>
      </w:r>
      <w:r>
        <w:t>,</w:t>
      </w:r>
      <w:r w:rsidRPr="00C552FC" w:rsidR="002C111E">
        <w:t xml:space="preserve"> </w:t>
      </w:r>
      <w:r w:rsidR="00D34D09">
        <w:t xml:space="preserve">to </w:t>
      </w:r>
      <w:r w:rsidR="00BF3A55">
        <w:t xml:space="preserve">deliver improvements </w:t>
      </w:r>
      <w:r w:rsidR="0017433B">
        <w:t>in the quality and comparability of tax disclosures</w:t>
      </w:r>
      <w:r w:rsidR="00AD44EA">
        <w:t xml:space="preserve">, strengthen tax transparency, </w:t>
      </w:r>
      <w:r w:rsidR="00837D61">
        <w:t>and improve the flow of useful information to the community, to support economic analysis of BEPS.</w:t>
      </w:r>
      <w:r w:rsidR="007E254F">
        <w:t xml:space="preserve"> </w:t>
      </w:r>
    </w:p>
    <w:p w:rsidR="0029307E" w:rsidP="0029307E" w:rsidRDefault="00A66615" w14:paraId="1CFCA803" w14:textId="07ACA0AC">
      <w:r>
        <w:t xml:space="preserve">This is best achieved through </w:t>
      </w:r>
      <w:r w:rsidR="00EB48A4">
        <w:t>legislative</w:t>
      </w:r>
      <w:r>
        <w:t xml:space="preserve"> </w:t>
      </w:r>
      <w:r w:rsidR="00EB48A4">
        <w:t>changes, rather than a voluntary approach</w:t>
      </w:r>
      <w:r w:rsidR="00EE4792">
        <w:t xml:space="preserve">. A legislative approach </w:t>
      </w:r>
      <w:r w:rsidR="008F01C4">
        <w:t>will ensure</w:t>
      </w:r>
      <w:r w:rsidR="0029307E">
        <w:t xml:space="preserve"> more consistent data in relation to the activities of </w:t>
      </w:r>
      <w:r w:rsidR="00BE78D6">
        <w:t>MNEs</w:t>
      </w:r>
      <w:r w:rsidR="0029307E">
        <w:t xml:space="preserve"> and corporate entities</w:t>
      </w:r>
      <w:r w:rsidR="009862B0">
        <w:t xml:space="preserve">, leading to better data </w:t>
      </w:r>
      <w:r w:rsidR="008F01C4">
        <w:t>analysis. This will</w:t>
      </w:r>
      <w:r w:rsidR="009862B0">
        <w:t xml:space="preserve"> </w:t>
      </w:r>
      <w:r w:rsidR="00FC1CA2">
        <w:t>assist</w:t>
      </w:r>
      <w:r w:rsidR="0029307E">
        <w:t xml:space="preserve"> the public to assess the impact of </w:t>
      </w:r>
      <w:r w:rsidR="004B2C1E">
        <w:t>corporate</w:t>
      </w:r>
      <w:r w:rsidR="0029307E">
        <w:t xml:space="preserve"> activities on the real economy</w:t>
      </w:r>
      <w:r w:rsidR="00B8569A">
        <w:t>, which</w:t>
      </w:r>
      <w:r w:rsidR="00D0244B">
        <w:t xml:space="preserve"> helps build community trust in the tax system</w:t>
      </w:r>
      <w:r w:rsidR="0029307E">
        <w:t>.</w:t>
      </w:r>
      <w:r w:rsidR="004B2C1E">
        <w:t xml:space="preserve"> A legislative approach will also support better taxpayer compliance with the changes</w:t>
      </w:r>
      <w:r w:rsidR="00A64939">
        <w:t>, than via a voluntary framework.</w:t>
      </w:r>
    </w:p>
    <w:p w:rsidR="005506EB" w:rsidP="0029307E" w:rsidRDefault="005506EB" w14:paraId="4D6915A2" w14:textId="66CDC932">
      <w:r>
        <w:t xml:space="preserve">The </w:t>
      </w:r>
      <w:r w:rsidR="00930F6B">
        <w:t>G</w:t>
      </w:r>
      <w:r>
        <w:t xml:space="preserve">overnment’s </w:t>
      </w:r>
      <w:r w:rsidR="001256DF">
        <w:t xml:space="preserve">announcement of its </w:t>
      </w:r>
      <w:r>
        <w:t>public country-by-country reporting measure</w:t>
      </w:r>
      <w:r w:rsidR="00504FCB">
        <w:t>,</w:t>
      </w:r>
      <w:r w:rsidR="001256DF">
        <w:t xml:space="preserve"> was</w:t>
      </w:r>
      <w:r>
        <w:t xml:space="preserve"> informed by international initiatives, namely the </w:t>
      </w:r>
      <w:r w:rsidR="00D8331E">
        <w:t>EU’s</w:t>
      </w:r>
      <w:r>
        <w:t xml:space="preserve"> decision in 2021 to legislate a public CbC reporting regime. Similarly, the Government’s corporate subsidiary disclosure measure is informed by legislative changes in the UK in 2016.</w:t>
      </w:r>
    </w:p>
    <w:p w:rsidR="007E254F" w:rsidP="00D34D09" w:rsidRDefault="00C85A2E" w14:paraId="1CB230D1" w14:textId="0DE3A204">
      <w:r>
        <w:t>Th</w:t>
      </w:r>
      <w:r w:rsidR="00EE694C">
        <w:t>e</w:t>
      </w:r>
      <w:r w:rsidR="00690354">
        <w:t xml:space="preserve"> </w:t>
      </w:r>
      <w:r w:rsidR="009D77B9">
        <w:t xml:space="preserve">expected </w:t>
      </w:r>
      <w:r w:rsidR="00690354">
        <w:t xml:space="preserve">outcome from </w:t>
      </w:r>
      <w:r w:rsidR="001D2D3F">
        <w:t xml:space="preserve">legislative changes </w:t>
      </w:r>
      <w:r w:rsidR="00C527DB">
        <w:t>targeting</w:t>
      </w:r>
      <w:r w:rsidR="00EE694C">
        <w:t xml:space="preserve"> </w:t>
      </w:r>
      <w:r w:rsidR="00AB1E3E">
        <w:t>improved transparency</w:t>
      </w:r>
      <w:r w:rsidR="009667DF">
        <w:t xml:space="preserve"> is</w:t>
      </w:r>
      <w:r w:rsidR="00690354">
        <w:t xml:space="preserve"> </w:t>
      </w:r>
      <w:r w:rsidR="00026C57">
        <w:t xml:space="preserve">a </w:t>
      </w:r>
      <w:r w:rsidRPr="00C552FC" w:rsidR="002C111E">
        <w:t>moderat</w:t>
      </w:r>
      <w:r w:rsidR="00026C57">
        <w:t>ion of</w:t>
      </w:r>
      <w:r w:rsidRPr="00C552FC" w:rsidR="002C111E">
        <w:t xml:space="preserve"> corporate </w:t>
      </w:r>
      <w:r w:rsidR="00BB6166">
        <w:t>behaviour</w:t>
      </w:r>
      <w:r w:rsidR="00DA3994">
        <w:t xml:space="preserve"> towards less aggressive tax planning</w:t>
      </w:r>
      <w:r w:rsidR="00026C57">
        <w:t xml:space="preserve">. This will </w:t>
      </w:r>
      <w:r w:rsidR="005E006D">
        <w:t>contribute to reducing the large corporate groups income tax gap</w:t>
      </w:r>
      <w:r w:rsidR="009C644B">
        <w:t xml:space="preserve"> – </w:t>
      </w:r>
      <w:r w:rsidR="00035534">
        <w:t>reflect</w:t>
      </w:r>
      <w:r w:rsidR="004178F5">
        <w:t>ing</w:t>
      </w:r>
      <w:r w:rsidR="00035534">
        <w:t xml:space="preserve"> </w:t>
      </w:r>
      <w:r w:rsidR="005C5B19">
        <w:t>that the adoption of transparency measures, as part of a suite of legislative reforms</w:t>
      </w:r>
      <w:r w:rsidR="004178F5">
        <w:t>,</w:t>
      </w:r>
      <w:r w:rsidR="005119FE">
        <w:t xml:space="preserve"> </w:t>
      </w:r>
      <w:r w:rsidR="00F96205">
        <w:t>supports increase</w:t>
      </w:r>
      <w:r w:rsidR="00EE7B7F">
        <w:t>d tax compliance/tax payable</w:t>
      </w:r>
      <w:r w:rsidRPr="00CC5611" w:rsidR="003536FD">
        <w:rPr>
          <w:vertAlign w:val="superscript"/>
        </w:rPr>
        <w:footnoteReference w:id="17"/>
      </w:r>
      <w:r w:rsidR="00EE7B7F">
        <w:t>.</w:t>
      </w:r>
      <w:r w:rsidR="00AC4384">
        <w:t xml:space="preserve"> </w:t>
      </w:r>
      <w:r w:rsidR="00AE093B">
        <w:t xml:space="preserve"> </w:t>
      </w:r>
    </w:p>
    <w:p w:rsidR="00352945" w:rsidP="007501A7" w:rsidRDefault="005119FE" w14:paraId="0E3BBB72" w14:textId="435F6A0B">
      <w:r>
        <w:t>However, t</w:t>
      </w:r>
      <w:r w:rsidR="0077150E">
        <w:t xml:space="preserve">o be effective, </w:t>
      </w:r>
      <w:r w:rsidR="00E836FA">
        <w:t>increased tax transparency should</w:t>
      </w:r>
      <w:r w:rsidR="008C3BF0">
        <w:t xml:space="preserve"> balanc</w:t>
      </w:r>
      <w:r w:rsidR="00E836FA">
        <w:t>e</w:t>
      </w:r>
      <w:r w:rsidR="008C3BF0">
        <w:t xml:space="preserve"> public accessibility</w:t>
      </w:r>
      <w:r w:rsidR="002151B5">
        <w:t>/better data</w:t>
      </w:r>
      <w:r w:rsidR="008C3BF0">
        <w:t xml:space="preserve"> </w:t>
      </w:r>
      <w:r w:rsidR="008F5AFC">
        <w:t xml:space="preserve">while </w:t>
      </w:r>
      <w:r w:rsidR="008C3BF0">
        <w:t>not imposing excessive compliance costs on corporate taxpayers</w:t>
      </w:r>
      <w:r w:rsidR="008F5AFC">
        <w:t xml:space="preserve"> and protecting taxpayer sensitive information</w:t>
      </w:r>
      <w:r w:rsidR="008C3BF0">
        <w:t>.</w:t>
      </w:r>
      <w:r w:rsidR="00D34D09">
        <w:t xml:space="preserve"> </w:t>
      </w:r>
      <w:r w:rsidR="00F12A77">
        <w:t xml:space="preserve">That is, </w:t>
      </w:r>
      <w:r w:rsidR="009A55D0">
        <w:t xml:space="preserve">taxpayers </w:t>
      </w:r>
      <w:r w:rsidR="00E45411">
        <w:t>(</w:t>
      </w:r>
      <w:r w:rsidR="00D94CD0">
        <w:t>particularly</w:t>
      </w:r>
      <w:r w:rsidR="00E45411">
        <w:t xml:space="preserve"> foreign inco</w:t>
      </w:r>
      <w:r w:rsidR="00D94CD0">
        <w:t xml:space="preserve">rporated entities) </w:t>
      </w:r>
      <w:r w:rsidR="009A55D0">
        <w:t xml:space="preserve">not complying </w:t>
      </w:r>
      <w:r w:rsidR="00F8437B">
        <w:t xml:space="preserve">with the new disclosures would detract from </w:t>
      </w:r>
      <w:r w:rsidR="00AE4359">
        <w:t xml:space="preserve">the policy intent of improved </w:t>
      </w:r>
      <w:r w:rsidR="00E05E34">
        <w:t>transparency.</w:t>
      </w:r>
    </w:p>
    <w:p w:rsidR="000E711C" w:rsidP="000E711C" w:rsidRDefault="000E711C" w14:paraId="38AEB64A" w14:textId="3286097E">
      <w:pPr>
        <w:pStyle w:val="Heading1"/>
      </w:pPr>
      <w:bookmarkStart w:name="_Toc138754493" w:id="4"/>
      <w:r>
        <w:t>Policy options</w:t>
      </w:r>
      <w:bookmarkEnd w:id="4"/>
    </w:p>
    <w:p w:rsidR="00383FAF" w:rsidP="00383FAF" w:rsidRDefault="00A9663F" w14:paraId="781E3A9C" w14:textId="188B9232">
      <w:pPr>
        <w:pStyle w:val="Heading2"/>
      </w:pPr>
      <w:bookmarkStart w:name="_Toc138754494" w:id="5"/>
      <w:r>
        <w:t xml:space="preserve">Option 1: </w:t>
      </w:r>
      <w:r w:rsidR="00383FAF">
        <w:t>Maintain existing arrangements</w:t>
      </w:r>
      <w:bookmarkEnd w:id="5"/>
    </w:p>
    <w:p w:rsidR="00383FAF" w:rsidP="001A4133" w:rsidRDefault="005A2F39" w14:paraId="2939A391" w14:textId="4F4502D9">
      <w:r>
        <w:t>T</w:t>
      </w:r>
      <w:r w:rsidR="00383FAF">
        <w:t>h</w:t>
      </w:r>
      <w:r w:rsidR="00681878">
        <w:t xml:space="preserve">is option would involve no </w:t>
      </w:r>
      <w:r w:rsidR="008B16F9">
        <w:t xml:space="preserve">change to Australia’s tax transparency </w:t>
      </w:r>
      <w:r w:rsidR="000B317B">
        <w:t>framework</w:t>
      </w:r>
      <w:r w:rsidR="008B16F9">
        <w:t>. That i</w:t>
      </w:r>
      <w:r w:rsidR="001D5CD2">
        <w:t xml:space="preserve">s, </w:t>
      </w:r>
      <w:r w:rsidR="00BE46AF">
        <w:t>corporate</w:t>
      </w:r>
      <w:r w:rsidR="00DB636B">
        <w:t xml:space="preserve"> entitie</w:t>
      </w:r>
      <w:r w:rsidR="00BE46AF">
        <w:t xml:space="preserve">s would </w:t>
      </w:r>
      <w:r w:rsidR="00DB636B">
        <w:t>continue to</w:t>
      </w:r>
      <w:r w:rsidR="00BE46AF">
        <w:t xml:space="preserve"> publish selected tax information</w:t>
      </w:r>
      <w:r w:rsidR="008F6A7C">
        <w:t xml:space="preserve"> using different reporting metrics and </w:t>
      </w:r>
      <w:r w:rsidR="00680ED9">
        <w:t>standards</w:t>
      </w:r>
      <w:r w:rsidR="001002E7">
        <w:t xml:space="preserve">, and </w:t>
      </w:r>
      <w:r w:rsidR="001F16DB">
        <w:t>in different reporting contexts</w:t>
      </w:r>
      <w:r w:rsidR="00BF26C5">
        <w:t>, with varied levels of public accessibility</w:t>
      </w:r>
      <w:r w:rsidR="00977961">
        <w:t>.</w:t>
      </w:r>
      <w:r w:rsidR="005E099D">
        <w:t xml:space="preserve"> </w:t>
      </w:r>
      <w:r w:rsidR="00383FAF">
        <w:t xml:space="preserve"> </w:t>
      </w:r>
    </w:p>
    <w:p w:rsidR="00C326BB" w:rsidP="00B840B3" w:rsidRDefault="00C326BB" w14:paraId="755C60A5" w14:textId="480F0788">
      <w:pPr>
        <w:pStyle w:val="Heading2"/>
      </w:pPr>
      <w:bookmarkStart w:name="_Toc138754495" w:id="6"/>
      <w:r>
        <w:t xml:space="preserve">Option </w:t>
      </w:r>
      <w:r w:rsidR="00A9663F">
        <w:t>2</w:t>
      </w:r>
      <w:r w:rsidR="008270FD">
        <w:t>: I</w:t>
      </w:r>
      <w:r w:rsidR="00817C6A">
        <w:t xml:space="preserve">mplementation of the Government’s </w:t>
      </w:r>
      <w:r w:rsidR="00EE2B71">
        <w:t xml:space="preserve">election commitment to </w:t>
      </w:r>
      <w:r w:rsidRPr="00B31D1E" w:rsidR="00B31D1E">
        <w:t>enhanc</w:t>
      </w:r>
      <w:r w:rsidR="00EE2B71">
        <w:t>e</w:t>
      </w:r>
      <w:r w:rsidRPr="00B31D1E" w:rsidR="00B31D1E">
        <w:t xml:space="preserve"> tax transparency reporting</w:t>
      </w:r>
      <w:bookmarkEnd w:id="6"/>
      <w:r w:rsidRPr="00B31D1E" w:rsidR="00B31D1E">
        <w:t xml:space="preserve"> </w:t>
      </w:r>
    </w:p>
    <w:p w:rsidR="0055237A" w:rsidP="0055237A" w:rsidRDefault="00E34D77" w14:paraId="60C33F5A" w14:textId="5ECBE234">
      <w:r>
        <w:t xml:space="preserve">This </w:t>
      </w:r>
      <w:r w:rsidR="00EA01CE">
        <w:t>o</w:t>
      </w:r>
      <w:r w:rsidR="00FA7C4B">
        <w:t>ption</w:t>
      </w:r>
      <w:r w:rsidR="00A312CE">
        <w:t xml:space="preserve"> would address information asymmetries with the</w:t>
      </w:r>
      <w:r w:rsidR="00FA7C4B">
        <w:t xml:space="preserve"> </w:t>
      </w:r>
      <w:r w:rsidR="00A312CE">
        <w:t xml:space="preserve">current tax </w:t>
      </w:r>
      <w:r w:rsidR="00A0241F">
        <w:t>transparency</w:t>
      </w:r>
      <w:r w:rsidR="00A312CE">
        <w:t xml:space="preserve"> regime </w:t>
      </w:r>
      <w:r w:rsidR="00A0241F">
        <w:t>by</w:t>
      </w:r>
      <w:r w:rsidR="00275485">
        <w:t xml:space="preserve"> </w:t>
      </w:r>
      <w:r w:rsidR="0055237A">
        <w:t>enhanc</w:t>
      </w:r>
      <w:r w:rsidR="00A0241F">
        <w:t>ing</w:t>
      </w:r>
      <w:r w:rsidR="0055237A">
        <w:t xml:space="preserve"> </w:t>
      </w:r>
      <w:r w:rsidR="00A0241F">
        <w:t>the</w:t>
      </w:r>
      <w:r w:rsidR="0055237A">
        <w:t xml:space="preserve"> </w:t>
      </w:r>
      <w:r w:rsidR="00360250">
        <w:t xml:space="preserve">public </w:t>
      </w:r>
      <w:r w:rsidR="0055237A">
        <w:t>reporting requirements</w:t>
      </w:r>
      <w:r w:rsidR="006D0A3C">
        <w:t xml:space="preserve"> </w:t>
      </w:r>
      <w:r w:rsidR="00B054D8">
        <w:t xml:space="preserve">of </w:t>
      </w:r>
      <w:r w:rsidR="006D0A3C">
        <w:t>MNEs</w:t>
      </w:r>
      <w:r w:rsidR="00275485">
        <w:t xml:space="preserve"> </w:t>
      </w:r>
      <w:r w:rsidR="00B054D8">
        <w:t xml:space="preserve">and public companies </w:t>
      </w:r>
      <w:r w:rsidR="006D0A3C">
        <w:t>operating in Australia</w:t>
      </w:r>
      <w:r w:rsidR="00803117">
        <w:t xml:space="preserve"> via</w:t>
      </w:r>
      <w:r w:rsidR="0055237A">
        <w:t>:</w:t>
      </w:r>
    </w:p>
    <w:p w:rsidR="0055237A" w:rsidP="00FF5920" w:rsidRDefault="0055237A" w14:paraId="0A6851C5" w14:textId="4A5E25C6">
      <w:pPr>
        <w:pStyle w:val="Bullet"/>
      </w:pPr>
      <w:r>
        <w:t>the public reporting of tax information on a country-by-country basis</w:t>
      </w:r>
      <w:r w:rsidR="00950C95">
        <w:t xml:space="preserve"> by MNEs</w:t>
      </w:r>
      <w:r w:rsidRPr="00D9092F" w:rsidR="00486416">
        <w:rPr>
          <w:vertAlign w:val="superscript"/>
        </w:rPr>
        <w:footnoteReference w:id="18"/>
      </w:r>
      <w:r w:rsidRPr="00D9092F">
        <w:rPr>
          <w:vertAlign w:val="superscript"/>
        </w:rPr>
        <w:t>,</w:t>
      </w:r>
      <w:r>
        <w:t xml:space="preserve"> </w:t>
      </w:r>
    </w:p>
    <w:p w:rsidR="00C00081" w:rsidP="00C00081" w:rsidRDefault="00C00081" w14:paraId="7E5B8048" w14:textId="6E2672D1">
      <w:pPr>
        <w:pStyle w:val="Dash"/>
      </w:pPr>
      <w:r>
        <w:t>This will support quantitative benchmarking of an entity’s behaviour using consistent information</w:t>
      </w:r>
      <w:r w:rsidR="003670ED">
        <w:t>, by ensur</w:t>
      </w:r>
      <w:r w:rsidR="006D7924">
        <w:t xml:space="preserve">ing the tax information </w:t>
      </w:r>
      <w:r w:rsidR="003670ED">
        <w:t>report</w:t>
      </w:r>
      <w:r w:rsidR="006D7924">
        <w:t>ed</w:t>
      </w:r>
      <w:r w:rsidR="003670ED">
        <w:t xml:space="preserve"> is standardised, publicly accessible and readable (i.e. relatively easy to interpret)</w:t>
      </w:r>
      <w:r w:rsidR="0065144B">
        <w:t>.</w:t>
      </w:r>
    </w:p>
    <w:p w:rsidR="006D7924" w:rsidP="00FF5920" w:rsidRDefault="00275485" w14:paraId="551FB9CE" w14:textId="3CAD4E23">
      <w:pPr>
        <w:pStyle w:val="Bullet"/>
      </w:pPr>
      <w:r>
        <w:t xml:space="preserve">Australian </w:t>
      </w:r>
      <w:r w:rsidR="00950C95">
        <w:t xml:space="preserve">companies disclosing information on their </w:t>
      </w:r>
      <w:r w:rsidRPr="006064BA" w:rsidR="00275D63">
        <w:t>subsidiaries</w:t>
      </w:r>
      <w:r w:rsidR="00C41BE6">
        <w:t>, and</w:t>
      </w:r>
      <w:r w:rsidRPr="006064BA" w:rsidR="00535835">
        <w:t xml:space="preserve"> </w:t>
      </w:r>
    </w:p>
    <w:p w:rsidR="00C00081" w:rsidP="00456573" w:rsidRDefault="006D7924" w14:paraId="243239E7" w14:textId="1200B619">
      <w:pPr>
        <w:pStyle w:val="Dash"/>
      </w:pPr>
      <w:r>
        <w:t xml:space="preserve">This </w:t>
      </w:r>
      <w:r w:rsidR="00B953DB">
        <w:t xml:space="preserve">measure </w:t>
      </w:r>
      <w:r w:rsidR="002939EE">
        <w:t>was</w:t>
      </w:r>
      <w:r w:rsidRPr="006064BA" w:rsidR="00535835">
        <w:t xml:space="preserve"> </w:t>
      </w:r>
      <w:r w:rsidR="00B953DB">
        <w:t>develope</w:t>
      </w:r>
      <w:r w:rsidR="001F4E30">
        <w:t>d</w:t>
      </w:r>
      <w:r w:rsidRPr="006064BA" w:rsidR="00B953DB">
        <w:t xml:space="preserve"> </w:t>
      </w:r>
      <w:r w:rsidRPr="006064BA" w:rsidR="00535835">
        <w:t>in place of the Government’s</w:t>
      </w:r>
      <w:r w:rsidR="001F4E30">
        <w:t xml:space="preserve"> originally</w:t>
      </w:r>
      <w:r w:rsidRPr="006064BA" w:rsidR="00535835">
        <w:t xml:space="preserve"> announced election commitment that companies disclose to shareholders their business in a jurisdiction with a tax rate less than 15 per cent)</w:t>
      </w:r>
      <w:r w:rsidR="00C41BE6">
        <w:t xml:space="preserve">, in </w:t>
      </w:r>
      <w:r w:rsidR="00C00081">
        <w:t xml:space="preserve">response to stakeholder feedback (see consultation section). </w:t>
      </w:r>
    </w:p>
    <w:p w:rsidR="00CB16C8" w:rsidP="001D40B5" w:rsidRDefault="008B4F47" w14:paraId="1A046D9B" w14:textId="3EAC4DAC">
      <w:pPr>
        <w:pStyle w:val="Bullet"/>
        <w:numPr>
          <w:ilvl w:val="0"/>
          <w:numId w:val="0"/>
        </w:numPr>
        <w:ind w:left="520" w:hanging="520"/>
      </w:pPr>
      <w:r>
        <w:t>Separately, t</w:t>
      </w:r>
      <w:r w:rsidR="00CB16C8">
        <w:t>h</w:t>
      </w:r>
      <w:r w:rsidR="004171E0">
        <w:t>is</w:t>
      </w:r>
      <w:r w:rsidR="00CB16C8">
        <w:t xml:space="preserve"> option </w:t>
      </w:r>
      <w:r w:rsidR="004171E0">
        <w:t>would also</w:t>
      </w:r>
      <w:r>
        <w:t>:</w:t>
      </w:r>
    </w:p>
    <w:p w:rsidR="0055237A" w:rsidP="00FF5920" w:rsidRDefault="0055237A" w14:paraId="5FC5E0AE" w14:textId="6D3662BE">
      <w:pPr>
        <w:pStyle w:val="Bullet"/>
      </w:pPr>
      <w:r>
        <w:t>requi</w:t>
      </w:r>
      <w:r w:rsidR="008B4F47">
        <w:t>re</w:t>
      </w:r>
      <w:r>
        <w:t xml:space="preserve"> tenderers for Australian government contracts </w:t>
      </w:r>
      <w:r w:rsidR="000157E4">
        <w:t>(</w:t>
      </w:r>
      <w:r w:rsidRPr="000157E4" w:rsidR="000157E4">
        <w:t>worth more than $200,000</w:t>
      </w:r>
      <w:r w:rsidR="007D43F4">
        <w:t xml:space="preserve">) </w:t>
      </w:r>
      <w:r>
        <w:t xml:space="preserve">to disclose their country of tax domicile. </w:t>
      </w:r>
    </w:p>
    <w:p w:rsidR="003946DA" w:rsidP="000D11E8" w:rsidRDefault="008B4F47" w14:paraId="457A6670" w14:textId="7F7578C7">
      <w:pPr>
        <w:pStyle w:val="Dash"/>
      </w:pPr>
      <w:r>
        <w:t xml:space="preserve">The $200,000 </w:t>
      </w:r>
      <w:r w:rsidR="002C609E">
        <w:t>value</w:t>
      </w:r>
      <w:r>
        <w:t xml:space="preserve"> is an existing </w:t>
      </w:r>
      <w:r w:rsidR="002C609E">
        <w:t>threshold in the Commonwealth Procurement Framework</w:t>
      </w:r>
      <w:r w:rsidR="00050B50">
        <w:t xml:space="preserve">. It </w:t>
      </w:r>
      <w:r w:rsidR="001A70A7">
        <w:t>is the sec</w:t>
      </w:r>
      <w:r w:rsidR="00050B50">
        <w:t>ond highest threshold</w:t>
      </w:r>
      <w:r w:rsidR="003946DA">
        <w:t>.</w:t>
      </w:r>
    </w:p>
    <w:p w:rsidR="00E03772" w:rsidP="000D11E8" w:rsidRDefault="003946DA" w14:paraId="16E96A76" w14:textId="7FAC63F8">
      <w:pPr>
        <w:pStyle w:val="Dash"/>
      </w:pPr>
      <w:r>
        <w:t>T</w:t>
      </w:r>
      <w:r w:rsidR="002B7A5C">
        <w:t xml:space="preserve">his element does not require legislative amendments and </w:t>
      </w:r>
      <w:r w:rsidR="00D3033E">
        <w:t>will</w:t>
      </w:r>
      <w:r w:rsidR="002B7A5C">
        <w:t xml:space="preserve"> instead be implemented via </w:t>
      </w:r>
      <w:r w:rsidR="00835C3F">
        <w:t xml:space="preserve">administrative </w:t>
      </w:r>
      <w:r w:rsidR="00BC6DB9">
        <w:t>changes to</w:t>
      </w:r>
      <w:r w:rsidR="00835C3F">
        <w:t xml:space="preserve"> Commonwealth Procurement </w:t>
      </w:r>
      <w:r w:rsidR="00DA21BC">
        <w:t>Framework</w:t>
      </w:r>
      <w:r w:rsidR="00835C3F">
        <w:t xml:space="preserve"> material</w:t>
      </w:r>
      <w:r w:rsidRPr="0071196A" w:rsidR="00E03772">
        <w:t>.</w:t>
      </w:r>
    </w:p>
    <w:p w:rsidR="00FD1E32" w:rsidP="00275485" w:rsidRDefault="00F8563E" w14:paraId="720E6EB9" w14:textId="11CAD9EE">
      <w:r>
        <w:t xml:space="preserve">Requiring tenderers to disclose their tax domicile is a small part of the Government’s overall intent to enhance the information that </w:t>
      </w:r>
      <w:r w:rsidR="002B4A23">
        <w:t xml:space="preserve">entities disclose </w:t>
      </w:r>
      <w:r w:rsidR="00E62753">
        <w:t>in certain circumstances.</w:t>
      </w:r>
    </w:p>
    <w:p w:rsidRPr="00EA7824" w:rsidR="00EA7824" w:rsidP="00EA7824" w:rsidRDefault="008F6208" w14:paraId="0FE1D609" w14:textId="6D124ED6">
      <w:pPr>
        <w:pStyle w:val="Heading1"/>
      </w:pPr>
      <w:bookmarkStart w:name="_Toc138754496" w:id="7"/>
      <w:r>
        <w:t>Cost bene</w:t>
      </w:r>
      <w:r w:rsidR="0003186D">
        <w:t xml:space="preserve">fit analysis / </w:t>
      </w:r>
      <w:r w:rsidR="00962F90">
        <w:t>Impact analysis</w:t>
      </w:r>
      <w:bookmarkEnd w:id="7"/>
    </w:p>
    <w:p w:rsidR="0012280E" w:rsidP="00D26C73" w:rsidRDefault="0012280E" w14:paraId="7CDD1AEE" w14:textId="3ED872BB">
      <w:pPr>
        <w:pStyle w:val="Heading3"/>
      </w:pPr>
      <w:bookmarkStart w:name="_Toc138754497" w:id="8"/>
      <w:r>
        <w:t>Opt</w:t>
      </w:r>
      <w:r w:rsidR="004D7511">
        <w:t>ion 1</w:t>
      </w:r>
      <w:r w:rsidR="000C1B05">
        <w:t xml:space="preserve"> – status quo</w:t>
      </w:r>
      <w:bookmarkEnd w:id="8"/>
    </w:p>
    <w:p w:rsidR="00362C98" w:rsidP="00421585" w:rsidRDefault="003D2F05" w14:paraId="5ACB441D" w14:textId="5CF67704">
      <w:pPr>
        <w:rPr>
          <w:rStyle w:val="eop"/>
          <w:rFonts w:cs="Calibri Light"/>
          <w:szCs w:val="22"/>
        </w:rPr>
      </w:pPr>
      <w:r w:rsidRPr="00421585">
        <w:t>Maintaining the status quo would result in no</w:t>
      </w:r>
      <w:r w:rsidR="00EF399F">
        <w:rPr>
          <w:rStyle w:val="normaltextrun"/>
          <w:rFonts w:cs="Calibri Light"/>
          <w:szCs w:val="22"/>
        </w:rPr>
        <w:t xml:space="preserve"> change to </w:t>
      </w:r>
      <w:r w:rsidR="00757974">
        <w:rPr>
          <w:rStyle w:val="normaltextrun"/>
          <w:rFonts w:cs="Calibri Light"/>
          <w:szCs w:val="22"/>
        </w:rPr>
        <w:t>corporate tax</w:t>
      </w:r>
      <w:r w:rsidR="00700944">
        <w:rPr>
          <w:rStyle w:val="normaltextrun"/>
          <w:rFonts w:cs="Calibri Light"/>
          <w:szCs w:val="22"/>
        </w:rPr>
        <w:t xml:space="preserve"> disclosures</w:t>
      </w:r>
      <w:r w:rsidR="00757974">
        <w:rPr>
          <w:rStyle w:val="normaltextrun"/>
          <w:rFonts w:cs="Calibri Light"/>
          <w:szCs w:val="22"/>
        </w:rPr>
        <w:t xml:space="preserve">. </w:t>
      </w:r>
      <w:r w:rsidR="00FA43C5">
        <w:rPr>
          <w:rStyle w:val="normaltextrun"/>
          <w:rFonts w:cs="Calibri Light"/>
          <w:szCs w:val="22"/>
        </w:rPr>
        <w:t xml:space="preserve">It would also mean </w:t>
      </w:r>
      <w:r w:rsidR="00AD0180">
        <w:rPr>
          <w:rStyle w:val="normaltextrun"/>
          <w:rFonts w:cs="Calibri Light"/>
          <w:szCs w:val="22"/>
        </w:rPr>
        <w:t xml:space="preserve">Australia’s </w:t>
      </w:r>
      <w:r w:rsidR="003A1881">
        <w:rPr>
          <w:rStyle w:val="normaltextrun"/>
          <w:rFonts w:cs="Calibri Light"/>
          <w:szCs w:val="22"/>
        </w:rPr>
        <w:t xml:space="preserve">tax transparency framework </w:t>
      </w:r>
      <w:r w:rsidR="001B0C14">
        <w:rPr>
          <w:rStyle w:val="normaltextrun"/>
          <w:rFonts w:cs="Calibri Light"/>
          <w:szCs w:val="22"/>
        </w:rPr>
        <w:t xml:space="preserve">is not responding to </w:t>
      </w:r>
      <w:r w:rsidR="00A33D0D">
        <w:rPr>
          <w:rStyle w:val="normaltextrun"/>
          <w:rFonts w:cs="Calibri Light"/>
          <w:szCs w:val="22"/>
        </w:rPr>
        <w:t xml:space="preserve">global developments </w:t>
      </w:r>
      <w:r w:rsidR="008A4521">
        <w:rPr>
          <w:rStyle w:val="normaltextrun"/>
          <w:rFonts w:cs="Calibri Light"/>
          <w:szCs w:val="22"/>
        </w:rPr>
        <w:t xml:space="preserve">towards </w:t>
      </w:r>
      <w:r w:rsidR="0023533F">
        <w:rPr>
          <w:rStyle w:val="normaltextrun"/>
          <w:rFonts w:cs="Calibri Light"/>
          <w:szCs w:val="22"/>
        </w:rPr>
        <w:t>greater transparency and accountability on corporate activity</w:t>
      </w:r>
      <w:r w:rsidR="001B2930">
        <w:rPr>
          <w:rStyle w:val="normaltextrun"/>
          <w:rFonts w:cs="Calibri Light"/>
          <w:szCs w:val="22"/>
        </w:rPr>
        <w:t xml:space="preserve">, </w:t>
      </w:r>
      <w:r w:rsidR="008A4521">
        <w:rPr>
          <w:rStyle w:val="normaltextrun"/>
          <w:rFonts w:cs="Calibri Light"/>
          <w:szCs w:val="22"/>
        </w:rPr>
        <w:t>particularly</w:t>
      </w:r>
      <w:r w:rsidR="001B2930">
        <w:rPr>
          <w:rStyle w:val="normaltextrun"/>
          <w:rFonts w:cs="Calibri Light"/>
          <w:szCs w:val="22"/>
        </w:rPr>
        <w:t xml:space="preserve"> from large business. </w:t>
      </w:r>
      <w:r w:rsidR="00700944">
        <w:rPr>
          <w:rStyle w:val="normaltextrun"/>
          <w:rFonts w:cs="Calibri Light"/>
          <w:szCs w:val="22"/>
        </w:rPr>
        <w:t xml:space="preserve">Compliance costs are assumed to be neutral under this option. </w:t>
      </w:r>
    </w:p>
    <w:p w:rsidRPr="008D4EF3" w:rsidR="008D4EF3" w:rsidP="008D4EF3" w:rsidRDefault="008D4EF3" w14:paraId="0CF8B7B3" w14:textId="777C987E">
      <w:pPr>
        <w:pStyle w:val="Heading3"/>
      </w:pPr>
      <w:bookmarkStart w:name="_Toc138754498" w:id="9"/>
      <w:r w:rsidRPr="008D4EF3">
        <w:t>Option 2 – implementation of election commitment</w:t>
      </w:r>
      <w:bookmarkEnd w:id="9"/>
    </w:p>
    <w:p w:rsidR="00D26C73" w:rsidP="008D4EF3" w:rsidRDefault="00D26C73" w14:paraId="18C7BE47" w14:textId="6C5B696E">
      <w:pPr>
        <w:pStyle w:val="Heading4"/>
      </w:pPr>
      <w:r>
        <w:t xml:space="preserve">Public </w:t>
      </w:r>
      <w:r w:rsidR="00FB7B16">
        <w:t>c</w:t>
      </w:r>
      <w:r>
        <w:t>ountry</w:t>
      </w:r>
      <w:r w:rsidR="00FB7B16">
        <w:t>-</w:t>
      </w:r>
      <w:r>
        <w:t>by</w:t>
      </w:r>
      <w:r w:rsidR="00FB7B16">
        <w:t>-c</w:t>
      </w:r>
      <w:r>
        <w:t xml:space="preserve">ountry </w:t>
      </w:r>
      <w:r w:rsidR="00FB7B16">
        <w:t>r</w:t>
      </w:r>
      <w:r>
        <w:t>eporting</w:t>
      </w:r>
    </w:p>
    <w:p w:rsidR="005D2CBC" w:rsidP="005D2CBC" w:rsidRDefault="002873A1" w14:paraId="62161AB0" w14:textId="09E89315">
      <w:r w:rsidRPr="00421585">
        <w:t xml:space="preserve">The </w:t>
      </w:r>
      <w:r w:rsidR="00551F19">
        <w:t xml:space="preserve">introduction of a </w:t>
      </w:r>
      <w:r w:rsidR="00B144DD">
        <w:t xml:space="preserve">public CbC regime </w:t>
      </w:r>
      <w:r w:rsidR="002B7C69">
        <w:t>is intended to support</w:t>
      </w:r>
      <w:r w:rsidR="001D2471">
        <w:t xml:space="preserve"> better tax </w:t>
      </w:r>
      <w:r w:rsidR="00C83D60">
        <w:t>compliance</w:t>
      </w:r>
      <w:r w:rsidR="002A42C0">
        <w:t xml:space="preserve"> and help ensure taxation laws operate to raise the intended revenue</w:t>
      </w:r>
      <w:r w:rsidR="000E5980">
        <w:t xml:space="preserve">. </w:t>
      </w:r>
      <w:r w:rsidR="005D2CBC">
        <w:t xml:space="preserve">Public CbC reporting </w:t>
      </w:r>
      <w:r w:rsidR="00F53291">
        <w:t>i</w:t>
      </w:r>
      <w:r w:rsidR="00CC59BD">
        <w:t>s intended to operate i</w:t>
      </w:r>
      <w:r w:rsidR="00F53291">
        <w:t xml:space="preserve">n </w:t>
      </w:r>
      <w:r w:rsidR="00A4286D">
        <w:t>parallel with</w:t>
      </w:r>
      <w:r w:rsidR="00AC1E7A">
        <w:t xml:space="preserve"> other</w:t>
      </w:r>
      <w:r w:rsidR="00A4286D">
        <w:t xml:space="preserve"> measures to address </w:t>
      </w:r>
      <w:r w:rsidR="002849CE">
        <w:t xml:space="preserve">tax </w:t>
      </w:r>
      <w:r w:rsidR="00A4286D">
        <w:t>avoidance risks</w:t>
      </w:r>
      <w:r w:rsidR="00280C87">
        <w:t>.</w:t>
      </w:r>
      <w:r w:rsidR="005D2CBC">
        <w:t xml:space="preserve"> </w:t>
      </w:r>
    </w:p>
    <w:p w:rsidR="001105B9" w:rsidP="00421585" w:rsidRDefault="001105B9" w14:paraId="08C772AC" w14:textId="4BB3638C">
      <w:r>
        <w:t xml:space="preserve">While increased tax transparency </w:t>
      </w:r>
      <w:r w:rsidR="0075503B">
        <w:t xml:space="preserve">works to </w:t>
      </w:r>
      <w:r w:rsidR="00171C1B">
        <w:t>curb aggressive tax behaviour</w:t>
      </w:r>
      <w:r w:rsidR="00280C87">
        <w:t xml:space="preserve"> and will contribute to closing the gross tax gap of large corporates (estimated at $4.6 billion, 2019-20)</w:t>
      </w:r>
      <w:r w:rsidRPr="00450A0F" w:rsidR="00280C87">
        <w:rPr>
          <w:vertAlign w:val="superscript"/>
        </w:rPr>
        <w:footnoteReference w:id="19"/>
      </w:r>
      <w:r w:rsidR="00280C87">
        <w:t>,</w:t>
      </w:r>
      <w:r>
        <w:t xml:space="preserve"> </w:t>
      </w:r>
      <w:r w:rsidR="0075503B">
        <w:t>t</w:t>
      </w:r>
      <w:r w:rsidR="007918A4">
        <w:t>he benefit</w:t>
      </w:r>
      <w:r w:rsidR="00171C1B">
        <w:t xml:space="preserve"> impact</w:t>
      </w:r>
      <w:r w:rsidR="007918A4">
        <w:t xml:space="preserve"> of p</w:t>
      </w:r>
      <w:r w:rsidR="002849CE">
        <w:t xml:space="preserve">ublic CbC reporting </w:t>
      </w:r>
      <w:r w:rsidR="007918A4">
        <w:t xml:space="preserve">is </w:t>
      </w:r>
      <w:r w:rsidR="006165CD">
        <w:t>primarily a qualitative assessment</w:t>
      </w:r>
      <w:r w:rsidR="0075503B">
        <w:t xml:space="preserve"> – this </w:t>
      </w:r>
      <w:r w:rsidR="000E6377">
        <w:t xml:space="preserve">form of impact analysis </w:t>
      </w:r>
      <w:r w:rsidR="0075503B">
        <w:t xml:space="preserve">is </w:t>
      </w:r>
      <w:r w:rsidR="008B6B48">
        <w:t>also reflected in the EU’s assessment of public CbC reporting</w:t>
      </w:r>
      <w:r w:rsidR="006165CD">
        <w:t xml:space="preserve">. </w:t>
      </w:r>
    </w:p>
    <w:p w:rsidR="006D59C7" w:rsidP="00421585" w:rsidRDefault="000662A3" w14:paraId="7147902B" w14:textId="77777777">
      <w:r>
        <w:t xml:space="preserve">Public CbC reporting </w:t>
      </w:r>
      <w:r w:rsidR="00D823FF">
        <w:t>contributes to the welfare of Australian society</w:t>
      </w:r>
      <w:r w:rsidR="00354D70">
        <w:t>, more broadly,</w:t>
      </w:r>
      <w:r w:rsidR="00D823FF">
        <w:t xml:space="preserve"> by </w:t>
      </w:r>
      <w:r w:rsidR="002849CE">
        <w:t>enhanc</w:t>
      </w:r>
      <w:r w:rsidR="0092660D">
        <w:t>ing</w:t>
      </w:r>
      <w:r w:rsidR="00D62AC6">
        <w:t xml:space="preserve"> the</w:t>
      </w:r>
      <w:r w:rsidR="002849CE">
        <w:t xml:space="preserve"> public scrutiny of corporate income taxes borne by </w:t>
      </w:r>
      <w:r w:rsidR="00D30163">
        <w:t>MNEs</w:t>
      </w:r>
      <w:r w:rsidR="000C71B1">
        <w:t xml:space="preserve">. This helps to </w:t>
      </w:r>
      <w:r w:rsidR="0092660D">
        <w:t>foster increased corporate transparency and responsibility</w:t>
      </w:r>
      <w:r w:rsidR="00B60F4B">
        <w:t>, which, in turn, build</w:t>
      </w:r>
      <w:r w:rsidR="003051D3">
        <w:t>s</w:t>
      </w:r>
      <w:r w:rsidR="00B60F4B">
        <w:t xml:space="preserve"> community</w:t>
      </w:r>
      <w:r w:rsidR="005E3990">
        <w:t xml:space="preserve"> </w:t>
      </w:r>
      <w:r w:rsidR="00B60F4B">
        <w:t xml:space="preserve">trust </w:t>
      </w:r>
      <w:r w:rsidR="005E3990">
        <w:t>in the tax system</w:t>
      </w:r>
      <w:r w:rsidR="0092660D">
        <w:t>.</w:t>
      </w:r>
      <w:r w:rsidR="00E728F8">
        <w:t xml:space="preserve"> </w:t>
      </w:r>
    </w:p>
    <w:p w:rsidR="007A1903" w:rsidP="00421585" w:rsidRDefault="008367E6" w14:paraId="623A7085" w14:textId="7DEA341A">
      <w:r>
        <w:t xml:space="preserve">Enhanced public scrutiny </w:t>
      </w:r>
      <w:r w:rsidR="008F1F27">
        <w:t xml:space="preserve">works </w:t>
      </w:r>
      <w:r w:rsidR="002B46A4">
        <w:t>by</w:t>
      </w:r>
      <w:r w:rsidR="008F1F27">
        <w:t xml:space="preserve"> </w:t>
      </w:r>
      <w:r>
        <w:t>‘hold</w:t>
      </w:r>
      <w:r w:rsidR="002B46A4">
        <w:t>ing</w:t>
      </w:r>
      <w:r>
        <w:t xml:space="preserve"> companies to account’ on their activities in a jurisdiction </w:t>
      </w:r>
      <w:r w:rsidR="002A1EBD">
        <w:t>and</w:t>
      </w:r>
      <w:r w:rsidR="002B46A4">
        <w:t xml:space="preserve"> </w:t>
      </w:r>
      <w:r>
        <w:t>support</w:t>
      </w:r>
      <w:r w:rsidR="002B46A4">
        <w:t>s</w:t>
      </w:r>
      <w:r>
        <w:t xml:space="preserve"> a better assessment of MNEs’ activities in Australia and the impact of those activities on the economy, including whether they pay an appropriate amount of tax. </w:t>
      </w:r>
      <w:r w:rsidR="00404AE2">
        <w:t xml:space="preserve">As the EU noted </w:t>
      </w:r>
      <w:r w:rsidR="005B3FCF">
        <w:t xml:space="preserve">when they </w:t>
      </w:r>
      <w:r w:rsidR="00AD5CE4">
        <w:t xml:space="preserve">introduced their public CbC reporting directive, </w:t>
      </w:r>
      <w:r w:rsidR="00B142EA">
        <w:t>“such public scrutiny is necessary to promote a better-informed public debate regarding, in particular, the level of tax compliance of certain multinational</w:t>
      </w:r>
      <w:r w:rsidR="00640CB3">
        <w:t>s…</w:t>
      </w:r>
      <w:r w:rsidR="00B142EA">
        <w:t>and the impact of tax compliance</w:t>
      </w:r>
      <w:r w:rsidR="00640CB3">
        <w:t xml:space="preserve"> o</w:t>
      </w:r>
      <w:r w:rsidR="00781044">
        <w:t>n</w:t>
      </w:r>
      <w:r w:rsidR="00640CB3">
        <w:t xml:space="preserve"> the real economy”</w:t>
      </w:r>
      <w:r w:rsidRPr="00640CB3" w:rsidR="00640CB3">
        <w:rPr>
          <w:vertAlign w:val="superscript"/>
        </w:rPr>
        <w:footnoteReference w:id="20"/>
      </w:r>
      <w:r w:rsidR="007A1903">
        <w:t xml:space="preserve">. The same applies in the Australian context. </w:t>
      </w:r>
    </w:p>
    <w:p w:rsidR="00284B96" w:rsidP="00603323" w:rsidRDefault="00FB4488" w14:paraId="2B3B4D98" w14:textId="68FCB1DB">
      <w:r>
        <w:t>This increase in c</w:t>
      </w:r>
      <w:r w:rsidR="0006078C">
        <w:t xml:space="preserve">orporate income tax transparency </w:t>
      </w:r>
      <w:r w:rsidR="00871D9E">
        <w:t xml:space="preserve">also </w:t>
      </w:r>
      <w:r w:rsidR="0006078C">
        <w:t>w</w:t>
      </w:r>
      <w:r w:rsidR="00E335B2">
        <w:t xml:space="preserve">orks to </w:t>
      </w:r>
      <w:r w:rsidR="0006078C">
        <w:t xml:space="preserve">serve the general economic interest by providing for </w:t>
      </w:r>
      <w:r w:rsidR="00E335B2">
        <w:t>a</w:t>
      </w:r>
      <w:r w:rsidR="0006078C">
        <w:t xml:space="preserve"> safeguard for investors</w:t>
      </w:r>
      <w:r w:rsidR="004627D8">
        <w:t xml:space="preserve"> and </w:t>
      </w:r>
      <w:r w:rsidR="0006078C">
        <w:t>other third parties generally</w:t>
      </w:r>
      <w:r w:rsidR="00517113">
        <w:t xml:space="preserve"> – for example</w:t>
      </w:r>
      <w:r w:rsidR="005C2C1A">
        <w:t>,</w:t>
      </w:r>
      <w:r w:rsidR="00517113">
        <w:t xml:space="preserve"> through </w:t>
      </w:r>
      <w:r w:rsidR="00955CAC">
        <w:t xml:space="preserve">more informed </w:t>
      </w:r>
      <w:r w:rsidR="00FF2F4D">
        <w:t>and accurate information to assess capital investments.</w:t>
      </w:r>
      <w:r w:rsidR="00447810">
        <w:t xml:space="preserve"> </w:t>
      </w:r>
      <w:r w:rsidR="005E57B5">
        <w:t xml:space="preserve">For companies, the increased transparency </w:t>
      </w:r>
      <w:r w:rsidR="00601C16">
        <w:t>can lead to</w:t>
      </w:r>
      <w:r w:rsidR="005E57B5">
        <w:t xml:space="preserve"> a clearer risk profile and an enhanced reputation</w:t>
      </w:r>
      <w:r w:rsidR="007B374E">
        <w:t xml:space="preserve">, which would support </w:t>
      </w:r>
      <w:r w:rsidR="00BA2EC2">
        <w:t>better</w:t>
      </w:r>
      <w:r w:rsidR="007B374E">
        <w:t xml:space="preserve"> access to capital</w:t>
      </w:r>
      <w:r w:rsidR="005E57B5">
        <w:t>.</w:t>
      </w:r>
    </w:p>
    <w:p w:rsidR="000A7899" w:rsidP="00421585" w:rsidRDefault="00782A3E" w14:paraId="456D876D" w14:textId="4D60E2BA">
      <w:r>
        <w:t>The option to</w:t>
      </w:r>
      <w:r w:rsidR="002D3276">
        <w:t xml:space="preserve"> prescribe</w:t>
      </w:r>
      <w:r>
        <w:t xml:space="preserve"> th</w:t>
      </w:r>
      <w:r w:rsidR="00EF24A6">
        <w:t>is reporting</w:t>
      </w:r>
      <w:r w:rsidR="00A33E89">
        <w:t xml:space="preserve"> requirement in</w:t>
      </w:r>
      <w:r w:rsidR="002D3276">
        <w:t xml:space="preserve"> legislation</w:t>
      </w:r>
      <w:r w:rsidR="00EF24A6">
        <w:t xml:space="preserve"> is in keeping with international trends, reflecting the shift towards legislating transparency reporting frameworks – such as the EU’s directive on public CbC</w:t>
      </w:r>
      <w:r w:rsidR="001A5634">
        <w:t>.</w:t>
      </w:r>
      <w:r w:rsidR="00D8451B">
        <w:t xml:space="preserve"> A legislative approach</w:t>
      </w:r>
      <w:r w:rsidR="002D3276">
        <w:t xml:space="preserve"> ensure</w:t>
      </w:r>
      <w:r w:rsidR="00D8451B">
        <w:t>s</w:t>
      </w:r>
      <w:r w:rsidR="002D3276">
        <w:t xml:space="preserve"> standardis</w:t>
      </w:r>
      <w:r w:rsidR="00D8451B">
        <w:t>ed</w:t>
      </w:r>
      <w:r w:rsidR="002D3276">
        <w:t xml:space="preserve"> information disclosures</w:t>
      </w:r>
      <w:r w:rsidR="006E078F">
        <w:t xml:space="preserve">, </w:t>
      </w:r>
      <w:r w:rsidR="00AC3D55">
        <w:t xml:space="preserve">verifiable </w:t>
      </w:r>
      <w:r w:rsidR="00A722F5">
        <w:t xml:space="preserve">data </w:t>
      </w:r>
      <w:r w:rsidR="002D3276">
        <w:t xml:space="preserve">and </w:t>
      </w:r>
      <w:r w:rsidR="00E7579D">
        <w:t>provid</w:t>
      </w:r>
      <w:r w:rsidR="00AC3D55">
        <w:t>es</w:t>
      </w:r>
      <w:r w:rsidR="00E7579D">
        <w:t xml:space="preserve"> </w:t>
      </w:r>
      <w:r w:rsidR="00F74E1F">
        <w:t>that the data is</w:t>
      </w:r>
      <w:r w:rsidR="002D3276">
        <w:t xml:space="preserve"> published in a central location</w:t>
      </w:r>
      <w:r w:rsidR="004465D1">
        <w:t xml:space="preserve">. </w:t>
      </w:r>
      <w:r w:rsidR="00DF0ADB">
        <w:t>This enhanced data set</w:t>
      </w:r>
      <w:r w:rsidR="00117CEC">
        <w:t xml:space="preserve"> will support </w:t>
      </w:r>
      <w:r w:rsidR="007A2843">
        <w:t xml:space="preserve">better </w:t>
      </w:r>
      <w:r w:rsidR="00117CEC">
        <w:t>economic analysis of BEPS</w:t>
      </w:r>
      <w:r w:rsidR="007A2843">
        <w:t xml:space="preserve"> risks</w:t>
      </w:r>
      <w:r w:rsidR="00DF0ADB">
        <w:t xml:space="preserve"> contribut</w:t>
      </w:r>
      <w:r w:rsidR="007A2843">
        <w:t>ing</w:t>
      </w:r>
      <w:r w:rsidR="00DF0ADB">
        <w:t xml:space="preserve"> to a more informed discourse on tax </w:t>
      </w:r>
      <w:r w:rsidR="00B03F66">
        <w:t>setting</w:t>
      </w:r>
      <w:r w:rsidR="003E3112">
        <w:t>s</w:t>
      </w:r>
      <w:r w:rsidR="00B03F66">
        <w:t xml:space="preserve"> in Australia, </w:t>
      </w:r>
      <w:r w:rsidR="003E3112">
        <w:t xml:space="preserve">including </w:t>
      </w:r>
      <w:r w:rsidR="00B03F66">
        <w:t>whether the tax laws are operating as intended.</w:t>
      </w:r>
      <w:r w:rsidR="00DF0ADB">
        <w:t xml:space="preserve">  </w:t>
      </w:r>
    </w:p>
    <w:p w:rsidR="006D6E07" w:rsidP="00533263" w:rsidRDefault="00B03F66" w14:paraId="5043D582" w14:textId="60635E9C">
      <w:r>
        <w:t xml:space="preserve">While public CbC will be a </w:t>
      </w:r>
      <w:r w:rsidR="00DB38AF">
        <w:t>new disclosure regime</w:t>
      </w:r>
      <w:r w:rsidR="00763261">
        <w:t xml:space="preserve"> and will </w:t>
      </w:r>
      <w:r w:rsidR="00267FDA">
        <w:t>contri</w:t>
      </w:r>
      <w:r w:rsidR="005E5A94">
        <w:t xml:space="preserve">bute </w:t>
      </w:r>
      <w:r w:rsidR="00763261">
        <w:t>to some compliance costs</w:t>
      </w:r>
      <w:r w:rsidR="005E5A94">
        <w:t xml:space="preserve">, these costs </w:t>
      </w:r>
      <w:r w:rsidR="009D0F1C">
        <w:t>can be</w:t>
      </w:r>
      <w:r w:rsidR="005E5A94">
        <w:t xml:space="preserve"> justified given the public good outcomes outline</w:t>
      </w:r>
      <w:r w:rsidR="00B250F7">
        <w:t>d</w:t>
      </w:r>
      <w:r w:rsidR="005E5A94">
        <w:t xml:space="preserve"> above.</w:t>
      </w:r>
      <w:r w:rsidR="0027059D">
        <w:t xml:space="preserve"> </w:t>
      </w:r>
    </w:p>
    <w:p w:rsidRPr="00421585" w:rsidR="00BE7689" w:rsidP="00421585" w:rsidRDefault="006D6E07" w14:paraId="55843E2E" w14:textId="7286EA25">
      <w:r>
        <w:t xml:space="preserve">We estimate that </w:t>
      </w:r>
      <w:r w:rsidR="00211ADA">
        <w:t xml:space="preserve">the compliance costs would be </w:t>
      </w:r>
      <w:r w:rsidR="0027059D">
        <w:t>relatively minor compared to the revenues of in-scope multinationals</w:t>
      </w:r>
      <w:r w:rsidR="00211ADA">
        <w:t xml:space="preserve">. </w:t>
      </w:r>
      <w:r w:rsidR="008A288A">
        <w:t>However,</w:t>
      </w:r>
      <w:r w:rsidR="00211ADA">
        <w:t xml:space="preserve"> the </w:t>
      </w:r>
      <w:r w:rsidR="0084622C">
        <w:t>implementation approach seeks to minimise c</w:t>
      </w:r>
      <w:r w:rsidR="00DB38AF">
        <w:t>ompliance burden</w:t>
      </w:r>
      <w:r w:rsidR="00B049D0">
        <w:t xml:space="preserve">s </w:t>
      </w:r>
      <w:r w:rsidR="00EB6F81">
        <w:t xml:space="preserve">by leveraging existing </w:t>
      </w:r>
      <w:r w:rsidR="00533263">
        <w:t>transparency disclosures which entities comply with currently, either under the OECD BEPS Action 13, or voluntarily through the Board of Taxation’s Tax Transparency Code or Global Reporting Initiative tax standard.</w:t>
      </w:r>
      <w:r w:rsidR="00BC20F9">
        <w:t xml:space="preserve"> </w:t>
      </w:r>
      <w:r w:rsidR="00E801AB">
        <w:t>W</w:t>
      </w:r>
      <w:r w:rsidR="008340CC">
        <w:t>e also note that w</w:t>
      </w:r>
      <w:r w:rsidR="00E801AB">
        <w:t xml:space="preserve">hile </w:t>
      </w:r>
      <w:r w:rsidR="005755BF">
        <w:t>th</w:t>
      </w:r>
      <w:r w:rsidR="000F589C">
        <w:t xml:space="preserve">e </w:t>
      </w:r>
      <w:r w:rsidR="00244E67">
        <w:t xml:space="preserve">Global Reporting Initiative </w:t>
      </w:r>
      <w:r w:rsidR="000F589C">
        <w:t xml:space="preserve">has </w:t>
      </w:r>
      <w:r w:rsidR="00A028F5">
        <w:t>relatively low uptake for</w:t>
      </w:r>
      <w:r w:rsidR="00F128A7">
        <w:t xml:space="preserve"> tax disclosures</w:t>
      </w:r>
      <w:r w:rsidR="00523CBA">
        <w:t>,</w:t>
      </w:r>
      <w:r w:rsidR="00F128A7">
        <w:t xml:space="preserve"> it is a common</w:t>
      </w:r>
      <w:r w:rsidRPr="00421585" w:rsidR="002873A1">
        <w:t xml:space="preserve"> reporting </w:t>
      </w:r>
      <w:r w:rsidR="00302113">
        <w:t>standard for MNEs internationally</w:t>
      </w:r>
      <w:r w:rsidR="003B22E5">
        <w:t xml:space="preserve"> to comply with their </w:t>
      </w:r>
      <w:r w:rsidR="00AC5DC7">
        <w:t>governance requirements</w:t>
      </w:r>
      <w:r w:rsidRPr="00244E67" w:rsidR="006E5CAB">
        <w:rPr>
          <w:vertAlign w:val="superscript"/>
        </w:rPr>
        <w:footnoteReference w:id="21"/>
      </w:r>
      <w:r w:rsidRPr="00421585" w:rsidR="002873A1">
        <w:t xml:space="preserve">. </w:t>
      </w:r>
      <w:r w:rsidR="00734793">
        <w:t>We note that compliance costs could be considered further with additional consultation on elements of the measure.</w:t>
      </w:r>
    </w:p>
    <w:p w:rsidR="007E3F1B" w:rsidP="00421585" w:rsidRDefault="00907EEE" w14:paraId="37BBAE0A" w14:textId="5F316049">
      <w:r>
        <w:t>Public CbC reporting</w:t>
      </w:r>
      <w:r w:rsidR="0068194B">
        <w:t xml:space="preserve"> </w:t>
      </w:r>
      <w:r w:rsidR="002A059C">
        <w:t>would</w:t>
      </w:r>
      <w:r w:rsidR="0068194B">
        <w:t xml:space="preserve"> apply to </w:t>
      </w:r>
      <w:r w:rsidR="00E2230B">
        <w:t xml:space="preserve">Australian parent entities and foreign head quartered </w:t>
      </w:r>
      <w:r w:rsidR="0068194B">
        <w:t>entities</w:t>
      </w:r>
      <w:r w:rsidR="00E2230B">
        <w:t xml:space="preserve"> that meet the defin</w:t>
      </w:r>
      <w:r w:rsidR="00930B7B">
        <w:t>ition of a CbC reporting entity</w:t>
      </w:r>
      <w:r w:rsidR="00E174E1">
        <w:t xml:space="preserve">, </w:t>
      </w:r>
      <w:r w:rsidR="0068194B">
        <w:t>with the onus to publish the public CbC report falling on the parent entity</w:t>
      </w:r>
      <w:r w:rsidRPr="00352F41" w:rsidR="0068194B">
        <w:t>.</w:t>
      </w:r>
      <w:r w:rsidR="0068194B">
        <w:t xml:space="preserve"> This reflects that the parent entity will have the requisite information.</w:t>
      </w:r>
      <w:r w:rsidR="00054184">
        <w:t xml:space="preserve"> </w:t>
      </w:r>
      <w:r w:rsidR="00E74922">
        <w:t xml:space="preserve">We estimate </w:t>
      </w:r>
      <w:r w:rsidR="007E5179">
        <w:t xml:space="preserve">around </w:t>
      </w:r>
      <w:r w:rsidR="00E74922">
        <w:t>2,500 entities may be subject to the new regime</w:t>
      </w:r>
      <w:r w:rsidR="00E31291">
        <w:t xml:space="preserve">, </w:t>
      </w:r>
      <w:r w:rsidR="00676160">
        <w:t>based on</w:t>
      </w:r>
      <w:r w:rsidRPr="00676160" w:rsidR="00676160">
        <w:t xml:space="preserve"> th</w:t>
      </w:r>
      <w:r w:rsidR="00723A42">
        <w:t>e</w:t>
      </w:r>
      <w:r w:rsidRPr="00676160" w:rsidR="00676160">
        <w:t xml:space="preserve"> entities that are subject to the</w:t>
      </w:r>
      <w:r w:rsidR="00E31291">
        <w:t xml:space="preserve"> OECD</w:t>
      </w:r>
      <w:r w:rsidRPr="00676160" w:rsidR="00676160">
        <w:t xml:space="preserve"> CbC reporting regime</w:t>
      </w:r>
      <w:r w:rsidRPr="00E31291" w:rsidR="00E31291">
        <w:rPr>
          <w:vertAlign w:val="superscript"/>
        </w:rPr>
        <w:footnoteReference w:id="22"/>
      </w:r>
      <w:r w:rsidR="00E31291">
        <w:t>.</w:t>
      </w:r>
    </w:p>
    <w:p w:rsidR="00CB599C" w:rsidP="00631CC3" w:rsidRDefault="00AF7C50" w14:paraId="074EDFDE" w14:textId="0447B3A7">
      <w:r>
        <w:t>T</w:t>
      </w:r>
      <w:r w:rsidR="00053D54">
        <w:t xml:space="preserve">he </w:t>
      </w:r>
      <w:r w:rsidR="005358A4">
        <w:t>tax label disclosures</w:t>
      </w:r>
      <w:r w:rsidR="00687C4D">
        <w:t xml:space="preserve"> were amended to </w:t>
      </w:r>
      <w:r w:rsidR="00631CC3">
        <w:t>reflect existing CbC disclosure labels more closely</w:t>
      </w:r>
      <w:r w:rsidR="00ED0F25">
        <w:t>, informed by stakeholder feedback</w:t>
      </w:r>
      <w:r w:rsidR="00B97847">
        <w:t>.</w:t>
      </w:r>
      <w:r w:rsidR="00631CC3">
        <w:t xml:space="preserve"> </w:t>
      </w:r>
    </w:p>
    <w:p w:rsidR="00054184" w:rsidP="00421585" w:rsidRDefault="00AD495C" w14:paraId="47929851" w14:textId="43C9B990">
      <w:r>
        <w:t>Reflecting the implementation changes</w:t>
      </w:r>
      <w:r w:rsidR="00B659E7">
        <w:t xml:space="preserve">, </w:t>
      </w:r>
      <w:r w:rsidR="001B24D8">
        <w:t xml:space="preserve">minor </w:t>
      </w:r>
      <w:r w:rsidR="00282A9A">
        <w:t>o</w:t>
      </w:r>
      <w:r w:rsidRPr="00054184" w:rsidR="00282A9A">
        <w:t xml:space="preserve">ne-off increases in compliance costs associated with </w:t>
      </w:r>
      <w:r w:rsidR="00282A9A">
        <w:t>complying with</w:t>
      </w:r>
      <w:r w:rsidRPr="00054184" w:rsidR="00282A9A">
        <w:t xml:space="preserve"> the </w:t>
      </w:r>
      <w:r w:rsidR="00282A9A">
        <w:t xml:space="preserve">new </w:t>
      </w:r>
      <w:r w:rsidR="002C2BB5">
        <w:t>CbC</w:t>
      </w:r>
      <w:r w:rsidR="00282A9A">
        <w:t xml:space="preserve"> disclosure obligations</w:t>
      </w:r>
      <w:r w:rsidR="00F85202">
        <w:t xml:space="preserve"> are</w:t>
      </w:r>
      <w:r w:rsidR="00282A9A">
        <w:t xml:space="preserve"> likely to </w:t>
      </w:r>
      <w:r w:rsidRPr="00054184" w:rsidR="00282A9A">
        <w:t>occur in the first income year following commencement</w:t>
      </w:r>
      <w:r w:rsidR="00282A9A">
        <w:t xml:space="preserve">. </w:t>
      </w:r>
      <w:r w:rsidR="00631CC3">
        <w:t>We note there will be</w:t>
      </w:r>
      <w:r w:rsidRPr="00315F23" w:rsidR="00631CC3">
        <w:t xml:space="preserve"> </w:t>
      </w:r>
      <w:r w:rsidR="002C7F20">
        <w:t>initial search costs</w:t>
      </w:r>
      <w:r w:rsidR="00215C95">
        <w:t>, namely</w:t>
      </w:r>
      <w:r w:rsidR="002C7F20">
        <w:t xml:space="preserve"> </w:t>
      </w:r>
      <w:r w:rsidR="00631CC3">
        <w:t>a lea</w:t>
      </w:r>
      <w:r w:rsidR="005C6E80">
        <w:t>r</w:t>
      </w:r>
      <w:r w:rsidR="00631CC3">
        <w:t xml:space="preserve">ning and </w:t>
      </w:r>
      <w:r w:rsidRPr="00315F23" w:rsidR="00631CC3">
        <w:t>education component a</w:t>
      </w:r>
      <w:r w:rsidR="002B56BD">
        <w:t>nd</w:t>
      </w:r>
      <w:r w:rsidRPr="00315F23" w:rsidR="00631CC3">
        <w:t xml:space="preserve"> potentially </w:t>
      </w:r>
      <w:r w:rsidR="00631CC3">
        <w:t xml:space="preserve">evaluation and </w:t>
      </w:r>
      <w:r w:rsidRPr="00315F23" w:rsidR="00631CC3">
        <w:t xml:space="preserve">planning requirements, however, these are not </w:t>
      </w:r>
      <w:r w:rsidR="0091620C">
        <w:t xml:space="preserve">anticipated </w:t>
      </w:r>
      <w:r w:rsidRPr="00315F23" w:rsidR="00631CC3">
        <w:t>to be significant</w:t>
      </w:r>
      <w:r w:rsidR="00631CC3">
        <w:t>, given the final design reflects, generally, existing CbC disclosures</w:t>
      </w:r>
      <w:r w:rsidR="00150C7E">
        <w:t xml:space="preserve"> (such </w:t>
      </w:r>
      <w:r w:rsidR="00F41045">
        <w:t>as</w:t>
      </w:r>
      <w:r w:rsidR="00150C7E">
        <w:t xml:space="preserve"> MNE</w:t>
      </w:r>
      <w:r w:rsidR="0036718F">
        <w:t xml:space="preserve">s </w:t>
      </w:r>
      <w:r w:rsidR="00F41045">
        <w:t>disclosures</w:t>
      </w:r>
      <w:r w:rsidR="00150C7E">
        <w:t xml:space="preserve"> to tax administrators as part </w:t>
      </w:r>
      <w:r w:rsidR="007071ED">
        <w:t>of</w:t>
      </w:r>
      <w:r w:rsidR="00150C7E">
        <w:t xml:space="preserve"> their OECD BEPS Action 13 obligations</w:t>
      </w:r>
      <w:r w:rsidR="00F41045">
        <w:t>)</w:t>
      </w:r>
      <w:r w:rsidRPr="00315F23" w:rsidR="00631CC3">
        <w:t>.</w:t>
      </w:r>
      <w:r w:rsidR="00A134E2">
        <w:t xml:space="preserve"> </w:t>
      </w:r>
      <w:r w:rsidR="00F21ABA">
        <w:t xml:space="preserve">Stakeholder submissions did not </w:t>
      </w:r>
      <w:r w:rsidR="005723FD">
        <w:t xml:space="preserve">quantify the estimated compliance cost to comply with this regime. </w:t>
      </w:r>
      <w:r w:rsidR="007C635E">
        <w:t>Treasury’s estimate</w:t>
      </w:r>
      <w:r w:rsidR="00381FA6">
        <w:t>s</w:t>
      </w:r>
      <w:r w:rsidR="007F3558">
        <w:t xml:space="preserve"> of the a</w:t>
      </w:r>
      <w:r w:rsidR="00A134E2">
        <w:t>dministrative (labour) costs</w:t>
      </w:r>
      <w:r w:rsidR="00C456CE">
        <w:t xml:space="preserve"> are</w:t>
      </w:r>
      <w:r w:rsidR="006E4A2E">
        <w:t xml:space="preserve"> based on </w:t>
      </w:r>
      <w:r w:rsidR="00215C95">
        <w:t xml:space="preserve">the </w:t>
      </w:r>
      <w:r w:rsidR="006E4A2E">
        <w:t xml:space="preserve">initial </w:t>
      </w:r>
      <w:r w:rsidR="00615996">
        <w:t>search</w:t>
      </w:r>
      <w:r w:rsidR="006E4A2E">
        <w:t xml:space="preserve"> </w:t>
      </w:r>
      <w:r w:rsidR="008870F0">
        <w:t>costs</w:t>
      </w:r>
      <w:r w:rsidR="00121AEA">
        <w:t>. This estimate has not c</w:t>
      </w:r>
      <w:r w:rsidR="00D109E3">
        <w:t xml:space="preserve">onsidered </w:t>
      </w:r>
      <w:r w:rsidR="00475CBF">
        <w:t>data automation or internal systems upgrades</w:t>
      </w:r>
      <w:r w:rsidR="007928BA">
        <w:t>, owing to a lack of available information</w:t>
      </w:r>
      <w:r w:rsidR="00A134E2">
        <w:t>.</w:t>
      </w:r>
      <w:r w:rsidR="00607F20">
        <w:t xml:space="preserve"> </w:t>
      </w:r>
    </w:p>
    <w:p w:rsidRPr="007963E0" w:rsidR="00D718E0" w:rsidP="007963E0" w:rsidRDefault="007963E0" w14:paraId="706EE4EE" w14:textId="564E56BD">
      <w:pPr>
        <w:rPr>
          <w:b/>
          <w:bCs/>
        </w:rPr>
      </w:pPr>
      <w:r w:rsidRPr="00873B3A">
        <w:rPr>
          <w:b/>
          <w:bCs/>
        </w:rPr>
        <w:t>Regulatory impact costs</w:t>
      </w:r>
    </w:p>
    <w:tbl>
      <w:tblPr>
        <w:tblStyle w:val="TableGrid"/>
        <w:tblW w:w="9214" w:type="dxa"/>
        <w:tblLook w:val="04A0" w:firstRow="1" w:lastRow="0" w:firstColumn="1" w:lastColumn="0" w:noHBand="0" w:noVBand="1"/>
      </w:tblPr>
      <w:tblGrid>
        <w:gridCol w:w="3828"/>
        <w:gridCol w:w="5386"/>
      </w:tblGrid>
      <w:tr w:rsidR="00D718E0" w14:paraId="574EDEF4" w14:textId="77777777">
        <w:trPr>
          <w:cnfStyle w:val="100000000000" w:firstRow="1" w:lastRow="0" w:firstColumn="0" w:lastColumn="0" w:oddVBand="0" w:evenVBand="0" w:oddHBand="0" w:evenHBand="0" w:firstRowFirstColumn="0" w:firstRowLastColumn="0" w:lastRowFirstColumn="0" w:lastRowLastColumn="0"/>
        </w:trPr>
        <w:tc>
          <w:tcPr>
            <w:tcW w:w="3828" w:type="dxa"/>
          </w:tcPr>
          <w:p w:rsidR="00D718E0" w:rsidRDefault="00D718E0" w14:paraId="06105F93" w14:textId="77777777">
            <w:r>
              <w:t>Potential compliance costs</w:t>
            </w:r>
          </w:p>
        </w:tc>
        <w:tc>
          <w:tcPr>
            <w:tcW w:w="5386" w:type="dxa"/>
          </w:tcPr>
          <w:p w:rsidR="00D718E0" w:rsidRDefault="00D718E0" w14:paraId="3D2F369C" w14:textId="77777777">
            <w:r>
              <w:t>Total</w:t>
            </w:r>
          </w:p>
        </w:tc>
      </w:tr>
      <w:tr w:rsidR="00D718E0" w14:paraId="5779BF98" w14:textId="77777777">
        <w:tc>
          <w:tcPr>
            <w:tcW w:w="3828" w:type="dxa"/>
          </w:tcPr>
          <w:p w:rsidR="00D718E0" w:rsidRDefault="00D718E0" w14:paraId="07CC2025" w14:textId="77777777">
            <w:r>
              <w:t>Implementation</w:t>
            </w:r>
          </w:p>
        </w:tc>
        <w:tc>
          <w:tcPr>
            <w:tcW w:w="5386" w:type="dxa"/>
          </w:tcPr>
          <w:p w:rsidR="00D718E0" w:rsidRDefault="00D718E0" w14:paraId="3CF9D554" w14:textId="09CF6BEE">
            <w:r w:rsidRPr="007E2083">
              <w:t>$</w:t>
            </w:r>
            <w:r w:rsidR="00885D71">
              <w:t>25</w:t>
            </w:r>
            <w:r w:rsidRPr="007E2083">
              <w:t>,</w:t>
            </w:r>
            <w:r w:rsidRPr="007E2083" w:rsidR="002E42E1">
              <w:t>000</w:t>
            </w:r>
            <w:r w:rsidRPr="007E2083">
              <w:t>,000 (2</w:t>
            </w:r>
            <w:r w:rsidRPr="007E2083" w:rsidR="00ED5F15">
              <w:t>,</w:t>
            </w:r>
            <w:r w:rsidRPr="007E2083" w:rsidR="002B618E">
              <w:t>5</w:t>
            </w:r>
            <w:r w:rsidRPr="007E2083">
              <w:t>00 entities x $</w:t>
            </w:r>
            <w:r w:rsidR="005A45DA">
              <w:t>1</w:t>
            </w:r>
            <w:r w:rsidRPr="007E2083" w:rsidR="00AC477A">
              <w:t>0</w:t>
            </w:r>
            <w:r w:rsidRPr="007E2083">
              <w:t>,</w:t>
            </w:r>
            <w:r w:rsidRPr="007E2083" w:rsidR="002E42E1">
              <w:t>00</w:t>
            </w:r>
            <w:r w:rsidRPr="007E2083">
              <w:t>0 per entity</w:t>
            </w:r>
            <w:r>
              <w:t>)</w:t>
            </w:r>
            <w:r w:rsidRPr="00215C95" w:rsidR="00964481">
              <w:rPr>
                <w:sz w:val="22"/>
                <w:vertAlign w:val="superscript"/>
              </w:rPr>
              <w:footnoteReference w:id="23"/>
            </w:r>
          </w:p>
        </w:tc>
      </w:tr>
    </w:tbl>
    <w:p w:rsidR="008116EE" w:rsidP="008116EE" w:rsidRDefault="00907724" w14:paraId="5CF0B24E" w14:textId="6DAEB029">
      <w:r>
        <w:t>We anticipate</w:t>
      </w:r>
      <w:r w:rsidR="00FB62F0">
        <w:t xml:space="preserve"> entities </w:t>
      </w:r>
      <w:r>
        <w:t>to</w:t>
      </w:r>
      <w:r w:rsidR="00FB62F0">
        <w:t xml:space="preserve"> incur</w:t>
      </w:r>
      <w:r w:rsidRPr="00E26587" w:rsidR="00FB62F0">
        <w:t xml:space="preserve"> minor ongoing record keeping costs</w:t>
      </w:r>
      <w:r w:rsidR="00FB62F0">
        <w:t xml:space="preserve">, however this </w:t>
      </w:r>
      <w:r w:rsidRPr="00E26587" w:rsidR="00FB62F0">
        <w:t xml:space="preserve">should align with </w:t>
      </w:r>
      <w:r w:rsidR="00FB62F0">
        <w:t>current</w:t>
      </w:r>
      <w:r w:rsidRPr="00E26587" w:rsidR="00FB62F0">
        <w:t xml:space="preserve"> practices</w:t>
      </w:r>
      <w:r w:rsidR="00FB62F0">
        <w:t xml:space="preserve"> or reflect business as usual procedure.</w:t>
      </w:r>
      <w:r w:rsidRPr="00E26587" w:rsidR="00FB62F0">
        <w:t xml:space="preserve"> </w:t>
      </w:r>
    </w:p>
    <w:p w:rsidR="00D26C73" w:rsidP="0030222C" w:rsidRDefault="00E4624D" w14:paraId="0FA4F789" w14:textId="4B91853C">
      <w:pPr>
        <w:pStyle w:val="Heading4"/>
      </w:pPr>
      <w:r>
        <w:t xml:space="preserve">Disclosure of </w:t>
      </w:r>
      <w:r w:rsidR="004B4F63">
        <w:t>subsidiary information</w:t>
      </w:r>
    </w:p>
    <w:p w:rsidR="000054D3" w:rsidP="00441709" w:rsidRDefault="0075662A" w14:paraId="5ADC9F12" w14:textId="4C59C693">
      <w:r>
        <w:t xml:space="preserve">The </w:t>
      </w:r>
      <w:r w:rsidR="00C2723A">
        <w:t xml:space="preserve">policy intent of </w:t>
      </w:r>
      <w:r w:rsidR="00FD49A4">
        <w:t xml:space="preserve">subsidiary disclosures is to </w:t>
      </w:r>
      <w:r w:rsidR="006A41E6">
        <w:t xml:space="preserve">increase the </w:t>
      </w:r>
      <w:r w:rsidR="00AE00C2">
        <w:t xml:space="preserve">transparency of company structuring arrangements. </w:t>
      </w:r>
      <w:r w:rsidR="00420EE0">
        <w:t xml:space="preserve">The </w:t>
      </w:r>
      <w:r w:rsidR="004B7F08">
        <w:t xml:space="preserve">use of complex structures and multiple </w:t>
      </w:r>
      <w:r w:rsidR="00C26CFE">
        <w:t xml:space="preserve">subsidiaries </w:t>
      </w:r>
      <w:r w:rsidR="00605078">
        <w:t xml:space="preserve">globally can be </w:t>
      </w:r>
      <w:r w:rsidR="0049632B">
        <w:t xml:space="preserve">an indicator of base erosion and profit shifting risk, </w:t>
      </w:r>
      <w:r w:rsidR="00AE6D7D">
        <w:t xml:space="preserve">for instance, </w:t>
      </w:r>
      <w:r w:rsidR="006F1E5A">
        <w:t>using</w:t>
      </w:r>
      <w:r w:rsidR="00AE6D7D">
        <w:t xml:space="preserve"> related </w:t>
      </w:r>
      <w:r w:rsidR="00064538">
        <w:t>party payments</w:t>
      </w:r>
      <w:r w:rsidR="004158B9">
        <w:t xml:space="preserve"> and purchases</w:t>
      </w:r>
      <w:r w:rsidR="0044215C">
        <w:t xml:space="preserve"> to reduce Australian tax</w:t>
      </w:r>
      <w:r w:rsidR="00DF47A2">
        <w:t xml:space="preserve"> payable</w:t>
      </w:r>
      <w:r w:rsidR="009F2F8E">
        <w:t xml:space="preserve">. </w:t>
      </w:r>
    </w:p>
    <w:p w:rsidR="00A50665" w:rsidP="00441709" w:rsidRDefault="000413DC" w14:paraId="2293BD5D" w14:textId="4DF070F7">
      <w:r>
        <w:t xml:space="preserve">This disclosure will </w:t>
      </w:r>
      <w:r w:rsidRPr="00675FE6" w:rsidR="00675FE6">
        <w:t xml:space="preserve">enhance the public scrutiny </w:t>
      </w:r>
      <w:r w:rsidR="007F127A">
        <w:t xml:space="preserve">as to how </w:t>
      </w:r>
      <w:r w:rsidRPr="00675FE6" w:rsidR="00675FE6">
        <w:t>public companies operat</w:t>
      </w:r>
      <w:r w:rsidR="007F127A">
        <w:t>e</w:t>
      </w:r>
      <w:r w:rsidRPr="00675FE6" w:rsidR="00675FE6">
        <w:t xml:space="preserve"> in Australia</w:t>
      </w:r>
      <w:r w:rsidR="009B6903">
        <w:t xml:space="preserve"> </w:t>
      </w:r>
      <w:r w:rsidR="00244EB1">
        <w:t xml:space="preserve">by </w:t>
      </w:r>
      <w:r w:rsidR="00B663CE">
        <w:t>removing</w:t>
      </w:r>
      <w:r w:rsidR="00C069FB">
        <w:t xml:space="preserve"> discretion</w:t>
      </w:r>
      <w:r w:rsidR="004B78B5">
        <w:t xml:space="preserve"> around what is or is not included</w:t>
      </w:r>
      <w:r w:rsidR="005E47A1">
        <w:t xml:space="preserve"> in financial reporting</w:t>
      </w:r>
      <w:r w:rsidR="004B78B5">
        <w:t xml:space="preserve">. </w:t>
      </w:r>
      <w:r w:rsidR="007F127A">
        <w:t>For</w:t>
      </w:r>
      <w:r w:rsidR="004B78B5">
        <w:t xml:space="preserve"> example, </w:t>
      </w:r>
      <w:r w:rsidR="001454C7">
        <w:t>t</w:t>
      </w:r>
      <w:r w:rsidR="00DD28F0">
        <w:t xml:space="preserve">he requirement to </w:t>
      </w:r>
      <w:r w:rsidR="00D75F5C">
        <w:t xml:space="preserve">report on all </w:t>
      </w:r>
      <w:r w:rsidR="00FF68FA">
        <w:t xml:space="preserve">subsidiaries </w:t>
      </w:r>
      <w:r w:rsidR="00000F0D">
        <w:t xml:space="preserve">is intended to capture </w:t>
      </w:r>
      <w:r w:rsidR="000F7159">
        <w:t xml:space="preserve">structures </w:t>
      </w:r>
      <w:r w:rsidR="00AF3EA7">
        <w:t>that may not currently meet the existing threshold</w:t>
      </w:r>
      <w:r w:rsidR="00A45929">
        <w:t xml:space="preserve"> for disclosure (generally based on a subjective “materiality” assessment)</w:t>
      </w:r>
      <w:r w:rsidR="00AF3EA7">
        <w:t xml:space="preserve">, but nonetheless </w:t>
      </w:r>
      <w:r w:rsidR="004A2B7F">
        <w:t xml:space="preserve">may have </w:t>
      </w:r>
      <w:r w:rsidR="00204CB2">
        <w:t xml:space="preserve">some </w:t>
      </w:r>
      <w:r w:rsidR="00EF1E7E">
        <w:t>form of control</w:t>
      </w:r>
      <w:r w:rsidR="008703F4">
        <w:t>/influence</w:t>
      </w:r>
      <w:r w:rsidR="00EF1E7E">
        <w:t xml:space="preserve"> over the domestic </w:t>
      </w:r>
      <w:r w:rsidR="008703F4">
        <w:t>entity.</w:t>
      </w:r>
      <w:r w:rsidR="004471C7">
        <w:t xml:space="preserve"> This approach is consistent with other jurisdictions, such as the UK, which ha</w:t>
      </w:r>
      <w:r w:rsidR="003779BD">
        <w:t>s</w:t>
      </w:r>
      <w:r w:rsidR="004471C7">
        <w:t xml:space="preserve"> similar laws</w:t>
      </w:r>
      <w:r w:rsidR="003779BD">
        <w:t>.</w:t>
      </w:r>
      <w:r w:rsidR="00A50665">
        <w:t xml:space="preserve"> </w:t>
      </w:r>
    </w:p>
    <w:p w:rsidR="00F66957" w:rsidP="00441709" w:rsidRDefault="00671F76" w14:paraId="589EC792" w14:textId="3E889735">
      <w:r>
        <w:t xml:space="preserve">Additionally, </w:t>
      </w:r>
      <w:r w:rsidR="00B875DC">
        <w:t xml:space="preserve">Treasury </w:t>
      </w:r>
      <w:r w:rsidR="001836C6">
        <w:t xml:space="preserve">is of the understanding </w:t>
      </w:r>
      <w:r w:rsidR="00B875DC">
        <w:t xml:space="preserve">that </w:t>
      </w:r>
      <w:r w:rsidR="00BC552C">
        <w:t xml:space="preserve">when </w:t>
      </w:r>
      <w:r w:rsidR="0066014B">
        <w:t>similar</w:t>
      </w:r>
      <w:r w:rsidR="00BC552C">
        <w:t xml:space="preserve"> </w:t>
      </w:r>
      <w:r w:rsidR="00223A14">
        <w:t xml:space="preserve">disclosure obligations had been introduced overseas (such as in the UK), that it </w:t>
      </w:r>
      <w:r w:rsidR="004A7247">
        <w:t xml:space="preserve">resulted in </w:t>
      </w:r>
      <w:r w:rsidR="0066014B">
        <w:t xml:space="preserve">some companies opting to simplify their structures (either by removing dormant structures or operating through subsidiaries). </w:t>
      </w:r>
      <w:r w:rsidR="0049086D">
        <w:t>This outcome would further support the increased transparency outcome</w:t>
      </w:r>
      <w:r w:rsidR="00AF53FE">
        <w:t xml:space="preserve"> by reducing opaque tax structures</w:t>
      </w:r>
      <w:r w:rsidR="0049086D">
        <w:t>.</w:t>
      </w:r>
    </w:p>
    <w:p w:rsidR="00E82899" w:rsidP="00E82899" w:rsidRDefault="00E82899" w14:paraId="27E8F31D" w14:textId="77777777">
      <w:r>
        <w:t>When applied with the public CbC reporting option, this will hold companies to greater account on their corporate structuring/tax affairs.</w:t>
      </w:r>
    </w:p>
    <w:p w:rsidR="00C45864" w:rsidP="00C45864" w:rsidRDefault="00934AAB" w14:paraId="3F90D59C" w14:textId="403C4DE1">
      <w:r>
        <w:t xml:space="preserve">While the population of in-scope entities is </w:t>
      </w:r>
      <w:r w:rsidR="00435144">
        <w:t xml:space="preserve">potentially </w:t>
      </w:r>
      <w:r>
        <w:t>large</w:t>
      </w:r>
      <w:r w:rsidRPr="00A3314F" w:rsidR="00236E01">
        <w:rPr>
          <w:vertAlign w:val="superscript"/>
        </w:rPr>
        <w:footnoteReference w:id="24"/>
      </w:r>
      <w:r w:rsidR="00127896">
        <w:t>, t</w:t>
      </w:r>
      <w:r w:rsidR="008703F4">
        <w:t xml:space="preserve">his option is </w:t>
      </w:r>
      <w:r w:rsidR="00781EBA">
        <w:t>anticipated</w:t>
      </w:r>
      <w:r w:rsidR="004D0948">
        <w:t xml:space="preserve"> to </w:t>
      </w:r>
      <w:r w:rsidR="00A137C5">
        <w:t>have a</w:t>
      </w:r>
      <w:r w:rsidR="00235DC7">
        <w:t>n observed</w:t>
      </w:r>
      <w:r w:rsidR="00A137C5">
        <w:t xml:space="preserve"> compliance effect on</w:t>
      </w:r>
      <w:r w:rsidR="00781EBA">
        <w:t>ly on</w:t>
      </w:r>
      <w:r w:rsidR="00A137C5">
        <w:t xml:space="preserve"> </w:t>
      </w:r>
      <w:r w:rsidR="00CD187D">
        <w:t xml:space="preserve">entities with complex </w:t>
      </w:r>
      <w:r w:rsidR="00A414AE">
        <w:t xml:space="preserve">structures </w:t>
      </w:r>
      <w:r w:rsidR="00CD187D">
        <w:t xml:space="preserve">(i.e. </w:t>
      </w:r>
      <w:r w:rsidR="006C5AF2">
        <w:t xml:space="preserve">those operating with </w:t>
      </w:r>
      <w:r w:rsidR="00CD187D">
        <w:t>m</w:t>
      </w:r>
      <w:r w:rsidR="00A414AE">
        <w:t xml:space="preserve">ultiple </w:t>
      </w:r>
      <w:r w:rsidR="00D27D8F">
        <w:t>subsidiaries</w:t>
      </w:r>
      <w:r w:rsidR="00E346E7">
        <w:t>)</w:t>
      </w:r>
      <w:r w:rsidR="006F7DE9">
        <w:t>.</w:t>
      </w:r>
      <w:r w:rsidR="00FD31A0">
        <w:t xml:space="preserve"> </w:t>
      </w:r>
      <w:r w:rsidR="007451A8">
        <w:t xml:space="preserve">As an indicative estimate, there are approximately 471 </w:t>
      </w:r>
      <w:r w:rsidR="00867B6A">
        <w:t>l</w:t>
      </w:r>
      <w:r w:rsidR="007451A8">
        <w:t>arge corporate groups (Australian public companies), with a group turnover greater than $250 million</w:t>
      </w:r>
      <w:r w:rsidRPr="00BE1A68" w:rsidR="007451A8">
        <w:rPr>
          <w:vertAlign w:val="superscript"/>
        </w:rPr>
        <w:footnoteReference w:id="25"/>
      </w:r>
      <w:r w:rsidR="007451A8">
        <w:t>. These entities operate across all sectors. This cohort is the focus of the estimated regulatory burden measurement</w:t>
      </w:r>
      <w:r w:rsidR="005127AB">
        <w:t xml:space="preserve"> – this has not been tested with industry</w:t>
      </w:r>
      <w:r w:rsidR="000B165A">
        <w:t xml:space="preserve">, as </w:t>
      </w:r>
      <w:r w:rsidR="00E70BC9">
        <w:t>stakeholders di</w:t>
      </w:r>
      <w:r w:rsidR="00925FA7">
        <w:t>d</w:t>
      </w:r>
      <w:r w:rsidR="00E70BC9">
        <w:t xml:space="preserve"> not respond to </w:t>
      </w:r>
      <w:r w:rsidR="00925FA7">
        <w:t>relevant questions in consultation in a quantitative manner</w:t>
      </w:r>
      <w:r w:rsidR="007451A8">
        <w:t>.</w:t>
      </w:r>
      <w:r w:rsidR="007252F5">
        <w:t xml:space="preserve"> </w:t>
      </w:r>
      <w:r w:rsidR="00D91DE2">
        <w:t xml:space="preserve">We </w:t>
      </w:r>
      <w:r w:rsidR="003974D6">
        <w:t>a</w:t>
      </w:r>
      <w:r w:rsidR="00D91DE2">
        <w:t xml:space="preserve">nticipate </w:t>
      </w:r>
      <w:r w:rsidR="002A2C55">
        <w:t>compliance burdens</w:t>
      </w:r>
      <w:r w:rsidR="00170E3A">
        <w:t xml:space="preserve"> </w:t>
      </w:r>
      <w:r w:rsidR="00D91DE2">
        <w:t xml:space="preserve">to be </w:t>
      </w:r>
      <w:r w:rsidR="00170E3A">
        <w:t xml:space="preserve">muted </w:t>
      </w:r>
      <w:r w:rsidR="005E2896">
        <w:t xml:space="preserve">for </w:t>
      </w:r>
      <w:r w:rsidR="00D91DE2">
        <w:t>listed ASX companies, who already provide this disclosure, in some form</w:t>
      </w:r>
      <w:r w:rsidR="005E2896">
        <w:t xml:space="preserve">, and should have the </w:t>
      </w:r>
      <w:r w:rsidR="00856479">
        <w:t>requisite</w:t>
      </w:r>
      <w:r w:rsidR="005E2896">
        <w:t xml:space="preserve"> information ready</w:t>
      </w:r>
      <w:r w:rsidR="00D91DE2">
        <w:t>. For s</w:t>
      </w:r>
      <w:r w:rsidR="00CA6F97">
        <w:t>mall</w:t>
      </w:r>
      <w:r w:rsidR="004C217D">
        <w:t>er</w:t>
      </w:r>
      <w:r w:rsidR="00CA6F97">
        <w:t xml:space="preserve"> companies</w:t>
      </w:r>
      <w:r w:rsidR="00D91DE2">
        <w:t xml:space="preserve">, the </w:t>
      </w:r>
      <w:r w:rsidR="00646BE1">
        <w:t xml:space="preserve">compliance effect is expected to be </w:t>
      </w:r>
      <w:r w:rsidR="005E2896">
        <w:t>negligible</w:t>
      </w:r>
      <w:r w:rsidR="00646BE1">
        <w:t xml:space="preserve">, </w:t>
      </w:r>
      <w:r w:rsidR="005E2896">
        <w:t>on the assumption they operate with minimal</w:t>
      </w:r>
      <w:r w:rsidR="00646BE1">
        <w:t xml:space="preserve"> </w:t>
      </w:r>
      <w:r w:rsidR="00D37535">
        <w:t>(or no) subsidiary operations</w:t>
      </w:r>
      <w:r w:rsidR="007451A8">
        <w:t>; that is, smaller companies with no subsidiaries will only need to report a ‘nil’ item.</w:t>
      </w:r>
      <w:r w:rsidR="00D37535">
        <w:t xml:space="preserve"> </w:t>
      </w:r>
    </w:p>
    <w:p w:rsidR="007252F5" w:rsidP="00441709" w:rsidRDefault="00C45864" w14:paraId="4A7BF95B" w14:textId="6B50A771">
      <w:r>
        <w:t xml:space="preserve">The requirement to report subsidiary information </w:t>
      </w:r>
      <w:r w:rsidR="00F957AC">
        <w:t>will occur</w:t>
      </w:r>
      <w:r>
        <w:t xml:space="preserve"> through a company’s existing annual reporting process</w:t>
      </w:r>
      <w:r w:rsidR="00941F9C">
        <w:t xml:space="preserve">, helping to minimise </w:t>
      </w:r>
      <w:r w:rsidR="00164244">
        <w:t>compliance costs</w:t>
      </w:r>
      <w:r>
        <w:t xml:space="preserve">. </w:t>
      </w:r>
      <w:r w:rsidR="007252F5">
        <w:t xml:space="preserve">That is, </w:t>
      </w:r>
      <w:r w:rsidR="0021511A">
        <w:t>in-scope entities report</w:t>
      </w:r>
      <w:r w:rsidR="003E7470">
        <w:t>ing</w:t>
      </w:r>
      <w:r w:rsidR="0021511A">
        <w:t xml:space="preserve"> their financial statements (which may include some information on </w:t>
      </w:r>
      <w:r w:rsidR="001B258B">
        <w:t>subsidiaries), notes</w:t>
      </w:r>
      <w:r w:rsidR="00D30B24">
        <w:t xml:space="preserve"> to th</w:t>
      </w:r>
      <w:r w:rsidR="005565BD">
        <w:t>e</w:t>
      </w:r>
      <w:r w:rsidR="00D30B24">
        <w:t xml:space="preserve"> </w:t>
      </w:r>
      <w:r w:rsidR="005565BD">
        <w:t>financial</w:t>
      </w:r>
      <w:r w:rsidR="00D30B24">
        <w:t xml:space="preserve"> statements</w:t>
      </w:r>
      <w:r w:rsidR="001B258B">
        <w:t xml:space="preserve">, and a </w:t>
      </w:r>
      <w:r w:rsidR="009E3188">
        <w:t>director</w:t>
      </w:r>
      <w:r w:rsidR="0037381D">
        <w:t>’</w:t>
      </w:r>
      <w:r w:rsidR="009E3188">
        <w:t>s</w:t>
      </w:r>
      <w:r w:rsidR="001B258B">
        <w:t xml:space="preserve"> report</w:t>
      </w:r>
      <w:r w:rsidR="005C3C79">
        <w:t xml:space="preserve"> will add an additional report to this package of documents</w:t>
      </w:r>
      <w:r w:rsidR="005565BD">
        <w:t>.</w:t>
      </w:r>
      <w:r w:rsidR="0021511A">
        <w:t xml:space="preserve"> </w:t>
      </w:r>
    </w:p>
    <w:p w:rsidR="00DD28F0" w:rsidP="00441709" w:rsidRDefault="002A3480" w14:paraId="054A05B5" w14:textId="6BAAB028">
      <w:r>
        <w:t>We expect</w:t>
      </w:r>
      <w:r w:rsidR="00C45864">
        <w:t xml:space="preserve"> reporting entities </w:t>
      </w:r>
      <w:r>
        <w:t>would</w:t>
      </w:r>
      <w:r w:rsidR="00C45864">
        <w:t xml:space="preserve"> have this information</w:t>
      </w:r>
      <w:r>
        <w:t xml:space="preserve"> (i.e.</w:t>
      </w:r>
      <w:r w:rsidR="00C45864">
        <w:t xml:space="preserve"> it is not new information</w:t>
      </w:r>
      <w:r>
        <w:t>)</w:t>
      </w:r>
      <w:r w:rsidR="00487380">
        <w:t xml:space="preserve">, although we accept that </w:t>
      </w:r>
      <w:r w:rsidR="00794D38">
        <w:t xml:space="preserve">it is an additional impost on </w:t>
      </w:r>
      <w:r w:rsidR="00EB53E6">
        <w:t>company directors</w:t>
      </w:r>
      <w:r w:rsidR="00A5005B">
        <w:t>/auditors</w:t>
      </w:r>
      <w:r w:rsidR="009D7940">
        <w:t xml:space="preserve">, which we anticipate </w:t>
      </w:r>
      <w:r w:rsidR="008E49D7">
        <w:t>falling</w:t>
      </w:r>
      <w:r w:rsidR="00173DD6">
        <w:t xml:space="preserve"> largely in the initial reporting period</w:t>
      </w:r>
      <w:r w:rsidR="00C45864">
        <w:t>.</w:t>
      </w:r>
      <w:r>
        <w:t xml:space="preserve"> </w:t>
      </w:r>
      <w:r w:rsidR="0014419E">
        <w:t>Stakeholders di</w:t>
      </w:r>
      <w:r w:rsidR="0049571C">
        <w:t>d</w:t>
      </w:r>
      <w:r w:rsidR="0014419E">
        <w:t xml:space="preserve"> not quantify the estimated cost. </w:t>
      </w:r>
      <w:r>
        <w:t>On balance, we</w:t>
      </w:r>
      <w:r w:rsidR="00C1017B">
        <w:t xml:space="preserve"> estimate </w:t>
      </w:r>
      <w:r>
        <w:t xml:space="preserve">the </w:t>
      </w:r>
      <w:r w:rsidR="009D35E6">
        <w:t xml:space="preserve">administrative </w:t>
      </w:r>
      <w:r w:rsidR="004D0147">
        <w:t xml:space="preserve">(labour) </w:t>
      </w:r>
      <w:r>
        <w:t>costs</w:t>
      </w:r>
      <w:r w:rsidR="00086443">
        <w:t xml:space="preserve">, based on </w:t>
      </w:r>
      <w:r w:rsidR="000E72ED">
        <w:t xml:space="preserve">an </w:t>
      </w:r>
      <w:r w:rsidR="004D0147">
        <w:t>initial</w:t>
      </w:r>
      <w:r w:rsidR="007A5795">
        <w:t xml:space="preserve"> transaction (</w:t>
      </w:r>
      <w:r w:rsidR="004D0147">
        <w:t>search</w:t>
      </w:r>
      <w:r w:rsidR="007A5795">
        <w:t>)</w:t>
      </w:r>
      <w:r w:rsidR="004D0147">
        <w:t xml:space="preserve"> cost</w:t>
      </w:r>
      <w:r w:rsidR="00B05B9E">
        <w:t>s</w:t>
      </w:r>
      <w:r w:rsidR="001F60CC">
        <w:t xml:space="preserve"> </w:t>
      </w:r>
      <w:r w:rsidR="009D35E6">
        <w:t>could be:</w:t>
      </w:r>
      <w:r w:rsidR="00646BE1">
        <w:t xml:space="preserve"> </w:t>
      </w:r>
      <w:r w:rsidR="00CA6F97">
        <w:t xml:space="preserve"> </w:t>
      </w:r>
      <w:r w:rsidR="00CD187D">
        <w:t xml:space="preserve"> </w:t>
      </w:r>
      <w:r w:rsidR="00F919BF">
        <w:t xml:space="preserve"> </w:t>
      </w:r>
      <w:r w:rsidR="00DD28F0">
        <w:t xml:space="preserve"> </w:t>
      </w:r>
    </w:p>
    <w:p w:rsidRPr="007963E0" w:rsidR="00D718E0" w:rsidP="007963E0" w:rsidRDefault="00672D0A" w14:paraId="5207CD9F" w14:textId="04378CB6">
      <w:pPr>
        <w:rPr>
          <w:b/>
          <w:bCs/>
        </w:rPr>
      </w:pPr>
      <w:r w:rsidRPr="00873B3A">
        <w:rPr>
          <w:b/>
          <w:bCs/>
        </w:rPr>
        <w:t>Regulatory impact costs</w:t>
      </w:r>
    </w:p>
    <w:tbl>
      <w:tblPr>
        <w:tblStyle w:val="TableGrid"/>
        <w:tblW w:w="9214" w:type="dxa"/>
        <w:tblLook w:val="04A0" w:firstRow="1" w:lastRow="0" w:firstColumn="1" w:lastColumn="0" w:noHBand="0" w:noVBand="1"/>
      </w:tblPr>
      <w:tblGrid>
        <w:gridCol w:w="3828"/>
        <w:gridCol w:w="5386"/>
      </w:tblGrid>
      <w:tr w:rsidRPr="00C625A7" w:rsidR="00D718E0" w14:paraId="255607B2" w14:textId="77777777">
        <w:trPr>
          <w:cnfStyle w:val="100000000000" w:firstRow="1" w:lastRow="0" w:firstColumn="0" w:lastColumn="0" w:oddVBand="0" w:evenVBand="0" w:oddHBand="0" w:evenHBand="0" w:firstRowFirstColumn="0" w:firstRowLastColumn="0" w:lastRowFirstColumn="0" w:lastRowLastColumn="0"/>
        </w:trPr>
        <w:tc>
          <w:tcPr>
            <w:tcW w:w="3828" w:type="dxa"/>
          </w:tcPr>
          <w:p w:rsidRPr="00C625A7" w:rsidR="00D718E0" w:rsidRDefault="00D718E0" w14:paraId="6BDF9195" w14:textId="77777777">
            <w:r w:rsidRPr="00C625A7">
              <w:t>Potential compliance costs</w:t>
            </w:r>
          </w:p>
        </w:tc>
        <w:tc>
          <w:tcPr>
            <w:tcW w:w="5386" w:type="dxa"/>
          </w:tcPr>
          <w:p w:rsidRPr="00C625A7" w:rsidR="00D718E0" w:rsidRDefault="00D718E0" w14:paraId="7AE103A7" w14:textId="77777777">
            <w:r w:rsidRPr="00C625A7">
              <w:t>Total</w:t>
            </w:r>
          </w:p>
        </w:tc>
      </w:tr>
      <w:tr w:rsidR="00D718E0" w14:paraId="0908B6FB" w14:textId="77777777">
        <w:tc>
          <w:tcPr>
            <w:tcW w:w="3828" w:type="dxa"/>
          </w:tcPr>
          <w:p w:rsidR="00D718E0" w:rsidRDefault="00D718E0" w14:paraId="7071EC09" w14:textId="77777777">
            <w:r>
              <w:t>Implementation</w:t>
            </w:r>
          </w:p>
        </w:tc>
        <w:tc>
          <w:tcPr>
            <w:tcW w:w="5386" w:type="dxa"/>
          </w:tcPr>
          <w:p w:rsidR="00D718E0" w:rsidRDefault="00D718E0" w14:paraId="5D791432" w14:textId="1B16F56E">
            <w:r>
              <w:t>$</w:t>
            </w:r>
            <w:r w:rsidRPr="002B2B92">
              <w:t xml:space="preserve"> </w:t>
            </w:r>
            <w:r w:rsidR="002F3B22">
              <w:t>4</w:t>
            </w:r>
            <w:r w:rsidRPr="004746BB" w:rsidR="004746BB">
              <w:t>,</w:t>
            </w:r>
            <w:r w:rsidR="00B03293">
              <w:t>710</w:t>
            </w:r>
            <w:r w:rsidR="003540FF">
              <w:t>,000</w:t>
            </w:r>
            <w:r w:rsidRPr="004746BB" w:rsidR="004746BB">
              <w:t xml:space="preserve"> </w:t>
            </w:r>
            <w:r>
              <w:t>(</w:t>
            </w:r>
            <w:r w:rsidR="00795019">
              <w:t>471</w:t>
            </w:r>
            <w:r>
              <w:t xml:space="preserve"> entities x </w:t>
            </w:r>
            <w:r w:rsidR="005415A5">
              <w:t>$</w:t>
            </w:r>
            <w:r w:rsidR="002F3B22">
              <w:t>10</w:t>
            </w:r>
            <w:r w:rsidR="00D679ED">
              <w:t>,</w:t>
            </w:r>
            <w:r w:rsidR="008C75D8">
              <w:t>0</w:t>
            </w:r>
            <w:r w:rsidR="00D679ED">
              <w:t>00</w:t>
            </w:r>
            <w:r w:rsidRPr="005415A5" w:rsidR="005415A5">
              <w:t xml:space="preserve"> </w:t>
            </w:r>
            <w:r>
              <w:t>per entity)</w:t>
            </w:r>
            <w:r w:rsidRPr="009A287F" w:rsidR="00543281">
              <w:rPr>
                <w:rStyle w:val="FootnoteReference"/>
                <w:vertAlign w:val="superscript"/>
              </w:rPr>
              <w:footnoteReference w:id="26"/>
            </w:r>
          </w:p>
        </w:tc>
      </w:tr>
    </w:tbl>
    <w:p w:rsidRPr="00EA7824" w:rsidR="00D26C73" w:rsidP="0030222C" w:rsidRDefault="00D26C73" w14:paraId="071A47C1" w14:textId="0F7CA479">
      <w:pPr>
        <w:pStyle w:val="Heading4"/>
        <w:rPr>
          <w:color w:val="auto"/>
        </w:rPr>
      </w:pPr>
      <w:r w:rsidRPr="0062132B">
        <w:t>Requiring government tenderers to disclose their country of tax domicile</w:t>
      </w:r>
    </w:p>
    <w:p w:rsidRPr="00873B3A" w:rsidR="00D718E0" w:rsidP="006E02D2" w:rsidRDefault="00D718E0" w14:paraId="1471A0AC" w14:textId="5A03B291">
      <w:pPr>
        <w:rPr>
          <w:b/>
          <w:bCs/>
        </w:rPr>
      </w:pPr>
      <w:r w:rsidRPr="00873B3A">
        <w:rPr>
          <w:b/>
          <w:bCs/>
        </w:rPr>
        <w:t>Regulatory impact costs</w:t>
      </w:r>
    </w:p>
    <w:p w:rsidR="00540ED3" w:rsidP="00540ED3" w:rsidRDefault="00D718E0" w14:paraId="11D76CE0" w14:textId="652A1DC9">
      <w:r>
        <w:t>T</w:t>
      </w:r>
      <w:r w:rsidRPr="007E3D05">
        <w:t xml:space="preserve">he measure is a continuation of existing disclosure requirements already in place when bidding on </w:t>
      </w:r>
      <w:r w:rsidR="0016291F">
        <w:t xml:space="preserve">Australian </w:t>
      </w:r>
      <w:r>
        <w:t>g</w:t>
      </w:r>
      <w:r w:rsidRPr="007E3D05">
        <w:t>overnment contracts</w:t>
      </w:r>
      <w:r>
        <w:t>. The requirement to disclose tax domicile information is a one-line label in the tender documentation and expected to have a negligible regulatory impact</w:t>
      </w:r>
      <w:r w:rsidR="009A51C6">
        <w:t>, rounded down to zero</w:t>
      </w:r>
      <w:r>
        <w:t>.</w:t>
      </w:r>
      <w:r w:rsidR="00540ED3">
        <w:t xml:space="preserve"> </w:t>
      </w:r>
    </w:p>
    <w:p w:rsidR="00CA0636" w:rsidP="00540ED3" w:rsidRDefault="00FE6A92" w14:paraId="2F61E9DD" w14:textId="5CC5BAC3">
      <w:r>
        <w:t xml:space="preserve">The </w:t>
      </w:r>
      <w:r w:rsidR="00AF2F06">
        <w:t xml:space="preserve">overall </w:t>
      </w:r>
      <w:r>
        <w:t>benefit of this element is</w:t>
      </w:r>
      <w:r w:rsidR="00BE1239">
        <w:t xml:space="preserve"> expected to be</w:t>
      </w:r>
      <w:r>
        <w:t xml:space="preserve"> minor, however </w:t>
      </w:r>
      <w:r w:rsidR="00BE1239">
        <w:t xml:space="preserve">it does contribute to the overall </w:t>
      </w:r>
      <w:r w:rsidR="00B2748C">
        <w:t>intent of ensuring that businesses are more upfront about their tax affairs.</w:t>
      </w:r>
    </w:p>
    <w:p w:rsidR="00241C39" w:rsidP="007835B0" w:rsidRDefault="00241C39" w14:paraId="0B2FA195" w14:textId="492E9601">
      <w:pPr>
        <w:pStyle w:val="Heading1"/>
      </w:pPr>
      <w:bookmarkStart w:name="_Toc138754499" w:id="10"/>
      <w:r>
        <w:t xml:space="preserve">Consultation </w:t>
      </w:r>
      <w:r w:rsidR="00F675B7">
        <w:t>Plan</w:t>
      </w:r>
      <w:bookmarkEnd w:id="10"/>
    </w:p>
    <w:p w:rsidR="003A3250" w:rsidP="003A3250" w:rsidRDefault="003A3250" w14:paraId="455E679E" w14:textId="7B634660">
      <w:r w:rsidRPr="00A12548">
        <w:t xml:space="preserve">Treasury </w:t>
      </w:r>
      <w:r>
        <w:t xml:space="preserve">conducted extensive stakeholder </w:t>
      </w:r>
      <w:r w:rsidR="00473E11">
        <w:t>consultation</w:t>
      </w:r>
      <w:r>
        <w:t xml:space="preserve"> on these policy options. The general feedback on each measure is summarised below.</w:t>
      </w:r>
    </w:p>
    <w:p w:rsidRPr="006215AC" w:rsidR="00AB6322" w:rsidP="00AB6322" w:rsidRDefault="00AB6322" w14:paraId="2E7EC073" w14:textId="77777777">
      <w:pPr>
        <w:pStyle w:val="Heading3"/>
      </w:pPr>
      <w:bookmarkStart w:name="_Toc133583769" w:id="11"/>
      <w:bookmarkStart w:name="_Toc138754500" w:id="12"/>
      <w:r w:rsidRPr="006215AC">
        <w:t>Consultation: discussion paper (August 2022)</w:t>
      </w:r>
      <w:bookmarkEnd w:id="11"/>
      <w:bookmarkEnd w:id="12"/>
    </w:p>
    <w:p w:rsidR="00AB365D" w:rsidP="00C73DB3" w:rsidRDefault="0062262B" w14:paraId="12523A29" w14:textId="055DD6A0">
      <w:r>
        <w:t>A discussion</w:t>
      </w:r>
      <w:r w:rsidRPr="00A12548">
        <w:t xml:space="preserve"> paper</w:t>
      </w:r>
      <w:r>
        <w:t xml:space="preserve"> on the </w:t>
      </w:r>
      <w:r w:rsidR="00B47485">
        <w:t>G</w:t>
      </w:r>
      <w:r w:rsidR="00E52334">
        <w:t>overnment’s</w:t>
      </w:r>
      <w:r>
        <w:t xml:space="preserve"> election commitment</w:t>
      </w:r>
      <w:r w:rsidR="00E52334">
        <w:t>s</w:t>
      </w:r>
      <w:r>
        <w:t xml:space="preserve"> was released </w:t>
      </w:r>
      <w:r w:rsidRPr="00A12548">
        <w:t>for public consultation</w:t>
      </w:r>
      <w:r>
        <w:t xml:space="preserve">, </w:t>
      </w:r>
      <w:r w:rsidRPr="00A12548">
        <w:t xml:space="preserve">from </w:t>
      </w:r>
      <w:r>
        <w:t>5 August</w:t>
      </w:r>
      <w:r w:rsidRPr="00A12548">
        <w:t xml:space="preserve"> to </w:t>
      </w:r>
      <w:r>
        <w:t>2 September 2022</w:t>
      </w:r>
      <w:r w:rsidRPr="00A12548">
        <w:t>.</w:t>
      </w:r>
      <w:r>
        <w:t xml:space="preserve"> Treasury met virtually and in-person with industry representatives from the </w:t>
      </w:r>
      <w:r w:rsidR="00A1016E">
        <w:t>corporate</w:t>
      </w:r>
      <w:r w:rsidR="00B908F7">
        <w:t xml:space="preserve"> </w:t>
      </w:r>
      <w:r>
        <w:t>sector, tax advisory firms</w:t>
      </w:r>
      <w:r w:rsidR="00B908F7">
        <w:t xml:space="preserve">, </w:t>
      </w:r>
      <w:r w:rsidR="00A1016E">
        <w:t>academics and civil society.</w:t>
      </w:r>
      <w:r w:rsidR="00873F43">
        <w:t xml:space="preserve"> </w:t>
      </w:r>
      <w:r w:rsidRPr="001A4133" w:rsidR="00C72296">
        <w:t>S</w:t>
      </w:r>
      <w:r w:rsidRPr="0008431A" w:rsidR="009C6C8A">
        <w:t xml:space="preserve">ubmissions </w:t>
      </w:r>
      <w:r w:rsidRPr="0008431A" w:rsidR="00950C95">
        <w:t>(some</w:t>
      </w:r>
      <w:r w:rsidR="00950C95">
        <w:t xml:space="preserve"> in confidence) </w:t>
      </w:r>
      <w:r w:rsidRPr="00830295" w:rsidR="009C6C8A">
        <w:t xml:space="preserve">were </w:t>
      </w:r>
      <w:r w:rsidR="00873F43">
        <w:t>received from</w:t>
      </w:r>
      <w:r w:rsidRPr="00830295" w:rsidR="009C6C8A">
        <w:t xml:space="preserve"> businesses, industry groups, academics, civil society groups and individuals.</w:t>
      </w:r>
      <w:r w:rsidR="009C6C8A">
        <w:t xml:space="preserve"> </w:t>
      </w:r>
      <w:r w:rsidR="001D17D2">
        <w:t>V</w:t>
      </w:r>
      <w:r w:rsidR="004B7372">
        <w:t xml:space="preserve">irtual meetings were also held with </w:t>
      </w:r>
      <w:r w:rsidR="00BD2A42">
        <w:t>several</w:t>
      </w:r>
      <w:r w:rsidR="00950C95">
        <w:t xml:space="preserve"> </w:t>
      </w:r>
      <w:r w:rsidR="004B7372">
        <w:t>stakeholders.</w:t>
      </w:r>
      <w:r w:rsidR="00152C66">
        <w:t xml:space="preserve"> </w:t>
      </w:r>
      <w:r w:rsidR="005A4073">
        <w:t>A</w:t>
      </w:r>
      <w:r w:rsidR="00FE35E6">
        <w:t xml:space="preserve"> full</w:t>
      </w:r>
      <w:r w:rsidR="005A4073">
        <w:t xml:space="preserve"> list of stakeholder </w:t>
      </w:r>
      <w:r w:rsidR="00C72296">
        <w:t xml:space="preserve">submissions can be found at: </w:t>
      </w:r>
      <w:hyperlink w:history="1" r:id="rId23">
        <w:r w:rsidRPr="000E2792" w:rsidR="0008431A">
          <w:rPr>
            <w:rStyle w:val="Hyperlink"/>
          </w:rPr>
          <w:t>https://treasury.gov.au/consultation/c2022-297736</w:t>
        </w:r>
      </w:hyperlink>
      <w:r w:rsidR="005A4073">
        <w:t>.</w:t>
      </w:r>
      <w:r w:rsidR="0008431A">
        <w:t xml:space="preserve"> </w:t>
      </w:r>
      <w:r w:rsidR="005A4073">
        <w:t xml:space="preserve"> </w:t>
      </w:r>
    </w:p>
    <w:p w:rsidR="00017469" w:rsidP="00C73DB3" w:rsidRDefault="00152C66" w14:paraId="600969FB" w14:textId="5A79DC47">
      <w:r>
        <w:t xml:space="preserve">A summary of key themes raised by stakeholders is provided below. </w:t>
      </w:r>
      <w:r w:rsidR="00905CEA">
        <w:t>This feedback informed the Government’s October 2022-23 Budget announcement.</w:t>
      </w:r>
    </w:p>
    <w:p w:rsidR="00241C39" w:rsidP="00361544" w:rsidRDefault="00905CEA" w14:paraId="73170938" w14:textId="324CDF50">
      <w:pPr>
        <w:pStyle w:val="Heading2"/>
      </w:pPr>
      <w:bookmarkStart w:name="_Toc138754501" w:id="13"/>
      <w:r>
        <w:t>Consultation summary</w:t>
      </w:r>
      <w:bookmarkEnd w:id="13"/>
    </w:p>
    <w:p w:rsidRPr="004E2A07" w:rsidR="00BB3DEF" w:rsidP="004F377E" w:rsidRDefault="0019270D" w14:paraId="16F25403" w14:textId="17E39EFD">
      <w:pPr>
        <w:rPr>
          <w:rFonts w:eastAsia="Calibri" w:cs="Calibri Light"/>
          <w:lang w:eastAsia="en-US"/>
        </w:rPr>
      </w:pPr>
      <w:r w:rsidRPr="004E2A07">
        <w:rPr>
          <w:u w:val="single"/>
        </w:rPr>
        <w:t>Public CbC reporting</w:t>
      </w:r>
      <w:r w:rsidRPr="004E2A07">
        <w:t xml:space="preserve">: </w:t>
      </w:r>
      <w:r w:rsidRPr="004E2A07" w:rsidDel="00EA6E61">
        <w:rPr>
          <w:rFonts w:eastAsia="Calibri" w:cs="Calibri Light"/>
          <w:lang w:eastAsia="en-US"/>
        </w:rPr>
        <w:t>S</w:t>
      </w:r>
      <w:r w:rsidRPr="004E2A07">
        <w:rPr>
          <w:rFonts w:eastAsia="Calibri" w:cs="Calibri Light"/>
          <w:lang w:eastAsia="en-US"/>
        </w:rPr>
        <w:t xml:space="preserve">takeholders expressed general support for increased tax transparency reporting. Stakeholders supported leveraging existing CbC reporting requirements (such as the EU Directive or the GRI Tax Standard) to minimise compliance costs. Standardised reporting formats and transitional arrangements were also suggested to help minimise compliance burden and aid transition to any new requirements. </w:t>
      </w:r>
    </w:p>
    <w:p w:rsidRPr="004E2A07" w:rsidR="0019270D" w:rsidP="0019270D" w:rsidRDefault="0019270D" w14:paraId="3610D51C" w14:textId="72E4B4B2">
      <w:pPr>
        <w:rPr>
          <w:rFonts w:eastAsia="Calibri" w:cs="Calibri Light"/>
          <w:lang w:eastAsia="en-US"/>
        </w:rPr>
      </w:pPr>
      <w:r w:rsidRPr="004E2A07">
        <w:rPr>
          <w:rFonts w:eastAsia="Calibri" w:cs="Calibri Light"/>
          <w:u w:val="single"/>
          <w:lang w:eastAsia="en-US"/>
        </w:rPr>
        <w:t>Disclosing material tax risk to shareholders</w:t>
      </w:r>
      <w:r w:rsidRPr="004E2A07">
        <w:rPr>
          <w:rFonts w:eastAsia="Calibri" w:cs="Calibri Light"/>
          <w:lang w:eastAsia="en-US"/>
        </w:rPr>
        <w:t>: Stakeholders (generally) queried the subjective nature of ‘material tax risk noting it is an undefined concept, and reflected on the 15 per cent threshold, noting that while it was intended to align with developments to implement a global minimum tax, it would likely create inconsistencies/uncertainty given this work is yet to be finalised. Several stakeholders suggested more meaningful information would be captured if corporates disclosed all subsidiaries, they are operating through instead of disclosing if they are doing business in a low-tax jurisdiction</w:t>
      </w:r>
      <w:r w:rsidR="008E4488">
        <w:rPr>
          <w:rFonts w:eastAsia="Calibri" w:cs="Calibri Light"/>
          <w:lang w:eastAsia="en-US"/>
        </w:rPr>
        <w:t>.</w:t>
      </w:r>
    </w:p>
    <w:p w:rsidR="0019270D" w:rsidP="004F377E" w:rsidRDefault="004E2A07" w14:paraId="3E7A52D2" w14:textId="35A4AE02">
      <w:r w:rsidRPr="004E2A07">
        <w:rPr>
          <w:rFonts w:eastAsia="Calibri" w:cs="Calibri Light"/>
          <w:u w:val="single"/>
          <w:lang w:eastAsia="en-US"/>
        </w:rPr>
        <w:t>Government tenderers disclosing their country of tax domicile</w:t>
      </w:r>
      <w:r w:rsidRPr="004E2A07">
        <w:rPr>
          <w:rFonts w:eastAsia="Calibri" w:cs="Calibri Light"/>
          <w:lang w:eastAsia="en-US"/>
        </w:rPr>
        <w:t xml:space="preserve">: </w:t>
      </w:r>
      <w:r w:rsidR="008E4488">
        <w:rPr>
          <w:rFonts w:eastAsia="Calibri" w:cs="Calibri Light"/>
          <w:lang w:eastAsia="en-US"/>
        </w:rPr>
        <w:t xml:space="preserve">This element attracted </w:t>
      </w:r>
      <w:r w:rsidR="00C94249">
        <w:rPr>
          <w:rFonts w:eastAsia="Calibri" w:cs="Calibri Light"/>
          <w:lang w:eastAsia="en-US"/>
        </w:rPr>
        <w:t>minimal</w:t>
      </w:r>
      <w:r w:rsidR="008E4488">
        <w:rPr>
          <w:rFonts w:eastAsia="Calibri" w:cs="Calibri Light"/>
          <w:lang w:eastAsia="en-US"/>
        </w:rPr>
        <w:t xml:space="preserve"> attention, although there was general </w:t>
      </w:r>
      <w:r w:rsidRPr="004E2A07">
        <w:rPr>
          <w:rFonts w:eastAsia="Calibri" w:cs="Calibri Light"/>
          <w:lang w:eastAsia="en-US"/>
        </w:rPr>
        <w:t>support of this proposal</w:t>
      </w:r>
      <w:r w:rsidR="00C94249">
        <w:rPr>
          <w:rFonts w:eastAsia="Calibri" w:cs="Calibri Light"/>
          <w:lang w:eastAsia="en-US"/>
        </w:rPr>
        <w:t xml:space="preserve"> </w:t>
      </w:r>
      <w:r w:rsidR="0050010D">
        <w:rPr>
          <w:rFonts w:eastAsia="Calibri" w:cs="Calibri Light"/>
          <w:lang w:eastAsia="en-US"/>
        </w:rPr>
        <w:t>with stakeholders</w:t>
      </w:r>
      <w:r w:rsidR="00C94249">
        <w:rPr>
          <w:rFonts w:eastAsia="Calibri" w:cs="Calibri Light"/>
          <w:lang w:eastAsia="en-US"/>
        </w:rPr>
        <w:t xml:space="preserve"> not</w:t>
      </w:r>
      <w:r w:rsidR="0050010D">
        <w:rPr>
          <w:rFonts w:eastAsia="Calibri" w:cs="Calibri Light"/>
          <w:lang w:eastAsia="en-US"/>
        </w:rPr>
        <w:t>ing</w:t>
      </w:r>
      <w:r w:rsidR="00C94249">
        <w:rPr>
          <w:rFonts w:eastAsia="Calibri" w:cs="Calibri Light"/>
          <w:lang w:eastAsia="en-US"/>
        </w:rPr>
        <w:t xml:space="preserve"> it was unlikely to be burdensome.</w:t>
      </w:r>
      <w:r w:rsidRPr="004E2A07">
        <w:rPr>
          <w:rFonts w:eastAsia="Calibri" w:cs="Calibri Light"/>
          <w:lang w:eastAsia="en-US"/>
        </w:rPr>
        <w:t xml:space="preserve"> Some stakeholders suggested using tax residency would be a more suitable concept instead of tax domicile which is not clearly defined as an Australian tax concept</w:t>
      </w:r>
      <w:r w:rsidR="001A53F3">
        <w:rPr>
          <w:rFonts w:eastAsia="Calibri" w:cs="Calibri Light"/>
          <w:lang w:eastAsia="en-US"/>
        </w:rPr>
        <w:t>.</w:t>
      </w:r>
      <w:r w:rsidR="0050010D">
        <w:rPr>
          <w:rFonts w:eastAsia="Calibri" w:cs="Calibri Light"/>
          <w:lang w:eastAsia="en-US"/>
        </w:rPr>
        <w:t xml:space="preserve"> Some stakeholders</w:t>
      </w:r>
      <w:r w:rsidRPr="004E2A07" w:rsidR="0050010D">
        <w:rPr>
          <w:rFonts w:eastAsia="Calibri" w:cs="Calibri Light"/>
          <w:lang w:eastAsia="en-US"/>
        </w:rPr>
        <w:t xml:space="preserve"> questioned its value in exposing how much Australian or foreign tax will be paid on income from government contracts</w:t>
      </w:r>
      <w:r w:rsidR="0050010D">
        <w:rPr>
          <w:rFonts w:eastAsia="Calibri" w:cs="Calibri Light"/>
          <w:lang w:eastAsia="en-US"/>
        </w:rPr>
        <w:t xml:space="preserve"> (</w:t>
      </w:r>
      <w:r w:rsidR="009B0627">
        <w:rPr>
          <w:rFonts w:eastAsia="Calibri" w:cs="Calibri Light"/>
          <w:lang w:eastAsia="en-US"/>
        </w:rPr>
        <w:t>or why it was part of a MNE tax integrity package)</w:t>
      </w:r>
      <w:r w:rsidR="0050010D">
        <w:rPr>
          <w:rFonts w:eastAsia="Calibri" w:cs="Calibri Light"/>
          <w:lang w:eastAsia="en-US"/>
        </w:rPr>
        <w:t>.</w:t>
      </w:r>
    </w:p>
    <w:p w:rsidR="00867694" w:rsidP="007B36AB" w:rsidRDefault="009B0627" w14:paraId="2DB3A25D" w14:textId="1B54A8DB">
      <w:r>
        <w:t>I</w:t>
      </w:r>
      <w:r w:rsidR="00540ED3">
        <w:t xml:space="preserve">n response, </w:t>
      </w:r>
      <w:r w:rsidR="007B36AB">
        <w:t xml:space="preserve">the </w:t>
      </w:r>
      <w:r w:rsidR="00B731CA">
        <w:t xml:space="preserve">suggested </w:t>
      </w:r>
      <w:r w:rsidR="007B36AB">
        <w:t xml:space="preserve">approach </w:t>
      </w:r>
      <w:r w:rsidR="004A374D">
        <w:t xml:space="preserve">to </w:t>
      </w:r>
      <w:r w:rsidR="007B36AB">
        <w:t xml:space="preserve">require Australian companies (listed and unlisted) to disclose their subsidiaries </w:t>
      </w:r>
      <w:r w:rsidR="00281941">
        <w:t>(</w:t>
      </w:r>
      <w:r w:rsidR="007B36AB">
        <w:t>and the location of the tax residency and place of incorporation</w:t>
      </w:r>
      <w:r w:rsidR="00281941">
        <w:t>)</w:t>
      </w:r>
      <w:r w:rsidR="007B36AB">
        <w:t xml:space="preserve"> w</w:t>
      </w:r>
      <w:r w:rsidR="004574A4">
        <w:t xml:space="preserve">as </w:t>
      </w:r>
      <w:r w:rsidR="0068632A">
        <w:t xml:space="preserve">implemented </w:t>
      </w:r>
      <w:r w:rsidR="008A7509">
        <w:t>in line with industry feedback</w:t>
      </w:r>
      <w:r w:rsidR="007B36AB">
        <w:t>.</w:t>
      </w:r>
      <w:r w:rsidR="00867694">
        <w:t xml:space="preserve"> </w:t>
      </w:r>
      <w:r w:rsidR="007B36AB">
        <w:t xml:space="preserve">This would be in line with the UK’s corporate transparency rules. </w:t>
      </w:r>
    </w:p>
    <w:p w:rsidR="00C3493F" w:rsidP="007B36AB" w:rsidRDefault="007B36AB" w14:paraId="7E99CC2A" w14:textId="77777777">
      <w:r>
        <w:t>While this w</w:t>
      </w:r>
      <w:r w:rsidR="008853FC">
        <w:t>ill</w:t>
      </w:r>
      <w:r>
        <w:t xml:space="preserve"> not disclose the specific tax rates of the jurisdictions in which subsidiaries are located, it will </w:t>
      </w:r>
      <w:r w:rsidR="004574A4">
        <w:t>highlight</w:t>
      </w:r>
      <w:r>
        <w:t xml:space="preserve"> how </w:t>
      </w:r>
      <w:r w:rsidR="00082857">
        <w:t>companies’</w:t>
      </w:r>
      <w:r>
        <w:t xml:space="preserve"> structure, with the intent that once this information is in the public domain, entities </w:t>
      </w:r>
      <w:r w:rsidR="004574A4">
        <w:t xml:space="preserve">would </w:t>
      </w:r>
      <w:r>
        <w:t>reconsider their corporate tax structures.</w:t>
      </w:r>
      <w:r w:rsidR="004A374D">
        <w:t xml:space="preserve"> Some </w:t>
      </w:r>
      <w:r>
        <w:t xml:space="preserve">stakeholders </w:t>
      </w:r>
      <w:r w:rsidR="004A374D">
        <w:t xml:space="preserve">noted </w:t>
      </w:r>
      <w:r w:rsidR="004574A4">
        <w:t>anecdotal</w:t>
      </w:r>
      <w:r>
        <w:t xml:space="preserve"> experience in the UK</w:t>
      </w:r>
      <w:r w:rsidR="004A374D">
        <w:t xml:space="preserve"> </w:t>
      </w:r>
      <w:r w:rsidR="00236687">
        <w:t xml:space="preserve">has </w:t>
      </w:r>
      <w:r w:rsidR="004A374D">
        <w:t xml:space="preserve">resulted in a decrease of </w:t>
      </w:r>
      <w:r>
        <w:t xml:space="preserve">the number of subsidiaries following implementation of this disclosure requirement. </w:t>
      </w:r>
    </w:p>
    <w:p w:rsidR="007B36AB" w:rsidP="007B36AB" w:rsidRDefault="00907576" w14:paraId="1648CB27" w14:textId="37197614">
      <w:r>
        <w:t>This d</w:t>
      </w:r>
      <w:r w:rsidR="00366B99">
        <w:t xml:space="preserve">isclosure would complement the information that would be reported on a </w:t>
      </w:r>
      <w:r w:rsidR="00E90BD8">
        <w:t>CbC</w:t>
      </w:r>
      <w:r w:rsidR="00366B99">
        <w:t xml:space="preserve"> basis as part of the broader mandatory transparency reporting arrangements under Option 2</w:t>
      </w:r>
      <w:r w:rsidR="006F78F3">
        <w:t>.</w:t>
      </w:r>
    </w:p>
    <w:p w:rsidR="00307A04" w:rsidP="004F377E" w:rsidRDefault="00193C03" w14:paraId="0F8AFC99" w14:textId="65D5404D">
      <w:r>
        <w:t xml:space="preserve">Treasury </w:t>
      </w:r>
      <w:r w:rsidR="001A25A8">
        <w:t>worked closely with the</w:t>
      </w:r>
      <w:r>
        <w:t xml:space="preserve"> </w:t>
      </w:r>
      <w:r w:rsidR="00E10FB2">
        <w:t>ATO and</w:t>
      </w:r>
      <w:r>
        <w:t xml:space="preserve"> the Australian Securities and Investments Commission </w:t>
      </w:r>
      <w:r w:rsidR="00E10FB2">
        <w:t>on the details of th</w:t>
      </w:r>
      <w:r w:rsidR="00910B0D">
        <w:t>is option</w:t>
      </w:r>
      <w:r>
        <w:t xml:space="preserve">.  </w:t>
      </w:r>
      <w:r w:rsidR="00307A04">
        <w:t xml:space="preserve"> </w:t>
      </w:r>
    </w:p>
    <w:p w:rsidR="00230F60" w:rsidP="00F675B7" w:rsidRDefault="00230F60" w14:paraId="1261C29A" w14:textId="3AAB55EC">
      <w:pPr>
        <w:pStyle w:val="Heading3"/>
      </w:pPr>
      <w:bookmarkStart w:name="_Toc138754502" w:id="14"/>
      <w:r>
        <w:t>Consultation</w:t>
      </w:r>
      <w:r w:rsidR="00F675B7">
        <w:t xml:space="preserve">: </w:t>
      </w:r>
      <w:r>
        <w:t xml:space="preserve">Exposure Draft </w:t>
      </w:r>
      <w:r w:rsidR="003E0875">
        <w:t>legislatio</w:t>
      </w:r>
      <w:r w:rsidR="00F675B7">
        <w:t>n</w:t>
      </w:r>
      <w:bookmarkEnd w:id="14"/>
    </w:p>
    <w:p w:rsidR="003465B0" w:rsidP="004F377E" w:rsidRDefault="003465B0" w14:paraId="7CDEF6E5" w14:textId="707F47E6">
      <w:r>
        <w:t xml:space="preserve">Public consultation </w:t>
      </w:r>
      <w:r w:rsidR="008B59DD">
        <w:t xml:space="preserve">on the transparency measures was sequenced, to assist </w:t>
      </w:r>
      <w:r w:rsidR="00467CE1">
        <w:t xml:space="preserve">stakeholders to provide detailed insights on the exposure draft legislation. </w:t>
      </w:r>
      <w:r w:rsidR="008B59DD">
        <w:t xml:space="preserve"> </w:t>
      </w:r>
    </w:p>
    <w:p w:rsidR="008A6BE4" w:rsidP="00500BAF" w:rsidRDefault="008A6BE4" w14:paraId="77A300B6" w14:textId="10A4A68F">
      <w:pPr>
        <w:pStyle w:val="Heading4"/>
      </w:pPr>
      <w:r>
        <w:t xml:space="preserve">Public </w:t>
      </w:r>
      <w:r w:rsidR="00A858A4">
        <w:t>country</w:t>
      </w:r>
      <w:r w:rsidR="00D06FF2">
        <w:t>-</w:t>
      </w:r>
      <w:r w:rsidR="00A858A4">
        <w:t>by</w:t>
      </w:r>
      <w:r w:rsidR="00D06FF2">
        <w:t>-</w:t>
      </w:r>
      <w:r w:rsidR="00A858A4">
        <w:t>country reporting</w:t>
      </w:r>
    </w:p>
    <w:p w:rsidR="00F14EE7" w:rsidP="00F14EE7" w:rsidRDefault="00264FD2" w14:paraId="1C7AADDF" w14:textId="6136C814">
      <w:r w:rsidRPr="00893E17">
        <w:t xml:space="preserve">Consultation on exposure draft legislation on public country by country reporting occurred between </w:t>
      </w:r>
      <w:r w:rsidR="00354A12">
        <w:br/>
      </w:r>
      <w:r w:rsidRPr="00893E17">
        <w:t>6 April and 28 April 2023</w:t>
      </w:r>
      <w:r>
        <w:t>.</w:t>
      </w:r>
      <w:r w:rsidR="0090306A">
        <w:t xml:space="preserve"> </w:t>
      </w:r>
      <w:r w:rsidR="00F14EE7">
        <w:t xml:space="preserve">Treasury met with a range of stakeholder groups – industry representatives, individual firms, tax advisory firms – across all sectors. </w:t>
      </w:r>
      <w:r w:rsidRPr="00B145A3" w:rsidR="00F14EE7">
        <w:t xml:space="preserve">Treasury </w:t>
      </w:r>
      <w:r w:rsidRPr="00E95CD1" w:rsidR="00F14EE7">
        <w:t>received 5</w:t>
      </w:r>
      <w:r w:rsidRPr="00E95CD1" w:rsidR="00E95CD1">
        <w:t>5</w:t>
      </w:r>
      <w:r w:rsidRPr="00E95CD1" w:rsidR="00F14EE7">
        <w:t xml:space="preserve"> submissions</w:t>
      </w:r>
      <w:r w:rsidRPr="00B145A3" w:rsidR="00F14EE7">
        <w:t xml:space="preserve"> on</w:t>
      </w:r>
      <w:r w:rsidRPr="008B3722" w:rsidR="00F14EE7">
        <w:t xml:space="preserve"> the exposure draft legislation</w:t>
      </w:r>
      <w:r w:rsidR="00F14EE7">
        <w:t xml:space="preserve"> </w:t>
      </w:r>
      <w:r w:rsidR="008D5252">
        <w:t>(</w:t>
      </w:r>
      <w:r w:rsidR="00F14EE7">
        <w:t>including some in confidence</w:t>
      </w:r>
      <w:r w:rsidR="00BC2714">
        <w:t>),</w:t>
      </w:r>
      <w:r w:rsidR="000849A4">
        <w:t xml:space="preserve"> and these are available on the Treasury consultation website</w:t>
      </w:r>
      <w:r w:rsidRPr="008B3722" w:rsidR="00F14EE7">
        <w:t>.</w:t>
      </w:r>
      <w:r w:rsidR="00280569">
        <w:t xml:space="preserve"> Treasury also met with international groups, including the OECD.</w:t>
      </w:r>
    </w:p>
    <w:p w:rsidR="00C111AF" w:rsidP="001A4133" w:rsidRDefault="00F14EE7" w14:paraId="16DB3036" w14:textId="78FBD80E">
      <w:r>
        <w:t xml:space="preserve">The </w:t>
      </w:r>
      <w:r w:rsidR="00EA75CD">
        <w:t xml:space="preserve">dominant focus </w:t>
      </w:r>
      <w:r w:rsidR="00C111AF">
        <w:t xml:space="preserve">of stakeholder feedback </w:t>
      </w:r>
      <w:r w:rsidR="00EA75CD">
        <w:t xml:space="preserve">from </w:t>
      </w:r>
      <w:r w:rsidR="00542D1A">
        <w:t xml:space="preserve">the business community </w:t>
      </w:r>
      <w:r w:rsidR="00C111AF">
        <w:t>was the tax data labels which taxpayers would be required to disclose publicly.</w:t>
      </w:r>
    </w:p>
    <w:p w:rsidRPr="001A4133" w:rsidR="00C76B70" w:rsidP="00C76B70" w:rsidRDefault="00C76B70" w14:paraId="1E2FB0F0" w14:textId="23526A5F">
      <w:r>
        <w:t>A</w:t>
      </w:r>
      <w:r w:rsidRPr="001A4133">
        <w:t xml:space="preserve">cademic and the civil society </w:t>
      </w:r>
      <w:r>
        <w:t xml:space="preserve">stakeholders </w:t>
      </w:r>
      <w:r w:rsidRPr="001A4133">
        <w:t xml:space="preserve">welcomed the </w:t>
      </w:r>
      <w:r w:rsidR="00C81D46">
        <w:t xml:space="preserve">disclosure </w:t>
      </w:r>
      <w:r w:rsidR="00C92B23">
        <w:t xml:space="preserve">of the proposed tax labels </w:t>
      </w:r>
      <w:r w:rsidRPr="001A4133">
        <w:t>and the role this information will play in enhanced tax transparency outcomes</w:t>
      </w:r>
      <w:r w:rsidR="00542D1A">
        <w:t xml:space="preserve">, </w:t>
      </w:r>
      <w:r w:rsidR="00A64F62">
        <w:t xml:space="preserve">noting the importance of ensuring data is </w:t>
      </w:r>
      <w:r w:rsidR="009B68E8">
        <w:t>accessib</w:t>
      </w:r>
      <w:r w:rsidR="00A64F62">
        <w:t>le,</w:t>
      </w:r>
      <w:r w:rsidR="00772345">
        <w:t xml:space="preserve"> </w:t>
      </w:r>
      <w:r w:rsidR="00C3366D">
        <w:t>searchable</w:t>
      </w:r>
      <w:r w:rsidR="00655C34">
        <w:t>, standardised</w:t>
      </w:r>
      <w:r w:rsidR="00772345">
        <w:t xml:space="preserve"> and </w:t>
      </w:r>
      <w:r w:rsidR="00E123CA">
        <w:t>in a machine</w:t>
      </w:r>
      <w:r w:rsidR="00267FD9">
        <w:t>-readable format.</w:t>
      </w:r>
    </w:p>
    <w:p w:rsidR="00366A25" w:rsidP="001A4133" w:rsidRDefault="0040054E" w14:paraId="30D6A3F4" w14:textId="3551FC0B">
      <w:r w:rsidRPr="001A4133">
        <w:t>Corporate stakeholders</w:t>
      </w:r>
      <w:r w:rsidR="009301BD">
        <w:t>, including international groups,</w:t>
      </w:r>
      <w:r w:rsidRPr="001A4133">
        <w:t xml:space="preserve"> </w:t>
      </w:r>
      <w:r w:rsidR="008D733E">
        <w:t xml:space="preserve">generally </w:t>
      </w:r>
      <w:r w:rsidR="00BA10BB">
        <w:t>supported</w:t>
      </w:r>
      <w:r w:rsidR="008D733E">
        <w:t xml:space="preserve"> </w:t>
      </w:r>
      <w:r w:rsidR="005C1CE9">
        <w:t xml:space="preserve">the shift to </w:t>
      </w:r>
      <w:r w:rsidR="00420DC6">
        <w:t xml:space="preserve">more meaningful </w:t>
      </w:r>
      <w:r w:rsidR="005C1CE9">
        <w:t xml:space="preserve">tax </w:t>
      </w:r>
      <w:r w:rsidR="00D65695">
        <w:t>transparency;</w:t>
      </w:r>
      <w:r w:rsidR="00420DC6">
        <w:t xml:space="preserve"> however they noted the current reporting landscape</w:t>
      </w:r>
      <w:r w:rsidR="00D860AC">
        <w:t>, broadly, and</w:t>
      </w:r>
      <w:r w:rsidR="00420DC6">
        <w:t xml:space="preserve"> </w:t>
      </w:r>
      <w:r w:rsidR="00F57419">
        <w:t xml:space="preserve">their concerns around </w:t>
      </w:r>
      <w:r w:rsidR="00D65695">
        <w:t>additional</w:t>
      </w:r>
      <w:r w:rsidR="00F57419">
        <w:t xml:space="preserve"> compliance costs. </w:t>
      </w:r>
      <w:r w:rsidR="00D65695">
        <w:t>In this light, stakeholders</w:t>
      </w:r>
      <w:r w:rsidR="005C1CE9">
        <w:t xml:space="preserve"> </w:t>
      </w:r>
      <w:r w:rsidR="00A22A1F">
        <w:t>raised issues w</w:t>
      </w:r>
      <w:r w:rsidRPr="001A4133">
        <w:t xml:space="preserve">ith four </w:t>
      </w:r>
      <w:r w:rsidR="006F7043">
        <w:t>specific</w:t>
      </w:r>
      <w:r w:rsidRPr="001A4133">
        <w:t xml:space="preserve"> tax disclosure labels</w:t>
      </w:r>
      <w:r w:rsidR="00AC1E88">
        <w:t xml:space="preserve"> – </w:t>
      </w:r>
      <w:r w:rsidRPr="001A4133">
        <w:t>related party expenses, effective tax rate calculation, and the listing and valuing of intangible assets</w:t>
      </w:r>
      <w:r w:rsidR="00091C3D">
        <w:t xml:space="preserve"> – claiming these </w:t>
      </w:r>
      <w:r w:rsidR="008E0919">
        <w:t xml:space="preserve">disclosures </w:t>
      </w:r>
      <w:r w:rsidR="00FB59D5">
        <w:t xml:space="preserve">went beyond </w:t>
      </w:r>
      <w:r w:rsidR="006A1369">
        <w:t>existing regimes</w:t>
      </w:r>
      <w:r w:rsidR="00D313A4">
        <w:t xml:space="preserve"> and were unnecessary</w:t>
      </w:r>
      <w:r w:rsidRPr="001A4133">
        <w:t>.</w:t>
      </w:r>
      <w:r w:rsidR="00130F8D">
        <w:t xml:space="preserve"> </w:t>
      </w:r>
    </w:p>
    <w:p w:rsidR="00C858A7" w:rsidP="001A4133" w:rsidRDefault="0040054E" w14:paraId="75B3EB5D" w14:textId="1577D297">
      <w:r w:rsidRPr="001A4133">
        <w:t>Their concerns focused</w:t>
      </w:r>
      <w:r w:rsidR="008C30B8">
        <w:t xml:space="preserve"> principally on</w:t>
      </w:r>
      <w:r w:rsidRPr="001A4133">
        <w:t xml:space="preserve"> confidentiality issues</w:t>
      </w:r>
      <w:r w:rsidR="00B11B62">
        <w:t xml:space="preserve"> (intangible disclosures), and general compliance imposts</w:t>
      </w:r>
      <w:r w:rsidRPr="001A4133">
        <w:t xml:space="preserve"> </w:t>
      </w:r>
      <w:r w:rsidR="00B11B62">
        <w:t>claiming that</w:t>
      </w:r>
      <w:r w:rsidRPr="001A4133">
        <w:t xml:space="preserve"> these</w:t>
      </w:r>
      <w:r w:rsidR="00677CB1">
        <w:t xml:space="preserve"> additional</w:t>
      </w:r>
      <w:r w:rsidRPr="001A4133">
        <w:t xml:space="preserve"> labels were a material departure from the general multilateral consensus on CbC reporting (i.e. the EU Directive and OECD confidential CbC)</w:t>
      </w:r>
      <w:r w:rsidR="00FB064D">
        <w:t xml:space="preserve"> and would require </w:t>
      </w:r>
      <w:r w:rsidR="00DA6DBA">
        <w:t>additional IT systems builds</w:t>
      </w:r>
      <w:r w:rsidRPr="001A4133">
        <w:t xml:space="preserve">. </w:t>
      </w:r>
      <w:r w:rsidR="00305F2C">
        <w:t>In this regard, s</w:t>
      </w:r>
      <w:r w:rsidR="00C858A7">
        <w:t xml:space="preserve">takeholders </w:t>
      </w:r>
      <w:r w:rsidR="00305F2C">
        <w:t xml:space="preserve">framed their views around ensuring </w:t>
      </w:r>
      <w:r w:rsidR="00ED14F8">
        <w:t xml:space="preserve">global consistency with public CbC regimes, claiming that the EU Directive model would be preferable. Similarly, stakeholders also </w:t>
      </w:r>
      <w:r w:rsidR="00C858A7">
        <w:t>claimed that the 1 July 2023 commencement should be deferred to align with the EU Directive</w:t>
      </w:r>
      <w:r w:rsidR="00221D57">
        <w:t xml:space="preserve"> (which is generally expected to commence from June 2024).</w:t>
      </w:r>
      <w:r w:rsidR="00305F2C">
        <w:t xml:space="preserve"> </w:t>
      </w:r>
      <w:r w:rsidR="00C858A7">
        <w:t xml:space="preserve"> </w:t>
      </w:r>
    </w:p>
    <w:p w:rsidR="00105965" w:rsidP="00370B24" w:rsidRDefault="00DA6DBA" w14:paraId="0F65467E" w14:textId="5A86B44B">
      <w:r>
        <w:t xml:space="preserve">Treasury sought to </w:t>
      </w:r>
      <w:r w:rsidR="00A631CC">
        <w:t>understand the</w:t>
      </w:r>
      <w:r w:rsidR="003607D1">
        <w:t xml:space="preserve"> quantitative </w:t>
      </w:r>
      <w:r w:rsidR="002712A4">
        <w:t xml:space="preserve">impact from the additional disclosures, </w:t>
      </w:r>
      <w:r w:rsidR="00295418">
        <w:t xml:space="preserve">as described by industry, </w:t>
      </w:r>
      <w:r w:rsidR="002712A4">
        <w:t>howe</w:t>
      </w:r>
      <w:r w:rsidR="003E0CA6">
        <w:t>ver</w:t>
      </w:r>
      <w:r w:rsidR="002712A4">
        <w:t xml:space="preserve"> stakeholders did not </w:t>
      </w:r>
      <w:r w:rsidR="003E0CA6">
        <w:t>provide estimates</w:t>
      </w:r>
      <w:r w:rsidR="00C7407D">
        <w:t xml:space="preserve"> other than to note tha</w:t>
      </w:r>
      <w:r w:rsidR="009B24F5">
        <w:t>t</w:t>
      </w:r>
      <w:r w:rsidR="00C7407D">
        <w:t xml:space="preserve"> additional staff would be</w:t>
      </w:r>
      <w:r w:rsidR="0000582F">
        <w:t xml:space="preserve"> needed to process the data inputs (at least until taxpayer reporting systems were automated)</w:t>
      </w:r>
      <w:r w:rsidR="003E0CA6">
        <w:t xml:space="preserve">. </w:t>
      </w:r>
      <w:r w:rsidR="00A433CA">
        <w:t>S</w:t>
      </w:r>
      <w:r w:rsidR="00071340">
        <w:t>takeholders</w:t>
      </w:r>
      <w:r w:rsidR="00A433CA">
        <w:t xml:space="preserve"> focused</w:t>
      </w:r>
      <w:r w:rsidR="00071340">
        <w:t xml:space="preserve"> qualitatively, including by providing anecdotal insights, for example on valuation and materiality constraints with </w:t>
      </w:r>
      <w:r w:rsidR="00946315">
        <w:t xml:space="preserve">the </w:t>
      </w:r>
      <w:r w:rsidR="00071340">
        <w:t>intangible</w:t>
      </w:r>
      <w:r w:rsidR="00105965">
        <w:t xml:space="preserve"> asset</w:t>
      </w:r>
      <w:r w:rsidR="00946315">
        <w:t xml:space="preserve"> disclosures</w:t>
      </w:r>
      <w:r w:rsidR="00105965">
        <w:t>.</w:t>
      </w:r>
    </w:p>
    <w:p w:rsidR="00231397" w:rsidP="00370B24" w:rsidRDefault="00F24B25" w14:paraId="19465ABA" w14:textId="44CC51AB">
      <w:r w:rsidRPr="0014419E">
        <w:t>I</w:t>
      </w:r>
      <w:r w:rsidRPr="0014419E" w:rsidR="00105965">
        <w:t>n response</w:t>
      </w:r>
      <w:r w:rsidRPr="0014419E">
        <w:t xml:space="preserve"> to this feedback</w:t>
      </w:r>
      <w:r w:rsidRPr="0014419E" w:rsidR="007C2010">
        <w:t xml:space="preserve">, the </w:t>
      </w:r>
      <w:r w:rsidR="008267F6">
        <w:t xml:space="preserve">four additional data disclosures – </w:t>
      </w:r>
      <w:r w:rsidRPr="0014419E" w:rsidR="00E10AC3">
        <w:t xml:space="preserve">related party expenses, </w:t>
      </w:r>
      <w:r w:rsidRPr="0014419E" w:rsidR="00EB1B3D">
        <w:t xml:space="preserve">the effective tax rate disclosure </w:t>
      </w:r>
      <w:r w:rsidRPr="0014419E" w:rsidR="00745040">
        <w:t xml:space="preserve">and the </w:t>
      </w:r>
      <w:r w:rsidR="00C421FD">
        <w:t xml:space="preserve">two </w:t>
      </w:r>
      <w:r w:rsidRPr="0014419E" w:rsidR="007C2010">
        <w:t>intangible</w:t>
      </w:r>
      <w:r w:rsidRPr="0014419E" w:rsidR="005869EA">
        <w:t xml:space="preserve"> assets</w:t>
      </w:r>
      <w:r w:rsidRPr="0014419E" w:rsidR="007C2010">
        <w:t xml:space="preserve"> </w:t>
      </w:r>
      <w:r w:rsidRPr="0014419E" w:rsidR="00745040">
        <w:t xml:space="preserve">disclosures </w:t>
      </w:r>
      <w:r w:rsidR="00C421FD">
        <w:t xml:space="preserve">– </w:t>
      </w:r>
      <w:r w:rsidRPr="0014419E" w:rsidR="00745040">
        <w:t>were removed</w:t>
      </w:r>
      <w:r w:rsidR="00716D19">
        <w:t xml:space="preserve"> from the proposed option</w:t>
      </w:r>
      <w:r w:rsidRPr="0014419E" w:rsidR="00745040">
        <w:t>.</w:t>
      </w:r>
      <w:r w:rsidR="00C421FD">
        <w:t xml:space="preserve"> Additionally, the application of the </w:t>
      </w:r>
      <w:r w:rsidR="008E10A8">
        <w:t xml:space="preserve">public </w:t>
      </w:r>
      <w:r w:rsidR="00C80C78">
        <w:t>CbC measure</w:t>
      </w:r>
      <w:r w:rsidR="008E10A8">
        <w:t xml:space="preserve"> was </w:t>
      </w:r>
      <w:r w:rsidR="00A7733A">
        <w:t xml:space="preserve">proposed to be </w:t>
      </w:r>
      <w:r w:rsidR="008E10A8">
        <w:t>deferred by 12 months, to apply from 1 July 2024.</w:t>
      </w:r>
    </w:p>
    <w:p w:rsidR="00362A10" w:rsidP="002F5A5E" w:rsidRDefault="00745040" w14:paraId="23C1A587" w14:textId="667CBFF8">
      <w:r>
        <w:t>These</w:t>
      </w:r>
      <w:r w:rsidR="00462115">
        <w:t xml:space="preserve"> </w:t>
      </w:r>
      <w:r w:rsidR="00AA0092">
        <w:t xml:space="preserve">amendments </w:t>
      </w:r>
      <w:r w:rsidR="00386A9F">
        <w:t>were suggested to</w:t>
      </w:r>
      <w:r w:rsidR="00AA0092">
        <w:t xml:space="preserve"> </w:t>
      </w:r>
      <w:r w:rsidR="006E304C">
        <w:t>balance</w:t>
      </w:r>
      <w:r w:rsidR="00A45E65">
        <w:t xml:space="preserve"> the </w:t>
      </w:r>
      <w:r w:rsidR="00462115">
        <w:t xml:space="preserve">policy intent </w:t>
      </w:r>
      <w:r w:rsidR="00A45E65">
        <w:t>need</w:t>
      </w:r>
      <w:r w:rsidR="00D871AB">
        <w:t>s of</w:t>
      </w:r>
      <w:r w:rsidR="00A45E65">
        <w:t xml:space="preserve"> </w:t>
      </w:r>
      <w:r w:rsidR="00D871AB">
        <w:t>ensuring</w:t>
      </w:r>
      <w:r w:rsidR="004F2320">
        <w:t xml:space="preserve"> public tax disclosures do not undermine the </w:t>
      </w:r>
      <w:r w:rsidR="006D3063">
        <w:t>competitiveness</w:t>
      </w:r>
      <w:r w:rsidR="004F2320">
        <w:t xml:space="preserve"> of Australian based operations or detract from Australia’s ability to attract foreign capital investment</w:t>
      </w:r>
      <w:r w:rsidR="00926428">
        <w:t xml:space="preserve"> </w:t>
      </w:r>
      <w:r w:rsidR="00A7410C">
        <w:t>and investment whil</w:t>
      </w:r>
      <w:r w:rsidR="000F4F0D">
        <w:t>e</w:t>
      </w:r>
      <w:r w:rsidR="00A7410C">
        <w:t xml:space="preserve"> still providing </w:t>
      </w:r>
      <w:r w:rsidR="003807FA">
        <w:t xml:space="preserve">a </w:t>
      </w:r>
      <w:r w:rsidR="0083259A">
        <w:t xml:space="preserve">comprehensive </w:t>
      </w:r>
      <w:r w:rsidR="000F4F0D">
        <w:t xml:space="preserve">and forward </w:t>
      </w:r>
      <w:r w:rsidR="0083259A">
        <w:t xml:space="preserve">leading public disclosure regime of tax information on a </w:t>
      </w:r>
      <w:r w:rsidR="002F5A5E">
        <w:t>country-by-country</w:t>
      </w:r>
      <w:r w:rsidR="0083259A">
        <w:t xml:space="preserve"> basis.  </w:t>
      </w:r>
    </w:p>
    <w:p w:rsidR="0076515D" w:rsidP="002F5A5E" w:rsidRDefault="00D67340" w14:paraId="1781F613" w14:textId="0C1FE9FE">
      <w:r>
        <w:t xml:space="preserve">Following the close of formal consultation, international stakeholders </w:t>
      </w:r>
      <w:r w:rsidR="00783368">
        <w:t>r</w:t>
      </w:r>
      <w:r w:rsidR="00C7296B">
        <w:t>eached out to</w:t>
      </w:r>
      <w:r w:rsidR="00783368">
        <w:t xml:space="preserve"> Treasury </w:t>
      </w:r>
      <w:r w:rsidR="008F3249">
        <w:t>to enquire how</w:t>
      </w:r>
      <w:r w:rsidR="00783368">
        <w:t xml:space="preserve"> the disaggregated approach to reporting </w:t>
      </w:r>
      <w:r w:rsidR="008F3249">
        <w:t>would operate</w:t>
      </w:r>
      <w:r w:rsidR="009234D8">
        <w:t xml:space="preserve">, noting this </w:t>
      </w:r>
      <w:r w:rsidR="005B64AF">
        <w:t xml:space="preserve">was a departure from both the OECD confidential </w:t>
      </w:r>
      <w:r w:rsidR="000B4081">
        <w:t xml:space="preserve">approach to CbC reporting and that of the EU.  </w:t>
      </w:r>
      <w:r w:rsidR="00A13AFC">
        <w:t xml:space="preserve">  </w:t>
      </w:r>
    </w:p>
    <w:p w:rsidR="008A6BE4" w:rsidP="003E6DB8" w:rsidRDefault="008A6BE4" w14:paraId="6511AB63" w14:textId="638BC55F">
      <w:pPr>
        <w:pStyle w:val="Heading4"/>
      </w:pPr>
      <w:r>
        <w:t>Disclosure of subsidiary information</w:t>
      </w:r>
    </w:p>
    <w:p w:rsidR="009F48D9" w:rsidP="001A4133" w:rsidRDefault="00575663" w14:paraId="0AAC5188" w14:textId="1A6CBA91">
      <w:r>
        <w:t xml:space="preserve">Consultation on exposure </w:t>
      </w:r>
      <w:r w:rsidRPr="00060440">
        <w:rPr>
          <w:shd w:val="clear" w:color="auto" w:fill="FFFFFF" w:themeFill="background1"/>
        </w:rPr>
        <w:t>draft legislation and explanatory material on disclosure of subsidiary information occurred between 16 March 2023 and 13 April 2023. Treasury</w:t>
      </w:r>
      <w:r w:rsidRPr="00060440" w:rsidR="00552E2F">
        <w:rPr>
          <w:shd w:val="clear" w:color="auto" w:fill="FFFFFF" w:themeFill="background1"/>
        </w:rPr>
        <w:t xml:space="preserve"> received si</w:t>
      </w:r>
      <w:r w:rsidRPr="00060440" w:rsidR="001C326A">
        <w:rPr>
          <w:shd w:val="clear" w:color="auto" w:fill="FFFFFF" w:themeFill="background1"/>
        </w:rPr>
        <w:t xml:space="preserve">x </w:t>
      </w:r>
      <w:r w:rsidRPr="00060440" w:rsidR="0057710F">
        <w:rPr>
          <w:shd w:val="clear" w:color="auto" w:fill="FFFFFF" w:themeFill="background1"/>
        </w:rPr>
        <w:t>written submissions</w:t>
      </w:r>
      <w:r w:rsidRPr="00060440" w:rsidR="00506B63">
        <w:rPr>
          <w:shd w:val="clear" w:color="auto" w:fill="FFFFFF" w:themeFill="background1"/>
        </w:rPr>
        <w:t>.</w:t>
      </w:r>
      <w:r w:rsidR="006341C5">
        <w:t xml:space="preserve"> </w:t>
      </w:r>
    </w:p>
    <w:p w:rsidR="009F48D9" w:rsidP="009F48D9" w:rsidRDefault="009F48D9" w14:paraId="6B465C3D" w14:textId="36BBEE51">
      <w:r>
        <w:t>The exposure draft legislation reflected s</w:t>
      </w:r>
      <w:r w:rsidRPr="001A4133">
        <w:t>takeholder</w:t>
      </w:r>
      <w:r>
        <w:t xml:space="preserve"> feedback </w:t>
      </w:r>
      <w:r w:rsidR="00DD754A">
        <w:t>from the initial</w:t>
      </w:r>
      <w:r>
        <w:t xml:space="preserve"> consultation paper</w:t>
      </w:r>
      <w:r w:rsidR="009C3898">
        <w:t>;</w:t>
      </w:r>
      <w:r>
        <w:t xml:space="preserve"> </w:t>
      </w:r>
      <w:r w:rsidRPr="001A4133">
        <w:t xml:space="preserve">that having a full list of subsidiaries would provide a more objective mechanism for disclosing information on company tax arrangements, as opposed to disclosing doing business in tax havens. </w:t>
      </w:r>
    </w:p>
    <w:p w:rsidR="00844749" w:rsidP="001A4133" w:rsidRDefault="0034409C" w14:paraId="11017DC7" w14:textId="77777777">
      <w:r>
        <w:t xml:space="preserve">Stakeholder feedback on the draft legislation </w:t>
      </w:r>
      <w:r w:rsidR="008A0525">
        <w:t xml:space="preserve">subsequently </w:t>
      </w:r>
      <w:r>
        <w:t xml:space="preserve">focused on </w:t>
      </w:r>
      <w:r w:rsidR="003A2823">
        <w:t xml:space="preserve">minor technical </w:t>
      </w:r>
      <w:r w:rsidR="00087EDF">
        <w:t xml:space="preserve">drafting </w:t>
      </w:r>
      <w:r w:rsidR="00506B63">
        <w:t xml:space="preserve">suggestions and </w:t>
      </w:r>
      <w:r w:rsidR="00710789">
        <w:t xml:space="preserve">areas that would benefit from </w:t>
      </w:r>
      <w:r w:rsidR="00506B63">
        <w:t>additional clarification</w:t>
      </w:r>
      <w:r w:rsidR="00710789">
        <w:t xml:space="preserve">, such as </w:t>
      </w:r>
      <w:r w:rsidR="00106A63">
        <w:t>i</w:t>
      </w:r>
      <w:r w:rsidR="00087EDF">
        <w:t xml:space="preserve">n-scope </w:t>
      </w:r>
      <w:r w:rsidR="00506B63">
        <w:t xml:space="preserve">entities and timing of disclosures. </w:t>
      </w:r>
      <w:r w:rsidR="000A21F9">
        <w:t xml:space="preserve">For example, stakeholders </w:t>
      </w:r>
      <w:r w:rsidR="00BC46A8">
        <w:t xml:space="preserve">sought clarity on </w:t>
      </w:r>
      <w:r w:rsidR="005B7852">
        <w:t xml:space="preserve">terms like </w:t>
      </w:r>
      <w:r w:rsidR="00BC46A8">
        <w:t>‘jurisdictions’ versus ‘countries’</w:t>
      </w:r>
      <w:r w:rsidR="005B7852">
        <w:t xml:space="preserve">, </w:t>
      </w:r>
      <w:r w:rsidR="00070B05">
        <w:t xml:space="preserve">and </w:t>
      </w:r>
      <w:r w:rsidR="005B7852">
        <w:t xml:space="preserve">what the effect of ‘true and correct’ versus </w:t>
      </w:r>
      <w:r w:rsidR="000C1B72">
        <w:t xml:space="preserve">the existing </w:t>
      </w:r>
      <w:r w:rsidR="005B7852">
        <w:t xml:space="preserve">‘true and fair’ </w:t>
      </w:r>
      <w:r w:rsidR="000C1B72">
        <w:t xml:space="preserve">concept </w:t>
      </w:r>
      <w:r w:rsidR="005B7852">
        <w:t>m</w:t>
      </w:r>
      <w:r w:rsidR="00070B05">
        <w:t xml:space="preserve">ight mean for in-company </w:t>
      </w:r>
      <w:r w:rsidR="000C1B72">
        <w:t xml:space="preserve">sign-off on these </w:t>
      </w:r>
      <w:r w:rsidR="00070B05">
        <w:t>disclosures</w:t>
      </w:r>
      <w:r w:rsidR="008A0525">
        <w:t xml:space="preserve">. </w:t>
      </w:r>
    </w:p>
    <w:p w:rsidR="00D61340" w:rsidP="00D61340" w:rsidRDefault="00DF0F0E" w14:paraId="1645DC23" w14:textId="3C15720D">
      <w:r>
        <w:t xml:space="preserve">The final legislation </w:t>
      </w:r>
      <w:r w:rsidR="00FF3B73">
        <w:t>made minor changes in line with stakeholder feedback</w:t>
      </w:r>
      <w:r w:rsidR="000F0136">
        <w:t>, as appropriate</w:t>
      </w:r>
      <w:r w:rsidR="00070B05">
        <w:t>.</w:t>
      </w:r>
    </w:p>
    <w:p w:rsidR="00124918" w:rsidP="00124918" w:rsidRDefault="00124918" w14:paraId="5E6D65E8" w14:textId="77777777">
      <w:pPr>
        <w:pStyle w:val="Heading4"/>
      </w:pPr>
      <w:r>
        <w:t>Government tenderers’ disclosure of their country of tax domicile</w:t>
      </w:r>
    </w:p>
    <w:p w:rsidR="008A4267" w:rsidP="00124918" w:rsidRDefault="00124918" w14:paraId="3F4E48FC" w14:textId="27F6BCD1">
      <w:r>
        <w:t xml:space="preserve">The measure for </w:t>
      </w:r>
      <w:r w:rsidRPr="00C51B35">
        <w:t>Government tenderers disclosing their country of tax domicile</w:t>
      </w:r>
      <w:r>
        <w:t xml:space="preserve"> did not require legislative amendment </w:t>
      </w:r>
      <w:r w:rsidR="00DF44BD">
        <w:t xml:space="preserve">and so </w:t>
      </w:r>
      <w:r>
        <w:t>was not subject to additional</w:t>
      </w:r>
      <w:r w:rsidR="008A4267">
        <w:t xml:space="preserve"> public</w:t>
      </w:r>
      <w:r>
        <w:t xml:space="preserve"> consultat</w:t>
      </w:r>
      <w:r w:rsidR="008A4267">
        <w:t>ion.</w:t>
      </w:r>
    </w:p>
    <w:p w:rsidR="00124918" w:rsidP="00124918" w:rsidRDefault="00124918" w14:paraId="769A483F" w14:textId="3DD20F2E">
      <w:r>
        <w:t xml:space="preserve">This measure </w:t>
      </w:r>
      <w:r w:rsidR="008A4267">
        <w:t xml:space="preserve">can be implemented administratively, through an update to </w:t>
      </w:r>
      <w:r w:rsidRPr="00D00EC8" w:rsidR="008A4267">
        <w:t xml:space="preserve">the Commonwealth Contracting Suite, ClauseBank and guidance material published on the </w:t>
      </w:r>
      <w:r w:rsidR="00703404">
        <w:t>Treasury</w:t>
      </w:r>
      <w:r w:rsidR="008A4267">
        <w:t>’s</w:t>
      </w:r>
      <w:r w:rsidRPr="00D00EC8" w:rsidR="008A4267">
        <w:t xml:space="preserve"> website</w:t>
      </w:r>
      <w:r w:rsidR="008A4267">
        <w:t xml:space="preserve">. It </w:t>
      </w:r>
      <w:r w:rsidRPr="00D55C66">
        <w:t>is intended to be implemented with negligible</w:t>
      </w:r>
      <w:r>
        <w:t xml:space="preserve"> compliance burden and will operate to complement existing tax details required of Australian Government tenderers, such as the Shadow Economy Procurement Connected Policy, without imposing excessive compliance burden on industry.</w:t>
      </w:r>
    </w:p>
    <w:p w:rsidR="00355EA8" w:rsidP="00DF62A8" w:rsidRDefault="00355EA8" w14:paraId="07A460AA" w14:textId="5A2EB46F">
      <w:pPr>
        <w:pStyle w:val="Heading1"/>
      </w:pPr>
      <w:bookmarkStart w:name="_Toc138754503" w:id="15"/>
      <w:r>
        <w:t xml:space="preserve">Preferred option </w:t>
      </w:r>
      <w:r w:rsidR="00401280">
        <w:t xml:space="preserve">and </w:t>
      </w:r>
      <w:r w:rsidR="000649E4">
        <w:t>implementation</w:t>
      </w:r>
      <w:bookmarkEnd w:id="15"/>
    </w:p>
    <w:p w:rsidR="00BE05D6" w:rsidP="00BE05D6" w:rsidRDefault="007C5B45" w14:paraId="416D2874" w14:textId="3E9D3F56">
      <w:r>
        <w:t>Th</w:t>
      </w:r>
      <w:r w:rsidR="00B84567">
        <w:t xml:space="preserve">e </w:t>
      </w:r>
      <w:r w:rsidR="00BD1A12">
        <w:t>G</w:t>
      </w:r>
      <w:r w:rsidR="00B84567">
        <w:t>overnment’s election</w:t>
      </w:r>
      <w:r w:rsidR="00252C0A">
        <w:t xml:space="preserve"> </w:t>
      </w:r>
      <w:r w:rsidR="00B84567">
        <w:t>commitment is the preferred option. The implementation of this opt</w:t>
      </w:r>
      <w:r w:rsidR="00252C0A">
        <w:t>ion has been informed by consideration of stakeholder feedback</w:t>
      </w:r>
      <w:r w:rsidR="00C179D9">
        <w:t xml:space="preserve">, </w:t>
      </w:r>
      <w:r w:rsidR="00FB2EA0">
        <w:t>particularly on exposure draft legislation fro</w:t>
      </w:r>
      <w:r w:rsidR="00175D6A">
        <w:t>m the business community (as the cohort incurring the direct compliance cost)</w:t>
      </w:r>
      <w:r w:rsidR="00FB2EA0">
        <w:t>.</w:t>
      </w:r>
      <w:r w:rsidR="00BE05D6">
        <w:t xml:space="preserve"> </w:t>
      </w:r>
      <w:r w:rsidR="006F6B8D">
        <w:t>Accordingly, t</w:t>
      </w:r>
      <w:r w:rsidR="00BE05D6">
        <w:t xml:space="preserve">he </w:t>
      </w:r>
      <w:r w:rsidR="00006192">
        <w:t>proposed</w:t>
      </w:r>
      <w:r w:rsidR="00BE05D6">
        <w:t xml:space="preserve"> implementation design reflects a</w:t>
      </w:r>
      <w:r w:rsidRPr="00421585" w:rsidR="00BE05D6">
        <w:t xml:space="preserve"> balance </w:t>
      </w:r>
      <w:r w:rsidR="00BE05D6">
        <w:t xml:space="preserve">with </w:t>
      </w:r>
      <w:r w:rsidRPr="00421585" w:rsidR="00BE05D6">
        <w:t xml:space="preserve">compliance cost considerations </w:t>
      </w:r>
      <w:r w:rsidR="00BE05D6">
        <w:t>on business</w:t>
      </w:r>
      <w:r w:rsidR="006407DE">
        <w:t>,</w:t>
      </w:r>
      <w:r w:rsidR="00BE05D6">
        <w:t xml:space="preserve"> </w:t>
      </w:r>
      <w:r w:rsidRPr="00421585" w:rsidR="00BE05D6">
        <w:t>while delivering meaningful improvements in tax transparency</w:t>
      </w:r>
      <w:r w:rsidR="00BE05D6">
        <w:t xml:space="preserve"> (supported by the civil society</w:t>
      </w:r>
      <w:r w:rsidR="00DD4B54">
        <w:t xml:space="preserve"> and community stakeholders</w:t>
      </w:r>
      <w:r w:rsidR="00BE05D6">
        <w:t>)</w:t>
      </w:r>
      <w:r w:rsidRPr="00421585" w:rsidR="00BE05D6">
        <w:t>.</w:t>
      </w:r>
      <w:r w:rsidR="00BE05D6">
        <w:t xml:space="preserve"> </w:t>
      </w:r>
    </w:p>
    <w:p w:rsidR="006010B3" w:rsidP="006010B3" w:rsidRDefault="006010B3" w14:paraId="0C093E87" w14:textId="18E358B8">
      <w:r>
        <w:t xml:space="preserve">Through public consultation, stakeholders indicated their general support for enhanced tax transparency and broadly accepted the role this information has in instilling community confidence in the Australian tax system. However, </w:t>
      </w:r>
      <w:r w:rsidR="002461AE">
        <w:t xml:space="preserve">business </w:t>
      </w:r>
      <w:r w:rsidR="008E2577">
        <w:t>stakeholders</w:t>
      </w:r>
      <w:r>
        <w:t xml:space="preserve"> noted there needs to be a balanced approach to ensure this increased transparency did not place unnecessary compliance burdens or encroach taxpayer confidentiality/sensitive information. </w:t>
      </w:r>
    </w:p>
    <w:p w:rsidR="002461AE" w:rsidP="002461AE" w:rsidRDefault="002461AE" w14:paraId="0E70F51E" w14:textId="36C9BF24">
      <w:r>
        <w:t xml:space="preserve">This balance, and recognition of </w:t>
      </w:r>
      <w:r w:rsidR="004E7F3B">
        <w:t xml:space="preserve">the </w:t>
      </w:r>
      <w:r w:rsidR="00C03A52">
        <w:t xml:space="preserve">competing </w:t>
      </w:r>
      <w:r w:rsidR="00DA53EB">
        <w:t xml:space="preserve">business </w:t>
      </w:r>
      <w:r>
        <w:t>stakeholder</w:t>
      </w:r>
      <w:r w:rsidR="004E7F3B">
        <w:t xml:space="preserve"> views and c</w:t>
      </w:r>
      <w:r w:rsidR="00D7422A">
        <w:t xml:space="preserve">ivil society </w:t>
      </w:r>
      <w:r>
        <w:t>feedback, will help to support the implementation of</w:t>
      </w:r>
      <w:r w:rsidR="00D33912">
        <w:t>, and taxpayer compliance with,</w:t>
      </w:r>
      <w:r>
        <w:t xml:space="preserve"> the new disclosures</w:t>
      </w:r>
      <w:r w:rsidR="00000B73">
        <w:t>. However</w:t>
      </w:r>
      <w:r w:rsidR="007A12F6">
        <w:t>,</w:t>
      </w:r>
      <w:r w:rsidR="00000B73">
        <w:t xml:space="preserve"> it also</w:t>
      </w:r>
      <w:r w:rsidR="00DA53EB">
        <w:t xml:space="preserve"> recognis</w:t>
      </w:r>
      <w:r w:rsidR="00000B73">
        <w:t>es</w:t>
      </w:r>
      <w:r w:rsidR="00DA53EB">
        <w:t xml:space="preserve"> that </w:t>
      </w:r>
      <w:r w:rsidR="006A67DE">
        <w:t xml:space="preserve">meaningful improvements to taxpayer </w:t>
      </w:r>
      <w:r w:rsidR="00302A0C">
        <w:t>disclosures</w:t>
      </w:r>
      <w:r w:rsidR="00DA53EB">
        <w:t xml:space="preserve"> </w:t>
      </w:r>
      <w:r w:rsidR="001E6074">
        <w:t xml:space="preserve">also </w:t>
      </w:r>
      <w:r w:rsidR="00817A7D">
        <w:t>g</w:t>
      </w:r>
      <w:r w:rsidR="00CB4707">
        <w:t>ives rise to some</w:t>
      </w:r>
      <w:r w:rsidR="00DA53EB">
        <w:t xml:space="preserve"> broader economic benefits</w:t>
      </w:r>
      <w:r w:rsidR="00623D30">
        <w:t>.</w:t>
      </w:r>
      <w:r w:rsidR="00FD6BA5">
        <w:t xml:space="preserve"> For example, reduced information asymmetries can support investors</w:t>
      </w:r>
      <w:r w:rsidR="0002387A">
        <w:t xml:space="preserve"> </w:t>
      </w:r>
      <w:r w:rsidR="00FD6BA5">
        <w:t>to make more informed decisions</w:t>
      </w:r>
      <w:r w:rsidR="007E18A0">
        <w:t xml:space="preserve">, assisting efficient capital allocation frameworks. </w:t>
      </w:r>
      <w:r w:rsidR="0002387A">
        <w:t>The increased disclosures and better data availability will also support a more informed analysis of corporates’ tax affairs, helping to support trust in the tax system</w:t>
      </w:r>
      <w:r w:rsidR="00E616C6">
        <w:t xml:space="preserve"> which is a focus of the </w:t>
      </w:r>
      <w:r w:rsidR="00A42C2E">
        <w:t>general</w:t>
      </w:r>
      <w:r w:rsidR="00E616C6">
        <w:t xml:space="preserve"> community</w:t>
      </w:r>
      <w:r w:rsidR="0002387A">
        <w:t>.</w:t>
      </w:r>
    </w:p>
    <w:p w:rsidR="00DF62A8" w:rsidP="00DF62A8" w:rsidRDefault="00F56CFC" w14:paraId="6B83721B" w14:textId="3193A81A">
      <w:r>
        <w:t xml:space="preserve">Reflecting these </w:t>
      </w:r>
      <w:r w:rsidR="002405AA">
        <w:t>outcomes</w:t>
      </w:r>
      <w:r>
        <w:t>, t</w:t>
      </w:r>
      <w:r w:rsidR="006259E9">
        <w:t xml:space="preserve">he </w:t>
      </w:r>
      <w:r w:rsidR="00C664E8">
        <w:t>G</w:t>
      </w:r>
      <w:r w:rsidR="00BE1393">
        <w:t>overnment’s election commitment</w:t>
      </w:r>
      <w:r w:rsidR="00682DA4">
        <w:t>s</w:t>
      </w:r>
      <w:r w:rsidR="00914EA8">
        <w:t xml:space="preserve"> </w:t>
      </w:r>
      <w:r w:rsidR="00971CA0">
        <w:t>can</w:t>
      </w:r>
      <w:r w:rsidR="009B04D1">
        <w:t xml:space="preserve"> </w:t>
      </w:r>
      <w:r w:rsidR="00EA7867">
        <w:t>ensur</w:t>
      </w:r>
      <w:r w:rsidR="009B04D1">
        <w:t>e</w:t>
      </w:r>
      <w:r w:rsidR="00EA7867">
        <w:t xml:space="preserve"> a meaningful </w:t>
      </w:r>
      <w:r w:rsidR="00C11A8F">
        <w:t xml:space="preserve">improvement to tax transparency disclosures </w:t>
      </w:r>
      <w:r w:rsidR="0049687A">
        <w:t>compared to the status quo option of no changes.</w:t>
      </w:r>
      <w:r w:rsidR="006259E9">
        <w:t xml:space="preserve"> </w:t>
      </w:r>
      <w:r w:rsidR="00EA61EB">
        <w:t xml:space="preserve"> A high-level of taxpayer compliance that gives rise to better data will be an indicator of successful implementation of this option.</w:t>
      </w:r>
    </w:p>
    <w:p w:rsidR="00E43C21" w:rsidP="00DF62A8" w:rsidRDefault="00E43C21" w14:paraId="529B1D8D" w14:textId="289BD607">
      <w:r>
        <w:t>A summar</w:t>
      </w:r>
      <w:r w:rsidR="00017A48">
        <w:t xml:space="preserve">y of the </w:t>
      </w:r>
      <w:r w:rsidR="00385B25">
        <w:t>proposed</w:t>
      </w:r>
      <w:r w:rsidR="00017A48">
        <w:t xml:space="preserve"> design </w:t>
      </w:r>
      <w:r w:rsidR="00C54749">
        <w:t>of these options</w:t>
      </w:r>
      <w:r w:rsidR="00A53076">
        <w:t xml:space="preserve"> (and in relation to the design proposed in the </w:t>
      </w:r>
      <w:r w:rsidR="00811F0F">
        <w:t>consultation paper) follows:</w:t>
      </w:r>
    </w:p>
    <w:p w:rsidR="000649E4" w:rsidP="000649E4" w:rsidRDefault="000649E4" w14:paraId="7AD91E7E" w14:textId="300600AA">
      <w:pPr>
        <w:pStyle w:val="Heading3"/>
      </w:pPr>
      <w:bookmarkStart w:name="_Toc138754504" w:id="16"/>
      <w:r>
        <w:t>Public Country</w:t>
      </w:r>
      <w:r w:rsidR="00D6087A">
        <w:t>-</w:t>
      </w:r>
      <w:r>
        <w:t>by</w:t>
      </w:r>
      <w:r w:rsidR="00D6087A">
        <w:t>-</w:t>
      </w:r>
      <w:r>
        <w:t>Country Reporting</w:t>
      </w:r>
      <w:bookmarkEnd w:id="16"/>
    </w:p>
    <w:p w:rsidR="000649E4" w:rsidP="000649E4" w:rsidRDefault="000649E4" w14:paraId="7673B4F1" w14:textId="77777777">
      <w:r>
        <w:t>This element applies to entities with an Australian presence that are:</w:t>
      </w:r>
    </w:p>
    <w:p w:rsidR="000649E4" w:rsidP="00FF5920" w:rsidRDefault="000649E4" w14:paraId="4FF1746A" w14:textId="360F9B5C">
      <w:pPr>
        <w:pStyle w:val="Bullet"/>
      </w:pPr>
      <w:r>
        <w:t>a C</w:t>
      </w:r>
      <w:r w:rsidR="00665AE8">
        <w:t>b</w:t>
      </w:r>
      <w:r>
        <w:t xml:space="preserve">C reporting parent within the meaning provided by section 815-375 of the </w:t>
      </w:r>
      <w:r w:rsidRPr="00087D9C">
        <w:rPr>
          <w:i/>
          <w:iCs/>
        </w:rPr>
        <w:t>Income Tax Assessment Act 1997</w:t>
      </w:r>
      <w:r>
        <w:t xml:space="preserve"> and:</w:t>
      </w:r>
    </w:p>
    <w:p w:rsidR="000649E4" w:rsidP="000649E4" w:rsidRDefault="000649E4" w14:paraId="7D0BF1E0" w14:textId="0FC7E933">
      <w:pPr>
        <w:pStyle w:val="Dash"/>
      </w:pPr>
      <w:r>
        <w:t>if the C</w:t>
      </w:r>
      <w:r w:rsidR="00665AE8">
        <w:t>b</w:t>
      </w:r>
      <w:r>
        <w:t>C reporting parent is a company, it is a constitutional corporation; or</w:t>
      </w:r>
    </w:p>
    <w:p w:rsidR="000649E4" w:rsidP="000649E4" w:rsidRDefault="000649E4" w14:paraId="4E4B29BE" w14:textId="0349F5AA">
      <w:pPr>
        <w:pStyle w:val="Dash"/>
      </w:pPr>
      <w:r>
        <w:t>if the C</w:t>
      </w:r>
      <w:r w:rsidR="00665AE8">
        <w:t>b</w:t>
      </w:r>
      <w:r>
        <w:t>C reporting parent is a trust, each of the trustees is a constitutional corporation; or</w:t>
      </w:r>
    </w:p>
    <w:p w:rsidR="000649E4" w:rsidP="000649E4" w:rsidRDefault="000649E4" w14:paraId="348D322B" w14:textId="47622DB5">
      <w:pPr>
        <w:pStyle w:val="Dash"/>
      </w:pPr>
      <w:r>
        <w:t>if the C</w:t>
      </w:r>
      <w:r w:rsidR="00665AE8">
        <w:t>b</w:t>
      </w:r>
      <w:r>
        <w:t>C reporting parent is a partnership, each of the partners is a constitutional corporation.</w:t>
      </w:r>
    </w:p>
    <w:p w:rsidR="000649E4" w:rsidP="000649E4" w:rsidRDefault="00A0048A" w14:paraId="27CA74CA" w14:textId="7400AEE2">
      <w:r>
        <w:t>Th</w:t>
      </w:r>
      <w:r w:rsidR="003C3525">
        <w:t xml:space="preserve">is </w:t>
      </w:r>
      <w:r w:rsidR="009243F3">
        <w:t>d</w:t>
      </w:r>
      <w:r w:rsidR="00417165">
        <w:t>efinition</w:t>
      </w:r>
      <w:r>
        <w:t xml:space="preserve"> will apply to Australian parent entities and foreign head quartered entities that meet the definition of a CbC reporting entity</w:t>
      </w:r>
      <w:r w:rsidR="00417165">
        <w:t>.</w:t>
      </w:r>
      <w:r w:rsidR="00C40A3E">
        <w:t xml:space="preserve"> </w:t>
      </w:r>
      <w:r w:rsidR="00417165">
        <w:t>T</w:t>
      </w:r>
      <w:r w:rsidR="000649E4">
        <w:t xml:space="preserve">he onus to publish the public CbC report </w:t>
      </w:r>
      <w:r w:rsidR="00417165">
        <w:t xml:space="preserve">will </w:t>
      </w:r>
      <w:r w:rsidR="000649E4">
        <w:t>fall on the parent entity</w:t>
      </w:r>
      <w:r w:rsidR="00417165">
        <w:t>,</w:t>
      </w:r>
      <w:r w:rsidR="000649E4">
        <w:t xml:space="preserve"> reflect</w:t>
      </w:r>
      <w:r w:rsidR="00417165">
        <w:t>ing</w:t>
      </w:r>
      <w:r w:rsidR="000649E4">
        <w:t xml:space="preserve"> that the parent entity will have the requisite information needed to comply with the proposed regime.</w:t>
      </w:r>
    </w:p>
    <w:p w:rsidR="000649E4" w:rsidP="000649E4" w:rsidRDefault="000649E4" w14:paraId="1CEF22B5" w14:textId="04E457C1">
      <w:r>
        <w:t xml:space="preserve">The guiding principle on the final legislative parameters was to balance the </w:t>
      </w:r>
      <w:r w:rsidR="00731CBB">
        <w:t>G</w:t>
      </w:r>
      <w:r>
        <w:t>overnment’s policy intent for meaningful improvements to tax transparency disclosures</w:t>
      </w:r>
      <w:r w:rsidR="005421DC">
        <w:t xml:space="preserve"> with </w:t>
      </w:r>
      <w:r>
        <w:t>compliance burdens on taxpayers. This had regard for leveraging existing concepts and mechanisms (including existing regimes), where possible. For example, requiring the parent entity to publish the report leverages the existing OECD process (where lodging of the CbC ‘master file’ rests with the parent entity).</w:t>
      </w:r>
    </w:p>
    <w:p w:rsidR="000649E4" w:rsidP="000649E4" w:rsidRDefault="000649E4" w14:paraId="1D132B82" w14:textId="77777777">
      <w:r>
        <w:t xml:space="preserve">The content of the public CbC disclosure reflects the data that entities would generally disclose under an existing reporting regime, such as the existing OECD CbC disclosure requirements, which has general overlaps with the EU Directive (table below refers). </w:t>
      </w:r>
    </w:p>
    <w:p w:rsidR="000649E4" w:rsidP="000649E4" w:rsidRDefault="000649E4" w14:paraId="0378E515" w14:textId="77777777"/>
    <w:p w:rsidRPr="008D1FD3" w:rsidR="000649E4" w:rsidP="000649E4" w:rsidRDefault="000649E4" w14:paraId="4FF91BB6" w14:textId="77777777">
      <w:pPr>
        <w:keepNext/>
        <w:rPr>
          <w:b/>
          <w:bCs/>
        </w:rPr>
      </w:pPr>
      <w:r w:rsidRPr="008D1FD3">
        <w:rPr>
          <w:b/>
          <w:bCs/>
        </w:rPr>
        <w:t>Table 1:</w:t>
      </w:r>
      <w:r>
        <w:rPr>
          <w:b/>
          <w:bCs/>
        </w:rPr>
        <w:t xml:space="preserve"> Summary of Australian public CbC disclosures</w:t>
      </w:r>
      <w:r w:rsidRPr="0019736E">
        <w:rPr>
          <w:vertAlign w:val="superscript"/>
        </w:rPr>
        <w:footnoteReference w:id="27"/>
      </w:r>
    </w:p>
    <w:tbl>
      <w:tblPr>
        <w:tblStyle w:val="PlainTable1"/>
        <w:tblW w:w="8643" w:type="dxa"/>
        <w:jc w:val="center"/>
        <w:tblLook w:val="04A0" w:firstRow="1" w:lastRow="0" w:firstColumn="1" w:lastColumn="0" w:noHBand="0" w:noVBand="1"/>
      </w:tblPr>
      <w:tblGrid>
        <w:gridCol w:w="4019"/>
        <w:gridCol w:w="1046"/>
        <w:gridCol w:w="1087"/>
        <w:gridCol w:w="1101"/>
        <w:gridCol w:w="1390"/>
      </w:tblGrid>
      <w:tr w:rsidR="000649E4" w14:paraId="136E592F"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9" w:type="dxa"/>
          </w:tcPr>
          <w:p w:rsidR="000649E4" w:rsidRDefault="000649E4" w14:paraId="22A90117" w14:textId="77777777"/>
        </w:tc>
        <w:tc>
          <w:tcPr>
            <w:tcW w:w="1046" w:type="dxa"/>
          </w:tcPr>
          <w:p w:rsidR="000649E4" w:rsidRDefault="000649E4" w14:paraId="489B9F61" w14:textId="77777777">
            <w:pPr>
              <w:cnfStyle w:val="100000000000" w:firstRow="1" w:lastRow="0" w:firstColumn="0" w:lastColumn="0" w:oddVBand="0" w:evenVBand="0" w:oddHBand="0" w:evenHBand="0" w:firstRowFirstColumn="0" w:firstRowLastColumn="0" w:lastRowFirstColumn="0" w:lastRowLastColumn="0"/>
            </w:pPr>
            <w:r>
              <w:t>OECD CBC</w:t>
            </w:r>
          </w:p>
        </w:tc>
        <w:tc>
          <w:tcPr>
            <w:tcW w:w="1087" w:type="dxa"/>
          </w:tcPr>
          <w:p w:rsidR="000649E4" w:rsidRDefault="000649E4" w14:paraId="153E25C8" w14:textId="77777777">
            <w:pPr>
              <w:cnfStyle w:val="100000000000" w:firstRow="1" w:lastRow="0" w:firstColumn="0" w:lastColumn="0" w:oddVBand="0" w:evenVBand="0" w:oddHBand="0" w:evenHBand="0" w:firstRowFirstColumn="0" w:firstRowLastColumn="0" w:lastRowFirstColumn="0" w:lastRowLastColumn="0"/>
            </w:pPr>
            <w:r>
              <w:t>Global Reporting Initiative 207</w:t>
            </w:r>
          </w:p>
        </w:tc>
        <w:tc>
          <w:tcPr>
            <w:tcW w:w="1101" w:type="dxa"/>
          </w:tcPr>
          <w:p w:rsidR="000649E4" w:rsidRDefault="000649E4" w14:paraId="0C3C1F75" w14:textId="77777777">
            <w:pPr>
              <w:cnfStyle w:val="100000000000" w:firstRow="1" w:lastRow="0" w:firstColumn="0" w:lastColumn="0" w:oddVBand="0" w:evenVBand="0" w:oddHBand="0" w:evenHBand="0" w:firstRowFirstColumn="0" w:firstRowLastColumn="0" w:lastRowFirstColumn="0" w:lastRowLastColumn="0"/>
            </w:pPr>
            <w:r>
              <w:t>EU public CBC</w:t>
            </w:r>
          </w:p>
        </w:tc>
        <w:tc>
          <w:tcPr>
            <w:tcW w:w="1390" w:type="dxa"/>
            <w:shd w:val="clear" w:color="auto" w:fill="F0AE81" w:themeFill="accent6"/>
          </w:tcPr>
          <w:p w:rsidR="000649E4" w:rsidRDefault="000649E4" w14:paraId="798F8F03" w14:textId="77777777">
            <w:pPr>
              <w:cnfStyle w:val="100000000000" w:firstRow="1" w:lastRow="0" w:firstColumn="0" w:lastColumn="0" w:oddVBand="0" w:evenVBand="0" w:oddHBand="0" w:evenHBand="0" w:firstRowFirstColumn="0" w:firstRowLastColumn="0" w:lastRowFirstColumn="0" w:lastRowLastColumn="0"/>
            </w:pPr>
            <w:r>
              <w:t>Australian public CBC</w:t>
            </w:r>
          </w:p>
        </w:tc>
      </w:tr>
      <w:tr w:rsidR="000649E4" w14:paraId="78C6046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9" w:type="dxa"/>
          </w:tcPr>
          <w:p w:rsidR="000649E4" w:rsidRDefault="000649E4" w14:paraId="0B60138E" w14:textId="77777777">
            <w:r>
              <w:t>Statement on approach to tax</w:t>
            </w:r>
          </w:p>
        </w:tc>
        <w:tc>
          <w:tcPr>
            <w:tcW w:w="1046" w:type="dxa"/>
            <w:vAlign w:val="center"/>
          </w:tcPr>
          <w:p w:rsidR="000649E4" w:rsidRDefault="000649E4" w14:paraId="7FDAD9E4" w14:textId="77777777">
            <w:pPr>
              <w:jc w:val="center"/>
              <w:cnfStyle w:val="000000100000" w:firstRow="0" w:lastRow="0" w:firstColumn="0" w:lastColumn="0" w:oddVBand="0" w:evenVBand="0" w:oddHBand="1" w:evenHBand="0" w:firstRowFirstColumn="0" w:firstRowLastColumn="0" w:lastRowFirstColumn="0" w:lastRowLastColumn="0"/>
            </w:pPr>
            <w:r>
              <w:t>X</w:t>
            </w:r>
          </w:p>
        </w:tc>
        <w:tc>
          <w:tcPr>
            <w:tcW w:w="1087" w:type="dxa"/>
            <w:vAlign w:val="center"/>
          </w:tcPr>
          <w:p w:rsidR="000649E4" w:rsidRDefault="000649E4" w14:paraId="09E5FF96" w14:textId="77777777">
            <w:pPr>
              <w:jc w:val="center"/>
              <w:cnfStyle w:val="000000100000" w:firstRow="0" w:lastRow="0" w:firstColumn="0" w:lastColumn="0" w:oddVBand="0" w:evenVBand="0" w:oddHBand="1" w:evenHBand="0" w:firstRowFirstColumn="0" w:firstRowLastColumn="0" w:lastRowFirstColumn="0" w:lastRowLastColumn="0"/>
            </w:pPr>
            <w:r>
              <w:rPr>
                <w:rFonts w:ascii="Wingdings 2" w:hAnsi="Wingdings 2" w:eastAsia="Wingdings 2" w:cs="Wingdings 2"/>
              </w:rPr>
              <w:t>P</w:t>
            </w:r>
          </w:p>
        </w:tc>
        <w:tc>
          <w:tcPr>
            <w:tcW w:w="1101" w:type="dxa"/>
            <w:vAlign w:val="center"/>
          </w:tcPr>
          <w:p w:rsidR="000649E4" w:rsidRDefault="000649E4" w14:paraId="578AC56E" w14:textId="77777777">
            <w:pPr>
              <w:jc w:val="center"/>
              <w:cnfStyle w:val="000000100000" w:firstRow="0" w:lastRow="0" w:firstColumn="0" w:lastColumn="0" w:oddVBand="0" w:evenVBand="0" w:oddHBand="1" w:evenHBand="0" w:firstRowFirstColumn="0" w:firstRowLastColumn="0" w:lastRowFirstColumn="0" w:lastRowLastColumn="0"/>
            </w:pPr>
            <w:r>
              <w:t>X</w:t>
            </w:r>
          </w:p>
        </w:tc>
        <w:tc>
          <w:tcPr>
            <w:tcW w:w="1390" w:type="dxa"/>
            <w:shd w:val="clear" w:color="auto" w:fill="F0AE81" w:themeFill="accent6"/>
            <w:vAlign w:val="center"/>
          </w:tcPr>
          <w:p w:rsidR="000649E4" w:rsidRDefault="000649E4" w14:paraId="01C4DFB0" w14:textId="77777777">
            <w:pPr>
              <w:jc w:val="center"/>
              <w:cnfStyle w:val="000000100000" w:firstRow="0" w:lastRow="0" w:firstColumn="0" w:lastColumn="0" w:oddVBand="0" w:evenVBand="0" w:oddHBand="1" w:evenHBand="0" w:firstRowFirstColumn="0" w:firstRowLastColumn="0" w:lastRowFirstColumn="0" w:lastRowLastColumn="0"/>
            </w:pPr>
            <w:r>
              <w:rPr>
                <w:rFonts w:ascii="Wingdings 2" w:hAnsi="Wingdings 2" w:eastAsia="Wingdings 2" w:cs="Wingdings 2"/>
              </w:rPr>
              <w:t>P</w:t>
            </w:r>
          </w:p>
        </w:tc>
      </w:tr>
      <w:tr w:rsidR="000649E4" w14:paraId="1C82512E" w14:textId="77777777">
        <w:trPr>
          <w:jc w:val="center"/>
        </w:trPr>
        <w:tc>
          <w:tcPr>
            <w:cnfStyle w:val="001000000000" w:firstRow="0" w:lastRow="0" w:firstColumn="1" w:lastColumn="0" w:oddVBand="0" w:evenVBand="0" w:oddHBand="0" w:evenHBand="0" w:firstRowFirstColumn="0" w:firstRowLastColumn="0" w:lastRowFirstColumn="0" w:lastRowLastColumn="0"/>
            <w:tcW w:w="4019" w:type="dxa"/>
          </w:tcPr>
          <w:p w:rsidR="000649E4" w:rsidRDefault="000649E4" w14:paraId="5FA4D138" w14:textId="77777777">
            <w:r>
              <w:t xml:space="preserve">Name of reporting entities in the </w:t>
            </w:r>
            <w:r>
              <w:br/>
            </w:r>
            <w:r>
              <w:t>CBC reporting group</w:t>
            </w:r>
          </w:p>
        </w:tc>
        <w:tc>
          <w:tcPr>
            <w:tcW w:w="1046" w:type="dxa"/>
            <w:vAlign w:val="center"/>
          </w:tcPr>
          <w:p w:rsidR="000649E4" w:rsidRDefault="000649E4" w14:paraId="50FB396B"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c>
          <w:tcPr>
            <w:tcW w:w="1087" w:type="dxa"/>
            <w:vAlign w:val="center"/>
          </w:tcPr>
          <w:p w:rsidRPr="009F5119" w:rsidR="000649E4" w:rsidRDefault="000649E4" w14:paraId="50D6A32C"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c>
          <w:tcPr>
            <w:tcW w:w="1101" w:type="dxa"/>
            <w:vAlign w:val="center"/>
          </w:tcPr>
          <w:p w:rsidR="000649E4" w:rsidRDefault="000649E4" w14:paraId="553EBF00"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c>
          <w:tcPr>
            <w:tcW w:w="1390" w:type="dxa"/>
            <w:shd w:val="clear" w:color="auto" w:fill="F0AE81" w:themeFill="accent6"/>
            <w:vAlign w:val="center"/>
          </w:tcPr>
          <w:p w:rsidR="000649E4" w:rsidRDefault="000649E4" w14:paraId="6332520B"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r>
      <w:tr w:rsidR="000649E4" w14:paraId="52A9AD4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9" w:type="dxa"/>
          </w:tcPr>
          <w:p w:rsidR="000649E4" w:rsidRDefault="000649E4" w14:paraId="4E711BBD" w14:textId="77777777">
            <w:r>
              <w:t>Description of main business activities</w:t>
            </w:r>
          </w:p>
        </w:tc>
        <w:tc>
          <w:tcPr>
            <w:tcW w:w="1046" w:type="dxa"/>
            <w:vAlign w:val="center"/>
          </w:tcPr>
          <w:p w:rsidRPr="009F5119" w:rsidR="000649E4" w:rsidRDefault="000649E4" w14:paraId="64420D2E" w14:textId="77777777">
            <w:pPr>
              <w:jc w:val="center"/>
              <w:cnfStyle w:val="000000100000" w:firstRow="0" w:lastRow="0" w:firstColumn="0" w:lastColumn="0" w:oddVBand="0" w:evenVBand="0" w:oddHBand="1" w:evenHBand="0" w:firstRowFirstColumn="0" w:firstRowLastColumn="0" w:lastRowFirstColumn="0" w:lastRowLastColumn="0"/>
            </w:pPr>
            <w:r w:rsidRPr="009F5119">
              <w:rPr>
                <w:rFonts w:ascii="Wingdings 2" w:hAnsi="Wingdings 2" w:eastAsia="Wingdings 2" w:cs="Wingdings 2"/>
              </w:rPr>
              <w:t>P</w:t>
            </w:r>
          </w:p>
        </w:tc>
        <w:tc>
          <w:tcPr>
            <w:tcW w:w="1087" w:type="dxa"/>
            <w:vAlign w:val="center"/>
          </w:tcPr>
          <w:p w:rsidRPr="009F5119" w:rsidR="000649E4" w:rsidRDefault="000649E4" w14:paraId="550090A6" w14:textId="77777777">
            <w:pPr>
              <w:jc w:val="center"/>
              <w:cnfStyle w:val="000000100000" w:firstRow="0" w:lastRow="0" w:firstColumn="0" w:lastColumn="0" w:oddVBand="0" w:evenVBand="0" w:oddHBand="1" w:evenHBand="0" w:firstRowFirstColumn="0" w:firstRowLastColumn="0" w:lastRowFirstColumn="0" w:lastRowLastColumn="0"/>
            </w:pPr>
            <w:r w:rsidRPr="009F5119">
              <w:rPr>
                <w:rFonts w:ascii="Wingdings 2" w:hAnsi="Wingdings 2" w:eastAsia="Wingdings 2" w:cs="Wingdings 2"/>
              </w:rPr>
              <w:t>P</w:t>
            </w:r>
          </w:p>
        </w:tc>
        <w:tc>
          <w:tcPr>
            <w:tcW w:w="1101" w:type="dxa"/>
            <w:vAlign w:val="center"/>
          </w:tcPr>
          <w:p w:rsidRPr="009F5119" w:rsidR="000649E4" w:rsidRDefault="000649E4" w14:paraId="11BA2293" w14:textId="77777777">
            <w:pPr>
              <w:jc w:val="center"/>
              <w:cnfStyle w:val="000000100000" w:firstRow="0" w:lastRow="0" w:firstColumn="0" w:lastColumn="0" w:oddVBand="0" w:evenVBand="0" w:oddHBand="1" w:evenHBand="0" w:firstRowFirstColumn="0" w:firstRowLastColumn="0" w:lastRowFirstColumn="0" w:lastRowLastColumn="0"/>
            </w:pPr>
            <w:r w:rsidRPr="009F5119">
              <w:rPr>
                <w:rFonts w:ascii="Wingdings 2" w:hAnsi="Wingdings 2" w:eastAsia="Wingdings 2" w:cs="Wingdings 2"/>
              </w:rPr>
              <w:t>P</w:t>
            </w:r>
          </w:p>
        </w:tc>
        <w:tc>
          <w:tcPr>
            <w:tcW w:w="1390" w:type="dxa"/>
            <w:shd w:val="clear" w:color="auto" w:fill="F0AE81" w:themeFill="accent6"/>
            <w:vAlign w:val="center"/>
          </w:tcPr>
          <w:p w:rsidRPr="009F5119" w:rsidR="000649E4" w:rsidRDefault="000649E4" w14:paraId="2CCD14F4" w14:textId="77777777">
            <w:pPr>
              <w:jc w:val="center"/>
              <w:cnfStyle w:val="000000100000" w:firstRow="0" w:lastRow="0" w:firstColumn="0" w:lastColumn="0" w:oddVBand="0" w:evenVBand="0" w:oddHBand="1" w:evenHBand="0" w:firstRowFirstColumn="0" w:firstRowLastColumn="0" w:lastRowFirstColumn="0" w:lastRowLastColumn="0"/>
            </w:pPr>
            <w:r w:rsidRPr="009F5119">
              <w:rPr>
                <w:rFonts w:ascii="Wingdings 2" w:hAnsi="Wingdings 2" w:eastAsia="Wingdings 2" w:cs="Wingdings 2"/>
              </w:rPr>
              <w:t>P</w:t>
            </w:r>
          </w:p>
        </w:tc>
      </w:tr>
      <w:tr w:rsidR="000649E4" w14:paraId="14C3FFCA" w14:textId="77777777">
        <w:trPr>
          <w:jc w:val="center"/>
        </w:trPr>
        <w:tc>
          <w:tcPr>
            <w:cnfStyle w:val="001000000000" w:firstRow="0" w:lastRow="0" w:firstColumn="1" w:lastColumn="0" w:oddVBand="0" w:evenVBand="0" w:oddHBand="0" w:evenHBand="0" w:firstRowFirstColumn="0" w:firstRowLastColumn="0" w:lastRowFirstColumn="0" w:lastRowLastColumn="0"/>
            <w:tcW w:w="4019" w:type="dxa"/>
          </w:tcPr>
          <w:p w:rsidR="000649E4" w:rsidRDefault="000649E4" w14:paraId="5269786D" w14:textId="77777777">
            <w:r>
              <w:t>Number of employees</w:t>
            </w:r>
          </w:p>
        </w:tc>
        <w:tc>
          <w:tcPr>
            <w:tcW w:w="1046" w:type="dxa"/>
            <w:vAlign w:val="center"/>
          </w:tcPr>
          <w:p w:rsidRPr="009F5119" w:rsidR="000649E4" w:rsidRDefault="000649E4" w14:paraId="333DBC33"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c>
          <w:tcPr>
            <w:tcW w:w="1087" w:type="dxa"/>
            <w:vAlign w:val="center"/>
          </w:tcPr>
          <w:p w:rsidRPr="009F5119" w:rsidR="000649E4" w:rsidRDefault="000649E4" w14:paraId="6269B8C2"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c>
          <w:tcPr>
            <w:tcW w:w="1101" w:type="dxa"/>
          </w:tcPr>
          <w:p w:rsidRPr="009F5119" w:rsidR="000649E4" w:rsidRDefault="000649E4" w14:paraId="0CE1C837" w14:textId="77777777">
            <w:pPr>
              <w:jc w:val="center"/>
              <w:cnfStyle w:val="000000000000" w:firstRow="0" w:lastRow="0" w:firstColumn="0" w:lastColumn="0" w:oddVBand="0" w:evenVBand="0" w:oddHBand="0" w:evenHBand="0" w:firstRowFirstColumn="0" w:firstRowLastColumn="0" w:lastRowFirstColumn="0" w:lastRowLastColumn="0"/>
            </w:pPr>
            <w:r w:rsidRPr="0059642F">
              <w:rPr>
                <w:rFonts w:ascii="Wingdings 2" w:hAnsi="Wingdings 2" w:eastAsia="Wingdings 2" w:cs="Wingdings 2"/>
              </w:rPr>
              <w:t>P</w:t>
            </w:r>
          </w:p>
        </w:tc>
        <w:tc>
          <w:tcPr>
            <w:tcW w:w="1390" w:type="dxa"/>
            <w:shd w:val="clear" w:color="auto" w:fill="F0AE81" w:themeFill="accent6"/>
          </w:tcPr>
          <w:p w:rsidRPr="009F5119" w:rsidR="000649E4" w:rsidRDefault="000649E4" w14:paraId="4CCAA25F" w14:textId="77777777">
            <w:pPr>
              <w:jc w:val="center"/>
              <w:cnfStyle w:val="000000000000" w:firstRow="0" w:lastRow="0" w:firstColumn="0" w:lastColumn="0" w:oddVBand="0" w:evenVBand="0" w:oddHBand="0" w:evenHBand="0" w:firstRowFirstColumn="0" w:firstRowLastColumn="0" w:lastRowFirstColumn="0" w:lastRowLastColumn="0"/>
            </w:pPr>
            <w:r w:rsidRPr="0059642F">
              <w:rPr>
                <w:rFonts w:ascii="Wingdings 2" w:hAnsi="Wingdings 2" w:eastAsia="Wingdings 2" w:cs="Wingdings 2"/>
              </w:rPr>
              <w:t>P</w:t>
            </w:r>
          </w:p>
        </w:tc>
      </w:tr>
      <w:tr w:rsidR="000649E4" w14:paraId="07B340D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9" w:type="dxa"/>
          </w:tcPr>
          <w:p w:rsidR="000649E4" w:rsidRDefault="000649E4" w14:paraId="3E38A3BA" w14:textId="6F01E872">
            <w:r>
              <w:t xml:space="preserve">Revenue from </w:t>
            </w:r>
            <w:r w:rsidR="004C6D4C">
              <w:t xml:space="preserve">(unrelated) </w:t>
            </w:r>
            <w:r>
              <w:t>third parties</w:t>
            </w:r>
          </w:p>
        </w:tc>
        <w:tc>
          <w:tcPr>
            <w:tcW w:w="1046" w:type="dxa"/>
            <w:vAlign w:val="center"/>
          </w:tcPr>
          <w:p w:rsidR="000649E4" w:rsidRDefault="000649E4" w14:paraId="1DEDEB04" w14:textId="77777777">
            <w:pPr>
              <w:jc w:val="center"/>
              <w:cnfStyle w:val="000000100000" w:firstRow="0" w:lastRow="0" w:firstColumn="0" w:lastColumn="0" w:oddVBand="0" w:evenVBand="0" w:oddHBand="1" w:evenHBand="0" w:firstRowFirstColumn="0" w:firstRowLastColumn="0" w:lastRowFirstColumn="0" w:lastRowLastColumn="0"/>
            </w:pPr>
            <w:r w:rsidRPr="009F5119">
              <w:rPr>
                <w:rFonts w:ascii="Wingdings 2" w:hAnsi="Wingdings 2" w:eastAsia="Wingdings 2" w:cs="Wingdings 2"/>
              </w:rPr>
              <w:t>P</w:t>
            </w:r>
          </w:p>
        </w:tc>
        <w:tc>
          <w:tcPr>
            <w:tcW w:w="1087" w:type="dxa"/>
            <w:vAlign w:val="center"/>
          </w:tcPr>
          <w:p w:rsidRPr="009F5119" w:rsidR="000649E4" w:rsidRDefault="000649E4" w14:paraId="4B5DC721" w14:textId="77777777">
            <w:pPr>
              <w:jc w:val="center"/>
              <w:cnfStyle w:val="000000100000" w:firstRow="0" w:lastRow="0" w:firstColumn="0" w:lastColumn="0" w:oddVBand="0" w:evenVBand="0" w:oddHBand="1" w:evenHBand="0" w:firstRowFirstColumn="0" w:firstRowLastColumn="0" w:lastRowFirstColumn="0" w:lastRowLastColumn="0"/>
            </w:pPr>
            <w:r w:rsidRPr="009F5119">
              <w:rPr>
                <w:rFonts w:ascii="Wingdings 2" w:hAnsi="Wingdings 2" w:eastAsia="Wingdings 2" w:cs="Wingdings 2"/>
              </w:rPr>
              <w:t>P</w:t>
            </w:r>
          </w:p>
        </w:tc>
        <w:tc>
          <w:tcPr>
            <w:tcW w:w="1101" w:type="dxa"/>
            <w:vAlign w:val="center"/>
          </w:tcPr>
          <w:p w:rsidR="000649E4" w:rsidRDefault="000649E4" w14:paraId="67AD0C2F" w14:textId="77777777">
            <w:pPr>
              <w:jc w:val="center"/>
              <w:cnfStyle w:val="000000100000" w:firstRow="0" w:lastRow="0" w:firstColumn="0" w:lastColumn="0" w:oddVBand="0" w:evenVBand="0" w:oddHBand="1" w:evenHBand="0" w:firstRowFirstColumn="0" w:firstRowLastColumn="0" w:lastRowFirstColumn="0" w:lastRowLastColumn="0"/>
            </w:pPr>
            <w:r>
              <w:t>X</w:t>
            </w:r>
          </w:p>
        </w:tc>
        <w:tc>
          <w:tcPr>
            <w:tcW w:w="1390" w:type="dxa"/>
            <w:shd w:val="clear" w:color="auto" w:fill="F0AE81" w:themeFill="accent6"/>
            <w:vAlign w:val="center"/>
          </w:tcPr>
          <w:p w:rsidR="000649E4" w:rsidRDefault="000649E4" w14:paraId="74B9670D" w14:textId="77777777">
            <w:pPr>
              <w:jc w:val="center"/>
              <w:cnfStyle w:val="000000100000" w:firstRow="0" w:lastRow="0" w:firstColumn="0" w:lastColumn="0" w:oddVBand="0" w:evenVBand="0" w:oddHBand="1" w:evenHBand="0" w:firstRowFirstColumn="0" w:firstRowLastColumn="0" w:lastRowFirstColumn="0" w:lastRowLastColumn="0"/>
            </w:pPr>
            <w:r w:rsidRPr="009F5119">
              <w:rPr>
                <w:rFonts w:ascii="Wingdings 2" w:hAnsi="Wingdings 2" w:eastAsia="Wingdings 2" w:cs="Wingdings 2"/>
              </w:rPr>
              <w:t>P</w:t>
            </w:r>
          </w:p>
        </w:tc>
      </w:tr>
      <w:tr w:rsidR="000649E4" w14:paraId="4C2CC7F3" w14:textId="77777777">
        <w:trPr>
          <w:jc w:val="center"/>
        </w:trPr>
        <w:tc>
          <w:tcPr>
            <w:cnfStyle w:val="001000000000" w:firstRow="0" w:lastRow="0" w:firstColumn="1" w:lastColumn="0" w:oddVBand="0" w:evenVBand="0" w:oddHBand="0" w:evenHBand="0" w:firstRowFirstColumn="0" w:firstRowLastColumn="0" w:lastRowFirstColumn="0" w:lastRowLastColumn="0"/>
            <w:tcW w:w="4019" w:type="dxa"/>
          </w:tcPr>
          <w:p w:rsidR="000649E4" w:rsidRDefault="000649E4" w14:paraId="02CBD107" w14:textId="77777777">
            <w:r>
              <w:t>Revenue from related parties</w:t>
            </w:r>
          </w:p>
        </w:tc>
        <w:tc>
          <w:tcPr>
            <w:tcW w:w="1046" w:type="dxa"/>
            <w:vAlign w:val="center"/>
          </w:tcPr>
          <w:p w:rsidRPr="009F5119" w:rsidR="000649E4" w:rsidRDefault="000649E4" w14:paraId="601EA73F"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c>
          <w:tcPr>
            <w:tcW w:w="1087" w:type="dxa"/>
            <w:vAlign w:val="center"/>
          </w:tcPr>
          <w:p w:rsidRPr="009F5119" w:rsidR="000649E4" w:rsidRDefault="000649E4" w14:paraId="13031474"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c>
          <w:tcPr>
            <w:tcW w:w="1101" w:type="dxa"/>
            <w:vAlign w:val="center"/>
          </w:tcPr>
          <w:p w:rsidR="000649E4" w:rsidRDefault="000649E4" w14:paraId="78345438" w14:textId="77777777">
            <w:pPr>
              <w:jc w:val="center"/>
              <w:cnfStyle w:val="000000000000" w:firstRow="0" w:lastRow="0" w:firstColumn="0" w:lastColumn="0" w:oddVBand="0" w:evenVBand="0" w:oddHBand="0" w:evenHBand="0" w:firstRowFirstColumn="0" w:firstRowLastColumn="0" w:lastRowFirstColumn="0" w:lastRowLastColumn="0"/>
            </w:pPr>
            <w:r>
              <w:t>X</w:t>
            </w:r>
          </w:p>
        </w:tc>
        <w:tc>
          <w:tcPr>
            <w:tcW w:w="1390" w:type="dxa"/>
            <w:shd w:val="clear" w:color="auto" w:fill="F0AE81" w:themeFill="accent6"/>
            <w:vAlign w:val="center"/>
          </w:tcPr>
          <w:p w:rsidRPr="009F5119" w:rsidR="000649E4" w:rsidRDefault="000649E4" w14:paraId="0A8FDD63"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r>
      <w:tr w:rsidR="000649E4" w14:paraId="1BD79FD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9" w:type="dxa"/>
          </w:tcPr>
          <w:p w:rsidR="000649E4" w:rsidRDefault="000649E4" w14:paraId="6CFF9CD3" w14:textId="77777777">
            <w:r>
              <w:t>Book value of tangible assets</w:t>
            </w:r>
          </w:p>
        </w:tc>
        <w:tc>
          <w:tcPr>
            <w:tcW w:w="1046" w:type="dxa"/>
            <w:vAlign w:val="center"/>
          </w:tcPr>
          <w:p w:rsidR="000649E4" w:rsidRDefault="000649E4" w14:paraId="25304BE8" w14:textId="77777777">
            <w:pPr>
              <w:jc w:val="center"/>
              <w:cnfStyle w:val="000000100000" w:firstRow="0" w:lastRow="0" w:firstColumn="0" w:lastColumn="0" w:oddVBand="0" w:evenVBand="0" w:oddHBand="1" w:evenHBand="0" w:firstRowFirstColumn="0" w:firstRowLastColumn="0" w:lastRowFirstColumn="0" w:lastRowLastColumn="0"/>
            </w:pPr>
            <w:r w:rsidRPr="005D0E28">
              <w:rPr>
                <w:rFonts w:ascii="Wingdings 2" w:hAnsi="Wingdings 2" w:eastAsia="Wingdings 2" w:cs="Wingdings 2"/>
              </w:rPr>
              <w:t>P</w:t>
            </w:r>
          </w:p>
        </w:tc>
        <w:tc>
          <w:tcPr>
            <w:tcW w:w="1087" w:type="dxa"/>
            <w:vAlign w:val="center"/>
          </w:tcPr>
          <w:p w:rsidRPr="005D0E28" w:rsidR="000649E4" w:rsidRDefault="000649E4" w14:paraId="48DCC37F" w14:textId="77777777">
            <w:pPr>
              <w:jc w:val="center"/>
              <w:cnfStyle w:val="000000100000" w:firstRow="0" w:lastRow="0" w:firstColumn="0" w:lastColumn="0" w:oddVBand="0" w:evenVBand="0" w:oddHBand="1" w:evenHBand="0" w:firstRowFirstColumn="0" w:firstRowLastColumn="0" w:lastRowFirstColumn="0" w:lastRowLastColumn="0"/>
            </w:pPr>
            <w:r w:rsidRPr="005D0E28">
              <w:rPr>
                <w:rFonts w:ascii="Wingdings 2" w:hAnsi="Wingdings 2" w:eastAsia="Wingdings 2" w:cs="Wingdings 2"/>
              </w:rPr>
              <w:t>P</w:t>
            </w:r>
          </w:p>
        </w:tc>
        <w:tc>
          <w:tcPr>
            <w:tcW w:w="1101" w:type="dxa"/>
            <w:vAlign w:val="center"/>
          </w:tcPr>
          <w:p w:rsidR="000649E4" w:rsidRDefault="000649E4" w14:paraId="5844AC29" w14:textId="77777777">
            <w:pPr>
              <w:jc w:val="center"/>
              <w:cnfStyle w:val="000000100000" w:firstRow="0" w:lastRow="0" w:firstColumn="0" w:lastColumn="0" w:oddVBand="0" w:evenVBand="0" w:oddHBand="1" w:evenHBand="0" w:firstRowFirstColumn="0" w:firstRowLastColumn="0" w:lastRowFirstColumn="0" w:lastRowLastColumn="0"/>
            </w:pPr>
            <w:r>
              <w:t>X</w:t>
            </w:r>
          </w:p>
        </w:tc>
        <w:tc>
          <w:tcPr>
            <w:tcW w:w="1390" w:type="dxa"/>
            <w:shd w:val="clear" w:color="auto" w:fill="F0AE81" w:themeFill="accent6"/>
            <w:vAlign w:val="center"/>
          </w:tcPr>
          <w:p w:rsidR="000649E4" w:rsidRDefault="000649E4" w14:paraId="5D8D969B" w14:textId="77777777">
            <w:pPr>
              <w:jc w:val="center"/>
              <w:cnfStyle w:val="000000100000" w:firstRow="0" w:lastRow="0" w:firstColumn="0" w:lastColumn="0" w:oddVBand="0" w:evenVBand="0" w:oddHBand="1" w:evenHBand="0" w:firstRowFirstColumn="0" w:firstRowLastColumn="0" w:lastRowFirstColumn="0" w:lastRowLastColumn="0"/>
            </w:pPr>
            <w:r w:rsidRPr="005D0E28">
              <w:rPr>
                <w:rFonts w:ascii="Wingdings 2" w:hAnsi="Wingdings 2" w:eastAsia="Wingdings 2" w:cs="Wingdings 2"/>
              </w:rPr>
              <w:t>P</w:t>
            </w:r>
          </w:p>
        </w:tc>
      </w:tr>
      <w:tr w:rsidR="000649E4" w14:paraId="2A78F41D" w14:textId="77777777">
        <w:trPr>
          <w:jc w:val="center"/>
        </w:trPr>
        <w:tc>
          <w:tcPr>
            <w:cnfStyle w:val="001000000000" w:firstRow="0" w:lastRow="0" w:firstColumn="1" w:lastColumn="0" w:oddVBand="0" w:evenVBand="0" w:oddHBand="0" w:evenHBand="0" w:firstRowFirstColumn="0" w:firstRowLastColumn="0" w:lastRowFirstColumn="0" w:lastRowLastColumn="0"/>
            <w:tcW w:w="4019" w:type="dxa"/>
          </w:tcPr>
          <w:p w:rsidR="000649E4" w:rsidRDefault="000649E4" w14:paraId="3A1C95D0" w14:textId="77777777">
            <w:r>
              <w:t>Profit/loss before tax</w:t>
            </w:r>
          </w:p>
        </w:tc>
        <w:tc>
          <w:tcPr>
            <w:tcW w:w="1046" w:type="dxa"/>
            <w:vAlign w:val="center"/>
          </w:tcPr>
          <w:p w:rsidR="000649E4" w:rsidRDefault="000649E4" w14:paraId="75AC0CB3"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c>
          <w:tcPr>
            <w:tcW w:w="1087" w:type="dxa"/>
            <w:vAlign w:val="center"/>
          </w:tcPr>
          <w:p w:rsidRPr="009F5119" w:rsidR="000649E4" w:rsidRDefault="000649E4" w14:paraId="64701B72"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c>
          <w:tcPr>
            <w:tcW w:w="1101" w:type="dxa"/>
            <w:vAlign w:val="center"/>
          </w:tcPr>
          <w:p w:rsidR="000649E4" w:rsidRDefault="000649E4" w14:paraId="3BD9DE53"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c>
          <w:tcPr>
            <w:tcW w:w="1390" w:type="dxa"/>
            <w:shd w:val="clear" w:color="auto" w:fill="F0AE81" w:themeFill="accent6"/>
            <w:vAlign w:val="center"/>
          </w:tcPr>
          <w:p w:rsidR="000649E4" w:rsidRDefault="000649E4" w14:paraId="3032DDEF"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r>
      <w:tr w:rsidR="000649E4" w14:paraId="0CB7C4F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9" w:type="dxa"/>
          </w:tcPr>
          <w:p w:rsidR="000649E4" w:rsidRDefault="000649E4" w14:paraId="7D39D1A6" w14:textId="04A9C601">
            <w:r>
              <w:t>Income tax paid (cash basis</w:t>
            </w:r>
            <w:r w:rsidR="00A0250C">
              <w:t>)</w:t>
            </w:r>
          </w:p>
        </w:tc>
        <w:tc>
          <w:tcPr>
            <w:tcW w:w="1046" w:type="dxa"/>
            <w:vAlign w:val="center"/>
          </w:tcPr>
          <w:p w:rsidR="000649E4" w:rsidRDefault="000649E4" w14:paraId="2E2CDAB2" w14:textId="77777777">
            <w:pPr>
              <w:jc w:val="center"/>
              <w:cnfStyle w:val="000000100000" w:firstRow="0" w:lastRow="0" w:firstColumn="0" w:lastColumn="0" w:oddVBand="0" w:evenVBand="0" w:oddHBand="1" w:evenHBand="0" w:firstRowFirstColumn="0" w:firstRowLastColumn="0" w:lastRowFirstColumn="0" w:lastRowLastColumn="0"/>
            </w:pPr>
            <w:r w:rsidRPr="009F5119">
              <w:rPr>
                <w:rFonts w:ascii="Wingdings 2" w:hAnsi="Wingdings 2" w:eastAsia="Wingdings 2" w:cs="Wingdings 2"/>
              </w:rPr>
              <w:t>P</w:t>
            </w:r>
          </w:p>
        </w:tc>
        <w:tc>
          <w:tcPr>
            <w:tcW w:w="1087" w:type="dxa"/>
            <w:vAlign w:val="center"/>
          </w:tcPr>
          <w:p w:rsidRPr="009F5119" w:rsidR="000649E4" w:rsidRDefault="000649E4" w14:paraId="09CEAF37" w14:textId="77777777">
            <w:pPr>
              <w:jc w:val="center"/>
              <w:cnfStyle w:val="000000100000" w:firstRow="0" w:lastRow="0" w:firstColumn="0" w:lastColumn="0" w:oddVBand="0" w:evenVBand="0" w:oddHBand="1" w:evenHBand="0" w:firstRowFirstColumn="0" w:firstRowLastColumn="0" w:lastRowFirstColumn="0" w:lastRowLastColumn="0"/>
            </w:pPr>
            <w:r w:rsidRPr="009F5119">
              <w:rPr>
                <w:rFonts w:ascii="Wingdings 2" w:hAnsi="Wingdings 2" w:eastAsia="Wingdings 2" w:cs="Wingdings 2"/>
              </w:rPr>
              <w:t>P</w:t>
            </w:r>
          </w:p>
        </w:tc>
        <w:tc>
          <w:tcPr>
            <w:tcW w:w="1101" w:type="dxa"/>
            <w:vAlign w:val="center"/>
          </w:tcPr>
          <w:p w:rsidR="000649E4" w:rsidRDefault="000649E4" w14:paraId="59248E92" w14:textId="77777777">
            <w:pPr>
              <w:jc w:val="center"/>
              <w:cnfStyle w:val="000000100000" w:firstRow="0" w:lastRow="0" w:firstColumn="0" w:lastColumn="0" w:oddVBand="0" w:evenVBand="0" w:oddHBand="1" w:evenHBand="0" w:firstRowFirstColumn="0" w:firstRowLastColumn="0" w:lastRowFirstColumn="0" w:lastRowLastColumn="0"/>
            </w:pPr>
            <w:r w:rsidRPr="009F5119">
              <w:rPr>
                <w:rFonts w:ascii="Wingdings 2" w:hAnsi="Wingdings 2" w:eastAsia="Wingdings 2" w:cs="Wingdings 2"/>
              </w:rPr>
              <w:t>P</w:t>
            </w:r>
          </w:p>
        </w:tc>
        <w:tc>
          <w:tcPr>
            <w:tcW w:w="1390" w:type="dxa"/>
            <w:shd w:val="clear" w:color="auto" w:fill="F0AE81" w:themeFill="accent6"/>
            <w:vAlign w:val="center"/>
          </w:tcPr>
          <w:p w:rsidR="000649E4" w:rsidRDefault="000649E4" w14:paraId="6A7E5CB7" w14:textId="77777777">
            <w:pPr>
              <w:jc w:val="center"/>
              <w:cnfStyle w:val="000000100000" w:firstRow="0" w:lastRow="0" w:firstColumn="0" w:lastColumn="0" w:oddVBand="0" w:evenVBand="0" w:oddHBand="1" w:evenHBand="0" w:firstRowFirstColumn="0" w:firstRowLastColumn="0" w:lastRowFirstColumn="0" w:lastRowLastColumn="0"/>
            </w:pPr>
            <w:r w:rsidRPr="009F5119">
              <w:rPr>
                <w:rFonts w:ascii="Wingdings 2" w:hAnsi="Wingdings 2" w:eastAsia="Wingdings 2" w:cs="Wingdings 2"/>
              </w:rPr>
              <w:t>P</w:t>
            </w:r>
          </w:p>
        </w:tc>
      </w:tr>
      <w:tr w:rsidR="000649E4" w14:paraId="468441FC" w14:textId="77777777">
        <w:trPr>
          <w:jc w:val="center"/>
        </w:trPr>
        <w:tc>
          <w:tcPr>
            <w:cnfStyle w:val="001000000000" w:firstRow="0" w:lastRow="0" w:firstColumn="1" w:lastColumn="0" w:oddVBand="0" w:evenVBand="0" w:oddHBand="0" w:evenHBand="0" w:firstRowFirstColumn="0" w:firstRowLastColumn="0" w:lastRowFirstColumn="0" w:lastRowLastColumn="0"/>
            <w:tcW w:w="4019" w:type="dxa"/>
          </w:tcPr>
          <w:p w:rsidR="000649E4" w:rsidRDefault="000649E4" w14:paraId="010C8543" w14:textId="77777777">
            <w:r>
              <w:t>Income tax accrued (current year)</w:t>
            </w:r>
          </w:p>
        </w:tc>
        <w:tc>
          <w:tcPr>
            <w:tcW w:w="1046" w:type="dxa"/>
            <w:vAlign w:val="center"/>
          </w:tcPr>
          <w:p w:rsidR="000649E4" w:rsidRDefault="000649E4" w14:paraId="58611808"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c>
          <w:tcPr>
            <w:tcW w:w="1087" w:type="dxa"/>
            <w:vAlign w:val="center"/>
          </w:tcPr>
          <w:p w:rsidRPr="009F5119" w:rsidR="000649E4" w:rsidRDefault="000649E4" w14:paraId="1FE3C9B2"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c>
          <w:tcPr>
            <w:tcW w:w="1101" w:type="dxa"/>
            <w:vAlign w:val="center"/>
          </w:tcPr>
          <w:p w:rsidR="000649E4" w:rsidRDefault="000649E4" w14:paraId="00BD67FE"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c>
          <w:tcPr>
            <w:tcW w:w="1390" w:type="dxa"/>
            <w:shd w:val="clear" w:color="auto" w:fill="F0AE81" w:themeFill="accent6"/>
            <w:vAlign w:val="center"/>
          </w:tcPr>
          <w:p w:rsidR="000649E4" w:rsidRDefault="000649E4" w14:paraId="7D4B22D5"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r>
      <w:tr w:rsidR="000649E4" w14:paraId="2F287B3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9" w:type="dxa"/>
          </w:tcPr>
          <w:p w:rsidR="000649E4" w:rsidRDefault="000649E4" w14:paraId="5AE4489F" w14:textId="77777777">
            <w:r>
              <w:t>Reasons for difference between income tax accrued and tax due</w:t>
            </w:r>
          </w:p>
        </w:tc>
        <w:tc>
          <w:tcPr>
            <w:tcW w:w="1046" w:type="dxa"/>
            <w:vAlign w:val="center"/>
          </w:tcPr>
          <w:p w:rsidRPr="009F5119" w:rsidR="000649E4" w:rsidRDefault="000649E4" w14:paraId="02C2E112" w14:textId="77777777">
            <w:pPr>
              <w:jc w:val="center"/>
              <w:cnfStyle w:val="000000100000" w:firstRow="0" w:lastRow="0" w:firstColumn="0" w:lastColumn="0" w:oddVBand="0" w:evenVBand="0" w:oddHBand="1" w:evenHBand="0" w:firstRowFirstColumn="0" w:firstRowLastColumn="0" w:lastRowFirstColumn="0" w:lastRowLastColumn="0"/>
            </w:pPr>
            <w:r>
              <w:t>X</w:t>
            </w:r>
          </w:p>
        </w:tc>
        <w:tc>
          <w:tcPr>
            <w:tcW w:w="1087" w:type="dxa"/>
            <w:vAlign w:val="center"/>
          </w:tcPr>
          <w:p w:rsidRPr="009F5119" w:rsidR="000649E4" w:rsidRDefault="000649E4" w14:paraId="094112D5" w14:textId="77777777">
            <w:pPr>
              <w:jc w:val="center"/>
              <w:cnfStyle w:val="000000100000" w:firstRow="0" w:lastRow="0" w:firstColumn="0" w:lastColumn="0" w:oddVBand="0" w:evenVBand="0" w:oddHBand="1" w:evenHBand="0" w:firstRowFirstColumn="0" w:firstRowLastColumn="0" w:lastRowFirstColumn="0" w:lastRowLastColumn="0"/>
            </w:pPr>
            <w:r w:rsidRPr="009F5119">
              <w:rPr>
                <w:rFonts w:ascii="Wingdings 2" w:hAnsi="Wingdings 2" w:eastAsia="Wingdings 2" w:cs="Wingdings 2"/>
              </w:rPr>
              <w:t>P</w:t>
            </w:r>
          </w:p>
        </w:tc>
        <w:tc>
          <w:tcPr>
            <w:tcW w:w="1101" w:type="dxa"/>
            <w:vAlign w:val="center"/>
          </w:tcPr>
          <w:p w:rsidRPr="009F5119" w:rsidR="000649E4" w:rsidRDefault="000649E4" w14:paraId="207C3E10" w14:textId="77777777">
            <w:pPr>
              <w:jc w:val="center"/>
              <w:cnfStyle w:val="000000100000" w:firstRow="0" w:lastRow="0" w:firstColumn="0" w:lastColumn="0" w:oddVBand="0" w:evenVBand="0" w:oddHBand="1" w:evenHBand="0" w:firstRowFirstColumn="0" w:firstRowLastColumn="0" w:lastRowFirstColumn="0" w:lastRowLastColumn="0"/>
            </w:pPr>
            <w:r>
              <w:t>X</w:t>
            </w:r>
          </w:p>
        </w:tc>
        <w:tc>
          <w:tcPr>
            <w:tcW w:w="1390" w:type="dxa"/>
            <w:shd w:val="clear" w:color="auto" w:fill="F0AE81" w:themeFill="accent6"/>
            <w:vAlign w:val="center"/>
          </w:tcPr>
          <w:p w:rsidRPr="009F5119" w:rsidR="000649E4" w:rsidRDefault="000649E4" w14:paraId="5965BDA0" w14:textId="77777777">
            <w:pPr>
              <w:jc w:val="center"/>
              <w:cnfStyle w:val="000000100000" w:firstRow="0" w:lastRow="0" w:firstColumn="0" w:lastColumn="0" w:oddVBand="0" w:evenVBand="0" w:oddHBand="1" w:evenHBand="0" w:firstRowFirstColumn="0" w:firstRowLastColumn="0" w:lastRowFirstColumn="0" w:lastRowLastColumn="0"/>
            </w:pPr>
            <w:r w:rsidRPr="009F5119">
              <w:rPr>
                <w:rFonts w:ascii="Wingdings 2" w:hAnsi="Wingdings 2" w:eastAsia="Wingdings 2" w:cs="Wingdings 2"/>
              </w:rPr>
              <w:t>P</w:t>
            </w:r>
          </w:p>
        </w:tc>
      </w:tr>
      <w:tr w:rsidR="000649E4" w14:paraId="7C082748" w14:textId="77777777">
        <w:trPr>
          <w:jc w:val="center"/>
        </w:trPr>
        <w:tc>
          <w:tcPr>
            <w:cnfStyle w:val="001000000000" w:firstRow="0" w:lastRow="0" w:firstColumn="1" w:lastColumn="0" w:oddVBand="0" w:evenVBand="0" w:oddHBand="0" w:evenHBand="0" w:firstRowFirstColumn="0" w:firstRowLastColumn="0" w:lastRowFirstColumn="0" w:lastRowLastColumn="0"/>
            <w:tcW w:w="4019" w:type="dxa"/>
          </w:tcPr>
          <w:p w:rsidR="000649E4" w:rsidRDefault="000649E4" w14:paraId="3F0B5468" w14:textId="77777777">
            <w:r>
              <w:t>Currency used for the report</w:t>
            </w:r>
          </w:p>
        </w:tc>
        <w:tc>
          <w:tcPr>
            <w:tcW w:w="1046" w:type="dxa"/>
            <w:vAlign w:val="center"/>
          </w:tcPr>
          <w:p w:rsidR="000649E4" w:rsidRDefault="000649E4" w14:paraId="30B1DD71" w14:textId="77777777">
            <w:pPr>
              <w:jc w:val="center"/>
              <w:cnfStyle w:val="000000000000" w:firstRow="0" w:lastRow="0" w:firstColumn="0" w:lastColumn="0" w:oddVBand="0" w:evenVBand="0" w:oddHBand="0" w:evenHBand="0" w:firstRowFirstColumn="0" w:firstRowLastColumn="0" w:lastRowFirstColumn="0" w:lastRowLastColumn="0"/>
            </w:pPr>
            <w:r w:rsidRPr="008E029B">
              <w:rPr>
                <w:rFonts w:ascii="Wingdings 2" w:hAnsi="Wingdings 2" w:eastAsia="Wingdings 2" w:cs="Wingdings 2"/>
              </w:rPr>
              <w:t>P</w:t>
            </w:r>
          </w:p>
        </w:tc>
        <w:tc>
          <w:tcPr>
            <w:tcW w:w="1087" w:type="dxa"/>
          </w:tcPr>
          <w:p w:rsidRPr="009F5119" w:rsidR="000649E4" w:rsidRDefault="000649E4" w14:paraId="328912B7" w14:textId="77777777">
            <w:pPr>
              <w:jc w:val="center"/>
              <w:cnfStyle w:val="000000000000" w:firstRow="0" w:lastRow="0" w:firstColumn="0" w:lastColumn="0" w:oddVBand="0" w:evenVBand="0" w:oddHBand="0" w:evenHBand="0" w:firstRowFirstColumn="0" w:firstRowLastColumn="0" w:lastRowFirstColumn="0" w:lastRowLastColumn="0"/>
            </w:pPr>
            <w:r>
              <w:t>X</w:t>
            </w:r>
          </w:p>
        </w:tc>
        <w:tc>
          <w:tcPr>
            <w:tcW w:w="1101" w:type="dxa"/>
            <w:vAlign w:val="center"/>
          </w:tcPr>
          <w:p w:rsidR="000649E4" w:rsidRDefault="000649E4" w14:paraId="4F9FC814" w14:textId="77777777">
            <w:pPr>
              <w:jc w:val="center"/>
              <w:cnfStyle w:val="000000000000" w:firstRow="0" w:lastRow="0" w:firstColumn="0" w:lastColumn="0" w:oddVBand="0" w:evenVBand="0" w:oddHBand="0" w:evenHBand="0" w:firstRowFirstColumn="0" w:firstRowLastColumn="0" w:lastRowFirstColumn="0" w:lastRowLastColumn="0"/>
            </w:pPr>
            <w:r>
              <w:t>X</w:t>
            </w:r>
          </w:p>
        </w:tc>
        <w:tc>
          <w:tcPr>
            <w:tcW w:w="1390" w:type="dxa"/>
            <w:shd w:val="clear" w:color="auto" w:fill="F0AE81" w:themeFill="accent6"/>
            <w:vAlign w:val="center"/>
          </w:tcPr>
          <w:p w:rsidRPr="009F5119" w:rsidR="000649E4" w:rsidRDefault="000649E4" w14:paraId="3FCB79B0" w14:textId="77777777">
            <w:pPr>
              <w:jc w:val="center"/>
              <w:cnfStyle w:val="000000000000" w:firstRow="0" w:lastRow="0" w:firstColumn="0" w:lastColumn="0" w:oddVBand="0" w:evenVBand="0" w:oddHBand="0" w:evenHBand="0" w:firstRowFirstColumn="0" w:firstRowLastColumn="0" w:lastRowFirstColumn="0" w:lastRowLastColumn="0"/>
            </w:pPr>
            <w:r w:rsidRPr="009F5119">
              <w:rPr>
                <w:rFonts w:ascii="Wingdings 2" w:hAnsi="Wingdings 2" w:eastAsia="Wingdings 2" w:cs="Wingdings 2"/>
              </w:rPr>
              <w:t>P</w:t>
            </w:r>
          </w:p>
        </w:tc>
      </w:tr>
    </w:tbl>
    <w:p w:rsidR="000649E4" w:rsidP="000649E4" w:rsidRDefault="000649E4" w14:paraId="25C053F7" w14:textId="77777777"/>
    <w:p w:rsidR="000649E4" w:rsidP="000649E4" w:rsidRDefault="000649E4" w14:paraId="5E61E6BF" w14:textId="062FC7A9">
      <w:r>
        <w:t>The CbC tax disclosures are to be based on the entity’s audited financial data to help ensure public confidence in the information</w:t>
      </w:r>
      <w:r w:rsidR="006E42B8">
        <w:t>,</w:t>
      </w:r>
      <w:r>
        <w:t xml:space="preserve"> leveraging the </w:t>
      </w:r>
      <w:r w:rsidRPr="00421585">
        <w:t xml:space="preserve">Global Reporting Initiative </w:t>
      </w:r>
      <w:r>
        <w:t xml:space="preserve">(GRI) approach. This supports confidence in the quality of the data and addresses the verifiability issue with existing disclosures. </w:t>
      </w:r>
    </w:p>
    <w:p w:rsidR="000649E4" w:rsidP="000649E4" w:rsidRDefault="000649E4" w14:paraId="6CDE1A2E" w14:textId="2C696A76">
      <w:r>
        <w:t xml:space="preserve">The specific tax label disclosures were refined in response to stakeholder feedback during consultation on exposure draft legislation. Stakeholders raised issues with compliance burdens if ‘additional disclosures’ (beyond what is required in CbC regimes currently) were required and ensuring a balance between transparency and protecting commercially confident data (See Consultation section, </w:t>
      </w:r>
      <w:r w:rsidR="00AA455A">
        <w:t>above)</w:t>
      </w:r>
      <w:r>
        <w:t>. The table above reflects this stakeholder feedback.</w:t>
      </w:r>
    </w:p>
    <w:p w:rsidR="000649E4" w:rsidP="000649E4" w:rsidRDefault="000649E4" w14:paraId="1F9F4D06" w14:textId="77777777">
      <w:r>
        <w:t xml:space="preserve">The tax disclosures require that an in-scope entity report on its Australian and global operations. The option does not include a materiality or substance test. These features are intended to support meaningful changes to tax transparency, to support analysis of BEPS. </w:t>
      </w:r>
    </w:p>
    <w:p w:rsidR="000649E4" w:rsidP="000649E4" w:rsidRDefault="000649E4" w14:paraId="3D5AB1D3" w14:textId="42276375">
      <w:r>
        <w:t xml:space="preserve">This ‘full </w:t>
      </w:r>
      <w:r w:rsidR="00DB6518">
        <w:t>disaggregated</w:t>
      </w:r>
      <w:r>
        <w:t xml:space="preserve"> CbC’ approach is broader than the EU’s approach which generally operates on an aggregate basis (such as with data labels like total revenue numbers and total accumulated earnings) and limits CbC disclosures to entities with operations in EU member states and EU listed non-cooperative jurisdictions, and aggregated reporting for ‘rest of world’ activity. The EU also exempts ‘small’ entities from their regime based on an employee and/or turnover test)</w:t>
      </w:r>
      <w:r w:rsidRPr="005B7A62">
        <w:rPr>
          <w:vertAlign w:val="superscript"/>
        </w:rPr>
        <w:footnoteReference w:id="28"/>
      </w:r>
      <w:r>
        <w:t>.</w:t>
      </w:r>
    </w:p>
    <w:p w:rsidR="000649E4" w:rsidP="000649E4" w:rsidRDefault="000649E4" w14:paraId="5B64D2E7" w14:textId="141329E9">
      <w:r>
        <w:t xml:space="preserve">Stakeholders were mindful of this difference, putting forward a preference for the EU Directive (i.e. a CbC reporting parent would only publish Australian tax data), on the basis it would support greater global consistency in public CbC regimes. </w:t>
      </w:r>
    </w:p>
    <w:p w:rsidR="000649E4" w:rsidP="000649E4" w:rsidRDefault="000649E4" w14:paraId="45FBCD4C" w14:textId="7DA14A88">
      <w:r>
        <w:t>Stakeholders noted generally that ‘non-alignment’ with the EU Directive would increase compliance costs if taxpayers must operate</w:t>
      </w:r>
      <w:r w:rsidR="00582B75">
        <w:t xml:space="preserve"> within</w:t>
      </w:r>
      <w:r>
        <w:t xml:space="preserve"> multiple systems. However, MNEs are increasingly adopting the G</w:t>
      </w:r>
      <w:r w:rsidR="00B074DD">
        <w:t>RI</w:t>
      </w:r>
      <w:r>
        <w:t xml:space="preserve"> (a voluntary reporting standing) for other corporate disclosures,</w:t>
      </w:r>
      <w:r w:rsidRPr="00EE1012">
        <w:rPr>
          <w:vertAlign w:val="superscript"/>
        </w:rPr>
        <w:footnoteReference w:id="29"/>
      </w:r>
      <w:r>
        <w:t xml:space="preserve"> suggesting that compliance could be minimised if public CbC disclosures are integrated into broader sustainability reporting (covering other environmental, social and governance reporting), reflecting the growing appetite from various stakeholders for enhanced sustainability reporting.</w:t>
      </w:r>
    </w:p>
    <w:p w:rsidR="000649E4" w:rsidP="000649E4" w:rsidRDefault="000649E4" w14:paraId="67FFAD3B" w14:textId="77777777">
      <w:r>
        <w:t>While the data disclosures lean more towards the GRI and OECD tax CbC model (which in-scope entities already comply with), the option does adopt elements of the EU approach to public CbC. For example, placing the obligation on the entity to publish the CbC report (by lodging an approved form with the ATO, with the Commissioner facilitating publication on a publicly accessible Australian Government website) and reflecting the same 12-month reporting window after the end of the reporting period. Additionally, where there is optionality on a public CbC data label – such as for multiple definition approaches to calculating employee numbers – the option adopts EU terminology to further reduce compliance burdens.</w:t>
      </w:r>
    </w:p>
    <w:p w:rsidR="00E63AF9" w:rsidP="000649E4" w:rsidRDefault="00E63AF9" w14:paraId="739458FD" w14:textId="2FB52C75">
      <w:r>
        <w:t xml:space="preserve">The </w:t>
      </w:r>
      <w:r w:rsidR="004F2B62">
        <w:t>proposed</w:t>
      </w:r>
      <w:r w:rsidDel="00A417D9">
        <w:t xml:space="preserve"> </w:t>
      </w:r>
      <w:r w:rsidDel="00A417D9" w:rsidR="0020426B">
        <w:t xml:space="preserve">deferred application by 12 months, to apply from 1 July 2024, also </w:t>
      </w:r>
      <w:r w:rsidR="0020426B">
        <w:t>respond</w:t>
      </w:r>
      <w:r w:rsidR="006236E6">
        <w:t>ed</w:t>
      </w:r>
      <w:r w:rsidDel="00A417D9" w:rsidR="0020426B">
        <w:t xml:space="preserve"> to business stakeholder feedback.</w:t>
      </w:r>
    </w:p>
    <w:p w:rsidR="00383819" w:rsidP="000649E4" w:rsidRDefault="008C62B8" w14:paraId="522CB726" w14:textId="059DF9F6">
      <w:r>
        <w:t xml:space="preserve">While the disaggregated </w:t>
      </w:r>
      <w:r w:rsidR="002156BF">
        <w:t xml:space="preserve">CbC </w:t>
      </w:r>
      <w:r>
        <w:t xml:space="preserve">reporting </w:t>
      </w:r>
      <w:r w:rsidR="002156BF">
        <w:t>was</w:t>
      </w:r>
      <w:r>
        <w:t xml:space="preserve"> </w:t>
      </w:r>
      <w:r w:rsidR="008E5E7A">
        <w:t xml:space="preserve">intended to </w:t>
      </w:r>
      <w:r w:rsidR="005E7F88">
        <w:t>support meaningful improvements to tax transparency disc</w:t>
      </w:r>
      <w:r w:rsidR="001D7585">
        <w:t xml:space="preserve">losures, </w:t>
      </w:r>
      <w:r w:rsidR="006C73EA">
        <w:t xml:space="preserve">there </w:t>
      </w:r>
      <w:r w:rsidR="00DA0E24">
        <w:t>i</w:t>
      </w:r>
      <w:r w:rsidR="006C73EA">
        <w:t xml:space="preserve">s a recognition that </w:t>
      </w:r>
      <w:r w:rsidR="00075516">
        <w:t xml:space="preserve">it does depart from the EU and OECD approaches, and that further consultation with industry </w:t>
      </w:r>
      <w:r w:rsidR="00C005F6">
        <w:t>m</w:t>
      </w:r>
      <w:r w:rsidR="001671E2">
        <w:t>a</w:t>
      </w:r>
      <w:r w:rsidR="00C005F6">
        <w:t>y be beneficial</w:t>
      </w:r>
      <w:r w:rsidR="001671E2">
        <w:t xml:space="preserve"> on this element</w:t>
      </w:r>
      <w:r w:rsidR="00383819">
        <w:t xml:space="preserve"> of the measure</w:t>
      </w:r>
      <w:r w:rsidR="000E6891">
        <w:t xml:space="preserve"> (</w:t>
      </w:r>
      <w:r w:rsidR="00B868C3">
        <w:t>and the measure more broadly)</w:t>
      </w:r>
      <w:r w:rsidR="001671E2">
        <w:t>.</w:t>
      </w:r>
      <w:r w:rsidR="00383819">
        <w:t xml:space="preserve">  </w:t>
      </w:r>
    </w:p>
    <w:p w:rsidR="000649E4" w:rsidP="000649E4" w:rsidRDefault="000649E4" w14:paraId="56A59B5B" w14:textId="77777777">
      <w:pPr>
        <w:pStyle w:val="Heading3"/>
      </w:pPr>
      <w:bookmarkStart w:name="_Toc138754505" w:id="17"/>
      <w:r>
        <w:t>Disclosure of corporate subsidiary information</w:t>
      </w:r>
      <w:bookmarkEnd w:id="17"/>
    </w:p>
    <w:p w:rsidR="000649E4" w:rsidP="000649E4" w:rsidRDefault="000649E4" w14:paraId="2A45D39E" w14:textId="15BCC1EC">
      <w:r>
        <w:t xml:space="preserve">This element applies to Australian public companies (listed and unlisted) and requires that they </w:t>
      </w:r>
      <w:r w:rsidRPr="00A41FBD">
        <w:t>disclose information on the number of subsidiaries and their domicile (</w:t>
      </w:r>
      <w:r>
        <w:t>e.g</w:t>
      </w:r>
      <w:r w:rsidRPr="00A41FBD">
        <w:t>. their country of tax residence and place of incorporation</w:t>
      </w:r>
      <w:r>
        <w:t>). Of the</w:t>
      </w:r>
      <w:r w:rsidR="004B009B">
        <w:t xml:space="preserve"> affected </w:t>
      </w:r>
      <w:r w:rsidR="00DF5A2F">
        <w:t>estimated public companies in scope (approximately</w:t>
      </w:r>
      <w:r w:rsidR="00DB07DB">
        <w:t xml:space="preserve"> 8,000</w:t>
      </w:r>
      <w:r w:rsidR="00390E51">
        <w:t>), only</w:t>
      </w:r>
      <w:r>
        <w:t xml:space="preserve"> 471 are defined as large corporate groups (Australian public companies), with a group turnover greater than $250 million.</w:t>
      </w:r>
    </w:p>
    <w:p w:rsidR="000649E4" w:rsidP="000649E4" w:rsidRDefault="000649E4" w14:paraId="53D41AE8" w14:textId="77777777">
      <w:r>
        <w:t>This measure is intended to provide an</w:t>
      </w:r>
      <w:r w:rsidRPr="00A41FBD">
        <w:t xml:space="preserve"> objective mechanism for disclosing information on a company’s tax arrangements</w:t>
      </w:r>
      <w:r>
        <w:t xml:space="preserve"> (that is, a statement of fact on whether they operate through subsidiaries, and if so, where those subsidiaries are located).</w:t>
      </w:r>
    </w:p>
    <w:p w:rsidR="000649E4" w:rsidP="000649E4" w:rsidRDefault="000649E4" w14:paraId="0B190D34" w14:textId="77777777">
      <w:r w:rsidRPr="00A41FBD">
        <w:t>The disclosure of this information would subject companies to enhanced scrutiny on their tax structures, w</w:t>
      </w:r>
      <w:r>
        <w:t>ith the intent it induces</w:t>
      </w:r>
      <w:r w:rsidRPr="00A41FBD">
        <w:t xml:space="preserve"> a behavioural change in how companies view their tax obligations</w:t>
      </w:r>
      <w:r>
        <w:t xml:space="preserve"> (i.e. by simplifying their structures and operating with fewer interposed entities)</w:t>
      </w:r>
      <w:r w:rsidRPr="00A41FBD">
        <w:t xml:space="preserve">. </w:t>
      </w:r>
    </w:p>
    <w:p w:rsidR="000649E4" w:rsidP="000649E4" w:rsidRDefault="000649E4" w14:paraId="5B1C2BFA" w14:textId="54775174">
      <w:r>
        <w:t xml:space="preserve">This disclosure requirement reflects feedback from stakeholders from the initial consultation on the </w:t>
      </w:r>
      <w:r w:rsidR="00E11036">
        <w:t>G</w:t>
      </w:r>
      <w:r w:rsidRPr="00C326BB">
        <w:t>overnment</w:t>
      </w:r>
      <w:r>
        <w:t>’s original announcement t</w:t>
      </w:r>
      <w:r w:rsidRPr="00C326BB">
        <w:t xml:space="preserve">hat it </w:t>
      </w:r>
      <w:r>
        <w:t>would</w:t>
      </w:r>
      <w:r w:rsidRPr="00C326BB">
        <w:t xml:space="preserve"> require companies to </w:t>
      </w:r>
      <w:r>
        <w:t>“</w:t>
      </w:r>
      <w:r w:rsidRPr="00B04E0C">
        <w:rPr>
          <w:i/>
          <w:iCs/>
        </w:rPr>
        <w:t>disclose to shareholders material tax risk to assist shareholders to better understand their investments and any tax structuring arrangements of the company they are investing in</w:t>
      </w:r>
      <w:r>
        <w:rPr>
          <w:i/>
          <w:iCs/>
        </w:rPr>
        <w:t>”</w:t>
      </w:r>
      <w:r w:rsidRPr="00C326BB">
        <w:t>.</w:t>
      </w:r>
      <w:r>
        <w:t xml:space="preserve"> T</w:t>
      </w:r>
      <w:r w:rsidRPr="00C326BB">
        <w:t>he Government announcement included, as an example, reference to the proposed global minimum of 15 per cent being progressed through the G20/OECD Two-Pillar solution</w:t>
      </w:r>
      <w:r>
        <w:t>.</w:t>
      </w:r>
    </w:p>
    <w:p w:rsidR="000649E4" w:rsidP="000649E4" w:rsidRDefault="000649E4" w14:paraId="62CFF67A" w14:textId="77777777">
      <w:r>
        <w:t>Stakeholders raised some issues</w:t>
      </w:r>
      <w:r w:rsidRPr="00AF5805">
        <w:t xml:space="preserve"> </w:t>
      </w:r>
      <w:r>
        <w:t xml:space="preserve">with this original position, </w:t>
      </w:r>
      <w:r w:rsidRPr="00AF5805">
        <w:t xml:space="preserve">that a requirement to disclose business in low tax jurisdictions would </w:t>
      </w:r>
      <w:r>
        <w:t xml:space="preserve">be subjective, and potentially </w:t>
      </w:r>
      <w:r w:rsidRPr="00AF5805">
        <w:t xml:space="preserve">create an unnecessary compliance cost given the </w:t>
      </w:r>
      <w:r>
        <w:t>separate work in train on</w:t>
      </w:r>
      <w:r w:rsidRPr="00AF5805">
        <w:t xml:space="preserve"> </w:t>
      </w:r>
      <w:r>
        <w:t xml:space="preserve">OECD </w:t>
      </w:r>
      <w:r w:rsidRPr="00AF5805">
        <w:t xml:space="preserve">Pillar </w:t>
      </w:r>
      <w:r>
        <w:t>Two Solution</w:t>
      </w:r>
      <w:r w:rsidRPr="00AF5805">
        <w:t xml:space="preserve"> that would require similar disclosures.</w:t>
      </w:r>
      <w:r>
        <w:t xml:space="preserve"> Stakeholders also noted the Pillar Two work is still subject to negotiation and potential exclusions (which would have the effect of excluding certain entities from the requirement to perform comprehensive tax rate calculations)</w:t>
      </w:r>
      <w:r w:rsidRPr="00AF5805">
        <w:t>.</w:t>
      </w:r>
    </w:p>
    <w:p w:rsidR="000649E4" w:rsidP="000649E4" w:rsidRDefault="000649E4" w14:paraId="5F2F8C4C" w14:textId="77777777">
      <w:r>
        <w:t>In response to this feedback, the subsidiary disclosure option was implemented instead of the requirement to disclose if an entity is doing business in a low-tax jurisdiction.</w:t>
      </w:r>
    </w:p>
    <w:p w:rsidR="000649E4" w:rsidP="000649E4" w:rsidRDefault="000649E4" w14:paraId="3E26219E" w14:textId="77777777">
      <w:pPr>
        <w:pStyle w:val="Heading3"/>
      </w:pPr>
      <w:bookmarkStart w:name="_Toc138754506" w:id="18"/>
      <w:r>
        <w:t>Requiring government tenderers to disclose their country of tax domicile</w:t>
      </w:r>
      <w:bookmarkEnd w:id="18"/>
    </w:p>
    <w:p w:rsidR="000649E4" w:rsidP="000649E4" w:rsidRDefault="000649E4" w14:paraId="57E4745A" w14:textId="77777777">
      <w:r>
        <w:t xml:space="preserve">This element applies to all entities tendering for certain Australian government contracts (worth more than $200,000) to disclose their country of tax domicile (by supplying their ultimate head entity’s country of tax residency). </w:t>
      </w:r>
    </w:p>
    <w:p w:rsidR="000649E4" w:rsidP="000649E4" w:rsidRDefault="000649E4" w14:paraId="75451F35" w14:textId="7250853F">
      <w:r>
        <w:t>This will complement the existing details tenderers are already required to provide (including about their tax affairs) when applying for government contracts (such as entity name, ABN, business address) and serves as another element to improving transparency on entity disclosures</w:t>
      </w:r>
    </w:p>
    <w:p w:rsidR="003B2E0D" w:rsidP="001341D3" w:rsidRDefault="003B2E0D" w14:paraId="46E119E0" w14:textId="77777777">
      <w:pPr>
        <w:pStyle w:val="Heading4"/>
      </w:pPr>
      <w:r>
        <w:t>Implementation plan</w:t>
      </w:r>
    </w:p>
    <w:tbl>
      <w:tblPr>
        <w:tblStyle w:val="TableGrid"/>
        <w:tblW w:w="0" w:type="auto"/>
        <w:tblLook w:val="04A0" w:firstRow="1" w:lastRow="0" w:firstColumn="1" w:lastColumn="0" w:noHBand="0" w:noVBand="1"/>
      </w:tblPr>
      <w:tblGrid>
        <w:gridCol w:w="4535"/>
        <w:gridCol w:w="4535"/>
      </w:tblGrid>
      <w:tr w:rsidR="003B2E0D" w14:paraId="5A017A91" w14:textId="77777777">
        <w:trPr>
          <w:cnfStyle w:val="100000000000" w:firstRow="1" w:lastRow="0" w:firstColumn="0" w:lastColumn="0" w:oddVBand="0" w:evenVBand="0" w:oddHBand="0" w:evenHBand="0" w:firstRowFirstColumn="0" w:firstRowLastColumn="0" w:lastRowFirstColumn="0" w:lastRowLastColumn="0"/>
        </w:trPr>
        <w:tc>
          <w:tcPr>
            <w:tcW w:w="4535" w:type="dxa"/>
          </w:tcPr>
          <w:p w:rsidRPr="00D677A7" w:rsidR="003B2E0D" w:rsidRDefault="003B2E0D" w14:paraId="44AA90FF" w14:textId="77777777">
            <w:r>
              <w:t>Action</w:t>
            </w:r>
          </w:p>
        </w:tc>
        <w:tc>
          <w:tcPr>
            <w:tcW w:w="4535" w:type="dxa"/>
          </w:tcPr>
          <w:p w:rsidRPr="00D677A7" w:rsidR="003B2E0D" w:rsidRDefault="003B2E0D" w14:paraId="5E8972AF" w14:textId="77777777">
            <w:r w:rsidRPr="00D677A7">
              <w:t>Timeframe</w:t>
            </w:r>
          </w:p>
        </w:tc>
      </w:tr>
      <w:tr w:rsidR="003B2E0D" w14:paraId="1B3996F8" w14:textId="77777777">
        <w:tc>
          <w:tcPr>
            <w:tcW w:w="4535" w:type="dxa"/>
          </w:tcPr>
          <w:p w:rsidR="003B2E0D" w:rsidRDefault="002565FC" w14:paraId="05C7E219" w14:textId="0ADEF002">
            <w:r>
              <w:t>G</w:t>
            </w:r>
            <w:r w:rsidR="003B2E0D">
              <w:t xml:space="preserve">overnment </w:t>
            </w:r>
            <w:r w:rsidR="00EE5962">
              <w:t xml:space="preserve">Budget </w:t>
            </w:r>
            <w:r w:rsidR="003B2E0D">
              <w:t>announcement</w:t>
            </w:r>
          </w:p>
        </w:tc>
        <w:tc>
          <w:tcPr>
            <w:tcW w:w="4535" w:type="dxa"/>
          </w:tcPr>
          <w:p w:rsidR="003B2E0D" w:rsidRDefault="003B2E0D" w14:paraId="60398F41" w14:textId="77777777">
            <w:r>
              <w:t>October 2022</w:t>
            </w:r>
          </w:p>
        </w:tc>
      </w:tr>
      <w:tr w:rsidR="003B2E0D" w14:paraId="06DBE1BB" w14:textId="77777777">
        <w:tc>
          <w:tcPr>
            <w:tcW w:w="4535" w:type="dxa"/>
          </w:tcPr>
          <w:p w:rsidRPr="00D677A7" w:rsidR="003B2E0D" w:rsidRDefault="003B2E0D" w14:paraId="0B616038" w14:textId="2AB1A9A4">
            <w:r>
              <w:t>Public consultation on exposure draft legislation</w:t>
            </w:r>
            <w:r w:rsidR="009015CD">
              <w:t xml:space="preserve"> and ongoing </w:t>
            </w:r>
            <w:r w:rsidR="003647B6">
              <w:t>work with</w:t>
            </w:r>
            <w:r w:rsidR="009015CD">
              <w:t xml:space="preserve"> Finance officials</w:t>
            </w:r>
            <w:r w:rsidR="001B1996">
              <w:t xml:space="preserve"> (tenderer’s disclosure)</w:t>
            </w:r>
          </w:p>
        </w:tc>
        <w:tc>
          <w:tcPr>
            <w:tcW w:w="4535" w:type="dxa"/>
          </w:tcPr>
          <w:p w:rsidRPr="00D677A7" w:rsidR="003B2E0D" w:rsidRDefault="003B2E0D" w14:paraId="31B4F9B2" w14:textId="79375E74">
            <w:r>
              <w:t>April 2023</w:t>
            </w:r>
          </w:p>
        </w:tc>
      </w:tr>
      <w:tr w:rsidR="003B2E0D" w14:paraId="3DBD275E" w14:textId="77777777">
        <w:tc>
          <w:tcPr>
            <w:tcW w:w="4535" w:type="dxa"/>
          </w:tcPr>
          <w:p w:rsidRPr="00D677A7" w:rsidR="003B2E0D" w:rsidRDefault="003B2E0D" w14:paraId="3C6F8206" w14:textId="7D1A5316">
            <w:r>
              <w:t>Treasury consideration of consultation feedback</w:t>
            </w:r>
          </w:p>
        </w:tc>
        <w:tc>
          <w:tcPr>
            <w:tcW w:w="4535" w:type="dxa"/>
          </w:tcPr>
          <w:p w:rsidRPr="00D677A7" w:rsidR="003B2E0D" w:rsidRDefault="003B2E0D" w14:paraId="1CDBF7C6" w14:textId="77777777">
            <w:r>
              <w:t>April/May 2023</w:t>
            </w:r>
          </w:p>
        </w:tc>
      </w:tr>
      <w:tr w:rsidR="003B2E0D" w14:paraId="25CA32B6" w14:textId="77777777">
        <w:tc>
          <w:tcPr>
            <w:tcW w:w="4535" w:type="dxa"/>
          </w:tcPr>
          <w:p w:rsidRPr="00D677A7" w:rsidR="003B2E0D" w:rsidRDefault="00162923" w14:paraId="1C9C2315" w14:textId="7AB98A28">
            <w:r>
              <w:t>Bill introduced</w:t>
            </w:r>
            <w:r w:rsidR="003B2E0D">
              <w:t xml:space="preserve"> into Parliament</w:t>
            </w:r>
            <w:r w:rsidR="001B1996">
              <w:t>, and finalising guidance material with Finance (tenderers)</w:t>
            </w:r>
          </w:p>
        </w:tc>
        <w:tc>
          <w:tcPr>
            <w:tcW w:w="4535" w:type="dxa"/>
          </w:tcPr>
          <w:p w:rsidRPr="00D677A7" w:rsidR="003B2E0D" w:rsidRDefault="003B2E0D" w14:paraId="2CFA9F9E" w14:textId="77777777">
            <w:r>
              <w:t>June 2023</w:t>
            </w:r>
          </w:p>
        </w:tc>
      </w:tr>
      <w:tr w:rsidR="003B2E0D" w14:paraId="1DCCF720" w14:textId="77777777">
        <w:tc>
          <w:tcPr>
            <w:tcW w:w="4535" w:type="dxa"/>
          </w:tcPr>
          <w:p w:rsidR="003B2E0D" w:rsidRDefault="00A32C37" w14:paraId="59084070" w14:textId="524A54E4">
            <w:r>
              <w:t>Application</w:t>
            </w:r>
            <w:r w:rsidR="003B2E0D">
              <w:t xml:space="preserve"> date</w:t>
            </w:r>
            <w:r>
              <w:t xml:space="preserve"> (corporate subsidiary</w:t>
            </w:r>
            <w:r w:rsidR="002879F7">
              <w:t>; tenderer disclosures)</w:t>
            </w:r>
          </w:p>
        </w:tc>
        <w:tc>
          <w:tcPr>
            <w:tcW w:w="4535" w:type="dxa"/>
          </w:tcPr>
          <w:p w:rsidRPr="00D677A7" w:rsidR="003B2E0D" w:rsidRDefault="003B2E0D" w14:paraId="2C9CFE1A" w14:textId="07CDBC26">
            <w:pPr>
              <w:tabs>
                <w:tab w:val="left" w:pos="1351"/>
              </w:tabs>
            </w:pPr>
            <w:r>
              <w:t>1 July 202</w:t>
            </w:r>
            <w:r w:rsidR="00A32C37">
              <w:t>3</w:t>
            </w:r>
          </w:p>
        </w:tc>
      </w:tr>
      <w:tr w:rsidR="00B16E3C" w14:paraId="64324E50" w14:textId="77777777">
        <w:tc>
          <w:tcPr>
            <w:tcW w:w="4535" w:type="dxa"/>
          </w:tcPr>
          <w:p w:rsidR="00B16E3C" w:rsidP="00B16E3C" w:rsidRDefault="00B16E3C" w14:paraId="324A5487" w14:textId="527C0C66">
            <w:r>
              <w:t>Application date (public CbC reporting)</w:t>
            </w:r>
          </w:p>
        </w:tc>
        <w:tc>
          <w:tcPr>
            <w:tcW w:w="4535" w:type="dxa"/>
          </w:tcPr>
          <w:p w:rsidR="00B16E3C" w:rsidP="00B16E3C" w:rsidRDefault="00B16E3C" w14:paraId="6899828D" w14:textId="7BF47646">
            <w:pPr>
              <w:tabs>
                <w:tab w:val="left" w:pos="1351"/>
              </w:tabs>
            </w:pPr>
            <w:r>
              <w:t>1 July 2024</w:t>
            </w:r>
          </w:p>
        </w:tc>
      </w:tr>
      <w:tr w:rsidR="00B16E3C" w14:paraId="6F2327B3" w14:textId="77777777">
        <w:tc>
          <w:tcPr>
            <w:tcW w:w="4535" w:type="dxa"/>
          </w:tcPr>
          <w:p w:rsidR="00B16E3C" w:rsidP="00B16E3C" w:rsidRDefault="00B16E3C" w14:paraId="5B314BA2" w14:textId="0027FDD8">
            <w:r>
              <w:t>Domestic policy maintenance</w:t>
            </w:r>
            <w:r w:rsidRPr="00CE05C0">
              <w:t xml:space="preserve"> (ongoing)</w:t>
            </w:r>
          </w:p>
        </w:tc>
        <w:tc>
          <w:tcPr>
            <w:tcW w:w="4535" w:type="dxa"/>
          </w:tcPr>
          <w:p w:rsidR="00B16E3C" w:rsidP="00B16E3C" w:rsidRDefault="00B16E3C" w14:paraId="0D2F6ADC" w14:textId="77777777">
            <w:pPr>
              <w:tabs>
                <w:tab w:val="left" w:pos="1351"/>
              </w:tabs>
            </w:pPr>
            <w:r>
              <w:t>July 2023+</w:t>
            </w:r>
          </w:p>
        </w:tc>
      </w:tr>
    </w:tbl>
    <w:p w:rsidR="00361544" w:rsidP="00D933BD" w:rsidRDefault="003472BF" w14:paraId="2BB79AAB" w14:textId="60C300B7">
      <w:pPr>
        <w:pStyle w:val="Heading1"/>
      </w:pPr>
      <w:bookmarkStart w:name="_Toc138754507" w:id="19"/>
      <w:r>
        <w:t>Evaluation</w:t>
      </w:r>
      <w:bookmarkEnd w:id="19"/>
    </w:p>
    <w:p w:rsidR="00241C0F" w:rsidP="00F80E3C" w:rsidRDefault="00F80E3C" w14:paraId="5BD9F9B2" w14:textId="7072FAAD">
      <w:r>
        <w:t xml:space="preserve">The election commitments scheduled to </w:t>
      </w:r>
      <w:r w:rsidR="000B60EC">
        <w:t>apply</w:t>
      </w:r>
      <w:r>
        <w:t xml:space="preserve"> from 1 July 2023</w:t>
      </w:r>
      <w:r w:rsidR="000B60EC">
        <w:t xml:space="preserve"> are</w:t>
      </w:r>
      <w:r>
        <w:t xml:space="preserve"> in line with the Government’s election commitment and October 2022-23 Budget announcements.</w:t>
      </w:r>
      <w:r w:rsidR="004C484E">
        <w:t xml:space="preserve"> </w:t>
      </w:r>
      <w:r w:rsidR="000B60EC">
        <w:t xml:space="preserve">The </w:t>
      </w:r>
      <w:r w:rsidR="000D0E5C">
        <w:t>proposed</w:t>
      </w:r>
      <w:r w:rsidR="000B60EC">
        <w:t xml:space="preserve"> 1 July 2024 application date for public CbC reporting</w:t>
      </w:r>
      <w:r w:rsidR="006A1375">
        <w:t xml:space="preserve"> reflects stakeholder feedback for additional time to adjust to this measure. </w:t>
      </w:r>
      <w:r w:rsidR="00300249">
        <w:t>Subject to the passage of the legislation through the Parliament,</w:t>
      </w:r>
      <w:r w:rsidR="00B57309">
        <w:t xml:space="preserve"> </w:t>
      </w:r>
      <w:r w:rsidR="004070BE">
        <w:t xml:space="preserve">Treasury will continue to work closely with the </w:t>
      </w:r>
      <w:r w:rsidR="0082700B">
        <w:t>relevant regulators</w:t>
      </w:r>
      <w:r w:rsidR="004647EA">
        <w:t xml:space="preserve"> and industry to refine implementation details</w:t>
      </w:r>
      <w:r w:rsidR="00E3077A">
        <w:t>, as required</w:t>
      </w:r>
      <w:r w:rsidR="00300249">
        <w:t>.</w:t>
      </w:r>
      <w:r w:rsidRPr="004603E2" w:rsidR="004603E2">
        <w:t xml:space="preserve"> </w:t>
      </w:r>
      <w:r w:rsidR="00B3411F">
        <w:t>This will include</w:t>
      </w:r>
      <w:r w:rsidR="007E00DA">
        <w:t xml:space="preserve"> </w:t>
      </w:r>
      <w:r w:rsidR="00FB441F">
        <w:t>regulatory</w:t>
      </w:r>
      <w:r w:rsidR="00B3411F">
        <w:t xml:space="preserve"> g</w:t>
      </w:r>
      <w:r w:rsidR="004603E2">
        <w:t>uidance</w:t>
      </w:r>
      <w:r w:rsidR="00B3411F">
        <w:t xml:space="preserve">, as necessary, </w:t>
      </w:r>
      <w:r w:rsidR="007E00DA">
        <w:t>to as</w:t>
      </w:r>
      <w:r w:rsidR="004603E2">
        <w:t xml:space="preserve">sist entities </w:t>
      </w:r>
      <w:r w:rsidR="007E00DA">
        <w:t xml:space="preserve">with their compliance </w:t>
      </w:r>
      <w:r w:rsidR="005802D3">
        <w:t>obligations</w:t>
      </w:r>
      <w:r w:rsidR="007E00DA">
        <w:t>.</w:t>
      </w:r>
      <w:r w:rsidR="004603E2">
        <w:t xml:space="preserve">   </w:t>
      </w:r>
    </w:p>
    <w:p w:rsidR="00502AF0" w:rsidP="003A69D5" w:rsidRDefault="00175DB5" w14:paraId="68F3208B" w14:textId="7935DEB1">
      <w:r w:rsidRPr="00175DB5">
        <w:t xml:space="preserve">Interactions with these amendments will </w:t>
      </w:r>
      <w:r w:rsidR="00EE2F49">
        <w:t xml:space="preserve">also </w:t>
      </w:r>
      <w:r w:rsidRPr="00175DB5">
        <w:t xml:space="preserve">be considered in the implementation of future measures that form part of the Government’s broader plan to ensure multinationals pay their fair share of tax, including the 2023-24 Budget measure ‘Implementation of a global minimum tax and a domestic minimum tax’. </w:t>
      </w:r>
      <w:r w:rsidR="001742B2">
        <w:t>Treasury will monitor their operation after implementation to detect and address any unintended consequences that may arise, and to ensure the policies are effective and operating as intended</w:t>
      </w:r>
      <w:r w:rsidR="00CE13A9">
        <w:t>. This is c</w:t>
      </w:r>
      <w:r w:rsidR="00241C0F">
        <w:rPr>
          <w:rStyle w:val="normaltextrun"/>
          <w:rFonts w:cs="Calibri Light" w:eastAsiaTheme="majorEastAsia"/>
          <w:color w:val="000000"/>
          <w:szCs w:val="22"/>
          <w:shd w:val="clear" w:color="auto" w:fill="FFFFFF"/>
        </w:rPr>
        <w:t xml:space="preserve">onsistent with </w:t>
      </w:r>
      <w:r w:rsidR="00CE13A9">
        <w:rPr>
          <w:rStyle w:val="normaltextrun"/>
          <w:rFonts w:cs="Calibri Light" w:eastAsiaTheme="majorEastAsia"/>
          <w:color w:val="000000"/>
          <w:szCs w:val="22"/>
          <w:shd w:val="clear" w:color="auto" w:fill="FFFFFF"/>
        </w:rPr>
        <w:t xml:space="preserve">our </w:t>
      </w:r>
      <w:r w:rsidR="00241C0F">
        <w:rPr>
          <w:rStyle w:val="normaltextrun"/>
          <w:rFonts w:cs="Calibri Light" w:eastAsiaTheme="majorEastAsia"/>
          <w:color w:val="000000"/>
          <w:szCs w:val="22"/>
          <w:shd w:val="clear" w:color="auto" w:fill="FFFFFF"/>
        </w:rPr>
        <w:t>standard practice, to ensure the laws are operating as intended. This will include regular engagement with stakeholders to better understand whether the practical application of the policy changes has given rise to any unintended consequences. Subject to these considerations, Treasury will assess whether subsequent amendment</w:t>
      </w:r>
      <w:r w:rsidR="005802D3">
        <w:rPr>
          <w:rStyle w:val="normaltextrun"/>
          <w:rFonts w:cs="Calibri Light" w:eastAsiaTheme="majorEastAsia"/>
          <w:color w:val="000000"/>
          <w:szCs w:val="22"/>
          <w:shd w:val="clear" w:color="auto" w:fill="FFFFFF"/>
        </w:rPr>
        <w:t>s</w:t>
      </w:r>
      <w:r w:rsidR="00F835B5">
        <w:rPr>
          <w:rStyle w:val="normaltextrun"/>
          <w:rFonts w:cs="Calibri Light" w:eastAsiaTheme="majorEastAsia"/>
          <w:color w:val="000000"/>
          <w:szCs w:val="22"/>
          <w:shd w:val="clear" w:color="auto" w:fill="FFFFFF"/>
        </w:rPr>
        <w:t xml:space="preserve"> and/or review</w:t>
      </w:r>
      <w:r w:rsidR="00241C0F">
        <w:rPr>
          <w:rStyle w:val="normaltextrun"/>
          <w:rFonts w:cs="Calibri Light" w:eastAsiaTheme="majorEastAsia"/>
          <w:color w:val="000000"/>
          <w:szCs w:val="22"/>
          <w:shd w:val="clear" w:color="auto" w:fill="FFFFFF"/>
        </w:rPr>
        <w:t xml:space="preserve"> </w:t>
      </w:r>
      <w:r w:rsidR="00C65B0A">
        <w:rPr>
          <w:rStyle w:val="normaltextrun"/>
          <w:rFonts w:cs="Calibri Light" w:eastAsiaTheme="majorEastAsia"/>
          <w:color w:val="000000"/>
          <w:szCs w:val="22"/>
          <w:shd w:val="clear" w:color="auto" w:fill="FFFFFF"/>
        </w:rPr>
        <w:t xml:space="preserve">of these commitments </w:t>
      </w:r>
      <w:r w:rsidR="00241C0F">
        <w:rPr>
          <w:rStyle w:val="normaltextrun"/>
          <w:rFonts w:cs="Calibri Light" w:eastAsiaTheme="majorEastAsia"/>
          <w:color w:val="000000"/>
          <w:szCs w:val="22"/>
          <w:shd w:val="clear" w:color="auto" w:fill="FFFFFF"/>
        </w:rPr>
        <w:t xml:space="preserve">is required. Treasury will also continue to work closely with the </w:t>
      </w:r>
      <w:r w:rsidR="00AA2CAB">
        <w:rPr>
          <w:rStyle w:val="normaltextrun"/>
          <w:rFonts w:cs="Calibri Light" w:eastAsiaTheme="majorEastAsia"/>
          <w:color w:val="000000"/>
          <w:szCs w:val="22"/>
          <w:shd w:val="clear" w:color="auto" w:fill="FFFFFF"/>
        </w:rPr>
        <w:t>regulators</w:t>
      </w:r>
      <w:r w:rsidR="00241C0F">
        <w:rPr>
          <w:rStyle w:val="normaltextrun"/>
          <w:rFonts w:cs="Calibri Light" w:eastAsiaTheme="majorEastAsia"/>
          <w:color w:val="000000"/>
          <w:szCs w:val="22"/>
          <w:shd w:val="clear" w:color="auto" w:fill="FFFFFF"/>
        </w:rPr>
        <w:t xml:space="preserve"> to identify taxpayer behavioural responses</w:t>
      </w:r>
      <w:r w:rsidR="000A69A4">
        <w:rPr>
          <w:rStyle w:val="normaltextrun"/>
          <w:rFonts w:cs="Calibri Light" w:eastAsiaTheme="majorEastAsia"/>
          <w:color w:val="000000"/>
          <w:szCs w:val="22"/>
          <w:shd w:val="clear" w:color="auto" w:fill="FFFFFF"/>
        </w:rPr>
        <w:t xml:space="preserve"> including non</w:t>
      </w:r>
      <w:r w:rsidR="00FF2AF6">
        <w:rPr>
          <w:rStyle w:val="normaltextrun"/>
          <w:rFonts w:cs="Calibri Light" w:eastAsiaTheme="majorEastAsia"/>
          <w:color w:val="000000"/>
          <w:szCs w:val="22"/>
          <w:shd w:val="clear" w:color="auto" w:fill="FFFFFF"/>
        </w:rPr>
        <w:t>-compliance</w:t>
      </w:r>
      <w:r w:rsidR="00241C0F">
        <w:rPr>
          <w:rStyle w:val="normaltextrun"/>
          <w:rFonts w:cs="Calibri Light" w:eastAsiaTheme="majorEastAsia"/>
          <w:color w:val="000000"/>
          <w:szCs w:val="22"/>
          <w:shd w:val="clear" w:color="auto" w:fill="FFFFFF"/>
        </w:rPr>
        <w:t>.</w:t>
      </w:r>
      <w:r w:rsidR="00241C0F">
        <w:rPr>
          <w:rStyle w:val="eop"/>
          <w:rFonts w:cs="Calibri Light"/>
          <w:color w:val="000000"/>
          <w:szCs w:val="22"/>
          <w:shd w:val="clear" w:color="auto" w:fill="FFFFFF"/>
        </w:rPr>
        <w:t> </w:t>
      </w:r>
      <w:r w:rsidR="004647EA">
        <w:t xml:space="preserve"> </w:t>
      </w:r>
    </w:p>
    <w:p w:rsidR="00C2383B" w:rsidP="003A69D5" w:rsidRDefault="00C2383B" w14:paraId="24D808A3" w14:textId="77777777">
      <w:pPr>
        <w:sectPr w:rsidR="00C2383B" w:rsidSect="00C0677A">
          <w:headerReference w:type="default" r:id="rId24"/>
          <w:footerReference w:type="default" r:id="rId25"/>
          <w:headerReference w:type="first" r:id="rId26"/>
          <w:footerReference w:type="first" r:id="rId27"/>
          <w:pgSz w:w="11906" w:h="16838"/>
          <w:pgMar w:top="1418" w:right="1418" w:bottom="1418" w:left="1418" w:header="709" w:footer="709" w:gutter="0"/>
          <w:pgNumType w:start="1"/>
          <w:cols w:space="708"/>
          <w:titlePg/>
          <w:docGrid w:linePitch="360"/>
        </w:sectPr>
      </w:pPr>
    </w:p>
    <w:p w:rsidR="00D10A84" w:rsidP="00F3200F" w:rsidRDefault="00F3200F" w14:paraId="1370BC14" w14:textId="08EC5586">
      <w:pPr>
        <w:pStyle w:val="Heading1"/>
      </w:pPr>
      <w:bookmarkStart w:name="_Toc138754508" w:id="20"/>
      <w:r>
        <w:t xml:space="preserve">Attachment A – </w:t>
      </w:r>
      <w:r w:rsidR="00B01516">
        <w:t xml:space="preserve">Public CbC reporting </w:t>
      </w:r>
      <w:r w:rsidR="003161C5">
        <w:t xml:space="preserve">– </w:t>
      </w:r>
      <w:r>
        <w:t>Non</w:t>
      </w:r>
      <w:r w:rsidR="003161C5">
        <w:noBreakHyphen/>
      </w:r>
      <w:r>
        <w:t xml:space="preserve">Confidential Submissions </w:t>
      </w:r>
      <w:r w:rsidR="00324B43">
        <w:t>r</w:t>
      </w:r>
      <w:r>
        <w:t>eceived</w:t>
      </w:r>
      <w:r w:rsidR="00456573">
        <w:t xml:space="preserve"> on Exposure Draft Legislation</w:t>
      </w:r>
      <w:bookmarkEnd w:id="20"/>
    </w:p>
    <w:p w:rsidR="007E3E66" w:rsidP="003A69D5" w:rsidRDefault="007E3E66" w14:paraId="7CB60DE0" w14:textId="77777777"/>
    <w:p w:rsidR="00651339" w:rsidP="003A69D5" w:rsidRDefault="00651339" w14:paraId="0CCA06EA" w14:textId="77777777">
      <w:pPr>
        <w:sectPr w:rsidR="00651339" w:rsidSect="00802616">
          <w:pgSz w:w="11906" w:h="16838"/>
          <w:pgMar w:top="1418" w:right="1418" w:bottom="1418" w:left="1418" w:header="709" w:footer="709" w:gutter="0"/>
          <w:cols w:space="708"/>
          <w:titlePg/>
          <w:docGrid w:linePitch="360"/>
        </w:sectPr>
      </w:pPr>
    </w:p>
    <w:tbl>
      <w:tblPr>
        <w:tblStyle w:val="TableGrid1"/>
        <w:tblW w:w="4390" w:type="dxa"/>
        <w:jc w:val="center"/>
        <w:tblLook w:val="04A0" w:firstRow="1" w:lastRow="0" w:firstColumn="1" w:lastColumn="0" w:noHBand="0" w:noVBand="1"/>
      </w:tblPr>
      <w:tblGrid>
        <w:gridCol w:w="4390"/>
      </w:tblGrid>
      <w:tr w:rsidRPr="00F3200F" w:rsidR="000F6D21" w:rsidTr="00C2383B" w14:paraId="6173DE59" w14:textId="4EB7EBDC">
        <w:trPr>
          <w:trHeight w:val="300"/>
          <w:jc w:val="center"/>
        </w:trPr>
        <w:tc>
          <w:tcPr>
            <w:tcW w:w="4390" w:type="dxa"/>
            <w:noWrap/>
          </w:tcPr>
          <w:p w:rsidRPr="004F1354" w:rsidR="000F6D21" w:rsidP="000F6D21" w:rsidRDefault="000F6D21" w14:paraId="31CB5B21" w14:textId="72604E5F">
            <w:pPr>
              <w:spacing w:before="0" w:after="0"/>
              <w:jc w:val="center"/>
              <w:rPr>
                <w:rFonts w:ascii="Calibri" w:hAnsi="Calibri" w:cs="Calibri"/>
                <w:b/>
                <w:color w:val="000000"/>
                <w:szCs w:val="22"/>
              </w:rPr>
            </w:pPr>
            <w:r w:rsidRPr="004F1354">
              <w:rPr>
                <w:rFonts w:ascii="Calibri" w:hAnsi="Calibri" w:cs="Calibri"/>
                <w:b/>
                <w:color w:val="000000"/>
                <w:szCs w:val="22"/>
              </w:rPr>
              <w:t>Submitter</w:t>
            </w:r>
          </w:p>
        </w:tc>
      </w:tr>
      <w:tr w:rsidRPr="00F3200F" w:rsidR="00F3200F" w:rsidTr="00C2383B" w14:paraId="403698B3" w14:textId="08B8EDAE">
        <w:trPr>
          <w:trHeight w:val="300"/>
          <w:jc w:val="center"/>
        </w:trPr>
        <w:tc>
          <w:tcPr>
            <w:tcW w:w="4390" w:type="dxa"/>
            <w:noWrap/>
            <w:hideMark/>
          </w:tcPr>
          <w:p w:rsidRPr="00F3200F" w:rsidR="00F3200F" w:rsidP="00F3200F" w:rsidRDefault="00F3200F" w14:paraId="569228DD" w14:textId="77777777">
            <w:pPr>
              <w:spacing w:before="0" w:after="0"/>
              <w:rPr>
                <w:rFonts w:ascii="Calibri" w:hAnsi="Calibri" w:cs="Calibri"/>
                <w:color w:val="000000"/>
                <w:szCs w:val="22"/>
              </w:rPr>
            </w:pPr>
            <w:r w:rsidRPr="00F3200F">
              <w:rPr>
                <w:rFonts w:ascii="Calibri" w:hAnsi="Calibri" w:cs="Calibri"/>
                <w:color w:val="000000"/>
                <w:szCs w:val="22"/>
              </w:rPr>
              <w:t>ACCI</w:t>
            </w:r>
          </w:p>
        </w:tc>
      </w:tr>
      <w:tr w:rsidRPr="00F3200F" w:rsidR="00F3200F" w:rsidTr="00C2383B" w14:paraId="7F4E7222" w14:textId="65653775">
        <w:trPr>
          <w:trHeight w:val="300"/>
          <w:jc w:val="center"/>
        </w:trPr>
        <w:tc>
          <w:tcPr>
            <w:tcW w:w="4390" w:type="dxa"/>
            <w:noWrap/>
            <w:hideMark/>
          </w:tcPr>
          <w:p w:rsidRPr="00F3200F" w:rsidR="00F3200F" w:rsidP="00F3200F" w:rsidRDefault="00F3200F" w14:paraId="098CF2E2" w14:textId="77777777">
            <w:pPr>
              <w:spacing w:before="0" w:after="0"/>
              <w:rPr>
                <w:rFonts w:ascii="Calibri" w:hAnsi="Calibri" w:cs="Calibri"/>
                <w:color w:val="000000"/>
                <w:szCs w:val="22"/>
              </w:rPr>
            </w:pPr>
            <w:r w:rsidRPr="00F3200F">
              <w:rPr>
                <w:rFonts w:ascii="Calibri" w:hAnsi="Calibri" w:cs="Calibri"/>
                <w:color w:val="000000"/>
                <w:szCs w:val="22"/>
              </w:rPr>
              <w:t>ActionAid</w:t>
            </w:r>
          </w:p>
        </w:tc>
      </w:tr>
      <w:tr w:rsidRPr="00F3200F" w:rsidR="00F3200F" w:rsidTr="00C2383B" w14:paraId="0C73B9DB" w14:textId="33CC9ECD">
        <w:trPr>
          <w:trHeight w:val="300"/>
          <w:jc w:val="center"/>
        </w:trPr>
        <w:tc>
          <w:tcPr>
            <w:tcW w:w="4390" w:type="dxa"/>
            <w:noWrap/>
            <w:hideMark/>
          </w:tcPr>
          <w:p w:rsidRPr="00F3200F" w:rsidR="00F3200F" w:rsidP="00F3200F" w:rsidRDefault="00F3200F" w14:paraId="7F7D7EBB" w14:textId="77777777">
            <w:pPr>
              <w:spacing w:before="0" w:after="0"/>
              <w:rPr>
                <w:rFonts w:ascii="Calibri" w:hAnsi="Calibri" w:cs="Calibri"/>
                <w:color w:val="000000"/>
                <w:szCs w:val="22"/>
              </w:rPr>
            </w:pPr>
            <w:r w:rsidRPr="00F3200F">
              <w:rPr>
                <w:rFonts w:ascii="Calibri" w:hAnsi="Calibri" w:cs="Calibri"/>
                <w:color w:val="000000"/>
                <w:szCs w:val="22"/>
              </w:rPr>
              <w:t>Ai Group</w:t>
            </w:r>
          </w:p>
        </w:tc>
      </w:tr>
      <w:tr w:rsidRPr="00F3200F" w:rsidR="00F3200F" w:rsidTr="00C2383B" w14:paraId="7C789DE6" w14:textId="2B6C474D">
        <w:trPr>
          <w:trHeight w:val="300"/>
          <w:jc w:val="center"/>
        </w:trPr>
        <w:tc>
          <w:tcPr>
            <w:tcW w:w="4390" w:type="dxa"/>
            <w:noWrap/>
            <w:hideMark/>
          </w:tcPr>
          <w:p w:rsidRPr="00F3200F" w:rsidR="00F3200F" w:rsidP="00F3200F" w:rsidRDefault="00F3200F" w14:paraId="4EADCC04" w14:textId="77777777">
            <w:pPr>
              <w:spacing w:before="0" w:after="0"/>
              <w:rPr>
                <w:rFonts w:ascii="Calibri" w:hAnsi="Calibri" w:cs="Calibri"/>
                <w:color w:val="000000"/>
                <w:szCs w:val="22"/>
              </w:rPr>
            </w:pPr>
            <w:r w:rsidRPr="00F3200F">
              <w:rPr>
                <w:rFonts w:ascii="Calibri" w:hAnsi="Calibri" w:cs="Calibri"/>
                <w:color w:val="000000"/>
                <w:szCs w:val="22"/>
              </w:rPr>
              <w:t>AIA</w:t>
            </w:r>
          </w:p>
        </w:tc>
      </w:tr>
      <w:tr w:rsidRPr="00F3200F" w:rsidR="00F3200F" w:rsidTr="00C2383B" w14:paraId="71DF1683" w14:textId="0E2B993E">
        <w:trPr>
          <w:trHeight w:val="300"/>
          <w:jc w:val="center"/>
        </w:trPr>
        <w:tc>
          <w:tcPr>
            <w:tcW w:w="4390" w:type="dxa"/>
            <w:noWrap/>
            <w:hideMark/>
          </w:tcPr>
          <w:p w:rsidRPr="00F3200F" w:rsidR="00F3200F" w:rsidP="00F3200F" w:rsidRDefault="00F3200F" w14:paraId="3A4E88B3" w14:textId="77777777">
            <w:pPr>
              <w:spacing w:before="0" w:after="0"/>
              <w:rPr>
                <w:rFonts w:ascii="Calibri" w:hAnsi="Calibri" w:cs="Calibri"/>
                <w:color w:val="000000"/>
                <w:szCs w:val="22"/>
              </w:rPr>
            </w:pPr>
            <w:r w:rsidRPr="00F3200F">
              <w:rPr>
                <w:rFonts w:ascii="Calibri" w:hAnsi="Calibri" w:cs="Calibri"/>
                <w:color w:val="000000"/>
                <w:szCs w:val="22"/>
              </w:rPr>
              <w:t>Ashurst</w:t>
            </w:r>
          </w:p>
        </w:tc>
      </w:tr>
      <w:tr w:rsidRPr="00F3200F" w:rsidR="00F3200F" w:rsidTr="00C2383B" w14:paraId="5212EEC6" w14:textId="24DE32E6">
        <w:trPr>
          <w:trHeight w:val="300"/>
          <w:jc w:val="center"/>
        </w:trPr>
        <w:tc>
          <w:tcPr>
            <w:tcW w:w="4390" w:type="dxa"/>
            <w:noWrap/>
            <w:hideMark/>
          </w:tcPr>
          <w:p w:rsidRPr="00F3200F" w:rsidR="00F3200F" w:rsidP="00F3200F" w:rsidRDefault="00F3200F" w14:paraId="166F977A" w14:textId="77777777">
            <w:pPr>
              <w:spacing w:before="0" w:after="0"/>
              <w:rPr>
                <w:rFonts w:ascii="Calibri" w:hAnsi="Calibri" w:cs="Calibri"/>
                <w:color w:val="000000"/>
                <w:szCs w:val="22"/>
              </w:rPr>
            </w:pPr>
            <w:r w:rsidRPr="00F3200F">
              <w:rPr>
                <w:rFonts w:ascii="Calibri" w:hAnsi="Calibri" w:cs="Calibri"/>
                <w:color w:val="000000"/>
                <w:szCs w:val="22"/>
              </w:rPr>
              <w:t>Asia Internet Coalition</w:t>
            </w:r>
          </w:p>
        </w:tc>
      </w:tr>
      <w:tr w:rsidRPr="00F3200F" w:rsidR="00F3200F" w:rsidTr="00C2383B" w14:paraId="456C2C0F" w14:textId="21EDF17A">
        <w:trPr>
          <w:trHeight w:val="300"/>
          <w:jc w:val="center"/>
        </w:trPr>
        <w:tc>
          <w:tcPr>
            <w:tcW w:w="4390" w:type="dxa"/>
            <w:noWrap/>
            <w:hideMark/>
          </w:tcPr>
          <w:p w:rsidRPr="00F3200F" w:rsidR="00F3200F" w:rsidP="00F3200F" w:rsidRDefault="00F3200F" w14:paraId="3B5EF866" w14:textId="77777777">
            <w:pPr>
              <w:spacing w:before="0" w:after="0"/>
              <w:rPr>
                <w:rFonts w:ascii="Calibri" w:hAnsi="Calibri" w:cs="Calibri"/>
                <w:color w:val="000000"/>
                <w:szCs w:val="22"/>
              </w:rPr>
            </w:pPr>
            <w:r w:rsidRPr="00F3200F">
              <w:rPr>
                <w:rFonts w:ascii="Calibri" w:hAnsi="Calibri" w:cs="Calibri"/>
                <w:color w:val="000000"/>
                <w:szCs w:val="22"/>
              </w:rPr>
              <w:t>Association of British Insurers</w:t>
            </w:r>
          </w:p>
        </w:tc>
      </w:tr>
      <w:tr w:rsidRPr="00F3200F" w:rsidR="00F3200F" w:rsidTr="00C2383B" w14:paraId="5EAEF552" w14:textId="4FBB5FF4">
        <w:trPr>
          <w:trHeight w:val="300"/>
          <w:jc w:val="center"/>
        </w:trPr>
        <w:tc>
          <w:tcPr>
            <w:tcW w:w="4390" w:type="dxa"/>
            <w:noWrap/>
            <w:hideMark/>
          </w:tcPr>
          <w:p w:rsidRPr="00F3200F" w:rsidR="00F3200F" w:rsidP="00F3200F" w:rsidRDefault="00F3200F" w14:paraId="61E30E78" w14:textId="77777777">
            <w:pPr>
              <w:spacing w:before="0" w:after="0"/>
              <w:rPr>
                <w:rFonts w:ascii="Calibri" w:hAnsi="Calibri" w:cs="Calibri"/>
                <w:color w:val="000000"/>
                <w:szCs w:val="22"/>
              </w:rPr>
            </w:pPr>
            <w:r w:rsidRPr="00F3200F">
              <w:rPr>
                <w:rFonts w:ascii="Calibri" w:hAnsi="Calibri" w:cs="Calibri"/>
                <w:color w:val="000000"/>
                <w:szCs w:val="22"/>
              </w:rPr>
              <w:t>Australian Financial Markets Association</w:t>
            </w:r>
          </w:p>
        </w:tc>
      </w:tr>
      <w:tr w:rsidRPr="00F3200F" w:rsidR="00F3200F" w:rsidTr="00C2383B" w14:paraId="001BF399" w14:textId="1B3122C4">
        <w:trPr>
          <w:trHeight w:val="300"/>
          <w:jc w:val="center"/>
        </w:trPr>
        <w:tc>
          <w:tcPr>
            <w:tcW w:w="4390" w:type="dxa"/>
            <w:noWrap/>
            <w:hideMark/>
          </w:tcPr>
          <w:p w:rsidRPr="00F3200F" w:rsidR="00F3200F" w:rsidP="00F3200F" w:rsidRDefault="00F3200F" w14:paraId="790641EC" w14:textId="77777777">
            <w:pPr>
              <w:spacing w:before="0" w:after="0"/>
              <w:rPr>
                <w:rFonts w:ascii="Calibri" w:hAnsi="Calibri" w:cs="Calibri"/>
                <w:color w:val="000000"/>
                <w:szCs w:val="22"/>
              </w:rPr>
            </w:pPr>
            <w:r w:rsidRPr="00F3200F">
              <w:rPr>
                <w:rFonts w:ascii="Calibri" w:hAnsi="Calibri" w:cs="Calibri"/>
                <w:color w:val="000000"/>
                <w:szCs w:val="22"/>
              </w:rPr>
              <w:t>Australian Retailers Association</w:t>
            </w:r>
          </w:p>
        </w:tc>
      </w:tr>
      <w:tr w:rsidRPr="00F3200F" w:rsidR="00F3200F" w:rsidTr="00C2383B" w14:paraId="462E19E6" w14:textId="0AE5CB0A">
        <w:trPr>
          <w:trHeight w:val="300"/>
          <w:jc w:val="center"/>
        </w:trPr>
        <w:tc>
          <w:tcPr>
            <w:tcW w:w="4390" w:type="dxa"/>
            <w:noWrap/>
            <w:hideMark/>
          </w:tcPr>
          <w:p w:rsidRPr="00F3200F" w:rsidR="00F3200F" w:rsidP="00F3200F" w:rsidRDefault="00F3200F" w14:paraId="4B5CE79C" w14:textId="77777777">
            <w:pPr>
              <w:spacing w:before="0" w:after="0"/>
              <w:rPr>
                <w:rFonts w:ascii="Calibri" w:hAnsi="Calibri" w:cs="Calibri"/>
                <w:color w:val="000000"/>
                <w:szCs w:val="22"/>
              </w:rPr>
            </w:pPr>
            <w:r w:rsidRPr="00F3200F">
              <w:rPr>
                <w:rFonts w:ascii="Calibri" w:hAnsi="Calibri" w:cs="Calibri"/>
                <w:color w:val="000000"/>
                <w:szCs w:val="22"/>
              </w:rPr>
              <w:t>BAESA</w:t>
            </w:r>
          </w:p>
        </w:tc>
      </w:tr>
      <w:tr w:rsidRPr="00F3200F" w:rsidR="00F3200F" w:rsidTr="00C2383B" w14:paraId="4B0481D8" w14:textId="796A8387">
        <w:trPr>
          <w:trHeight w:val="300"/>
          <w:jc w:val="center"/>
        </w:trPr>
        <w:tc>
          <w:tcPr>
            <w:tcW w:w="4390" w:type="dxa"/>
            <w:noWrap/>
            <w:hideMark/>
          </w:tcPr>
          <w:p w:rsidRPr="00F3200F" w:rsidR="00F3200F" w:rsidP="00F3200F" w:rsidRDefault="00F3200F" w14:paraId="71A466B1" w14:textId="77777777">
            <w:pPr>
              <w:spacing w:before="0" w:after="0"/>
              <w:rPr>
                <w:rFonts w:ascii="Calibri" w:hAnsi="Calibri" w:cs="Calibri"/>
                <w:color w:val="000000"/>
                <w:szCs w:val="22"/>
              </w:rPr>
            </w:pPr>
            <w:r w:rsidRPr="00F3200F">
              <w:rPr>
                <w:rFonts w:ascii="Calibri" w:hAnsi="Calibri" w:cs="Calibri"/>
                <w:color w:val="000000"/>
                <w:szCs w:val="22"/>
              </w:rPr>
              <w:t>BCA</w:t>
            </w:r>
          </w:p>
        </w:tc>
      </w:tr>
      <w:tr w:rsidRPr="00F3200F" w:rsidR="00F3200F" w:rsidTr="00C2383B" w14:paraId="2CD82420" w14:textId="16FDAC85">
        <w:trPr>
          <w:trHeight w:val="300"/>
          <w:jc w:val="center"/>
        </w:trPr>
        <w:tc>
          <w:tcPr>
            <w:tcW w:w="4390" w:type="dxa"/>
            <w:noWrap/>
            <w:hideMark/>
          </w:tcPr>
          <w:p w:rsidRPr="00F3200F" w:rsidR="00F3200F" w:rsidP="00F3200F" w:rsidRDefault="00F3200F" w14:paraId="06F62AE4" w14:textId="77777777">
            <w:pPr>
              <w:spacing w:before="0" w:after="0"/>
              <w:rPr>
                <w:rFonts w:ascii="Calibri" w:hAnsi="Calibri" w:cs="Calibri"/>
                <w:color w:val="000000"/>
                <w:szCs w:val="22"/>
              </w:rPr>
            </w:pPr>
            <w:r w:rsidRPr="00F3200F">
              <w:rPr>
                <w:rFonts w:ascii="Calibri" w:hAnsi="Calibri" w:cs="Calibri"/>
                <w:color w:val="000000"/>
                <w:szCs w:val="22"/>
              </w:rPr>
              <w:t>BDO</w:t>
            </w:r>
          </w:p>
        </w:tc>
      </w:tr>
      <w:tr w:rsidRPr="00F3200F" w:rsidR="00F3200F" w:rsidTr="00C2383B" w14:paraId="3398988A" w14:textId="60B25C7D">
        <w:trPr>
          <w:trHeight w:val="300"/>
          <w:jc w:val="center"/>
        </w:trPr>
        <w:tc>
          <w:tcPr>
            <w:tcW w:w="4390" w:type="dxa"/>
            <w:noWrap/>
            <w:hideMark/>
          </w:tcPr>
          <w:p w:rsidRPr="00F3200F" w:rsidR="00F3200F" w:rsidP="00F3200F" w:rsidRDefault="00F3200F" w14:paraId="7AEEBB69" w14:textId="77777777">
            <w:pPr>
              <w:spacing w:before="0" w:after="0"/>
              <w:rPr>
                <w:rFonts w:ascii="Calibri" w:hAnsi="Calibri" w:cs="Calibri"/>
                <w:color w:val="000000"/>
                <w:szCs w:val="22"/>
              </w:rPr>
            </w:pPr>
            <w:r w:rsidRPr="00F3200F">
              <w:rPr>
                <w:rFonts w:ascii="Calibri" w:hAnsi="Calibri" w:cs="Calibri"/>
                <w:color w:val="000000"/>
                <w:szCs w:val="22"/>
              </w:rPr>
              <w:t>BP </w:t>
            </w:r>
          </w:p>
        </w:tc>
      </w:tr>
      <w:tr w:rsidRPr="00F3200F" w:rsidR="00F3200F" w:rsidTr="00C2383B" w14:paraId="0490F833" w14:textId="12378D4D">
        <w:trPr>
          <w:trHeight w:val="300"/>
          <w:jc w:val="center"/>
        </w:trPr>
        <w:tc>
          <w:tcPr>
            <w:tcW w:w="4390" w:type="dxa"/>
            <w:noWrap/>
            <w:hideMark/>
          </w:tcPr>
          <w:p w:rsidRPr="00F3200F" w:rsidR="00F3200F" w:rsidP="00F3200F" w:rsidRDefault="00F3200F" w14:paraId="0020C778" w14:textId="77777777">
            <w:pPr>
              <w:spacing w:before="0" w:after="0"/>
              <w:rPr>
                <w:rFonts w:ascii="Calibri" w:hAnsi="Calibri" w:cs="Calibri"/>
                <w:color w:val="000000"/>
                <w:szCs w:val="22"/>
              </w:rPr>
            </w:pPr>
            <w:r w:rsidRPr="00F3200F">
              <w:rPr>
                <w:rFonts w:ascii="Calibri" w:hAnsi="Calibri" w:cs="Calibri"/>
                <w:color w:val="000000"/>
                <w:szCs w:val="22"/>
              </w:rPr>
              <w:t>Business Roundtable</w:t>
            </w:r>
          </w:p>
        </w:tc>
      </w:tr>
      <w:tr w:rsidRPr="00F3200F" w:rsidR="00F3200F" w:rsidTr="00C2383B" w14:paraId="1CD5E61D" w14:textId="39028BD9">
        <w:trPr>
          <w:trHeight w:val="300"/>
          <w:jc w:val="center"/>
        </w:trPr>
        <w:tc>
          <w:tcPr>
            <w:tcW w:w="4390" w:type="dxa"/>
            <w:noWrap/>
            <w:hideMark/>
          </w:tcPr>
          <w:p w:rsidRPr="00F3200F" w:rsidR="00F3200F" w:rsidP="00F3200F" w:rsidRDefault="00F3200F" w14:paraId="488E7972" w14:textId="77777777">
            <w:pPr>
              <w:spacing w:before="0" w:after="0"/>
              <w:rPr>
                <w:rFonts w:ascii="Calibri" w:hAnsi="Calibri" w:cs="Calibri"/>
                <w:color w:val="000000"/>
                <w:szCs w:val="22"/>
              </w:rPr>
            </w:pPr>
            <w:r w:rsidRPr="00F3200F">
              <w:rPr>
                <w:rFonts w:ascii="Calibri" w:hAnsi="Calibri" w:cs="Calibri"/>
                <w:color w:val="000000"/>
                <w:szCs w:val="22"/>
              </w:rPr>
              <w:t>Business Roundtable</w:t>
            </w:r>
          </w:p>
        </w:tc>
      </w:tr>
      <w:tr w:rsidRPr="00F3200F" w:rsidR="00F3200F" w:rsidTr="00C2383B" w14:paraId="24FC2644" w14:textId="37FB0699">
        <w:trPr>
          <w:trHeight w:val="300"/>
          <w:jc w:val="center"/>
        </w:trPr>
        <w:tc>
          <w:tcPr>
            <w:tcW w:w="4390" w:type="dxa"/>
            <w:noWrap/>
            <w:hideMark/>
          </w:tcPr>
          <w:p w:rsidRPr="00F3200F" w:rsidR="00F3200F" w:rsidP="00F3200F" w:rsidRDefault="00F3200F" w14:paraId="54E9B61C" w14:textId="77777777">
            <w:pPr>
              <w:spacing w:before="0" w:after="0"/>
              <w:rPr>
                <w:rFonts w:ascii="Calibri" w:hAnsi="Calibri" w:cs="Calibri"/>
                <w:color w:val="000000"/>
                <w:szCs w:val="22"/>
              </w:rPr>
            </w:pPr>
            <w:r w:rsidRPr="00F3200F">
              <w:rPr>
                <w:rFonts w:ascii="Calibri" w:hAnsi="Calibri" w:cs="Calibri"/>
                <w:color w:val="000000"/>
                <w:szCs w:val="22"/>
              </w:rPr>
              <w:t>CAANZ</w:t>
            </w:r>
          </w:p>
        </w:tc>
      </w:tr>
      <w:tr w:rsidRPr="00F3200F" w:rsidR="00F3200F" w:rsidTr="00C2383B" w14:paraId="685211B2" w14:textId="7943A433">
        <w:trPr>
          <w:trHeight w:val="300"/>
          <w:jc w:val="center"/>
        </w:trPr>
        <w:tc>
          <w:tcPr>
            <w:tcW w:w="4390" w:type="dxa"/>
            <w:noWrap/>
            <w:hideMark/>
          </w:tcPr>
          <w:p w:rsidRPr="00F3200F" w:rsidR="00F3200F" w:rsidP="00F3200F" w:rsidRDefault="00F3200F" w14:paraId="7854CD3A" w14:textId="77777777">
            <w:pPr>
              <w:spacing w:before="0" w:after="0"/>
              <w:rPr>
                <w:rFonts w:ascii="Calibri" w:hAnsi="Calibri" w:cs="Calibri"/>
                <w:color w:val="000000"/>
                <w:szCs w:val="22"/>
              </w:rPr>
            </w:pPr>
            <w:r w:rsidRPr="00F3200F">
              <w:rPr>
                <w:rFonts w:ascii="Calibri" w:hAnsi="Calibri" w:cs="Calibri"/>
                <w:color w:val="000000"/>
                <w:szCs w:val="22"/>
              </w:rPr>
              <w:t>Cochlear</w:t>
            </w:r>
          </w:p>
        </w:tc>
      </w:tr>
      <w:tr w:rsidRPr="00F3200F" w:rsidR="00F3200F" w:rsidTr="00C2383B" w14:paraId="05929F92" w14:textId="7A897E61">
        <w:trPr>
          <w:trHeight w:val="300"/>
          <w:jc w:val="center"/>
        </w:trPr>
        <w:tc>
          <w:tcPr>
            <w:tcW w:w="4390" w:type="dxa"/>
            <w:noWrap/>
            <w:hideMark/>
          </w:tcPr>
          <w:p w:rsidRPr="00F3200F" w:rsidR="00F3200F" w:rsidP="00F3200F" w:rsidRDefault="00F3200F" w14:paraId="2F7DBB99" w14:textId="77777777">
            <w:pPr>
              <w:spacing w:before="0" w:after="0"/>
              <w:rPr>
                <w:rFonts w:ascii="Calibri" w:hAnsi="Calibri" w:cs="Calibri"/>
                <w:color w:val="000000"/>
                <w:szCs w:val="22"/>
              </w:rPr>
            </w:pPr>
            <w:r w:rsidRPr="00F3200F">
              <w:rPr>
                <w:rFonts w:ascii="Calibri" w:hAnsi="Calibri" w:cs="Calibri"/>
                <w:color w:val="000000"/>
                <w:szCs w:val="22"/>
              </w:rPr>
              <w:t>Communications Alliance</w:t>
            </w:r>
          </w:p>
        </w:tc>
      </w:tr>
      <w:tr w:rsidRPr="00F3200F" w:rsidR="00F3200F" w:rsidTr="00C2383B" w14:paraId="5B635B04" w14:textId="45ABB831">
        <w:trPr>
          <w:trHeight w:val="300"/>
          <w:jc w:val="center"/>
        </w:trPr>
        <w:tc>
          <w:tcPr>
            <w:tcW w:w="4390" w:type="dxa"/>
            <w:noWrap/>
            <w:hideMark/>
          </w:tcPr>
          <w:p w:rsidRPr="00F3200F" w:rsidR="00F3200F" w:rsidP="00F3200F" w:rsidRDefault="00F3200F" w14:paraId="65006659" w14:textId="77777777">
            <w:pPr>
              <w:spacing w:before="0" w:after="0"/>
              <w:rPr>
                <w:rFonts w:ascii="Calibri" w:hAnsi="Calibri" w:cs="Calibri"/>
                <w:color w:val="000000"/>
                <w:szCs w:val="22"/>
              </w:rPr>
            </w:pPr>
            <w:r w:rsidRPr="00F3200F">
              <w:rPr>
                <w:rFonts w:ascii="Calibri" w:hAnsi="Calibri" w:cs="Calibri"/>
                <w:color w:val="000000"/>
                <w:szCs w:val="22"/>
              </w:rPr>
              <w:t>Corporate Tax Association</w:t>
            </w:r>
          </w:p>
        </w:tc>
      </w:tr>
      <w:tr w:rsidRPr="00F3200F" w:rsidR="00F3200F" w:rsidTr="00C2383B" w14:paraId="72601953" w14:textId="13E3C20E">
        <w:trPr>
          <w:trHeight w:val="300"/>
          <w:jc w:val="center"/>
        </w:trPr>
        <w:tc>
          <w:tcPr>
            <w:tcW w:w="4390" w:type="dxa"/>
            <w:noWrap/>
            <w:hideMark/>
          </w:tcPr>
          <w:p w:rsidRPr="00F3200F" w:rsidR="00F3200F" w:rsidP="00F3200F" w:rsidRDefault="00F3200F" w14:paraId="0DA79DDF" w14:textId="77777777">
            <w:pPr>
              <w:spacing w:before="0" w:after="0"/>
              <w:rPr>
                <w:rFonts w:ascii="Calibri" w:hAnsi="Calibri" w:cs="Calibri"/>
                <w:color w:val="000000"/>
                <w:szCs w:val="22"/>
              </w:rPr>
            </w:pPr>
            <w:r w:rsidRPr="00F3200F">
              <w:rPr>
                <w:rFonts w:ascii="Calibri" w:hAnsi="Calibri" w:cs="Calibri"/>
                <w:color w:val="000000"/>
                <w:szCs w:val="22"/>
              </w:rPr>
              <w:t>Deloitte</w:t>
            </w:r>
          </w:p>
        </w:tc>
      </w:tr>
      <w:tr w:rsidRPr="00F3200F" w:rsidR="00F3200F" w:rsidTr="00C2383B" w14:paraId="1DC1A9C3" w14:textId="5361CAA0">
        <w:trPr>
          <w:trHeight w:val="300"/>
          <w:jc w:val="center"/>
        </w:trPr>
        <w:tc>
          <w:tcPr>
            <w:tcW w:w="4390" w:type="dxa"/>
            <w:noWrap/>
            <w:hideMark/>
          </w:tcPr>
          <w:p w:rsidRPr="00F3200F" w:rsidR="00F3200F" w:rsidP="00F3200F" w:rsidRDefault="00F3200F" w14:paraId="6BB87086" w14:textId="77777777">
            <w:pPr>
              <w:spacing w:before="0" w:after="0"/>
              <w:rPr>
                <w:rFonts w:ascii="Calibri" w:hAnsi="Calibri" w:cs="Calibri"/>
                <w:color w:val="000000"/>
                <w:szCs w:val="22"/>
              </w:rPr>
            </w:pPr>
            <w:r w:rsidRPr="00F3200F">
              <w:rPr>
                <w:rFonts w:ascii="Calibri" w:hAnsi="Calibri" w:cs="Calibri"/>
                <w:color w:val="000000"/>
                <w:szCs w:val="22"/>
              </w:rPr>
              <w:t>Deloitte</w:t>
            </w:r>
          </w:p>
        </w:tc>
      </w:tr>
      <w:tr w:rsidRPr="00F3200F" w:rsidR="00F3200F" w:rsidTr="00C2383B" w14:paraId="42D8BDD5" w14:textId="6DB29AA3">
        <w:trPr>
          <w:trHeight w:val="300"/>
          <w:jc w:val="center"/>
        </w:trPr>
        <w:tc>
          <w:tcPr>
            <w:tcW w:w="4390" w:type="dxa"/>
            <w:noWrap/>
            <w:hideMark/>
          </w:tcPr>
          <w:p w:rsidRPr="00F3200F" w:rsidR="00F3200F" w:rsidP="00F3200F" w:rsidRDefault="00F3200F" w14:paraId="6F69A480" w14:textId="77777777">
            <w:pPr>
              <w:spacing w:before="0" w:after="0"/>
              <w:rPr>
                <w:rFonts w:ascii="Calibri" w:hAnsi="Calibri" w:cs="Calibri"/>
                <w:color w:val="000000"/>
                <w:szCs w:val="22"/>
              </w:rPr>
            </w:pPr>
            <w:r w:rsidRPr="00F3200F">
              <w:rPr>
                <w:rFonts w:ascii="Calibri" w:hAnsi="Calibri" w:cs="Calibri"/>
                <w:color w:val="000000"/>
                <w:szCs w:val="22"/>
              </w:rPr>
              <w:t>Etica Sgr</w:t>
            </w:r>
          </w:p>
        </w:tc>
      </w:tr>
      <w:tr w:rsidRPr="00F3200F" w:rsidR="00F3200F" w:rsidTr="00C2383B" w14:paraId="22352D0D" w14:textId="0B766D71">
        <w:trPr>
          <w:trHeight w:val="300"/>
          <w:jc w:val="center"/>
        </w:trPr>
        <w:tc>
          <w:tcPr>
            <w:tcW w:w="4390" w:type="dxa"/>
            <w:noWrap/>
            <w:hideMark/>
          </w:tcPr>
          <w:p w:rsidRPr="00F3200F" w:rsidR="00F3200F" w:rsidP="00F3200F" w:rsidRDefault="00F3200F" w14:paraId="0FF76D9F" w14:textId="77777777">
            <w:pPr>
              <w:spacing w:before="0" w:after="0"/>
              <w:rPr>
                <w:rFonts w:ascii="Calibri" w:hAnsi="Calibri" w:cs="Calibri"/>
                <w:color w:val="000000"/>
                <w:szCs w:val="22"/>
              </w:rPr>
            </w:pPr>
            <w:r w:rsidRPr="00F3200F">
              <w:rPr>
                <w:rFonts w:ascii="Calibri" w:hAnsi="Calibri" w:cs="Calibri"/>
                <w:color w:val="000000"/>
                <w:szCs w:val="22"/>
              </w:rPr>
              <w:t>EY</w:t>
            </w:r>
          </w:p>
        </w:tc>
      </w:tr>
      <w:tr w:rsidRPr="00F3200F" w:rsidR="00F3200F" w:rsidTr="00C2383B" w14:paraId="51E3A112" w14:textId="5E6C1450">
        <w:trPr>
          <w:trHeight w:val="300"/>
          <w:jc w:val="center"/>
        </w:trPr>
        <w:tc>
          <w:tcPr>
            <w:tcW w:w="4390" w:type="dxa"/>
            <w:noWrap/>
            <w:hideMark/>
          </w:tcPr>
          <w:p w:rsidRPr="00F3200F" w:rsidR="00F3200F" w:rsidP="00F3200F" w:rsidRDefault="00F3200F" w14:paraId="6D0E1FB7" w14:textId="77777777">
            <w:pPr>
              <w:spacing w:before="0" w:after="0"/>
              <w:rPr>
                <w:rFonts w:ascii="Calibri" w:hAnsi="Calibri" w:cs="Calibri"/>
                <w:color w:val="000000"/>
                <w:szCs w:val="22"/>
              </w:rPr>
            </w:pPr>
            <w:r w:rsidRPr="00F3200F">
              <w:rPr>
                <w:rFonts w:ascii="Calibri" w:hAnsi="Calibri" w:cs="Calibri"/>
                <w:color w:val="000000"/>
                <w:szCs w:val="22"/>
              </w:rPr>
              <w:t>Financial Accountability and Corporate Transparency Coalition</w:t>
            </w:r>
          </w:p>
        </w:tc>
      </w:tr>
      <w:tr w:rsidRPr="00F3200F" w:rsidR="00F3200F" w:rsidTr="00C2383B" w14:paraId="393C0799" w14:textId="3ACCBF9B">
        <w:trPr>
          <w:trHeight w:val="300"/>
          <w:jc w:val="center"/>
        </w:trPr>
        <w:tc>
          <w:tcPr>
            <w:tcW w:w="4390" w:type="dxa"/>
            <w:noWrap/>
            <w:hideMark/>
          </w:tcPr>
          <w:p w:rsidRPr="00F3200F" w:rsidR="00F3200F" w:rsidP="00F3200F" w:rsidRDefault="00F3200F" w14:paraId="24A71777" w14:textId="77777777">
            <w:pPr>
              <w:spacing w:before="0" w:after="0"/>
              <w:rPr>
                <w:rFonts w:ascii="Calibri" w:hAnsi="Calibri" w:cs="Calibri"/>
                <w:color w:val="000000"/>
                <w:szCs w:val="22"/>
              </w:rPr>
            </w:pPr>
            <w:r w:rsidRPr="00F3200F">
              <w:rPr>
                <w:rFonts w:ascii="Calibri" w:hAnsi="Calibri" w:cs="Calibri"/>
                <w:color w:val="000000"/>
                <w:szCs w:val="22"/>
              </w:rPr>
              <w:t>Financial Services Council</w:t>
            </w:r>
          </w:p>
        </w:tc>
      </w:tr>
      <w:tr w:rsidRPr="00F3200F" w:rsidR="00F3200F" w:rsidTr="00C2383B" w14:paraId="3FC2189D" w14:textId="1D1C7DBE">
        <w:trPr>
          <w:trHeight w:val="300"/>
          <w:jc w:val="center"/>
        </w:trPr>
        <w:tc>
          <w:tcPr>
            <w:tcW w:w="4390" w:type="dxa"/>
            <w:noWrap/>
            <w:hideMark/>
          </w:tcPr>
          <w:p w:rsidRPr="00F3200F" w:rsidR="00F3200F" w:rsidP="00F3200F" w:rsidRDefault="00F3200F" w14:paraId="4EFC4A7A" w14:textId="77777777">
            <w:pPr>
              <w:spacing w:before="0" w:after="0"/>
              <w:rPr>
                <w:rFonts w:ascii="Calibri" w:hAnsi="Calibri" w:cs="Calibri"/>
                <w:color w:val="000000"/>
                <w:szCs w:val="22"/>
              </w:rPr>
            </w:pPr>
            <w:r w:rsidRPr="00F3200F">
              <w:rPr>
                <w:rFonts w:ascii="Calibri" w:hAnsi="Calibri" w:cs="Calibri"/>
                <w:color w:val="000000"/>
                <w:szCs w:val="22"/>
              </w:rPr>
              <w:t>GRI</w:t>
            </w:r>
          </w:p>
        </w:tc>
      </w:tr>
      <w:tr w:rsidRPr="00F3200F" w:rsidR="00F3200F" w:rsidTr="00C2383B" w14:paraId="22EA0238" w14:textId="5362A310">
        <w:trPr>
          <w:trHeight w:val="300"/>
          <w:jc w:val="center"/>
        </w:trPr>
        <w:tc>
          <w:tcPr>
            <w:tcW w:w="4390" w:type="dxa"/>
            <w:noWrap/>
            <w:hideMark/>
          </w:tcPr>
          <w:p w:rsidRPr="00F3200F" w:rsidR="00F3200F" w:rsidP="00F3200F" w:rsidRDefault="00F3200F" w14:paraId="14372743" w14:textId="77777777">
            <w:pPr>
              <w:spacing w:before="0" w:after="0"/>
              <w:rPr>
                <w:rFonts w:ascii="Calibri" w:hAnsi="Calibri" w:cs="Calibri"/>
                <w:color w:val="000000"/>
                <w:szCs w:val="22"/>
              </w:rPr>
            </w:pPr>
            <w:r w:rsidRPr="00F3200F">
              <w:rPr>
                <w:rFonts w:ascii="Calibri" w:hAnsi="Calibri" w:cs="Calibri"/>
                <w:color w:val="000000"/>
                <w:szCs w:val="22"/>
              </w:rPr>
              <w:t>International Chamber of Commerce</w:t>
            </w:r>
          </w:p>
        </w:tc>
      </w:tr>
      <w:tr w:rsidRPr="00F3200F" w:rsidR="00F3200F" w:rsidTr="00C2383B" w14:paraId="1F94AA6B" w14:textId="3DFDBCC6">
        <w:trPr>
          <w:trHeight w:val="300"/>
          <w:jc w:val="center"/>
        </w:trPr>
        <w:tc>
          <w:tcPr>
            <w:tcW w:w="4390" w:type="dxa"/>
            <w:noWrap/>
            <w:hideMark/>
          </w:tcPr>
          <w:p w:rsidRPr="00F3200F" w:rsidR="00F3200F" w:rsidP="00F3200F" w:rsidRDefault="00F3200F" w14:paraId="50F3446B" w14:textId="77777777">
            <w:pPr>
              <w:spacing w:before="0" w:after="0"/>
              <w:rPr>
                <w:rFonts w:ascii="Calibri" w:hAnsi="Calibri" w:cs="Calibri"/>
                <w:color w:val="000000"/>
                <w:szCs w:val="22"/>
              </w:rPr>
            </w:pPr>
            <w:r w:rsidRPr="00F3200F">
              <w:rPr>
                <w:rFonts w:ascii="Calibri" w:hAnsi="Calibri" w:cs="Calibri"/>
                <w:color w:val="000000"/>
                <w:szCs w:val="22"/>
              </w:rPr>
              <w:t>KPMG</w:t>
            </w:r>
          </w:p>
        </w:tc>
      </w:tr>
      <w:tr w:rsidRPr="00F3200F" w:rsidR="00F3200F" w:rsidTr="00C2383B" w14:paraId="1EE40905" w14:textId="515D9DA0">
        <w:trPr>
          <w:trHeight w:val="300"/>
          <w:jc w:val="center"/>
        </w:trPr>
        <w:tc>
          <w:tcPr>
            <w:tcW w:w="4390" w:type="dxa"/>
            <w:noWrap/>
            <w:hideMark/>
          </w:tcPr>
          <w:p w:rsidRPr="00F3200F" w:rsidR="00F3200F" w:rsidP="00F3200F" w:rsidRDefault="00F3200F" w14:paraId="255A93C7" w14:textId="77777777">
            <w:pPr>
              <w:spacing w:before="0" w:after="0"/>
              <w:rPr>
                <w:rFonts w:ascii="Calibri" w:hAnsi="Calibri" w:cs="Calibri"/>
                <w:color w:val="000000"/>
                <w:szCs w:val="22"/>
              </w:rPr>
            </w:pPr>
            <w:r w:rsidRPr="00F3200F">
              <w:rPr>
                <w:rFonts w:ascii="Calibri" w:hAnsi="Calibri" w:cs="Calibri"/>
                <w:color w:val="000000"/>
                <w:szCs w:val="22"/>
              </w:rPr>
              <w:t>Medicines Australia</w:t>
            </w:r>
          </w:p>
        </w:tc>
      </w:tr>
      <w:tr w:rsidRPr="00F3200F" w:rsidR="00F3200F" w:rsidTr="00C2383B" w14:paraId="4243D554" w14:textId="01198142">
        <w:trPr>
          <w:trHeight w:val="300"/>
          <w:jc w:val="center"/>
        </w:trPr>
        <w:tc>
          <w:tcPr>
            <w:tcW w:w="4390" w:type="dxa"/>
            <w:noWrap/>
            <w:hideMark/>
          </w:tcPr>
          <w:p w:rsidRPr="00F3200F" w:rsidR="00F3200F" w:rsidP="00F3200F" w:rsidRDefault="00F3200F" w14:paraId="2D3AC27C" w14:textId="77777777">
            <w:pPr>
              <w:spacing w:before="0" w:after="0"/>
              <w:rPr>
                <w:rFonts w:ascii="Calibri" w:hAnsi="Calibri" w:cs="Calibri"/>
                <w:color w:val="000000"/>
                <w:szCs w:val="22"/>
              </w:rPr>
            </w:pPr>
            <w:r w:rsidRPr="00F3200F">
              <w:rPr>
                <w:rFonts w:ascii="Calibri" w:hAnsi="Calibri" w:cs="Calibri"/>
                <w:color w:val="000000"/>
                <w:szCs w:val="22"/>
              </w:rPr>
              <w:t>Minerals Council of Australia</w:t>
            </w:r>
          </w:p>
        </w:tc>
      </w:tr>
      <w:tr w:rsidRPr="00F3200F" w:rsidR="00F3200F" w:rsidTr="00C2383B" w14:paraId="42A908A4" w14:textId="314CF7D0">
        <w:trPr>
          <w:trHeight w:val="300"/>
          <w:jc w:val="center"/>
        </w:trPr>
        <w:tc>
          <w:tcPr>
            <w:tcW w:w="4390" w:type="dxa"/>
            <w:noWrap/>
            <w:hideMark/>
          </w:tcPr>
          <w:p w:rsidRPr="00F3200F" w:rsidR="00F3200F" w:rsidP="00F3200F" w:rsidRDefault="00F3200F" w14:paraId="3F5BDFE4" w14:textId="77777777">
            <w:pPr>
              <w:spacing w:before="0" w:after="0"/>
              <w:rPr>
                <w:rFonts w:ascii="Calibri" w:hAnsi="Calibri" w:cs="Calibri"/>
                <w:color w:val="000000"/>
                <w:szCs w:val="22"/>
              </w:rPr>
            </w:pPr>
            <w:r w:rsidRPr="00F3200F">
              <w:rPr>
                <w:rFonts w:ascii="Calibri" w:hAnsi="Calibri" w:cs="Calibri"/>
                <w:color w:val="000000"/>
                <w:szCs w:val="22"/>
              </w:rPr>
              <w:t>Mouvement des Entreprises de France</w:t>
            </w:r>
          </w:p>
        </w:tc>
      </w:tr>
      <w:tr w:rsidRPr="00F3200F" w:rsidR="00F3200F" w:rsidTr="00C2383B" w14:paraId="205D31B7" w14:textId="43C4401E">
        <w:trPr>
          <w:trHeight w:val="300"/>
          <w:jc w:val="center"/>
        </w:trPr>
        <w:tc>
          <w:tcPr>
            <w:tcW w:w="4390" w:type="dxa"/>
            <w:noWrap/>
            <w:hideMark/>
          </w:tcPr>
          <w:p w:rsidRPr="00F3200F" w:rsidR="00F3200F" w:rsidP="00F3200F" w:rsidRDefault="00F3200F" w14:paraId="69BD5B1C" w14:textId="77777777">
            <w:pPr>
              <w:spacing w:before="0" w:after="0"/>
              <w:rPr>
                <w:rFonts w:ascii="Calibri" w:hAnsi="Calibri" w:cs="Calibri"/>
                <w:color w:val="000000"/>
                <w:szCs w:val="22"/>
              </w:rPr>
            </w:pPr>
            <w:r w:rsidRPr="00F3200F">
              <w:rPr>
                <w:rFonts w:ascii="Calibri" w:hAnsi="Calibri" w:cs="Calibri"/>
                <w:color w:val="000000"/>
                <w:szCs w:val="22"/>
              </w:rPr>
              <w:t>National Foreign Trade Council</w:t>
            </w:r>
          </w:p>
        </w:tc>
      </w:tr>
      <w:tr w:rsidRPr="00F3200F" w:rsidR="00F3200F" w:rsidTr="00C2383B" w14:paraId="37744E1A" w14:textId="19092502">
        <w:trPr>
          <w:trHeight w:val="300"/>
          <w:jc w:val="center"/>
        </w:trPr>
        <w:tc>
          <w:tcPr>
            <w:tcW w:w="4390" w:type="dxa"/>
            <w:noWrap/>
            <w:hideMark/>
          </w:tcPr>
          <w:p w:rsidRPr="00F3200F" w:rsidR="00F3200F" w:rsidP="00F3200F" w:rsidRDefault="00F3200F" w14:paraId="32490C94" w14:textId="77777777">
            <w:pPr>
              <w:spacing w:before="0" w:after="0"/>
              <w:rPr>
                <w:rFonts w:ascii="Calibri" w:hAnsi="Calibri" w:cs="Calibri"/>
                <w:color w:val="000000"/>
                <w:szCs w:val="22"/>
              </w:rPr>
            </w:pPr>
            <w:r w:rsidRPr="00F3200F">
              <w:rPr>
                <w:rFonts w:ascii="Calibri" w:hAnsi="Calibri" w:cs="Calibri"/>
                <w:color w:val="000000"/>
                <w:szCs w:val="22"/>
              </w:rPr>
              <w:t>National Taxpayers Union</w:t>
            </w:r>
          </w:p>
        </w:tc>
      </w:tr>
      <w:tr w:rsidRPr="00F3200F" w:rsidR="00F3200F" w:rsidTr="00C2383B" w14:paraId="047479F5" w14:textId="0E0EAB9C">
        <w:trPr>
          <w:trHeight w:val="300"/>
          <w:jc w:val="center"/>
        </w:trPr>
        <w:tc>
          <w:tcPr>
            <w:tcW w:w="4390" w:type="dxa"/>
            <w:noWrap/>
            <w:hideMark/>
          </w:tcPr>
          <w:p w:rsidRPr="00F3200F" w:rsidR="00F3200F" w:rsidP="00F3200F" w:rsidRDefault="00F3200F" w14:paraId="03E5081A" w14:textId="77777777">
            <w:pPr>
              <w:spacing w:before="0" w:after="0"/>
              <w:rPr>
                <w:rFonts w:ascii="Calibri" w:hAnsi="Calibri" w:cs="Calibri"/>
                <w:color w:val="000000"/>
                <w:szCs w:val="22"/>
              </w:rPr>
            </w:pPr>
            <w:r w:rsidRPr="00F3200F">
              <w:rPr>
                <w:rFonts w:ascii="Calibri" w:hAnsi="Calibri" w:cs="Calibri"/>
                <w:color w:val="000000"/>
                <w:szCs w:val="22"/>
              </w:rPr>
              <w:t>Norges Bank Investment Management</w:t>
            </w:r>
          </w:p>
        </w:tc>
      </w:tr>
      <w:tr w:rsidRPr="00F3200F" w:rsidR="00F3200F" w:rsidTr="00C2383B" w14:paraId="14FB8A58" w14:textId="318CB2AE">
        <w:trPr>
          <w:trHeight w:val="300"/>
          <w:jc w:val="center"/>
        </w:trPr>
        <w:tc>
          <w:tcPr>
            <w:tcW w:w="4390" w:type="dxa"/>
            <w:noWrap/>
            <w:hideMark/>
          </w:tcPr>
          <w:p w:rsidRPr="00F3200F" w:rsidR="00F3200F" w:rsidP="00F3200F" w:rsidRDefault="00F3200F" w14:paraId="03775B70" w14:textId="77777777">
            <w:pPr>
              <w:spacing w:before="0" w:after="0"/>
              <w:rPr>
                <w:rFonts w:ascii="Calibri" w:hAnsi="Calibri" w:cs="Calibri"/>
                <w:color w:val="000000"/>
                <w:szCs w:val="22"/>
              </w:rPr>
            </w:pPr>
            <w:r w:rsidRPr="00F3200F">
              <w:rPr>
                <w:rFonts w:ascii="Calibri" w:hAnsi="Calibri" w:cs="Calibri"/>
                <w:color w:val="000000"/>
                <w:szCs w:val="22"/>
              </w:rPr>
              <w:t>Oxfam Australia</w:t>
            </w:r>
          </w:p>
        </w:tc>
      </w:tr>
      <w:tr w:rsidRPr="00F3200F" w:rsidR="00F3200F" w:rsidTr="00C2383B" w14:paraId="6E62460D" w14:textId="6B80249A">
        <w:trPr>
          <w:trHeight w:val="300"/>
          <w:jc w:val="center"/>
        </w:trPr>
        <w:tc>
          <w:tcPr>
            <w:tcW w:w="4390" w:type="dxa"/>
            <w:noWrap/>
            <w:hideMark/>
          </w:tcPr>
          <w:p w:rsidRPr="00F3200F" w:rsidR="00F3200F" w:rsidP="00F3200F" w:rsidRDefault="00F3200F" w14:paraId="10F6FD5B" w14:textId="77777777">
            <w:pPr>
              <w:spacing w:before="0" w:after="0"/>
              <w:rPr>
                <w:rFonts w:ascii="Calibri" w:hAnsi="Calibri" w:cs="Calibri"/>
                <w:color w:val="000000"/>
                <w:szCs w:val="22"/>
              </w:rPr>
            </w:pPr>
            <w:r w:rsidRPr="00F3200F">
              <w:rPr>
                <w:rFonts w:ascii="Calibri" w:hAnsi="Calibri" w:cs="Calibri"/>
                <w:color w:val="000000"/>
                <w:szCs w:val="22"/>
              </w:rPr>
              <w:t>Pitcher Partners</w:t>
            </w:r>
          </w:p>
        </w:tc>
      </w:tr>
      <w:tr w:rsidRPr="00F3200F" w:rsidR="00F3200F" w:rsidTr="00C2383B" w14:paraId="18059101" w14:textId="2A144200">
        <w:trPr>
          <w:trHeight w:val="300"/>
          <w:jc w:val="center"/>
        </w:trPr>
        <w:tc>
          <w:tcPr>
            <w:tcW w:w="4390" w:type="dxa"/>
            <w:noWrap/>
            <w:hideMark/>
          </w:tcPr>
          <w:p w:rsidRPr="00F3200F" w:rsidR="00F3200F" w:rsidP="00F3200F" w:rsidRDefault="00F3200F" w14:paraId="4B265131" w14:textId="77777777">
            <w:pPr>
              <w:spacing w:before="0" w:after="0"/>
              <w:rPr>
                <w:rFonts w:ascii="Calibri" w:hAnsi="Calibri" w:cs="Calibri"/>
                <w:color w:val="000000"/>
                <w:szCs w:val="22"/>
              </w:rPr>
            </w:pPr>
            <w:r w:rsidRPr="00F3200F">
              <w:rPr>
                <w:rFonts w:ascii="Calibri" w:hAnsi="Calibri" w:cs="Calibri"/>
                <w:color w:val="000000"/>
                <w:szCs w:val="22"/>
              </w:rPr>
              <w:t>PRI</w:t>
            </w:r>
          </w:p>
        </w:tc>
      </w:tr>
      <w:tr w:rsidRPr="00F3200F" w:rsidR="00F3200F" w:rsidTr="00C2383B" w14:paraId="02A9E78B" w14:textId="79D0F217">
        <w:trPr>
          <w:trHeight w:val="300"/>
          <w:jc w:val="center"/>
        </w:trPr>
        <w:tc>
          <w:tcPr>
            <w:tcW w:w="4390" w:type="dxa"/>
            <w:noWrap/>
            <w:hideMark/>
          </w:tcPr>
          <w:p w:rsidRPr="00F3200F" w:rsidR="00F3200F" w:rsidP="00F3200F" w:rsidRDefault="00F3200F" w14:paraId="2898A2CA" w14:textId="77777777">
            <w:pPr>
              <w:spacing w:before="0" w:after="0"/>
              <w:rPr>
                <w:rFonts w:ascii="Calibri" w:hAnsi="Calibri" w:cs="Calibri"/>
                <w:color w:val="000000"/>
                <w:szCs w:val="22"/>
              </w:rPr>
            </w:pPr>
            <w:r w:rsidRPr="00F3200F">
              <w:rPr>
                <w:rFonts w:ascii="Calibri" w:hAnsi="Calibri" w:cs="Calibri"/>
                <w:color w:val="000000"/>
                <w:szCs w:val="22"/>
              </w:rPr>
              <w:t>Public Services International</w:t>
            </w:r>
          </w:p>
        </w:tc>
      </w:tr>
      <w:tr w:rsidRPr="00F3200F" w:rsidR="00F3200F" w:rsidTr="00C2383B" w14:paraId="4FE5B16F" w14:textId="6504F0AB">
        <w:trPr>
          <w:trHeight w:val="300"/>
          <w:jc w:val="center"/>
        </w:trPr>
        <w:tc>
          <w:tcPr>
            <w:tcW w:w="4390" w:type="dxa"/>
            <w:noWrap/>
            <w:hideMark/>
          </w:tcPr>
          <w:p w:rsidRPr="00F3200F" w:rsidR="00F3200F" w:rsidP="00F3200F" w:rsidRDefault="00F3200F" w14:paraId="4B246FE6" w14:textId="77777777">
            <w:pPr>
              <w:spacing w:before="0" w:after="0"/>
              <w:rPr>
                <w:rFonts w:ascii="Calibri" w:hAnsi="Calibri" w:cs="Calibri"/>
                <w:color w:val="000000"/>
                <w:szCs w:val="22"/>
              </w:rPr>
            </w:pPr>
            <w:r w:rsidRPr="00F3200F">
              <w:rPr>
                <w:rFonts w:ascii="Calibri" w:hAnsi="Calibri" w:cs="Calibri"/>
                <w:color w:val="000000"/>
                <w:szCs w:val="22"/>
              </w:rPr>
              <w:t>Publish What You Pay Australia</w:t>
            </w:r>
          </w:p>
        </w:tc>
      </w:tr>
      <w:tr w:rsidRPr="00F3200F" w:rsidR="00F3200F" w:rsidTr="00C2383B" w14:paraId="332AA273" w14:textId="297CF658">
        <w:trPr>
          <w:trHeight w:val="300"/>
          <w:jc w:val="center"/>
        </w:trPr>
        <w:tc>
          <w:tcPr>
            <w:tcW w:w="4390" w:type="dxa"/>
            <w:noWrap/>
            <w:hideMark/>
          </w:tcPr>
          <w:p w:rsidRPr="00F3200F" w:rsidR="00F3200F" w:rsidP="00F3200F" w:rsidRDefault="00F3200F" w14:paraId="39D4C8DD" w14:textId="77777777">
            <w:pPr>
              <w:spacing w:before="0" w:after="0"/>
              <w:rPr>
                <w:rFonts w:ascii="Calibri" w:hAnsi="Calibri" w:cs="Calibri"/>
                <w:color w:val="000000"/>
                <w:szCs w:val="22"/>
              </w:rPr>
            </w:pPr>
            <w:r w:rsidRPr="00F3200F">
              <w:rPr>
                <w:rFonts w:ascii="Calibri" w:hAnsi="Calibri" w:cs="Calibri"/>
                <w:color w:val="000000"/>
                <w:szCs w:val="22"/>
              </w:rPr>
              <w:t>PwC</w:t>
            </w:r>
          </w:p>
        </w:tc>
      </w:tr>
      <w:tr w:rsidRPr="00F3200F" w:rsidR="00F3200F" w:rsidTr="00C2383B" w14:paraId="6E07FD56" w14:textId="134C7B2A">
        <w:trPr>
          <w:trHeight w:val="300"/>
          <w:jc w:val="center"/>
        </w:trPr>
        <w:tc>
          <w:tcPr>
            <w:tcW w:w="4390" w:type="dxa"/>
            <w:noWrap/>
            <w:hideMark/>
          </w:tcPr>
          <w:p w:rsidRPr="00F3200F" w:rsidR="00F3200F" w:rsidP="00F3200F" w:rsidRDefault="00F3200F" w14:paraId="03B91284" w14:textId="77777777">
            <w:pPr>
              <w:spacing w:before="0" w:after="0"/>
              <w:rPr>
                <w:rFonts w:ascii="Calibri" w:hAnsi="Calibri" w:cs="Calibri"/>
                <w:color w:val="000000"/>
                <w:szCs w:val="22"/>
              </w:rPr>
            </w:pPr>
            <w:r w:rsidRPr="00F3200F">
              <w:rPr>
                <w:rFonts w:ascii="Calibri" w:hAnsi="Calibri" w:cs="Calibri"/>
                <w:color w:val="000000"/>
                <w:szCs w:val="22"/>
              </w:rPr>
              <w:t>Richard Murphy</w:t>
            </w:r>
          </w:p>
        </w:tc>
      </w:tr>
      <w:tr w:rsidRPr="00F3200F" w:rsidR="00F3200F" w:rsidTr="00C2383B" w14:paraId="53805A33" w14:textId="23A732D4">
        <w:trPr>
          <w:trHeight w:val="300"/>
          <w:jc w:val="center"/>
        </w:trPr>
        <w:tc>
          <w:tcPr>
            <w:tcW w:w="4390" w:type="dxa"/>
            <w:noWrap/>
            <w:hideMark/>
          </w:tcPr>
          <w:p w:rsidRPr="00F3200F" w:rsidR="00F3200F" w:rsidP="00F3200F" w:rsidRDefault="00F3200F" w14:paraId="438EAC9A" w14:textId="77777777">
            <w:pPr>
              <w:spacing w:before="0" w:after="0"/>
              <w:rPr>
                <w:rFonts w:ascii="Calibri" w:hAnsi="Calibri" w:cs="Calibri"/>
                <w:color w:val="000000"/>
                <w:szCs w:val="22"/>
              </w:rPr>
            </w:pPr>
            <w:r w:rsidRPr="00F3200F">
              <w:rPr>
                <w:rFonts w:ascii="Calibri" w:hAnsi="Calibri" w:cs="Calibri"/>
                <w:color w:val="000000"/>
                <w:szCs w:val="22"/>
              </w:rPr>
              <w:t>SC Johnson and Son</w:t>
            </w:r>
          </w:p>
        </w:tc>
      </w:tr>
      <w:tr w:rsidRPr="00F3200F" w:rsidR="00F3200F" w:rsidTr="00C2383B" w14:paraId="7481F76E" w14:textId="0BD02473">
        <w:trPr>
          <w:trHeight w:val="300"/>
          <w:jc w:val="center"/>
        </w:trPr>
        <w:tc>
          <w:tcPr>
            <w:tcW w:w="4390" w:type="dxa"/>
            <w:noWrap/>
            <w:hideMark/>
          </w:tcPr>
          <w:p w:rsidRPr="00F3200F" w:rsidR="00F3200F" w:rsidP="00F3200F" w:rsidRDefault="00F3200F" w14:paraId="7E113096" w14:textId="77777777">
            <w:pPr>
              <w:spacing w:before="0" w:after="0"/>
              <w:rPr>
                <w:rFonts w:ascii="Calibri" w:hAnsi="Calibri" w:cs="Calibri"/>
                <w:color w:val="000000"/>
                <w:szCs w:val="22"/>
              </w:rPr>
            </w:pPr>
            <w:r w:rsidRPr="00F3200F">
              <w:rPr>
                <w:rFonts w:ascii="Calibri" w:hAnsi="Calibri" w:cs="Calibri"/>
                <w:color w:val="000000"/>
                <w:szCs w:val="22"/>
              </w:rPr>
              <w:t>Sonic Healthcare</w:t>
            </w:r>
          </w:p>
        </w:tc>
      </w:tr>
      <w:tr w:rsidRPr="00F3200F" w:rsidR="00F3200F" w:rsidTr="00C2383B" w14:paraId="09AE6DFE" w14:textId="591D5E93">
        <w:trPr>
          <w:trHeight w:val="300"/>
          <w:jc w:val="center"/>
        </w:trPr>
        <w:tc>
          <w:tcPr>
            <w:tcW w:w="4390" w:type="dxa"/>
            <w:noWrap/>
            <w:hideMark/>
          </w:tcPr>
          <w:p w:rsidRPr="00F3200F" w:rsidR="00F3200F" w:rsidP="00F3200F" w:rsidRDefault="00F3200F" w14:paraId="38FE2A6D" w14:textId="77777777">
            <w:pPr>
              <w:spacing w:before="0" w:after="0"/>
              <w:rPr>
                <w:rFonts w:ascii="Calibri" w:hAnsi="Calibri" w:cs="Calibri"/>
                <w:color w:val="000000"/>
                <w:szCs w:val="22"/>
              </w:rPr>
            </w:pPr>
            <w:r w:rsidRPr="00F3200F">
              <w:rPr>
                <w:rFonts w:ascii="Calibri" w:hAnsi="Calibri" w:cs="Calibri"/>
                <w:color w:val="000000"/>
                <w:szCs w:val="22"/>
              </w:rPr>
              <w:t>SwissHoldings</w:t>
            </w:r>
          </w:p>
        </w:tc>
      </w:tr>
      <w:tr w:rsidRPr="00F3200F" w:rsidR="00F3200F" w:rsidTr="00C2383B" w14:paraId="3B7446D7" w14:textId="653AFAB1">
        <w:trPr>
          <w:trHeight w:val="300"/>
          <w:jc w:val="center"/>
        </w:trPr>
        <w:tc>
          <w:tcPr>
            <w:tcW w:w="4390" w:type="dxa"/>
            <w:noWrap/>
            <w:hideMark/>
          </w:tcPr>
          <w:p w:rsidRPr="00F3200F" w:rsidR="00F3200F" w:rsidP="00F3200F" w:rsidRDefault="00F3200F" w14:paraId="03BE6D50" w14:textId="77777777">
            <w:pPr>
              <w:spacing w:before="0" w:after="0"/>
              <w:rPr>
                <w:rFonts w:ascii="Calibri" w:hAnsi="Calibri" w:cs="Calibri"/>
                <w:color w:val="000000"/>
                <w:szCs w:val="22"/>
              </w:rPr>
            </w:pPr>
            <w:r w:rsidRPr="00F3200F">
              <w:rPr>
                <w:rFonts w:ascii="Calibri" w:hAnsi="Calibri" w:cs="Calibri"/>
                <w:color w:val="000000"/>
                <w:szCs w:val="22"/>
              </w:rPr>
              <w:t>Tax Executives Institute</w:t>
            </w:r>
          </w:p>
        </w:tc>
      </w:tr>
      <w:tr w:rsidRPr="00F3200F" w:rsidR="00F3200F" w:rsidTr="00C2383B" w14:paraId="6C7C4829" w14:textId="0E2C1C4C">
        <w:trPr>
          <w:trHeight w:val="300"/>
          <w:jc w:val="center"/>
        </w:trPr>
        <w:tc>
          <w:tcPr>
            <w:tcW w:w="4390" w:type="dxa"/>
            <w:noWrap/>
            <w:hideMark/>
          </w:tcPr>
          <w:p w:rsidRPr="00F3200F" w:rsidR="00F3200F" w:rsidP="00F3200F" w:rsidRDefault="00F3200F" w14:paraId="76CE8975" w14:textId="77777777">
            <w:pPr>
              <w:spacing w:before="0" w:after="0"/>
              <w:rPr>
                <w:rFonts w:ascii="Calibri" w:hAnsi="Calibri" w:cs="Calibri"/>
                <w:color w:val="000000"/>
                <w:szCs w:val="22"/>
              </w:rPr>
            </w:pPr>
            <w:r w:rsidRPr="00F3200F">
              <w:rPr>
                <w:rFonts w:ascii="Calibri" w:hAnsi="Calibri" w:cs="Calibri"/>
                <w:color w:val="000000"/>
                <w:szCs w:val="22"/>
              </w:rPr>
              <w:t>The Tax Institute</w:t>
            </w:r>
          </w:p>
        </w:tc>
      </w:tr>
      <w:tr w:rsidRPr="00F3200F" w:rsidR="00F3200F" w:rsidTr="00C2383B" w14:paraId="6B7F7505" w14:textId="687E0258">
        <w:trPr>
          <w:trHeight w:val="300"/>
          <w:jc w:val="center"/>
        </w:trPr>
        <w:tc>
          <w:tcPr>
            <w:tcW w:w="4390" w:type="dxa"/>
            <w:noWrap/>
            <w:hideMark/>
          </w:tcPr>
          <w:p w:rsidRPr="00F3200F" w:rsidR="00F3200F" w:rsidP="00F3200F" w:rsidRDefault="00F3200F" w14:paraId="76E93411" w14:textId="77777777">
            <w:pPr>
              <w:spacing w:before="0" w:after="0"/>
              <w:rPr>
                <w:rFonts w:ascii="Calibri" w:hAnsi="Calibri" w:cs="Calibri"/>
                <w:color w:val="000000"/>
                <w:szCs w:val="22"/>
              </w:rPr>
            </w:pPr>
            <w:r w:rsidRPr="00F3200F">
              <w:rPr>
                <w:rFonts w:ascii="Calibri" w:hAnsi="Calibri" w:cs="Calibri"/>
                <w:color w:val="000000"/>
                <w:szCs w:val="22"/>
              </w:rPr>
              <w:t>TJ Holdings</w:t>
            </w:r>
          </w:p>
        </w:tc>
      </w:tr>
      <w:tr w:rsidRPr="00F3200F" w:rsidR="00F3200F" w:rsidTr="00C2383B" w14:paraId="454AEB33" w14:textId="64693B1B">
        <w:trPr>
          <w:trHeight w:val="300"/>
          <w:jc w:val="center"/>
        </w:trPr>
        <w:tc>
          <w:tcPr>
            <w:tcW w:w="4390" w:type="dxa"/>
            <w:noWrap/>
            <w:hideMark/>
          </w:tcPr>
          <w:p w:rsidRPr="00F3200F" w:rsidR="00F3200F" w:rsidP="00F3200F" w:rsidRDefault="00F3200F" w14:paraId="13B942F8" w14:textId="77777777">
            <w:pPr>
              <w:spacing w:before="0" w:after="0"/>
              <w:rPr>
                <w:rFonts w:ascii="Calibri" w:hAnsi="Calibri" w:cs="Calibri"/>
                <w:color w:val="000000"/>
                <w:szCs w:val="22"/>
              </w:rPr>
            </w:pPr>
            <w:r w:rsidRPr="00F3200F">
              <w:rPr>
                <w:rFonts w:ascii="Calibri" w:hAnsi="Calibri" w:cs="Calibri"/>
                <w:color w:val="000000"/>
                <w:szCs w:val="22"/>
              </w:rPr>
              <w:t>TJN-Aus CICTAR joint submission</w:t>
            </w:r>
          </w:p>
        </w:tc>
      </w:tr>
      <w:tr w:rsidRPr="00F3200F" w:rsidR="00F3200F" w:rsidTr="00C2383B" w14:paraId="0ABCF7DD" w14:textId="271FF735">
        <w:trPr>
          <w:trHeight w:val="300"/>
          <w:jc w:val="center"/>
        </w:trPr>
        <w:tc>
          <w:tcPr>
            <w:tcW w:w="4390" w:type="dxa"/>
            <w:noWrap/>
            <w:hideMark/>
          </w:tcPr>
          <w:p w:rsidRPr="00F3200F" w:rsidR="00F3200F" w:rsidP="00F3200F" w:rsidRDefault="00F3200F" w14:paraId="662DEBD3" w14:textId="77777777">
            <w:pPr>
              <w:spacing w:before="0" w:after="0"/>
              <w:rPr>
                <w:rFonts w:ascii="Calibri" w:hAnsi="Calibri" w:cs="Calibri"/>
                <w:color w:val="000000"/>
                <w:szCs w:val="22"/>
              </w:rPr>
            </w:pPr>
            <w:r w:rsidRPr="00F3200F">
              <w:rPr>
                <w:rFonts w:ascii="Calibri" w:hAnsi="Calibri" w:cs="Calibri"/>
                <w:color w:val="000000"/>
                <w:szCs w:val="22"/>
              </w:rPr>
              <w:t>UNSW</w:t>
            </w:r>
          </w:p>
        </w:tc>
      </w:tr>
      <w:tr w:rsidRPr="00F3200F" w:rsidR="00F3200F" w:rsidTr="00C2383B" w14:paraId="03067593" w14:textId="7BA3D5BE">
        <w:trPr>
          <w:trHeight w:val="300"/>
          <w:jc w:val="center"/>
        </w:trPr>
        <w:tc>
          <w:tcPr>
            <w:tcW w:w="4390" w:type="dxa"/>
            <w:noWrap/>
            <w:hideMark/>
          </w:tcPr>
          <w:p w:rsidRPr="00F3200F" w:rsidR="00F3200F" w:rsidP="00F3200F" w:rsidRDefault="00F3200F" w14:paraId="0E7D9694" w14:textId="77777777">
            <w:pPr>
              <w:spacing w:before="0" w:after="0"/>
              <w:rPr>
                <w:rFonts w:ascii="Calibri" w:hAnsi="Calibri" w:cs="Calibri"/>
                <w:color w:val="000000"/>
                <w:szCs w:val="22"/>
              </w:rPr>
            </w:pPr>
            <w:r w:rsidRPr="00F3200F">
              <w:rPr>
                <w:rFonts w:ascii="Calibri" w:hAnsi="Calibri" w:cs="Calibri"/>
                <w:color w:val="000000"/>
                <w:szCs w:val="22"/>
              </w:rPr>
              <w:t>US Council for International Business</w:t>
            </w:r>
          </w:p>
        </w:tc>
      </w:tr>
    </w:tbl>
    <w:p w:rsidR="00502AF0" w:rsidP="003A69D5" w:rsidRDefault="00502AF0" w14:paraId="14687703" w14:textId="77777777"/>
    <w:p w:rsidR="00B146F0" w:rsidP="003A69D5" w:rsidRDefault="00B146F0" w14:paraId="2ED985F8" w14:textId="77777777">
      <w:pPr>
        <w:sectPr w:rsidR="00B146F0" w:rsidSect="007E3E66">
          <w:type w:val="continuous"/>
          <w:pgSz w:w="11906" w:h="16838"/>
          <w:pgMar w:top="1418" w:right="1418" w:bottom="1418" w:left="1418" w:header="709" w:footer="709" w:gutter="0"/>
          <w:pgNumType w:start="1"/>
          <w:cols w:space="708" w:num="2"/>
          <w:titlePg/>
          <w:docGrid w:linePitch="360"/>
        </w:sectPr>
      </w:pPr>
    </w:p>
    <w:p w:rsidR="00B146F0" w:rsidP="00B25642" w:rsidRDefault="0078771D" w14:paraId="083E5233" w14:textId="4E5E7DF6">
      <w:pPr>
        <w:pStyle w:val="Heading1"/>
      </w:pPr>
      <w:bookmarkStart w:name="_Toc138754509" w:id="21"/>
      <w:r w:rsidRPr="00B25642">
        <w:t>Impact analysis</w:t>
      </w:r>
      <w:r w:rsidR="00B25642">
        <w:t xml:space="preserve"> </w:t>
      </w:r>
      <w:r w:rsidR="009D4329">
        <w:t>t</w:t>
      </w:r>
      <w:r w:rsidRPr="00B25642">
        <w:t>imeline</w:t>
      </w:r>
      <w:bookmarkEnd w:id="21"/>
    </w:p>
    <w:p w:rsidR="001B1996" w:rsidP="001B1996" w:rsidRDefault="001B1996" w14:paraId="7388FFBE" w14:textId="77777777"/>
    <w:tbl>
      <w:tblPr>
        <w:tblStyle w:val="TableGrid"/>
        <w:tblW w:w="0" w:type="auto"/>
        <w:tblLook w:val="04A0" w:firstRow="1" w:lastRow="0" w:firstColumn="1" w:lastColumn="0" w:noHBand="0" w:noVBand="1"/>
      </w:tblPr>
      <w:tblGrid>
        <w:gridCol w:w="2552"/>
        <w:gridCol w:w="4535"/>
      </w:tblGrid>
      <w:tr w:rsidR="001B1996" w:rsidTr="0093587F" w14:paraId="1090C945" w14:textId="77777777">
        <w:trPr>
          <w:cnfStyle w:val="100000000000" w:firstRow="1" w:lastRow="0" w:firstColumn="0" w:lastColumn="0" w:oddVBand="0" w:evenVBand="0" w:oddHBand="0" w:evenHBand="0" w:firstRowFirstColumn="0" w:firstRowLastColumn="0" w:lastRowFirstColumn="0" w:lastRowLastColumn="0"/>
        </w:trPr>
        <w:tc>
          <w:tcPr>
            <w:tcW w:w="2552" w:type="dxa"/>
          </w:tcPr>
          <w:p w:rsidRPr="00D677A7" w:rsidR="001B1996" w:rsidRDefault="0093587F" w14:paraId="6ADA4B8E" w14:textId="0B81199D">
            <w:r>
              <w:t>Timing</w:t>
            </w:r>
          </w:p>
        </w:tc>
        <w:tc>
          <w:tcPr>
            <w:tcW w:w="4535" w:type="dxa"/>
          </w:tcPr>
          <w:p w:rsidRPr="00D677A7" w:rsidR="001B1996" w:rsidRDefault="0093587F" w14:paraId="53918464" w14:textId="6D26C97B">
            <w:r>
              <w:t>Process/action</w:t>
            </w:r>
          </w:p>
        </w:tc>
      </w:tr>
      <w:tr w:rsidR="001B1996" w:rsidTr="0093587F" w14:paraId="44D00402" w14:textId="77777777">
        <w:tc>
          <w:tcPr>
            <w:tcW w:w="2552" w:type="dxa"/>
          </w:tcPr>
          <w:p w:rsidR="001B1996" w:rsidRDefault="0093587F" w14:paraId="1D8626D9" w14:textId="6307CD42">
            <w:r>
              <w:t>June 2022</w:t>
            </w:r>
          </w:p>
        </w:tc>
        <w:tc>
          <w:tcPr>
            <w:tcW w:w="4535" w:type="dxa"/>
          </w:tcPr>
          <w:p w:rsidR="001B1996" w:rsidRDefault="0093587F" w14:paraId="3E8D10F3" w14:textId="5A702635">
            <w:r>
              <w:t xml:space="preserve">Preliminary assessment </w:t>
            </w:r>
            <w:r w:rsidR="00E0189C">
              <w:t>s</w:t>
            </w:r>
            <w:r>
              <w:t>ent to OIA for comment</w:t>
            </w:r>
          </w:p>
        </w:tc>
      </w:tr>
      <w:tr w:rsidR="001B1996" w:rsidTr="0093587F" w14:paraId="7597B4BD" w14:textId="77777777">
        <w:tc>
          <w:tcPr>
            <w:tcW w:w="2552" w:type="dxa"/>
          </w:tcPr>
          <w:p w:rsidRPr="00D677A7" w:rsidR="001B1996" w:rsidRDefault="0093587F" w14:paraId="7B36905F" w14:textId="72F599EE">
            <w:r>
              <w:t>August 2022</w:t>
            </w:r>
          </w:p>
        </w:tc>
        <w:tc>
          <w:tcPr>
            <w:tcW w:w="4535" w:type="dxa"/>
          </w:tcPr>
          <w:p w:rsidRPr="0093587F" w:rsidR="0093587F" w:rsidP="0093587F" w:rsidRDefault="0093587F" w14:paraId="724C3351" w14:textId="094943C5">
            <w:r w:rsidRPr="0093587F">
              <w:t>Public consultation on discussion paper</w:t>
            </w:r>
          </w:p>
          <w:p w:rsidRPr="00D677A7" w:rsidR="001B1996" w:rsidP="0093587F" w:rsidRDefault="0093587F" w14:paraId="774D8FEF" w14:textId="705998F1">
            <w:r w:rsidRPr="0093587F">
              <w:t>First draft of IA sent to OIA for comment</w:t>
            </w:r>
          </w:p>
        </w:tc>
      </w:tr>
      <w:tr w:rsidR="001B1996" w:rsidTr="0093587F" w14:paraId="6687E822" w14:textId="77777777">
        <w:tc>
          <w:tcPr>
            <w:tcW w:w="2552" w:type="dxa"/>
          </w:tcPr>
          <w:p w:rsidRPr="00D677A7" w:rsidR="001B1996" w:rsidRDefault="0093587F" w14:paraId="57FDACAC" w14:textId="45847886">
            <w:r>
              <w:t>September 2022</w:t>
            </w:r>
          </w:p>
        </w:tc>
        <w:tc>
          <w:tcPr>
            <w:tcW w:w="4535" w:type="dxa"/>
          </w:tcPr>
          <w:p w:rsidRPr="00D677A7" w:rsidR="001B1996" w:rsidRDefault="0093587F" w14:paraId="39D61F9F" w14:textId="3EDEDEF3">
            <w:r w:rsidRPr="0093587F">
              <w:t>Revised draft of IA sent to OIA for comment</w:t>
            </w:r>
          </w:p>
        </w:tc>
      </w:tr>
      <w:tr w:rsidR="001B1996" w:rsidTr="0093587F" w14:paraId="1D0BD7B3" w14:textId="77777777">
        <w:tc>
          <w:tcPr>
            <w:tcW w:w="2552" w:type="dxa"/>
          </w:tcPr>
          <w:p w:rsidRPr="00D677A7" w:rsidR="001B1996" w:rsidRDefault="0093587F" w14:paraId="06E1443C" w14:textId="484F2640">
            <w:r>
              <w:t>October 2022</w:t>
            </w:r>
          </w:p>
        </w:tc>
        <w:tc>
          <w:tcPr>
            <w:tcW w:w="4535" w:type="dxa"/>
          </w:tcPr>
          <w:p w:rsidRPr="00D677A7" w:rsidR="001B1996" w:rsidRDefault="0093587F" w14:paraId="0B036A26" w14:textId="547A624F">
            <w:r w:rsidRPr="0093587F">
              <w:t>Measure</w:t>
            </w:r>
            <w:r w:rsidR="006B72A0">
              <w:t>s</w:t>
            </w:r>
            <w:r w:rsidRPr="0093587F">
              <w:t xml:space="preserve"> announced in Budget</w:t>
            </w:r>
          </w:p>
        </w:tc>
      </w:tr>
      <w:tr w:rsidR="001B1996" w:rsidTr="0093587F" w14:paraId="066FD5D6" w14:textId="77777777">
        <w:tc>
          <w:tcPr>
            <w:tcW w:w="2552" w:type="dxa"/>
          </w:tcPr>
          <w:p w:rsidR="001B1996" w:rsidRDefault="00DB009A" w14:paraId="6A5EA1BA" w14:textId="7DA7698E">
            <w:r>
              <w:t>March</w:t>
            </w:r>
            <w:r w:rsidR="006B72A0">
              <w:t>/April</w:t>
            </w:r>
            <w:r>
              <w:t xml:space="preserve"> 2022</w:t>
            </w:r>
          </w:p>
        </w:tc>
        <w:tc>
          <w:tcPr>
            <w:tcW w:w="4535" w:type="dxa"/>
          </w:tcPr>
          <w:p w:rsidRPr="00D677A7" w:rsidR="001B1996" w:rsidRDefault="00DB009A" w14:paraId="4B6F4326" w14:textId="7CD71596">
            <w:pPr>
              <w:tabs>
                <w:tab w:val="left" w:pos="1351"/>
              </w:tabs>
            </w:pPr>
            <w:r w:rsidRPr="00DB009A">
              <w:t>Consultation on exposure draft legislation</w:t>
            </w:r>
          </w:p>
        </w:tc>
      </w:tr>
      <w:tr w:rsidR="001B1996" w:rsidTr="0093587F" w14:paraId="3572FE27" w14:textId="77777777">
        <w:tc>
          <w:tcPr>
            <w:tcW w:w="2552" w:type="dxa"/>
          </w:tcPr>
          <w:p w:rsidR="001B1996" w:rsidRDefault="00DB009A" w14:paraId="0B6B1BBB" w14:textId="5F9DF383">
            <w:r>
              <w:t>April 2023</w:t>
            </w:r>
          </w:p>
        </w:tc>
        <w:tc>
          <w:tcPr>
            <w:tcW w:w="4535" w:type="dxa"/>
          </w:tcPr>
          <w:p w:rsidR="001B1996" w:rsidRDefault="00DB009A" w14:paraId="27139620" w14:textId="47208AFF">
            <w:pPr>
              <w:tabs>
                <w:tab w:val="left" w:pos="1351"/>
              </w:tabs>
            </w:pPr>
            <w:r w:rsidRPr="00DB009A">
              <w:t>Revised draft of IA sent to OIA for comment</w:t>
            </w:r>
          </w:p>
        </w:tc>
      </w:tr>
      <w:tr w:rsidR="00DB009A" w:rsidTr="0093587F" w14:paraId="65A9DC44" w14:textId="77777777">
        <w:tc>
          <w:tcPr>
            <w:tcW w:w="2552" w:type="dxa"/>
          </w:tcPr>
          <w:p w:rsidR="00DB009A" w:rsidRDefault="00DB009A" w14:paraId="198D9F7E" w14:textId="41A639B3">
            <w:r>
              <w:t>May 2023</w:t>
            </w:r>
          </w:p>
        </w:tc>
        <w:tc>
          <w:tcPr>
            <w:tcW w:w="4535" w:type="dxa"/>
          </w:tcPr>
          <w:p w:rsidRPr="00DB009A" w:rsidR="00DB009A" w:rsidRDefault="00DB009A" w14:paraId="692C5AF2" w14:textId="4FD4163F">
            <w:pPr>
              <w:tabs>
                <w:tab w:val="left" w:pos="1351"/>
              </w:tabs>
            </w:pPr>
            <w:r w:rsidRPr="00DB009A">
              <w:t>IA sent to OIA for First and</w:t>
            </w:r>
            <w:r w:rsidR="00525949">
              <w:t xml:space="preserve"> then</w:t>
            </w:r>
            <w:r w:rsidRPr="00DB009A">
              <w:t xml:space="preserve"> Second Pass Final Assessment</w:t>
            </w:r>
          </w:p>
        </w:tc>
      </w:tr>
    </w:tbl>
    <w:p w:rsidRPr="00CC43B7" w:rsidR="00CC43B7" w:rsidP="003A69D5" w:rsidRDefault="00CC43B7" w14:paraId="288E4EA9" w14:textId="77777777">
      <w:pPr>
        <w:rPr>
          <w:b/>
          <w:bCs/>
        </w:rPr>
      </w:pPr>
    </w:p>
    <w:p w:rsidRPr="003A69D5" w:rsidR="00B146F0" w:rsidP="003A69D5" w:rsidRDefault="00B146F0" w14:paraId="22E944C8" w14:textId="5775D985"/>
    <w:sectPr w:rsidRPr="003A69D5" w:rsidR="00B146F0" w:rsidSect="004F79FA">
      <w:pgSz w:w="11906" w:h="16838"/>
      <w:pgMar w:top="1418" w:right="1418" w:bottom="1418" w:left="1418" w:header="709" w:footer="709"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4829" w:rsidP="00D94EE3" w:rsidRDefault="008F4829" w14:paraId="1D84059C" w14:textId="77777777">
      <w:pPr>
        <w:spacing w:after="0"/>
      </w:pPr>
      <w:r>
        <w:separator/>
      </w:r>
    </w:p>
  </w:endnote>
  <w:endnote w:type="continuationSeparator" w:id="0">
    <w:p w:rsidR="008F4829" w:rsidP="00D94EE3" w:rsidRDefault="008F4829" w14:paraId="343C14EC" w14:textId="77777777">
      <w:pPr>
        <w:spacing w:after="0"/>
      </w:pPr>
      <w:r>
        <w:continuationSeparator/>
      </w:r>
    </w:p>
  </w:endnote>
  <w:endnote w:type="continuationNotice" w:id="1">
    <w:p w:rsidR="008F4829" w:rsidRDefault="008F4829" w14:paraId="6C7E968E"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2">
    <w:altName w:val="Webdings"/>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6C09" w:rsidP="001B2A30" w:rsidRDefault="00366C09" w14:paraId="4FAEA00B" w14:textId="77777777">
    <w:pPr>
      <w:pStyle w:val="FooterEven"/>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6C09" w:rsidP="001B2A30" w:rsidRDefault="00366C09" w14:paraId="40CC175A" w14:textId="77777777">
    <w:pPr>
      <w:pStyle w:val="FooterEven"/>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6C09" w:rsidP="001B2A30" w:rsidRDefault="00366C09" w14:paraId="1430D51D" w14:textId="540600FD">
    <w:pPr>
      <w:pStyle w:val="FooterEven"/>
      <w:jc w:val="right"/>
    </w:pPr>
    <w:r>
      <w:drawing>
        <wp:anchor distT="0" distB="0" distL="114300" distR="114300" simplePos="0" relativeHeight="251658244" behindDoc="1" locked="0" layoutInCell="1" allowOverlap="0" wp14:anchorId="611A888A" wp14:editId="51F500AE">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alignment="center" w:relativeTo="margin" w:leader="none"/>
    </w:r>
    <w:r>
      <w:t xml:space="preserve"> </w:t>
    </w:r>
    <w:r>
      <w:rPr>
        <w:noProof w:val="0"/>
      </w:rPr>
      <w:fldChar w:fldCharType="begin"/>
    </w:r>
    <w:r>
      <w:instrText xml:space="preserve"> PAGE   \* MERGEFORMAT </w:instrText>
    </w:r>
    <w:r>
      <w:rPr>
        <w:noProof w:val="0"/>
      </w:rPr>
      <w:fldChar w:fldCharType="separate"/>
    </w:r>
    <w:r w:rsidR="00B947F5">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80490" w:rsidR="00366C09" w:rsidP="00B80490" w:rsidRDefault="00366C09" w14:paraId="658DF24C" w14:textId="071FD639">
    <w:pPr>
      <w:pStyle w:val="FooterEven"/>
      <w:jc w:val="right"/>
    </w:pPr>
    <w:r>
      <w:drawing>
        <wp:anchor distT="0" distB="0" distL="114300" distR="114300" simplePos="0" relativeHeight="251658240" behindDoc="1" locked="0" layoutInCell="1" allowOverlap="0" wp14:anchorId="212550AF" wp14:editId="2F950358">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alignment="center" w:relativeTo="margin" w:leader="none"/>
    </w:r>
    <w:r>
      <w:fldChar w:fldCharType="begin"/>
    </w:r>
    <w:r>
      <w:instrText> STYLEREF  "Heading 1"  \* MERGEFORMAT </w:instrText>
    </w:r>
    <w:r>
      <w:fldChar w:fldCharType="separate"/>
    </w:r>
    <w:r>
      <w:fldChar w:fldCharType="end"/>
    </w:r>
    <w:r>
      <w:t xml:space="preserve"> | </w:t>
    </w:r>
    <w:r>
      <w:rPr>
        <w:noProof w:val="0"/>
      </w:rPr>
      <w:fldChar w:fldCharType="begin"/>
    </w:r>
    <w:r>
      <w:instrText xml:space="preserve"> PAGE   \* MERGEFORMAT </w:instrText>
    </w:r>
    <w:r>
      <w:rPr>
        <w:noProof w:val="0"/>
      </w:rPr>
      <w:fldChar w:fldCharType="separate"/>
    </w:r>
    <w:r w:rsidR="00860DD9">
      <w:t>14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B2A30" w:rsidR="00366C09" w:rsidP="001B2A30" w:rsidRDefault="00366C09" w14:paraId="67966446" w14:textId="6B69F0B7">
    <w:pPr>
      <w:pStyle w:val="FooterEven"/>
      <w:jc w:val="right"/>
    </w:pPr>
    <w:r>
      <w:drawing>
        <wp:anchor distT="0" distB="0" distL="114300" distR="114300" simplePos="0" relativeHeight="251658243" behindDoc="1" locked="0" layoutInCell="1" allowOverlap="0" wp14:anchorId="6C89A5E3" wp14:editId="77ADE362">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3" name="Picture 1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alignment="center" w:relativeTo="margin" w:leader="none"/>
    </w:r>
    <w:r>
      <w:fldChar w:fldCharType="begin"/>
    </w:r>
    <w:r>
      <w:instrText> STYLEREF  "Heading 1"  \* MERGEFORMAT </w:instrText>
    </w:r>
    <w:r>
      <w:fldChar w:fldCharType="separate"/>
    </w:r>
    <w:r>
      <w:fldChar w:fldCharType="end"/>
    </w:r>
    <w:r>
      <w:t xml:space="preserve"> | </w:t>
    </w:r>
    <w:r>
      <w:rPr>
        <w:noProof w:val="0"/>
      </w:rPr>
      <w:fldChar w:fldCharType="begin"/>
    </w:r>
    <w:r>
      <w:instrText xml:space="preserve"> PAGE   \* MERGEFORMAT </w:instrText>
    </w:r>
    <w:r>
      <w:rPr>
        <w:noProof w:val="0"/>
      </w:rPr>
      <w:fldChar w:fldCharType="separate"/>
    </w:r>
    <w:r w:rsidR="00860DD9">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4829" w:rsidP="00D94EE3" w:rsidRDefault="008F4829" w14:paraId="30E6D81A" w14:textId="77777777">
      <w:pPr>
        <w:spacing w:after="0"/>
      </w:pPr>
      <w:r>
        <w:separator/>
      </w:r>
    </w:p>
  </w:footnote>
  <w:footnote w:type="continuationSeparator" w:id="0">
    <w:p w:rsidR="008F4829" w:rsidP="00D94EE3" w:rsidRDefault="008F4829" w14:paraId="654A93B1" w14:textId="77777777">
      <w:pPr>
        <w:spacing w:after="0"/>
      </w:pPr>
      <w:r>
        <w:continuationSeparator/>
      </w:r>
    </w:p>
  </w:footnote>
  <w:footnote w:type="continuationNotice" w:id="1">
    <w:p w:rsidR="008F4829" w:rsidRDefault="008F4829" w14:paraId="179CD4BF" w14:textId="77777777">
      <w:pPr>
        <w:spacing w:before="0" w:after="0"/>
      </w:pPr>
    </w:p>
  </w:footnote>
  <w:footnote w:id="2">
    <w:p w:rsidR="00672E15" w:rsidRDefault="00672E15" w14:paraId="5E9BA721" w14:textId="252EC118">
      <w:pPr>
        <w:pStyle w:val="FootnoteText"/>
      </w:pPr>
      <w:r>
        <w:rPr>
          <w:rStyle w:val="FootnoteReference"/>
        </w:rPr>
        <w:footnoteRef/>
      </w:r>
      <w:r>
        <w:t xml:space="preserve"> CbC reporting entities are a subset of </w:t>
      </w:r>
      <w:r w:rsidR="00040E29">
        <w:t>Significant Global Entities</w:t>
      </w:r>
    </w:p>
  </w:footnote>
  <w:footnote w:id="3">
    <w:p w:rsidR="00807C23" w:rsidRDefault="00807C23" w14:paraId="4C21CDAA" w14:textId="6DEB4325">
      <w:pPr>
        <w:pStyle w:val="FootnoteText"/>
      </w:pPr>
      <w:r>
        <w:rPr>
          <w:rStyle w:val="FootnoteReference"/>
        </w:rPr>
        <w:footnoteRef/>
      </w:r>
      <w:r>
        <w:t xml:space="preserve"> </w:t>
      </w:r>
      <w:r w:rsidR="00A45C1B">
        <w:t>Economic Modelli</w:t>
      </w:r>
      <w:r w:rsidR="00636115">
        <w:t xml:space="preserve">ng, </w:t>
      </w:r>
      <w:r w:rsidR="00CB6DBD">
        <w:t xml:space="preserve">2015, </w:t>
      </w:r>
      <w:r w:rsidR="00636115">
        <w:t>Volume 44,</w:t>
      </w:r>
      <w:r w:rsidR="00CB6DBD">
        <w:t xml:space="preserve"> The Impact of financial distress on</w:t>
      </w:r>
      <w:r w:rsidR="00FE5C44">
        <w:t xml:space="preserve"> </w:t>
      </w:r>
      <w:r w:rsidR="00CB6DBD">
        <w:t xml:space="preserve">corporate tax avoidance </w:t>
      </w:r>
      <w:r w:rsidR="00FE5C44">
        <w:t>spanning the GFC: evidence from Australia, pp 44-53</w:t>
      </w:r>
      <w:r w:rsidR="00636115">
        <w:t xml:space="preserve"> </w:t>
      </w:r>
    </w:p>
  </w:footnote>
  <w:footnote w:id="4">
    <w:p w:rsidR="00FC44A8" w:rsidP="00FC44A8" w:rsidRDefault="00FC44A8" w14:paraId="7EE36F4D" w14:textId="77777777">
      <w:pPr>
        <w:pStyle w:val="FootnoteText"/>
      </w:pPr>
      <w:r>
        <w:rPr>
          <w:rStyle w:val="FootnoteReference"/>
        </w:rPr>
        <w:footnoteRef/>
      </w:r>
      <w:r>
        <w:t xml:space="preserve"> </w:t>
      </w:r>
      <w:hyperlink w:history="1" r:id="rId1">
        <w:r w:rsidRPr="00A060CC">
          <w:rPr>
            <w:rStyle w:val="Hyperlink"/>
          </w:rPr>
          <w:t>https://www.oecd.org/tax/beps/</w:t>
        </w:r>
      </w:hyperlink>
      <w:r>
        <w:t xml:space="preserve"> </w:t>
      </w:r>
    </w:p>
  </w:footnote>
  <w:footnote w:id="5">
    <w:p w:rsidR="00626E4A" w:rsidRDefault="00626E4A" w14:paraId="15EAB34B" w14:textId="41EB1B1A">
      <w:pPr>
        <w:pStyle w:val="FootnoteText"/>
      </w:pPr>
      <w:r>
        <w:rPr>
          <w:rStyle w:val="FootnoteReference"/>
        </w:rPr>
        <w:footnoteRef/>
      </w:r>
      <w:r>
        <w:t xml:space="preserve"> </w:t>
      </w:r>
      <w:r w:rsidR="00146BA5">
        <w:t xml:space="preserve">Global Initiative for Fiscal Transparency, 2022, </w:t>
      </w:r>
      <w:hyperlink w:history="1" r:id="rId2">
        <w:r w:rsidRPr="00DC6EF9" w:rsidR="00146BA5">
          <w:rPr>
            <w:rStyle w:val="Hyperlink"/>
          </w:rPr>
          <w:t>https://blog-pfm.imf.org/en/pfmblog/2022/10/developing-and-using-global-tax-transparency-principles</w:t>
        </w:r>
      </w:hyperlink>
      <w:r>
        <w:t xml:space="preserve"> </w:t>
      </w:r>
    </w:p>
  </w:footnote>
  <w:footnote w:id="6">
    <w:p w:rsidR="008231BC" w:rsidP="008231BC" w:rsidRDefault="008231BC" w14:paraId="5E11D1FB" w14:textId="77777777">
      <w:pPr>
        <w:pStyle w:val="FootnoteText"/>
      </w:pPr>
      <w:r>
        <w:rPr>
          <w:rStyle w:val="FootnoteReference"/>
        </w:rPr>
        <w:footnoteRef/>
      </w:r>
      <w:r>
        <w:t xml:space="preserve"> </w:t>
      </w:r>
      <w:hyperlink w:history="1" r:id="rId3">
        <w:r w:rsidRPr="00185FF2">
          <w:rPr>
            <w:rStyle w:val="Hyperlink"/>
          </w:rPr>
          <w:t>https://www.ato.gov.au/business/large-business/corporate-tax-transparency/</w:t>
        </w:r>
      </w:hyperlink>
      <w:r>
        <w:t xml:space="preserve"> </w:t>
      </w:r>
    </w:p>
  </w:footnote>
  <w:footnote w:id="7">
    <w:p w:rsidR="00D87EED" w:rsidRDefault="00D87EED" w14:paraId="2F71CCD9" w14:textId="7E7FC9CB">
      <w:pPr>
        <w:pStyle w:val="FootnoteText"/>
      </w:pPr>
      <w:r>
        <w:rPr>
          <w:rStyle w:val="FootnoteReference"/>
        </w:rPr>
        <w:footnoteRef/>
      </w:r>
      <w:r>
        <w:t xml:space="preserve"> </w:t>
      </w:r>
      <w:r w:rsidR="007A35C4">
        <w:t>The World Bank, Innovations in Tax Compliance</w:t>
      </w:r>
      <w:r w:rsidR="00FC2C38">
        <w:t xml:space="preserve">: Building Trust, Navigating Politics, and Tailoring Reform, </w:t>
      </w:r>
      <w:r w:rsidR="00A45C1B">
        <w:t xml:space="preserve">2022, </w:t>
      </w:r>
      <w:hyperlink w:history="1" r:id="rId4">
        <w:r w:rsidRPr="00DC6EF9" w:rsidR="00A45C1B">
          <w:rPr>
            <w:rStyle w:val="Hyperlink"/>
          </w:rPr>
          <w:t>https://openknowledge.worldbank.org/server/api/core/bitstreams/7225ce2e-99d7-50b7-9ae7-a640a95ae2c0/content</w:t>
        </w:r>
      </w:hyperlink>
      <w:r w:rsidR="00FC2C38">
        <w:t xml:space="preserve"> </w:t>
      </w:r>
    </w:p>
  </w:footnote>
  <w:footnote w:id="8">
    <w:p w:rsidR="00791F5C" w:rsidRDefault="00791F5C" w14:paraId="503BC444" w14:textId="3585C0E7">
      <w:pPr>
        <w:pStyle w:val="FootnoteText"/>
      </w:pPr>
      <w:r>
        <w:rPr>
          <w:rStyle w:val="FootnoteReference"/>
        </w:rPr>
        <w:footnoteRef/>
      </w:r>
      <w:r>
        <w:t xml:space="preserve"> </w:t>
      </w:r>
      <w:r w:rsidR="00513874">
        <w:t xml:space="preserve">The ATO’s Corporate Tax Transparency report, released </w:t>
      </w:r>
      <w:r w:rsidR="00BF07B8">
        <w:t>annually</w:t>
      </w:r>
      <w:r w:rsidR="00187DC5">
        <w:t>,</w:t>
      </w:r>
      <w:r w:rsidR="00BF07B8">
        <w:t xml:space="preserve"> generates significant </w:t>
      </w:r>
      <w:r w:rsidR="00C64AE4">
        <w:t>interest</w:t>
      </w:r>
      <w:r w:rsidR="00187DC5">
        <w:t xml:space="preserve"> with</w:t>
      </w:r>
      <w:r w:rsidR="00C64AE4">
        <w:t>in</w:t>
      </w:r>
      <w:r w:rsidR="00187DC5">
        <w:t xml:space="preserve"> t</w:t>
      </w:r>
      <w:r w:rsidR="00F5366B">
        <w:t>h</w:t>
      </w:r>
      <w:r w:rsidR="00187DC5">
        <w:t xml:space="preserve">e </w:t>
      </w:r>
      <w:r w:rsidR="00C64AE4">
        <w:t xml:space="preserve">community, </w:t>
      </w:r>
      <w:r w:rsidR="00B12BB3">
        <w:t xml:space="preserve">with commentators </w:t>
      </w:r>
      <w:r w:rsidR="00F432A0">
        <w:t xml:space="preserve">typically focussing on entities reporting a nil corporate tax liability. </w:t>
      </w:r>
      <w:r w:rsidR="004828D9">
        <w:t>While t</w:t>
      </w:r>
      <w:r w:rsidR="00E830B3">
        <w:t>he information in this report is sourced from tax return information</w:t>
      </w:r>
      <w:r w:rsidR="004828D9">
        <w:t>, it</w:t>
      </w:r>
      <w:r w:rsidR="00E830B3">
        <w:t xml:space="preserve"> excludes various tax return label items, </w:t>
      </w:r>
      <w:r w:rsidR="003C115D">
        <w:t>such as</w:t>
      </w:r>
      <w:r w:rsidR="00E830B3">
        <w:t xml:space="preserve"> tax losses information, from being disclosed. The exclusion of label items c</w:t>
      </w:r>
      <w:r w:rsidR="003C115D">
        <w:t xml:space="preserve">an </w:t>
      </w:r>
      <w:r w:rsidR="00E830B3">
        <w:t>hinder the general community’s understanding of the tax affairs corporate tax entities</w:t>
      </w:r>
      <w:r w:rsidR="00625CE6">
        <w:t>, resulting in (at times) a</w:t>
      </w:r>
      <w:r w:rsidR="00A45C1B">
        <w:t xml:space="preserve"> </w:t>
      </w:r>
      <w:r w:rsidR="002935F3">
        <w:t>mis</w:t>
      </w:r>
      <w:r w:rsidR="00625CE6">
        <w:t>informed public discourse on corporate taxation</w:t>
      </w:r>
      <w:r w:rsidR="00C46EA7">
        <w:t>.</w:t>
      </w:r>
    </w:p>
  </w:footnote>
  <w:footnote w:id="9">
    <w:p w:rsidR="00381FDB" w:rsidP="00381FDB" w:rsidRDefault="00381FDB" w14:paraId="5E6F7E43" w14:textId="77777777">
      <w:pPr>
        <w:pStyle w:val="FootnoteText"/>
      </w:pPr>
      <w:r>
        <w:rPr>
          <w:rStyle w:val="FootnoteReference"/>
        </w:rPr>
        <w:footnoteRef/>
      </w:r>
      <w:r>
        <w:t xml:space="preserve"> </w:t>
      </w:r>
      <w:hyperlink w:history="1" r:id="rId5">
        <w:r w:rsidRPr="00DC6EF9">
          <w:rPr>
            <w:rStyle w:val="Hyperlink"/>
          </w:rPr>
          <w:t>https://taxboard.gov.au/current-activities/corporate-tax-transparency-code-and-register</w:t>
        </w:r>
      </w:hyperlink>
      <w:r>
        <w:t xml:space="preserve"> </w:t>
      </w:r>
    </w:p>
  </w:footnote>
  <w:footnote w:id="10">
    <w:p w:rsidR="00381FDB" w:rsidP="00381FDB" w:rsidRDefault="00381FDB" w14:paraId="764BC0A8" w14:textId="77777777">
      <w:pPr>
        <w:pStyle w:val="FootnoteText"/>
      </w:pPr>
      <w:r>
        <w:rPr>
          <w:rStyle w:val="FootnoteReference"/>
        </w:rPr>
        <w:footnoteRef/>
      </w:r>
      <w:r>
        <w:t xml:space="preserve"> Board of Taxation, 2019, </w:t>
      </w:r>
      <w:hyperlink w:history="1" r:id="rId6">
        <w:r w:rsidRPr="00DC6EF9">
          <w:rPr>
            <w:rStyle w:val="Hyperlink"/>
          </w:rPr>
          <w:t>https://taxboard.gov.au/sites/taxboard.gov.au/files/migrated/TTC-Consultation-Paper-final.pdf</w:t>
        </w:r>
      </w:hyperlink>
      <w:r>
        <w:t xml:space="preserve"> </w:t>
      </w:r>
    </w:p>
  </w:footnote>
  <w:footnote w:id="11">
    <w:p w:rsidR="001121C9" w:rsidRDefault="001121C9" w14:paraId="661865CF" w14:textId="71C81C81">
      <w:pPr>
        <w:pStyle w:val="FootnoteText"/>
      </w:pPr>
      <w:r>
        <w:rPr>
          <w:rStyle w:val="FootnoteReference"/>
        </w:rPr>
        <w:footnoteRef/>
      </w:r>
      <w:r>
        <w:t xml:space="preserve"> ATO and Treasury data</w:t>
      </w:r>
      <w:r w:rsidR="0029750E">
        <w:t>: there are approximately 200 signatories to the Code out of an estimated cohort of over 3,000 entities (that could be reporting under the Code).</w:t>
      </w:r>
    </w:p>
  </w:footnote>
  <w:footnote w:id="12">
    <w:p w:rsidR="00421FF3" w:rsidRDefault="00421FF3" w14:paraId="46D076FD" w14:textId="5912F4EE">
      <w:pPr>
        <w:pStyle w:val="FootnoteText"/>
      </w:pPr>
      <w:r>
        <w:rPr>
          <w:rStyle w:val="FootnoteReference"/>
        </w:rPr>
        <w:footnoteRef/>
      </w:r>
      <w:r>
        <w:t xml:space="preserve"> OECD, </w:t>
      </w:r>
      <w:r w:rsidR="00152EC5">
        <w:t xml:space="preserve">2022, </w:t>
      </w:r>
      <w:hyperlink w:history="1" r:id="rId7">
        <w:r w:rsidRPr="00DC6EF9" w:rsidR="00152EC5">
          <w:rPr>
            <w:rStyle w:val="Hyperlink"/>
          </w:rPr>
          <w:t>https://www.oecd.org/tax/tax-policy/corporate-tax-statistics-country-by-country-reporting-FAQs.pdf</w:t>
        </w:r>
      </w:hyperlink>
      <w:r>
        <w:t xml:space="preserve"> </w:t>
      </w:r>
    </w:p>
  </w:footnote>
  <w:footnote w:id="13">
    <w:p w:rsidR="006C1544" w:rsidRDefault="006C1544" w14:paraId="250638A5" w14:textId="6FA51DE2">
      <w:pPr>
        <w:pStyle w:val="FootnoteText"/>
      </w:pPr>
      <w:r>
        <w:rPr>
          <w:rStyle w:val="FootnoteReference"/>
        </w:rPr>
        <w:footnoteRef/>
      </w:r>
      <w:r>
        <w:t xml:space="preserve"> OECD, 2022, </w:t>
      </w:r>
      <w:hyperlink w:history="1" r:id="rId8">
        <w:r w:rsidRPr="00DC6EF9" w:rsidR="000E73B9">
          <w:rPr>
            <w:rStyle w:val="Hyperlink"/>
          </w:rPr>
          <w:t>https://www.oecd.org/tax/beps/common-errors-mnes-cbc-reports.pdf</w:t>
        </w:r>
      </w:hyperlink>
      <w:r>
        <w:t xml:space="preserve"> </w:t>
      </w:r>
    </w:p>
  </w:footnote>
  <w:footnote w:id="14">
    <w:p w:rsidR="00AA1995" w:rsidRDefault="00AA1995" w14:paraId="124DBEA1" w14:textId="018E5592">
      <w:pPr>
        <w:pStyle w:val="FootnoteText"/>
      </w:pPr>
      <w:r>
        <w:rPr>
          <w:rStyle w:val="FootnoteReference"/>
        </w:rPr>
        <w:footnoteRef/>
      </w:r>
      <w:r>
        <w:t xml:space="preserve"> Official Journal of the European Union, 20</w:t>
      </w:r>
      <w:r w:rsidR="008E3D7D">
        <w:t xml:space="preserve">21, </w:t>
      </w:r>
      <w:hyperlink w:history="1" r:id="rId9">
        <w:r w:rsidRPr="00DC6EF9" w:rsidR="008E3D7D">
          <w:rPr>
            <w:rStyle w:val="Hyperlink"/>
          </w:rPr>
          <w:t>https://eur-lex.europa.eu/legal-content/EN/TXT/PDF/?uri=CELEX:32021L2101</w:t>
        </w:r>
      </w:hyperlink>
      <w:r>
        <w:t xml:space="preserve"> </w:t>
      </w:r>
    </w:p>
  </w:footnote>
  <w:footnote w:id="15">
    <w:p w:rsidR="00683DF5" w:rsidRDefault="00683DF5" w14:paraId="25539F12" w14:textId="39F6F7E3">
      <w:pPr>
        <w:pStyle w:val="FootnoteText"/>
      </w:pPr>
      <w:r>
        <w:rPr>
          <w:rStyle w:val="FootnoteReference"/>
        </w:rPr>
        <w:footnoteRef/>
      </w:r>
      <w:r>
        <w:t xml:space="preserve"> KPMG, 2023, </w:t>
      </w:r>
      <w:hyperlink w:history="1" r:id="rId10">
        <w:r w:rsidRPr="00DC6EF9">
          <w:rPr>
            <w:rStyle w:val="Hyperlink"/>
          </w:rPr>
          <w:t>https://kpmg.com/xx/en/blogs/home/posts/2022/11/esg-scrutiny-shines-spotlight-on-tax-transparency.html</w:t>
        </w:r>
      </w:hyperlink>
      <w:r>
        <w:t xml:space="preserve"> </w:t>
      </w:r>
    </w:p>
  </w:footnote>
  <w:footnote w:id="16">
    <w:p w:rsidRPr="00076E2B" w:rsidR="007B73BF" w:rsidP="00076E2B" w:rsidRDefault="007B73BF" w14:paraId="41E02407" w14:textId="77777777">
      <w:pPr>
        <w:spacing w:before="0" w:after="0"/>
        <w:rPr>
          <w:sz w:val="20"/>
        </w:rPr>
      </w:pPr>
      <w:r w:rsidRPr="00076E2B">
        <w:rPr>
          <w:rStyle w:val="FootnoteReference"/>
        </w:rPr>
        <w:footnoteRef/>
      </w:r>
      <w:r w:rsidRPr="00076E2B">
        <w:rPr>
          <w:sz w:val="20"/>
        </w:rPr>
        <w:t xml:space="preserve"> Accounting and Business Research, 2019, Volume 49, Issue 5: International Accounting Policy Forum, pp, 565-583</w:t>
      </w:r>
    </w:p>
    <w:p w:rsidR="007B73BF" w:rsidRDefault="007B73BF" w14:paraId="48889D41" w14:textId="4ED2E58D">
      <w:pPr>
        <w:pStyle w:val="FootnoteText"/>
      </w:pPr>
    </w:p>
  </w:footnote>
  <w:footnote w:id="17">
    <w:p w:rsidR="003536FD" w:rsidP="003536FD" w:rsidRDefault="003536FD" w14:paraId="5F57DA0E" w14:textId="77777777">
      <w:pPr>
        <w:pStyle w:val="FootnoteText"/>
      </w:pPr>
      <w:r>
        <w:rPr>
          <w:rStyle w:val="FootnoteReference"/>
        </w:rPr>
        <w:footnoteRef/>
      </w:r>
      <w:r>
        <w:t xml:space="preserve"> ATO, 2022, </w:t>
      </w:r>
      <w:hyperlink w:history="1" r:id="rId11">
        <w:r w:rsidRPr="00DC6EF9">
          <w:rPr>
            <w:rStyle w:val="Hyperlink"/>
          </w:rPr>
          <w:t>https://www.ato.gov.au/About-ATO/Research-and-statistics/In-detail/Tax-gap/Large-corporate-groups-income-tax-gap/</w:t>
        </w:r>
      </w:hyperlink>
      <w:r>
        <w:t xml:space="preserve"> </w:t>
      </w:r>
    </w:p>
  </w:footnote>
  <w:footnote w:id="18">
    <w:p w:rsidR="00486416" w:rsidRDefault="00486416" w14:paraId="225CACAC" w14:textId="2D64E86A">
      <w:pPr>
        <w:pStyle w:val="FootnoteText"/>
      </w:pPr>
      <w:r>
        <w:rPr>
          <w:rStyle w:val="FootnoteReference"/>
        </w:rPr>
        <w:footnoteRef/>
      </w:r>
      <w:r>
        <w:t xml:space="preserve"> </w:t>
      </w:r>
      <w:r w:rsidR="002A3830">
        <w:t>D</w:t>
      </w:r>
      <w:r w:rsidR="00F52FA4">
        <w:t xml:space="preserve">efined </w:t>
      </w:r>
      <w:r w:rsidR="00E43C7A">
        <w:t>as CbC reporting entity</w:t>
      </w:r>
      <w:r w:rsidR="00F52FA4">
        <w:t>, generally an entity with annual global income of A$1 billion or more</w:t>
      </w:r>
      <w:r w:rsidR="002A3830">
        <w:t xml:space="preserve"> (</w:t>
      </w:r>
      <w:r w:rsidRPr="00C72980" w:rsidR="00E43C7A">
        <w:t xml:space="preserve">Subdivision 815-E of the </w:t>
      </w:r>
      <w:r w:rsidRPr="00FD05ED" w:rsidR="00E43C7A">
        <w:rPr>
          <w:i/>
          <w:iCs/>
        </w:rPr>
        <w:t>Income Tax Assessment Act 1997</w:t>
      </w:r>
      <w:r w:rsidR="002A3830">
        <w:t>).</w:t>
      </w:r>
      <w:r w:rsidR="00E43C7A">
        <w:t xml:space="preserve"> Further information on CbC reporting can be found at: </w:t>
      </w:r>
      <w:hyperlink w:history="1" r:id="rId12">
        <w:r w:rsidRPr="00C36D8D" w:rsidR="00E43C7A">
          <w:rPr>
            <w:rStyle w:val="Hyperlink"/>
          </w:rPr>
          <w:t>www.ato.gov.au/business/international-tax-for-business/in-detail/transfer-pricing/country-by-country-reporting/</w:t>
        </w:r>
      </w:hyperlink>
      <w:r w:rsidR="00E43C7A">
        <w:t xml:space="preserve"> </w:t>
      </w:r>
      <w:r w:rsidRPr="009504F4">
        <w:t xml:space="preserve"> </w:t>
      </w:r>
    </w:p>
  </w:footnote>
  <w:footnote w:id="19">
    <w:p w:rsidR="00280C87" w:rsidP="00280C87" w:rsidRDefault="00280C87" w14:paraId="241D54F7" w14:textId="77777777">
      <w:pPr>
        <w:pStyle w:val="FootnoteText"/>
      </w:pPr>
      <w:r>
        <w:rPr>
          <w:rStyle w:val="FootnoteReference"/>
        </w:rPr>
        <w:footnoteRef/>
      </w:r>
      <w:r>
        <w:t xml:space="preserve"> ATO, 2022, </w:t>
      </w:r>
      <w:hyperlink w:history="1" r:id="rId13">
        <w:r w:rsidRPr="00CB484A">
          <w:rPr>
            <w:rStyle w:val="Hyperlink"/>
          </w:rPr>
          <w:t>https://www.transparency.gov.au/annual-reports/australian-taxation-office/reporting-year/2021-22</w:t>
        </w:r>
      </w:hyperlink>
      <w:r>
        <w:t xml:space="preserve"> </w:t>
      </w:r>
    </w:p>
  </w:footnote>
  <w:footnote w:id="20">
    <w:p w:rsidR="00640CB3" w:rsidRDefault="00640CB3" w14:paraId="1DCAA885" w14:textId="6DD5FF7E">
      <w:pPr>
        <w:pStyle w:val="FootnoteText"/>
      </w:pPr>
      <w:r>
        <w:rPr>
          <w:rStyle w:val="FootnoteReference"/>
        </w:rPr>
        <w:footnoteRef/>
      </w:r>
      <w:r>
        <w:t xml:space="preserve"> </w:t>
      </w:r>
      <w:hyperlink w:history="1" r:id="rId14">
        <w:r w:rsidRPr="00950028">
          <w:rPr>
            <w:rStyle w:val="Hyperlink"/>
          </w:rPr>
          <w:t>https://eur-lex.europa.eu/legal-content/EN/TXT/PDF/?uri=CELEX:32021L2101</w:t>
        </w:r>
      </w:hyperlink>
      <w:r>
        <w:t xml:space="preserve"> </w:t>
      </w:r>
    </w:p>
  </w:footnote>
  <w:footnote w:id="21">
    <w:p w:rsidR="00366C09" w:rsidRDefault="00366C09" w14:paraId="01C2ACE7" w14:textId="3E40E280">
      <w:pPr>
        <w:pStyle w:val="FootnoteText"/>
      </w:pPr>
      <w:r>
        <w:rPr>
          <w:rStyle w:val="FootnoteReference"/>
        </w:rPr>
        <w:footnoteRef/>
      </w:r>
      <w:r>
        <w:t xml:space="preserve"> </w:t>
      </w:r>
      <w:hyperlink w:history="1" r:id="rId15">
        <w:r w:rsidRPr="0064620A">
          <w:rPr>
            <w:rStyle w:val="Hyperlink"/>
          </w:rPr>
          <w:t>https://assets.kpmg.com/content/dam/kpmg/se/pdf/komm/2022/Global-Survey-of-Sustainability-Reporting-2022.pdf</w:t>
        </w:r>
      </w:hyperlink>
      <w:r>
        <w:t xml:space="preserve"> </w:t>
      </w:r>
    </w:p>
  </w:footnote>
  <w:footnote w:id="22">
    <w:p w:rsidR="00E31291" w:rsidRDefault="00E31291" w14:paraId="04EF7C79" w14:textId="05F61416">
      <w:pPr>
        <w:pStyle w:val="FootnoteText"/>
      </w:pPr>
      <w:r>
        <w:rPr>
          <w:rStyle w:val="FootnoteReference"/>
        </w:rPr>
        <w:footnoteRef/>
      </w:r>
      <w:r>
        <w:t xml:space="preserve"> </w:t>
      </w:r>
      <w:hyperlink w:history="1" r:id="rId16">
        <w:r w:rsidRPr="00950028">
          <w:rPr>
            <w:rStyle w:val="Hyperlink"/>
          </w:rPr>
          <w:t>https://stats.oecd.org/Index.aspx?DataSetCode=CBCR_TABLEI</w:t>
        </w:r>
      </w:hyperlink>
      <w:r>
        <w:t xml:space="preserve"> </w:t>
      </w:r>
      <w:r w:rsidR="003B41E7">
        <w:t>(Aggregate data reverse engineered)</w:t>
      </w:r>
    </w:p>
  </w:footnote>
  <w:footnote w:id="23">
    <w:p w:rsidR="00964481" w:rsidRDefault="00964481" w14:paraId="60FA3142" w14:textId="7277AB77">
      <w:pPr>
        <w:pStyle w:val="FootnoteText"/>
      </w:pPr>
      <w:r>
        <w:rPr>
          <w:rStyle w:val="FootnoteReference"/>
        </w:rPr>
        <w:footnoteRef/>
      </w:r>
      <w:r>
        <w:t xml:space="preserve"> </w:t>
      </w:r>
      <w:r w:rsidR="00215C95">
        <w:t xml:space="preserve">Estimate has low </w:t>
      </w:r>
      <w:r w:rsidR="00C075FA">
        <w:t>reliability and</w:t>
      </w:r>
      <w:r w:rsidR="00012BCF">
        <w:t xml:space="preserve"> has not been tested</w:t>
      </w:r>
      <w:r w:rsidR="00C504F5">
        <w:t xml:space="preserve">; stakeholders did not respond </w:t>
      </w:r>
      <w:r w:rsidR="00DD0B57">
        <w:t>to questions on regulatory costs in a quantitative way</w:t>
      </w:r>
      <w:r w:rsidR="00012BCF">
        <w:t xml:space="preserve">. </w:t>
      </w:r>
      <w:r w:rsidR="00C50408">
        <w:t>The estimate</w:t>
      </w:r>
      <w:r w:rsidR="00215C95">
        <w:t xml:space="preserve"> is</w:t>
      </w:r>
      <w:r w:rsidR="00897A27">
        <w:t xml:space="preserve"> an average-</w:t>
      </w:r>
      <w:r w:rsidR="00215C95">
        <w:t xml:space="preserve">based </w:t>
      </w:r>
      <w:r w:rsidR="00DF0BC6">
        <w:t>assumption of two</w:t>
      </w:r>
      <w:r w:rsidR="0081066C">
        <w:t xml:space="preserve"> tax advisors with in-house charge rates of $</w:t>
      </w:r>
      <w:r w:rsidR="00027E5A">
        <w:t xml:space="preserve">1,000, for </w:t>
      </w:r>
      <w:r w:rsidR="005A45DA">
        <w:t>5</w:t>
      </w:r>
      <w:r w:rsidR="00027E5A">
        <w:t xml:space="preserve"> hours</w:t>
      </w:r>
      <w:r w:rsidR="00D522F8">
        <w:t>, assessing the law and new obligations</w:t>
      </w:r>
      <w:r w:rsidR="00C122DE">
        <w:t>. It</w:t>
      </w:r>
      <w:r w:rsidR="00897A27">
        <w:t xml:space="preserve"> reflects </w:t>
      </w:r>
      <w:r w:rsidR="00FB2888">
        <w:t>prior allocative efficiencies</w:t>
      </w:r>
      <w:r w:rsidR="00263C2F">
        <w:t>, namely</w:t>
      </w:r>
      <w:r w:rsidR="00200067">
        <w:t>:</w:t>
      </w:r>
      <w:r w:rsidR="00897A27">
        <w:t xml:space="preserve"> </w:t>
      </w:r>
      <w:r w:rsidR="00FD0226">
        <w:t xml:space="preserve">a large population of </w:t>
      </w:r>
      <w:r w:rsidR="00FD3FCC">
        <w:t>CbC reporting entities</w:t>
      </w:r>
      <w:r w:rsidR="00FD0226">
        <w:t xml:space="preserve"> will have already familiarised themselves with the EU Directive</w:t>
      </w:r>
      <w:r w:rsidR="00C122DE">
        <w:t xml:space="preserve"> which has similar disclosures</w:t>
      </w:r>
      <w:r w:rsidR="00200067">
        <w:t>; the</w:t>
      </w:r>
      <w:r w:rsidR="00D93EAE">
        <w:t xml:space="preserve">se same </w:t>
      </w:r>
      <w:r w:rsidR="00FD3FCC">
        <w:t>entities</w:t>
      </w:r>
      <w:r w:rsidR="00D93EAE">
        <w:t xml:space="preserve"> already comply with OECD CbC </w:t>
      </w:r>
      <w:r w:rsidR="00574B92">
        <w:t>reporting</w:t>
      </w:r>
      <w:r w:rsidR="00BB2C6C">
        <w:t>; s</w:t>
      </w:r>
      <w:r w:rsidR="00FD3FCC">
        <w:t xml:space="preserve">ome </w:t>
      </w:r>
      <w:r w:rsidR="00BB2C6C">
        <w:t xml:space="preserve">of these </w:t>
      </w:r>
      <w:r w:rsidR="00FD3FCC">
        <w:t>entities</w:t>
      </w:r>
      <w:r w:rsidR="000269DC">
        <w:t>, including in the extractives industry, already comply with the GRI</w:t>
      </w:r>
      <w:r w:rsidR="00BB2C6C">
        <w:t>; and that MNEs</w:t>
      </w:r>
      <w:r w:rsidR="00833F76">
        <w:t xml:space="preserve"> generally are </w:t>
      </w:r>
      <w:r w:rsidR="00C628DE">
        <w:t>shifting towards enhanced corporate governance</w:t>
      </w:r>
      <w:r w:rsidR="004B78B0">
        <w:t>, reflected</w:t>
      </w:r>
      <w:r w:rsidR="000269DC">
        <w:t xml:space="preserve"> </w:t>
      </w:r>
      <w:r w:rsidR="004B78B0">
        <w:t>in mo</w:t>
      </w:r>
      <w:r w:rsidR="005E5172">
        <w:t xml:space="preserve">re </w:t>
      </w:r>
      <w:r w:rsidR="004B78B0">
        <w:t>d</w:t>
      </w:r>
      <w:r w:rsidR="005E5172">
        <w:t>e</w:t>
      </w:r>
      <w:r w:rsidR="004B78B0">
        <w:t>tailed investor material</w:t>
      </w:r>
      <w:r w:rsidR="005E5172">
        <w:t xml:space="preserve"> on company websites</w:t>
      </w:r>
      <w:r w:rsidR="004B78B0">
        <w:t>.</w:t>
      </w:r>
      <w:r w:rsidR="00D93EAE">
        <w:t xml:space="preserve"> </w:t>
      </w:r>
      <w:r w:rsidR="004B78B0">
        <w:t>The r</w:t>
      </w:r>
      <w:r w:rsidR="00C075FA">
        <w:t>ates are estimates, as charge fees are generally not published.</w:t>
      </w:r>
      <w:r w:rsidR="00FD0226">
        <w:t xml:space="preserve"> </w:t>
      </w:r>
    </w:p>
  </w:footnote>
  <w:footnote w:id="24">
    <w:p w:rsidR="00236E01" w:rsidRDefault="00236E01" w14:paraId="37BA9A73" w14:textId="1E3B7684">
      <w:pPr>
        <w:pStyle w:val="FootnoteText"/>
      </w:pPr>
      <w:r>
        <w:rPr>
          <w:rStyle w:val="FootnoteReference"/>
        </w:rPr>
        <w:footnoteRef/>
      </w:r>
      <w:r>
        <w:t xml:space="preserve"> </w:t>
      </w:r>
      <w:r w:rsidR="000231AD">
        <w:t xml:space="preserve">Unlisted public company data is not published, however </w:t>
      </w:r>
      <w:r w:rsidR="00383231">
        <w:t>based on financial report lodging</w:t>
      </w:r>
      <w:r w:rsidR="00061A95">
        <w:t xml:space="preserve">s </w:t>
      </w:r>
      <w:r w:rsidR="00D03BB7">
        <w:t>with ASIC</w:t>
      </w:r>
      <w:r w:rsidR="00BF05EA">
        <w:t xml:space="preserve"> in the 12 months to 30 June 2022</w:t>
      </w:r>
      <w:r w:rsidR="00D03BB7">
        <w:t xml:space="preserve">, we estimate </w:t>
      </w:r>
      <w:r w:rsidR="003324EC">
        <w:t>around 5,750</w:t>
      </w:r>
      <w:r w:rsidR="00BF05EA">
        <w:t xml:space="preserve"> entities are in scope</w:t>
      </w:r>
      <w:r w:rsidR="003324EC">
        <w:t>.</w:t>
      </w:r>
      <w:r w:rsidR="003572F4">
        <w:t xml:space="preserve"> Additionally, a</w:t>
      </w:r>
      <w:r w:rsidR="003324EC">
        <w:t xml:space="preserve">s </w:t>
      </w:r>
      <w:r w:rsidR="00BC2714">
        <w:t>of</w:t>
      </w:r>
      <w:r w:rsidR="003324EC">
        <w:t xml:space="preserve"> </w:t>
      </w:r>
      <w:r w:rsidR="008C6AB2">
        <w:t>16</w:t>
      </w:r>
      <w:r w:rsidR="003324EC">
        <w:t xml:space="preserve"> May 2023, there</w:t>
      </w:r>
      <w:r w:rsidR="00DC298F">
        <w:t xml:space="preserve"> </w:t>
      </w:r>
      <w:r w:rsidR="00F84123">
        <w:t xml:space="preserve">were </w:t>
      </w:r>
      <w:r w:rsidR="008D40C6">
        <w:t>2,</w:t>
      </w:r>
      <w:r w:rsidR="00F6265A">
        <w:t>110</w:t>
      </w:r>
      <w:r w:rsidR="008D40C6">
        <w:t xml:space="preserve"> ASX or NSX listed Australian formed entities (pu</w:t>
      </w:r>
      <w:r w:rsidR="0011790F">
        <w:t>bli</w:t>
      </w:r>
      <w:r w:rsidR="00435144">
        <w:t>c companies)</w:t>
      </w:r>
      <w:r w:rsidR="00B61700">
        <w:t xml:space="preserve">. </w:t>
      </w:r>
      <w:r w:rsidRPr="00BD76A0" w:rsidR="00BD76A0">
        <w:t xml:space="preserve">https://www2.asx.com.au/markets/trade-our-cash-market/directory </w:t>
      </w:r>
      <w:r w:rsidR="00BD76A0">
        <w:t xml:space="preserve"> </w:t>
      </w:r>
      <w:hyperlink w:history="1" r:id="rId17">
        <w:r w:rsidRPr="00F6265A" w:rsidR="00F6265A">
          <w:rPr>
            <w:rStyle w:val="Hyperlink"/>
          </w:rPr>
          <w:t>https://www.nsx.com.au/marketdata/directory/</w:t>
        </w:r>
      </w:hyperlink>
      <w:r w:rsidR="00B738F9">
        <w:t xml:space="preserve"> </w:t>
      </w:r>
      <w:r w:rsidR="008D40C6">
        <w:t>.</w:t>
      </w:r>
      <w:r w:rsidR="002C52E8">
        <w:t xml:space="preserve"> </w:t>
      </w:r>
    </w:p>
  </w:footnote>
  <w:footnote w:id="25">
    <w:p w:rsidR="007451A8" w:rsidP="007451A8" w:rsidRDefault="007451A8" w14:paraId="468D6083" w14:textId="77777777">
      <w:pPr>
        <w:pStyle w:val="FootnoteText"/>
      </w:pPr>
      <w:r>
        <w:rPr>
          <w:rStyle w:val="FootnoteReference"/>
        </w:rPr>
        <w:footnoteRef/>
      </w:r>
      <w:r>
        <w:t xml:space="preserve"> </w:t>
      </w:r>
      <w:hyperlink w:history="1" r:id="rId18">
        <w:r w:rsidRPr="008611B7">
          <w:rPr>
            <w:rStyle w:val="Hyperlink"/>
          </w:rPr>
          <w:t>https://www.ato.gov.au/General/Tax-and-Corporate-Australia/In-detail/Demographics-of-large-corporate-groups/</w:t>
        </w:r>
      </w:hyperlink>
      <w:r>
        <w:t xml:space="preserve"> </w:t>
      </w:r>
    </w:p>
  </w:footnote>
  <w:footnote w:id="26">
    <w:p w:rsidR="00543281" w:rsidRDefault="00543281" w14:paraId="5AD24AE3" w14:textId="555FDA63">
      <w:pPr>
        <w:pStyle w:val="FootnoteText"/>
      </w:pPr>
      <w:r>
        <w:rPr>
          <w:rStyle w:val="FootnoteReference"/>
        </w:rPr>
        <w:footnoteRef/>
      </w:r>
      <w:r>
        <w:t xml:space="preserve"> </w:t>
      </w:r>
      <w:r w:rsidR="00DA608A">
        <w:t xml:space="preserve">Estimate has not been tested. It is an average-based assumption of </w:t>
      </w:r>
      <w:r w:rsidR="0049135C">
        <w:t>a</w:t>
      </w:r>
      <w:r w:rsidR="00DA608A">
        <w:t xml:space="preserve"> tax advisor </w:t>
      </w:r>
      <w:r w:rsidR="0049135C">
        <w:t xml:space="preserve">and an accounts auditor </w:t>
      </w:r>
      <w:r w:rsidR="00DA608A">
        <w:t xml:space="preserve">with in-house charge rates of $1,000, for 5 hours, assessing the law and new obligations. It reflects that </w:t>
      </w:r>
      <w:r w:rsidR="008C1B89">
        <w:t xml:space="preserve">in-scope </w:t>
      </w:r>
      <w:r w:rsidR="004A6770">
        <w:t>entiti</w:t>
      </w:r>
      <w:r w:rsidR="0083758B">
        <w:t>es</w:t>
      </w:r>
      <w:r w:rsidR="00DA608A">
        <w:t xml:space="preserve"> w</w:t>
      </w:r>
      <w:r w:rsidR="00103267">
        <w:t>ould likely already have the requisite information</w:t>
      </w:r>
      <w:r w:rsidR="00457966">
        <w:t xml:space="preserve"> and systems in place to respond</w:t>
      </w:r>
      <w:r w:rsidR="00DA608A">
        <w:t>.</w:t>
      </w:r>
      <w:r w:rsidR="00457966">
        <w:t xml:space="preserve"> </w:t>
      </w:r>
      <w:r w:rsidR="00FE7CAD">
        <w:t>The rates are estimates, as charge fees are generally not published.</w:t>
      </w:r>
    </w:p>
  </w:footnote>
  <w:footnote w:id="27">
    <w:p w:rsidR="000649E4" w:rsidP="000649E4" w:rsidRDefault="000649E4" w14:paraId="34080DE2" w14:textId="77777777">
      <w:pPr>
        <w:pStyle w:val="FootnoteText"/>
      </w:pPr>
      <w:r>
        <w:rPr>
          <w:rStyle w:val="FootnoteReference"/>
        </w:rPr>
        <w:footnoteRef/>
      </w:r>
      <w:r>
        <w:t xml:space="preserve"> Treasury data, 2023</w:t>
      </w:r>
    </w:p>
  </w:footnote>
  <w:footnote w:id="28">
    <w:p w:rsidR="000649E4" w:rsidP="000649E4" w:rsidRDefault="000649E4" w14:paraId="34095525" w14:textId="77777777">
      <w:pPr>
        <w:pStyle w:val="FootnoteText"/>
      </w:pPr>
      <w:r>
        <w:rPr>
          <w:rStyle w:val="FootnoteReference"/>
        </w:rPr>
        <w:footnoteRef/>
      </w:r>
      <w:r>
        <w:t xml:space="preserve"> </w:t>
      </w:r>
      <w:hyperlink w:history="1" r:id="rId19">
        <w:r w:rsidRPr="00185FF2">
          <w:rPr>
            <w:rStyle w:val="Hyperlink"/>
          </w:rPr>
          <w:t>https://assets.kpmg.com/content/dam/kpmg/xx/pdf/2023/04/eu-public-country-by-country-reporting-latest.pdf</w:t>
        </w:r>
      </w:hyperlink>
      <w:r>
        <w:t xml:space="preserve"> </w:t>
      </w:r>
    </w:p>
  </w:footnote>
  <w:footnote w:id="29">
    <w:p w:rsidR="000649E4" w:rsidP="000649E4" w:rsidRDefault="000649E4" w14:paraId="65142F33" w14:textId="77777777">
      <w:pPr>
        <w:pStyle w:val="FootnoteText"/>
      </w:pPr>
      <w:r>
        <w:rPr>
          <w:rStyle w:val="FootnoteReference"/>
        </w:rPr>
        <w:footnoteRef/>
      </w:r>
      <w:r>
        <w:t xml:space="preserve"> </w:t>
      </w:r>
      <w:hyperlink w:history="1" r:id="rId20">
        <w:r w:rsidRPr="000E0FED">
          <w:rPr>
            <w:rStyle w:val="Hyperlink"/>
          </w:rPr>
          <w:t>https://assets.kpmg.com/content/dam/kpmg/se/pdf/komm/2022/Global-Survey-of-Sustainability-Reporting-2022.pdf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366C09" w:rsidRDefault="00366C09" w14:paraId="41A99302" w14:textId="77777777">
    <w:pPr>
      <w:pStyle w:val="Header"/>
    </w:pPr>
    <w:r>
      <w:rPr>
        <w:noProof/>
      </w:rPr>
      <w:drawing>
        <wp:anchor distT="0" distB="0" distL="114300" distR="114300" simplePos="0" relativeHeight="251658245" behindDoc="1" locked="1" layoutInCell="1" allowOverlap="1" wp14:anchorId="10578BF0" wp14:editId="09A02E3D">
          <wp:simplePos x="0" y="0"/>
          <wp:positionH relativeFrom="page">
            <wp:posOffset>0</wp:posOffset>
          </wp:positionH>
          <wp:positionV relativeFrom="page">
            <wp:posOffset>0</wp:posOffset>
          </wp:positionV>
          <wp:extent cx="7578000" cy="10720800"/>
          <wp:effectExtent l="0" t="0" r="4445" b="444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6C09" w:rsidRDefault="00366C09" w14:paraId="75E21F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6C09" w:rsidRDefault="00366C09" w14:paraId="4E08B672" w14:textId="77777777">
    <w:pPr>
      <w:pStyle w:val="Header"/>
    </w:pPr>
    <w:r>
      <w:rPr>
        <w:noProof/>
      </w:rPr>
      <w:drawing>
        <wp:anchor distT="0" distB="0" distL="114300" distR="114300" simplePos="0" relativeHeight="251658242" behindDoc="1" locked="1" layoutInCell="1" allowOverlap="1" wp14:anchorId="3F27F84A" wp14:editId="7B6D09FE">
          <wp:simplePos x="0" y="0"/>
          <wp:positionH relativeFrom="page">
            <wp:posOffset>0</wp:posOffset>
          </wp:positionH>
          <wp:positionV relativeFrom="page">
            <wp:posOffset>0</wp:posOffset>
          </wp:positionV>
          <wp:extent cx="7570800" cy="104400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6C09" w:rsidRDefault="00366C09" w14:paraId="26448858" w14:textId="77777777">
    <w:pPr>
      <w:pStyle w:val="Header"/>
    </w:pPr>
    <w:r>
      <w:rPr>
        <w:noProof/>
      </w:rPr>
      <w:drawing>
        <wp:anchor distT="0" distB="0" distL="114300" distR="114300" simplePos="0" relativeHeight="251658241" behindDoc="1" locked="1" layoutInCell="1" allowOverlap="1" wp14:anchorId="02AE2289" wp14:editId="6D6F93E5">
          <wp:simplePos x="0" y="0"/>
          <wp:positionH relativeFrom="page">
            <wp:posOffset>0</wp:posOffset>
          </wp:positionH>
          <wp:positionV relativeFrom="page">
            <wp:posOffset>0</wp:posOffset>
          </wp:positionV>
          <wp:extent cx="7570800" cy="104400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2258"/>
    <w:multiLevelType w:val="hybridMultilevel"/>
    <w:tmpl w:val="65305D20"/>
    <w:lvl w:ilvl="0" w:tplc="0526E6CA">
      <w:start w:val="1"/>
      <w:numFmt w:val="bullet"/>
      <w:lvlText w:val="•"/>
      <w:lvlJc w:val="left"/>
      <w:pPr>
        <w:tabs>
          <w:tab w:val="num" w:pos="720"/>
        </w:tabs>
        <w:ind w:left="720" w:hanging="360"/>
      </w:pPr>
      <w:rPr>
        <w:rFonts w:hint="default" w:ascii="Times New Roman" w:hAnsi="Times New Roman"/>
      </w:rPr>
    </w:lvl>
    <w:lvl w:ilvl="1" w:tplc="91AA9D68" w:tentative="1">
      <w:start w:val="1"/>
      <w:numFmt w:val="bullet"/>
      <w:lvlText w:val="•"/>
      <w:lvlJc w:val="left"/>
      <w:pPr>
        <w:tabs>
          <w:tab w:val="num" w:pos="1440"/>
        </w:tabs>
        <w:ind w:left="1440" w:hanging="360"/>
      </w:pPr>
      <w:rPr>
        <w:rFonts w:hint="default" w:ascii="Times New Roman" w:hAnsi="Times New Roman"/>
      </w:rPr>
    </w:lvl>
    <w:lvl w:ilvl="2" w:tplc="1730D1B8" w:tentative="1">
      <w:start w:val="1"/>
      <w:numFmt w:val="bullet"/>
      <w:lvlText w:val="•"/>
      <w:lvlJc w:val="left"/>
      <w:pPr>
        <w:tabs>
          <w:tab w:val="num" w:pos="2160"/>
        </w:tabs>
        <w:ind w:left="2160" w:hanging="360"/>
      </w:pPr>
      <w:rPr>
        <w:rFonts w:hint="default" w:ascii="Times New Roman" w:hAnsi="Times New Roman"/>
      </w:rPr>
    </w:lvl>
    <w:lvl w:ilvl="3" w:tplc="328A1DAA" w:tentative="1">
      <w:start w:val="1"/>
      <w:numFmt w:val="bullet"/>
      <w:lvlText w:val="•"/>
      <w:lvlJc w:val="left"/>
      <w:pPr>
        <w:tabs>
          <w:tab w:val="num" w:pos="2880"/>
        </w:tabs>
        <w:ind w:left="2880" w:hanging="360"/>
      </w:pPr>
      <w:rPr>
        <w:rFonts w:hint="default" w:ascii="Times New Roman" w:hAnsi="Times New Roman"/>
      </w:rPr>
    </w:lvl>
    <w:lvl w:ilvl="4" w:tplc="6FE41670" w:tentative="1">
      <w:start w:val="1"/>
      <w:numFmt w:val="bullet"/>
      <w:lvlText w:val="•"/>
      <w:lvlJc w:val="left"/>
      <w:pPr>
        <w:tabs>
          <w:tab w:val="num" w:pos="3600"/>
        </w:tabs>
        <w:ind w:left="3600" w:hanging="360"/>
      </w:pPr>
      <w:rPr>
        <w:rFonts w:hint="default" w:ascii="Times New Roman" w:hAnsi="Times New Roman"/>
      </w:rPr>
    </w:lvl>
    <w:lvl w:ilvl="5" w:tplc="3ED4AB7C" w:tentative="1">
      <w:start w:val="1"/>
      <w:numFmt w:val="bullet"/>
      <w:lvlText w:val="•"/>
      <w:lvlJc w:val="left"/>
      <w:pPr>
        <w:tabs>
          <w:tab w:val="num" w:pos="4320"/>
        </w:tabs>
        <w:ind w:left="4320" w:hanging="360"/>
      </w:pPr>
      <w:rPr>
        <w:rFonts w:hint="default" w:ascii="Times New Roman" w:hAnsi="Times New Roman"/>
      </w:rPr>
    </w:lvl>
    <w:lvl w:ilvl="6" w:tplc="32BE31E6" w:tentative="1">
      <w:start w:val="1"/>
      <w:numFmt w:val="bullet"/>
      <w:lvlText w:val="•"/>
      <w:lvlJc w:val="left"/>
      <w:pPr>
        <w:tabs>
          <w:tab w:val="num" w:pos="5040"/>
        </w:tabs>
        <w:ind w:left="5040" w:hanging="360"/>
      </w:pPr>
      <w:rPr>
        <w:rFonts w:hint="default" w:ascii="Times New Roman" w:hAnsi="Times New Roman"/>
      </w:rPr>
    </w:lvl>
    <w:lvl w:ilvl="7" w:tplc="A442098A" w:tentative="1">
      <w:start w:val="1"/>
      <w:numFmt w:val="bullet"/>
      <w:lvlText w:val="•"/>
      <w:lvlJc w:val="left"/>
      <w:pPr>
        <w:tabs>
          <w:tab w:val="num" w:pos="5760"/>
        </w:tabs>
        <w:ind w:left="5760" w:hanging="360"/>
      </w:pPr>
      <w:rPr>
        <w:rFonts w:hint="default" w:ascii="Times New Roman" w:hAnsi="Times New Roman"/>
      </w:rPr>
    </w:lvl>
    <w:lvl w:ilvl="8" w:tplc="3CD2AFB6"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07ED3FC7"/>
    <w:multiLevelType w:val="multilevel"/>
    <w:tmpl w:val="79E48CD8"/>
    <w:lvl w:ilvl="0">
      <w:start w:val="1"/>
      <w:numFmt w:val="bullet"/>
      <w:lvlRestart w:val="0"/>
      <w:lvlText w:val="•"/>
      <w:lvlJc w:val="left"/>
      <w:pPr>
        <w:tabs>
          <w:tab w:val="num" w:pos="283"/>
        </w:tabs>
        <w:ind w:left="283" w:hanging="283"/>
      </w:pPr>
      <w:rPr>
        <w:rFonts w:hint="default" w:ascii="Times New Roman" w:hAnsi="Times New Roman" w:cs="Times New Roman"/>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9867F9B"/>
    <w:multiLevelType w:val="multilevel"/>
    <w:tmpl w:val="3F4CB0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A4F3565"/>
    <w:multiLevelType w:val="multilevel"/>
    <w:tmpl w:val="1E1ECD44"/>
    <w:lvl w:ilvl="0">
      <w:start w:val="1"/>
      <w:numFmt w:val="bullet"/>
      <w:lvlText w:val=""/>
      <w:lvlJc w:val="left"/>
      <w:pPr>
        <w:tabs>
          <w:tab w:val="num" w:pos="284"/>
        </w:tabs>
        <w:ind w:left="284" w:hanging="284"/>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091CA0"/>
    <w:multiLevelType w:val="multilevel"/>
    <w:tmpl w:val="DF78A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3A2237"/>
    <w:multiLevelType w:val="hybridMultilevel"/>
    <w:tmpl w:val="9248470E"/>
    <w:lvl w:ilvl="0" w:tplc="790E9372">
      <w:start w:val="1"/>
      <w:numFmt w:val="bullet"/>
      <w:lvlText w:val="•"/>
      <w:lvlJc w:val="left"/>
      <w:pPr>
        <w:tabs>
          <w:tab w:val="num" w:pos="720"/>
        </w:tabs>
        <w:ind w:left="720" w:hanging="360"/>
      </w:pPr>
      <w:rPr>
        <w:rFonts w:hint="default" w:ascii="Times New Roman" w:hAnsi="Times New Roman"/>
      </w:rPr>
    </w:lvl>
    <w:lvl w:ilvl="1" w:tplc="FAE8538A" w:tentative="1">
      <w:start w:val="1"/>
      <w:numFmt w:val="bullet"/>
      <w:lvlText w:val="•"/>
      <w:lvlJc w:val="left"/>
      <w:pPr>
        <w:tabs>
          <w:tab w:val="num" w:pos="1440"/>
        </w:tabs>
        <w:ind w:left="1440" w:hanging="360"/>
      </w:pPr>
      <w:rPr>
        <w:rFonts w:hint="default" w:ascii="Times New Roman" w:hAnsi="Times New Roman"/>
      </w:rPr>
    </w:lvl>
    <w:lvl w:ilvl="2" w:tplc="6186BDB6" w:tentative="1">
      <w:start w:val="1"/>
      <w:numFmt w:val="bullet"/>
      <w:lvlText w:val="•"/>
      <w:lvlJc w:val="left"/>
      <w:pPr>
        <w:tabs>
          <w:tab w:val="num" w:pos="2160"/>
        </w:tabs>
        <w:ind w:left="2160" w:hanging="360"/>
      </w:pPr>
      <w:rPr>
        <w:rFonts w:hint="default" w:ascii="Times New Roman" w:hAnsi="Times New Roman"/>
      </w:rPr>
    </w:lvl>
    <w:lvl w:ilvl="3" w:tplc="74569682" w:tentative="1">
      <w:start w:val="1"/>
      <w:numFmt w:val="bullet"/>
      <w:lvlText w:val="•"/>
      <w:lvlJc w:val="left"/>
      <w:pPr>
        <w:tabs>
          <w:tab w:val="num" w:pos="2880"/>
        </w:tabs>
        <w:ind w:left="2880" w:hanging="360"/>
      </w:pPr>
      <w:rPr>
        <w:rFonts w:hint="default" w:ascii="Times New Roman" w:hAnsi="Times New Roman"/>
      </w:rPr>
    </w:lvl>
    <w:lvl w:ilvl="4" w:tplc="9EC0AA7A" w:tentative="1">
      <w:start w:val="1"/>
      <w:numFmt w:val="bullet"/>
      <w:lvlText w:val="•"/>
      <w:lvlJc w:val="left"/>
      <w:pPr>
        <w:tabs>
          <w:tab w:val="num" w:pos="3600"/>
        </w:tabs>
        <w:ind w:left="3600" w:hanging="360"/>
      </w:pPr>
      <w:rPr>
        <w:rFonts w:hint="default" w:ascii="Times New Roman" w:hAnsi="Times New Roman"/>
      </w:rPr>
    </w:lvl>
    <w:lvl w:ilvl="5" w:tplc="B9EC3466" w:tentative="1">
      <w:start w:val="1"/>
      <w:numFmt w:val="bullet"/>
      <w:lvlText w:val="•"/>
      <w:lvlJc w:val="left"/>
      <w:pPr>
        <w:tabs>
          <w:tab w:val="num" w:pos="4320"/>
        </w:tabs>
        <w:ind w:left="4320" w:hanging="360"/>
      </w:pPr>
      <w:rPr>
        <w:rFonts w:hint="default" w:ascii="Times New Roman" w:hAnsi="Times New Roman"/>
      </w:rPr>
    </w:lvl>
    <w:lvl w:ilvl="6" w:tplc="B0F08F2C" w:tentative="1">
      <w:start w:val="1"/>
      <w:numFmt w:val="bullet"/>
      <w:lvlText w:val="•"/>
      <w:lvlJc w:val="left"/>
      <w:pPr>
        <w:tabs>
          <w:tab w:val="num" w:pos="5040"/>
        </w:tabs>
        <w:ind w:left="5040" w:hanging="360"/>
      </w:pPr>
      <w:rPr>
        <w:rFonts w:hint="default" w:ascii="Times New Roman" w:hAnsi="Times New Roman"/>
      </w:rPr>
    </w:lvl>
    <w:lvl w:ilvl="7" w:tplc="242C02B4" w:tentative="1">
      <w:start w:val="1"/>
      <w:numFmt w:val="bullet"/>
      <w:lvlText w:val="•"/>
      <w:lvlJc w:val="left"/>
      <w:pPr>
        <w:tabs>
          <w:tab w:val="num" w:pos="5760"/>
        </w:tabs>
        <w:ind w:left="5760" w:hanging="360"/>
      </w:pPr>
      <w:rPr>
        <w:rFonts w:hint="default" w:ascii="Times New Roman" w:hAnsi="Times New Roman"/>
      </w:rPr>
    </w:lvl>
    <w:lvl w:ilvl="8" w:tplc="EFAAD4D4" w:tentative="1">
      <w:start w:val="1"/>
      <w:numFmt w:val="bullet"/>
      <w:lvlText w:val="•"/>
      <w:lvlJc w:val="left"/>
      <w:pPr>
        <w:tabs>
          <w:tab w:val="num" w:pos="6480"/>
        </w:tabs>
        <w:ind w:left="6480" w:hanging="360"/>
      </w:pPr>
      <w:rPr>
        <w:rFonts w:hint="default" w:ascii="Times New Roman" w:hAnsi="Times New Roman"/>
      </w:rPr>
    </w:lvl>
  </w:abstractNum>
  <w:abstractNum w:abstractNumId="8" w15:restartNumberingAfterBreak="0">
    <w:nsid w:val="24A576AC"/>
    <w:multiLevelType w:val="multilevel"/>
    <w:tmpl w:val="CFE4DF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955F3A"/>
    <w:multiLevelType w:val="hybridMultilevel"/>
    <w:tmpl w:val="F1E68396"/>
    <w:styleLink w:val="BoxBulletedList"/>
    <w:lvl w:ilvl="0" w:tplc="7DF007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4936C2"/>
    <w:multiLevelType w:val="multilevel"/>
    <w:tmpl w:val="0068D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08C2710"/>
    <w:multiLevelType w:val="multilevel"/>
    <w:tmpl w:val="69DA4F52"/>
    <w:styleLink w:val="BulletedList"/>
    <w:lvl w:ilvl="0">
      <w:start w:val="1"/>
      <w:numFmt w:val="bullet"/>
      <w:lvlRestart w:val="0"/>
      <w:lvlText w:val="•"/>
      <w:lvlJc w:val="left"/>
      <w:pPr>
        <w:tabs>
          <w:tab w:val="num" w:pos="283"/>
        </w:tabs>
        <w:ind w:left="283" w:hanging="283"/>
      </w:pPr>
      <w:rPr>
        <w:rFonts w:hint="default" w:ascii="Times New Roman" w:hAnsi="Times New Roman" w:cs="Times New Roman"/>
        <w:b w:val="0"/>
        <w:i w:val="0"/>
      </w:rPr>
    </w:lvl>
    <w:lvl w:ilvl="1">
      <w:start w:val="1"/>
      <w:numFmt w:val="bullet"/>
      <w:lvlText w:val="–"/>
      <w:lvlJc w:val="left"/>
      <w:pPr>
        <w:tabs>
          <w:tab w:val="num" w:pos="567"/>
        </w:tabs>
        <w:ind w:left="567" w:hanging="284"/>
      </w:pPr>
      <w:rPr>
        <w:rFonts w:hint="default" w:ascii="Times New Roman" w:hAnsi="Times New Roman" w:cs="Times New Roman"/>
        <w:b w:val="0"/>
        <w:i w:val="0"/>
      </w:rPr>
    </w:lvl>
    <w:lvl w:ilvl="2">
      <w:start w:val="1"/>
      <w:numFmt w:val="bullet"/>
      <w:lvlText w:val=":"/>
      <w:lvlJc w:val="left"/>
      <w:pPr>
        <w:tabs>
          <w:tab w:val="num" w:pos="850"/>
        </w:tabs>
        <w:ind w:left="850" w:hanging="283"/>
      </w:pPr>
      <w:rPr>
        <w:rFonts w:hint="default" w:ascii="Times New Roman" w:hAnsi="Times New Roman" w:cs="Times New Roman"/>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hint="default" w:ascii="Arial" w:hAnsi="Arial"/>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7B0AA59E"/>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AE710C"/>
    <w:multiLevelType w:val="multilevel"/>
    <w:tmpl w:val="9FD6715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001FD3"/>
    <w:multiLevelType w:val="multilevel"/>
    <w:tmpl w:val="898E94A0"/>
    <w:lvl w:ilvl="0">
      <w:start w:val="1"/>
      <w:numFmt w:val="bullet"/>
      <w:lvlText w:val=""/>
      <w:lvlJc w:val="left"/>
      <w:pPr>
        <w:tabs>
          <w:tab w:val="num" w:pos="284"/>
        </w:tabs>
        <w:ind w:left="284" w:hanging="284"/>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562FBC"/>
    <w:multiLevelType w:val="hybridMultilevel"/>
    <w:tmpl w:val="154EC384"/>
    <w:lvl w:ilvl="0" w:tplc="46745F12">
      <w:start w:val="1"/>
      <w:numFmt w:val="bullet"/>
      <w:lvlText w:val="•"/>
      <w:lvlJc w:val="left"/>
      <w:pPr>
        <w:tabs>
          <w:tab w:val="num" w:pos="720"/>
        </w:tabs>
        <w:ind w:left="720" w:hanging="360"/>
      </w:pPr>
      <w:rPr>
        <w:rFonts w:hint="default" w:ascii="Times New Roman" w:hAnsi="Times New Roman"/>
      </w:rPr>
    </w:lvl>
    <w:lvl w:ilvl="1" w:tplc="8BACCE16" w:tentative="1">
      <w:start w:val="1"/>
      <w:numFmt w:val="bullet"/>
      <w:lvlText w:val="•"/>
      <w:lvlJc w:val="left"/>
      <w:pPr>
        <w:tabs>
          <w:tab w:val="num" w:pos="1440"/>
        </w:tabs>
        <w:ind w:left="1440" w:hanging="360"/>
      </w:pPr>
      <w:rPr>
        <w:rFonts w:hint="default" w:ascii="Times New Roman" w:hAnsi="Times New Roman"/>
      </w:rPr>
    </w:lvl>
    <w:lvl w:ilvl="2" w:tplc="CF16FC16" w:tentative="1">
      <w:start w:val="1"/>
      <w:numFmt w:val="bullet"/>
      <w:lvlText w:val="•"/>
      <w:lvlJc w:val="left"/>
      <w:pPr>
        <w:tabs>
          <w:tab w:val="num" w:pos="2160"/>
        </w:tabs>
        <w:ind w:left="2160" w:hanging="360"/>
      </w:pPr>
      <w:rPr>
        <w:rFonts w:hint="default" w:ascii="Times New Roman" w:hAnsi="Times New Roman"/>
      </w:rPr>
    </w:lvl>
    <w:lvl w:ilvl="3" w:tplc="81A2B1BC" w:tentative="1">
      <w:start w:val="1"/>
      <w:numFmt w:val="bullet"/>
      <w:lvlText w:val="•"/>
      <w:lvlJc w:val="left"/>
      <w:pPr>
        <w:tabs>
          <w:tab w:val="num" w:pos="2880"/>
        </w:tabs>
        <w:ind w:left="2880" w:hanging="360"/>
      </w:pPr>
      <w:rPr>
        <w:rFonts w:hint="default" w:ascii="Times New Roman" w:hAnsi="Times New Roman"/>
      </w:rPr>
    </w:lvl>
    <w:lvl w:ilvl="4" w:tplc="EA58B50C" w:tentative="1">
      <w:start w:val="1"/>
      <w:numFmt w:val="bullet"/>
      <w:lvlText w:val="•"/>
      <w:lvlJc w:val="left"/>
      <w:pPr>
        <w:tabs>
          <w:tab w:val="num" w:pos="3600"/>
        </w:tabs>
        <w:ind w:left="3600" w:hanging="360"/>
      </w:pPr>
      <w:rPr>
        <w:rFonts w:hint="default" w:ascii="Times New Roman" w:hAnsi="Times New Roman"/>
      </w:rPr>
    </w:lvl>
    <w:lvl w:ilvl="5" w:tplc="0652DE00" w:tentative="1">
      <w:start w:val="1"/>
      <w:numFmt w:val="bullet"/>
      <w:lvlText w:val="•"/>
      <w:lvlJc w:val="left"/>
      <w:pPr>
        <w:tabs>
          <w:tab w:val="num" w:pos="4320"/>
        </w:tabs>
        <w:ind w:left="4320" w:hanging="360"/>
      </w:pPr>
      <w:rPr>
        <w:rFonts w:hint="default" w:ascii="Times New Roman" w:hAnsi="Times New Roman"/>
      </w:rPr>
    </w:lvl>
    <w:lvl w:ilvl="6" w:tplc="5F7C8F98" w:tentative="1">
      <w:start w:val="1"/>
      <w:numFmt w:val="bullet"/>
      <w:lvlText w:val="•"/>
      <w:lvlJc w:val="left"/>
      <w:pPr>
        <w:tabs>
          <w:tab w:val="num" w:pos="5040"/>
        </w:tabs>
        <w:ind w:left="5040" w:hanging="360"/>
      </w:pPr>
      <w:rPr>
        <w:rFonts w:hint="default" w:ascii="Times New Roman" w:hAnsi="Times New Roman"/>
      </w:rPr>
    </w:lvl>
    <w:lvl w:ilvl="7" w:tplc="49DC0DFE" w:tentative="1">
      <w:start w:val="1"/>
      <w:numFmt w:val="bullet"/>
      <w:lvlText w:val="•"/>
      <w:lvlJc w:val="left"/>
      <w:pPr>
        <w:tabs>
          <w:tab w:val="num" w:pos="5760"/>
        </w:tabs>
        <w:ind w:left="5760" w:hanging="360"/>
      </w:pPr>
      <w:rPr>
        <w:rFonts w:hint="default" w:ascii="Times New Roman" w:hAnsi="Times New Roman"/>
      </w:rPr>
    </w:lvl>
    <w:lvl w:ilvl="8" w:tplc="3D72AC4A" w:tentative="1">
      <w:start w:val="1"/>
      <w:numFmt w:val="bullet"/>
      <w:lvlText w:val="•"/>
      <w:lvlJc w:val="left"/>
      <w:pPr>
        <w:tabs>
          <w:tab w:val="num" w:pos="6480"/>
        </w:tabs>
        <w:ind w:left="6480" w:hanging="360"/>
      </w:pPr>
      <w:rPr>
        <w:rFonts w:hint="default" w:ascii="Times New Roman" w:hAnsi="Times New Roman"/>
      </w:rPr>
    </w:lvl>
  </w:abstractNum>
  <w:abstractNum w:abstractNumId="18" w15:restartNumberingAfterBreak="0">
    <w:nsid w:val="4FB8020C"/>
    <w:multiLevelType w:val="multilevel"/>
    <w:tmpl w:val="4FACEC1A"/>
    <w:lvl w:ilvl="0">
      <w:start w:val="1"/>
      <w:numFmt w:val="bullet"/>
      <w:lvlText w:val=""/>
      <w:lvlJc w:val="left"/>
      <w:pPr>
        <w:tabs>
          <w:tab w:val="num" w:pos="284"/>
        </w:tabs>
        <w:ind w:left="284" w:hanging="284"/>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563BD8"/>
    <w:multiLevelType w:val="hybridMultilevel"/>
    <w:tmpl w:val="5DB45D5E"/>
    <w:lvl w:ilvl="0" w:tplc="FD2C367A">
      <w:start w:val="53"/>
      <w:numFmt w:val="bullet"/>
      <w:lvlText w:val=""/>
      <w:lvlJc w:val="left"/>
      <w:pPr>
        <w:ind w:left="720" w:hanging="360"/>
      </w:pPr>
      <w:rPr>
        <w:rFonts w:hint="default" w:ascii="Symbol" w:hAnsi="Symbol" w:eastAsiaTheme="minorHAnsi" w:cstheme="minorHAns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3CD68B8"/>
    <w:multiLevelType w:val="hybridMultilevel"/>
    <w:tmpl w:val="DE66A1A8"/>
    <w:lvl w:ilvl="0" w:tplc="239A2812">
      <w:start w:val="1"/>
      <w:numFmt w:val="bullet"/>
      <w:pStyle w:val="Bullets"/>
      <w:lvlText w:val=""/>
      <w:lvlJc w:val="left"/>
      <w:pPr>
        <w:ind w:left="720" w:hanging="360"/>
      </w:pPr>
      <w:rPr>
        <w:rFonts w:hint="default" w:ascii="Symbol" w:hAnsi="Symbol"/>
        <w:color w:val="2C384A" w:themeColor="accent1"/>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505494B"/>
    <w:multiLevelType w:val="multilevel"/>
    <w:tmpl w:val="43AEB8B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9552EBE"/>
    <w:multiLevelType w:val="hybridMultilevel"/>
    <w:tmpl w:val="E3805350"/>
    <w:lvl w:ilvl="0" w:tplc="9294D104">
      <w:start w:val="1"/>
      <w:numFmt w:val="bullet"/>
      <w:lvlText w:val="•"/>
      <w:lvlJc w:val="left"/>
      <w:pPr>
        <w:tabs>
          <w:tab w:val="num" w:pos="720"/>
        </w:tabs>
        <w:ind w:left="720" w:hanging="360"/>
      </w:pPr>
      <w:rPr>
        <w:rFonts w:hint="default" w:ascii="Times New Roman" w:hAnsi="Times New Roman"/>
      </w:rPr>
    </w:lvl>
    <w:lvl w:ilvl="1" w:tplc="2D58ECA2" w:tentative="1">
      <w:start w:val="1"/>
      <w:numFmt w:val="bullet"/>
      <w:lvlText w:val="•"/>
      <w:lvlJc w:val="left"/>
      <w:pPr>
        <w:tabs>
          <w:tab w:val="num" w:pos="1440"/>
        </w:tabs>
        <w:ind w:left="1440" w:hanging="360"/>
      </w:pPr>
      <w:rPr>
        <w:rFonts w:hint="default" w:ascii="Times New Roman" w:hAnsi="Times New Roman"/>
      </w:rPr>
    </w:lvl>
    <w:lvl w:ilvl="2" w:tplc="B70615A4" w:tentative="1">
      <w:start w:val="1"/>
      <w:numFmt w:val="bullet"/>
      <w:lvlText w:val="•"/>
      <w:lvlJc w:val="left"/>
      <w:pPr>
        <w:tabs>
          <w:tab w:val="num" w:pos="2160"/>
        </w:tabs>
        <w:ind w:left="2160" w:hanging="360"/>
      </w:pPr>
      <w:rPr>
        <w:rFonts w:hint="default" w:ascii="Times New Roman" w:hAnsi="Times New Roman"/>
      </w:rPr>
    </w:lvl>
    <w:lvl w:ilvl="3" w:tplc="8826AC16" w:tentative="1">
      <w:start w:val="1"/>
      <w:numFmt w:val="bullet"/>
      <w:lvlText w:val="•"/>
      <w:lvlJc w:val="left"/>
      <w:pPr>
        <w:tabs>
          <w:tab w:val="num" w:pos="2880"/>
        </w:tabs>
        <w:ind w:left="2880" w:hanging="360"/>
      </w:pPr>
      <w:rPr>
        <w:rFonts w:hint="default" w:ascii="Times New Roman" w:hAnsi="Times New Roman"/>
      </w:rPr>
    </w:lvl>
    <w:lvl w:ilvl="4" w:tplc="5AE8E664" w:tentative="1">
      <w:start w:val="1"/>
      <w:numFmt w:val="bullet"/>
      <w:lvlText w:val="•"/>
      <w:lvlJc w:val="left"/>
      <w:pPr>
        <w:tabs>
          <w:tab w:val="num" w:pos="3600"/>
        </w:tabs>
        <w:ind w:left="3600" w:hanging="360"/>
      </w:pPr>
      <w:rPr>
        <w:rFonts w:hint="default" w:ascii="Times New Roman" w:hAnsi="Times New Roman"/>
      </w:rPr>
    </w:lvl>
    <w:lvl w:ilvl="5" w:tplc="28A6D82E" w:tentative="1">
      <w:start w:val="1"/>
      <w:numFmt w:val="bullet"/>
      <w:lvlText w:val="•"/>
      <w:lvlJc w:val="left"/>
      <w:pPr>
        <w:tabs>
          <w:tab w:val="num" w:pos="4320"/>
        </w:tabs>
        <w:ind w:left="4320" w:hanging="360"/>
      </w:pPr>
      <w:rPr>
        <w:rFonts w:hint="default" w:ascii="Times New Roman" w:hAnsi="Times New Roman"/>
      </w:rPr>
    </w:lvl>
    <w:lvl w:ilvl="6" w:tplc="EBE4294E" w:tentative="1">
      <w:start w:val="1"/>
      <w:numFmt w:val="bullet"/>
      <w:lvlText w:val="•"/>
      <w:lvlJc w:val="left"/>
      <w:pPr>
        <w:tabs>
          <w:tab w:val="num" w:pos="5040"/>
        </w:tabs>
        <w:ind w:left="5040" w:hanging="360"/>
      </w:pPr>
      <w:rPr>
        <w:rFonts w:hint="default" w:ascii="Times New Roman" w:hAnsi="Times New Roman"/>
      </w:rPr>
    </w:lvl>
    <w:lvl w:ilvl="7" w:tplc="F71C8F1E" w:tentative="1">
      <w:start w:val="1"/>
      <w:numFmt w:val="bullet"/>
      <w:lvlText w:val="•"/>
      <w:lvlJc w:val="left"/>
      <w:pPr>
        <w:tabs>
          <w:tab w:val="num" w:pos="5760"/>
        </w:tabs>
        <w:ind w:left="5760" w:hanging="360"/>
      </w:pPr>
      <w:rPr>
        <w:rFonts w:hint="default" w:ascii="Times New Roman" w:hAnsi="Times New Roman"/>
      </w:rPr>
    </w:lvl>
    <w:lvl w:ilvl="8" w:tplc="11543198" w:tentative="1">
      <w:start w:val="1"/>
      <w:numFmt w:val="bullet"/>
      <w:lvlText w:val="•"/>
      <w:lvlJc w:val="left"/>
      <w:pPr>
        <w:tabs>
          <w:tab w:val="num" w:pos="6480"/>
        </w:tabs>
        <w:ind w:left="6480" w:hanging="360"/>
      </w:pPr>
      <w:rPr>
        <w:rFonts w:hint="default" w:ascii="Times New Roman" w:hAnsi="Times New Roman"/>
      </w:rPr>
    </w:lvl>
  </w:abstractNum>
  <w:abstractNum w:abstractNumId="23" w15:restartNumberingAfterBreak="0">
    <w:nsid w:val="6A1A32B0"/>
    <w:multiLevelType w:val="multilevel"/>
    <w:tmpl w:val="90BC0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C791F3A"/>
    <w:multiLevelType w:val="hybridMultilevel"/>
    <w:tmpl w:val="3C9EEC3A"/>
    <w:lvl w:ilvl="0" w:tplc="F5C8B38A">
      <w:start w:val="1"/>
      <w:numFmt w:val="bullet"/>
      <w:lvlText w:val="•"/>
      <w:lvlJc w:val="left"/>
      <w:pPr>
        <w:tabs>
          <w:tab w:val="num" w:pos="720"/>
        </w:tabs>
        <w:ind w:left="720" w:hanging="360"/>
      </w:pPr>
      <w:rPr>
        <w:rFonts w:hint="default" w:ascii="Times New Roman" w:hAnsi="Times New Roman"/>
      </w:rPr>
    </w:lvl>
    <w:lvl w:ilvl="1" w:tplc="4924794A" w:tentative="1">
      <w:start w:val="1"/>
      <w:numFmt w:val="bullet"/>
      <w:lvlText w:val="•"/>
      <w:lvlJc w:val="left"/>
      <w:pPr>
        <w:tabs>
          <w:tab w:val="num" w:pos="1440"/>
        </w:tabs>
        <w:ind w:left="1440" w:hanging="360"/>
      </w:pPr>
      <w:rPr>
        <w:rFonts w:hint="default" w:ascii="Times New Roman" w:hAnsi="Times New Roman"/>
      </w:rPr>
    </w:lvl>
    <w:lvl w:ilvl="2" w:tplc="ACF6F93C" w:tentative="1">
      <w:start w:val="1"/>
      <w:numFmt w:val="bullet"/>
      <w:lvlText w:val="•"/>
      <w:lvlJc w:val="left"/>
      <w:pPr>
        <w:tabs>
          <w:tab w:val="num" w:pos="2160"/>
        </w:tabs>
        <w:ind w:left="2160" w:hanging="360"/>
      </w:pPr>
      <w:rPr>
        <w:rFonts w:hint="default" w:ascii="Times New Roman" w:hAnsi="Times New Roman"/>
      </w:rPr>
    </w:lvl>
    <w:lvl w:ilvl="3" w:tplc="0366CA1E" w:tentative="1">
      <w:start w:val="1"/>
      <w:numFmt w:val="bullet"/>
      <w:lvlText w:val="•"/>
      <w:lvlJc w:val="left"/>
      <w:pPr>
        <w:tabs>
          <w:tab w:val="num" w:pos="2880"/>
        </w:tabs>
        <w:ind w:left="2880" w:hanging="360"/>
      </w:pPr>
      <w:rPr>
        <w:rFonts w:hint="default" w:ascii="Times New Roman" w:hAnsi="Times New Roman"/>
      </w:rPr>
    </w:lvl>
    <w:lvl w:ilvl="4" w:tplc="78002168" w:tentative="1">
      <w:start w:val="1"/>
      <w:numFmt w:val="bullet"/>
      <w:lvlText w:val="•"/>
      <w:lvlJc w:val="left"/>
      <w:pPr>
        <w:tabs>
          <w:tab w:val="num" w:pos="3600"/>
        </w:tabs>
        <w:ind w:left="3600" w:hanging="360"/>
      </w:pPr>
      <w:rPr>
        <w:rFonts w:hint="default" w:ascii="Times New Roman" w:hAnsi="Times New Roman"/>
      </w:rPr>
    </w:lvl>
    <w:lvl w:ilvl="5" w:tplc="021A0860" w:tentative="1">
      <w:start w:val="1"/>
      <w:numFmt w:val="bullet"/>
      <w:lvlText w:val="•"/>
      <w:lvlJc w:val="left"/>
      <w:pPr>
        <w:tabs>
          <w:tab w:val="num" w:pos="4320"/>
        </w:tabs>
        <w:ind w:left="4320" w:hanging="360"/>
      </w:pPr>
      <w:rPr>
        <w:rFonts w:hint="default" w:ascii="Times New Roman" w:hAnsi="Times New Roman"/>
      </w:rPr>
    </w:lvl>
    <w:lvl w:ilvl="6" w:tplc="CFF8D71C" w:tentative="1">
      <w:start w:val="1"/>
      <w:numFmt w:val="bullet"/>
      <w:lvlText w:val="•"/>
      <w:lvlJc w:val="left"/>
      <w:pPr>
        <w:tabs>
          <w:tab w:val="num" w:pos="5040"/>
        </w:tabs>
        <w:ind w:left="5040" w:hanging="360"/>
      </w:pPr>
      <w:rPr>
        <w:rFonts w:hint="default" w:ascii="Times New Roman" w:hAnsi="Times New Roman"/>
      </w:rPr>
    </w:lvl>
    <w:lvl w:ilvl="7" w:tplc="D6FE4A32" w:tentative="1">
      <w:start w:val="1"/>
      <w:numFmt w:val="bullet"/>
      <w:lvlText w:val="•"/>
      <w:lvlJc w:val="left"/>
      <w:pPr>
        <w:tabs>
          <w:tab w:val="num" w:pos="5760"/>
        </w:tabs>
        <w:ind w:left="5760" w:hanging="360"/>
      </w:pPr>
      <w:rPr>
        <w:rFonts w:hint="default" w:ascii="Times New Roman" w:hAnsi="Times New Roman"/>
      </w:rPr>
    </w:lvl>
    <w:lvl w:ilvl="8" w:tplc="D1D8D254" w:tentative="1">
      <w:start w:val="1"/>
      <w:numFmt w:val="bullet"/>
      <w:lvlText w:val="•"/>
      <w:lvlJc w:val="left"/>
      <w:pPr>
        <w:tabs>
          <w:tab w:val="num" w:pos="6480"/>
        </w:tabs>
        <w:ind w:left="6480" w:hanging="360"/>
      </w:pPr>
      <w:rPr>
        <w:rFonts w:hint="default" w:ascii="Times New Roman" w:hAnsi="Times New Roman"/>
      </w:rPr>
    </w:lvl>
  </w:abstractNum>
  <w:abstractNum w:abstractNumId="25" w15:restartNumberingAfterBreak="0">
    <w:nsid w:val="74D55DA4"/>
    <w:multiLevelType w:val="multilevel"/>
    <w:tmpl w:val="EF20514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087"/>
        </w:tabs>
        <w:ind w:left="1087" w:hanging="520"/>
      </w:pPr>
      <w:rPr>
        <w:rFonts w:ascii="Times New Roman" w:hAnsi="Times New Roman" w:cs="Times New Roman"/>
      </w:rPr>
    </w:lvl>
    <w:lvl w:ilvl="2">
      <w:start w:val="1"/>
      <w:numFmt w:val="bullet"/>
      <w:lvlText w:val=":"/>
      <w:lvlJc w:val="left"/>
      <w:pPr>
        <w:tabs>
          <w:tab w:val="num" w:pos="1607"/>
        </w:tabs>
        <w:ind w:left="1607"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6F26231"/>
    <w:multiLevelType w:val="hybridMultilevel"/>
    <w:tmpl w:val="C5889A8E"/>
    <w:lvl w:ilvl="0" w:tplc="9208CC8E">
      <w:start w:val="1"/>
      <w:numFmt w:val="bullet"/>
      <w:pStyle w:val="CABBulletList"/>
      <w:lvlText w:val=""/>
      <w:lvlJc w:val="left"/>
      <w:pPr>
        <w:ind w:left="284" w:hanging="284"/>
      </w:pPr>
      <w:rPr>
        <w:rFonts w:hint="default" w:ascii="Symbol" w:hAnsi="Symbol"/>
        <w:color w:val="auto"/>
      </w:rPr>
    </w:lvl>
    <w:lvl w:ilvl="1" w:tplc="03C28F04">
      <w:start w:val="1"/>
      <w:numFmt w:val="bullet"/>
      <w:lvlText w:val="o"/>
      <w:lvlJc w:val="left"/>
      <w:pPr>
        <w:ind w:left="1440" w:hanging="360"/>
      </w:pPr>
      <w:rPr>
        <w:rFonts w:hint="default" w:ascii="Courier New" w:hAnsi="Courier New" w:cs="Times New Roman"/>
      </w:rPr>
    </w:lvl>
    <w:lvl w:ilvl="2" w:tplc="159451B4">
      <w:start w:val="1"/>
      <w:numFmt w:val="bullet"/>
      <w:lvlText w:val=""/>
      <w:lvlJc w:val="left"/>
      <w:pPr>
        <w:ind w:left="2160" w:hanging="360"/>
      </w:pPr>
      <w:rPr>
        <w:rFonts w:hint="default" w:ascii="Wingdings" w:hAnsi="Wingdings"/>
      </w:rPr>
    </w:lvl>
    <w:lvl w:ilvl="3" w:tplc="E5220116">
      <w:start w:val="1"/>
      <w:numFmt w:val="bullet"/>
      <w:lvlText w:val=""/>
      <w:lvlJc w:val="left"/>
      <w:pPr>
        <w:ind w:left="2880" w:hanging="360"/>
      </w:pPr>
      <w:rPr>
        <w:rFonts w:hint="default" w:ascii="Symbol" w:hAnsi="Symbol"/>
      </w:rPr>
    </w:lvl>
    <w:lvl w:ilvl="4" w:tplc="FD2E59D6">
      <w:start w:val="1"/>
      <w:numFmt w:val="bullet"/>
      <w:lvlText w:val="o"/>
      <w:lvlJc w:val="left"/>
      <w:pPr>
        <w:ind w:left="3600" w:hanging="360"/>
      </w:pPr>
      <w:rPr>
        <w:rFonts w:hint="default" w:ascii="Courier New" w:hAnsi="Courier New" w:cs="Times New Roman"/>
      </w:rPr>
    </w:lvl>
    <w:lvl w:ilvl="5" w:tplc="B93492DA">
      <w:start w:val="1"/>
      <w:numFmt w:val="bullet"/>
      <w:lvlText w:val=""/>
      <w:lvlJc w:val="left"/>
      <w:pPr>
        <w:ind w:left="4320" w:hanging="360"/>
      </w:pPr>
      <w:rPr>
        <w:rFonts w:hint="default" w:ascii="Wingdings" w:hAnsi="Wingdings"/>
      </w:rPr>
    </w:lvl>
    <w:lvl w:ilvl="6" w:tplc="445AB7AA">
      <w:start w:val="1"/>
      <w:numFmt w:val="bullet"/>
      <w:lvlText w:val=""/>
      <w:lvlJc w:val="left"/>
      <w:pPr>
        <w:ind w:left="5040" w:hanging="360"/>
      </w:pPr>
      <w:rPr>
        <w:rFonts w:hint="default" w:ascii="Symbol" w:hAnsi="Symbol"/>
      </w:rPr>
    </w:lvl>
    <w:lvl w:ilvl="7" w:tplc="71AC38F2">
      <w:start w:val="1"/>
      <w:numFmt w:val="bullet"/>
      <w:lvlText w:val="o"/>
      <w:lvlJc w:val="left"/>
      <w:pPr>
        <w:ind w:left="5760" w:hanging="360"/>
      </w:pPr>
      <w:rPr>
        <w:rFonts w:hint="default" w:ascii="Courier New" w:hAnsi="Courier New" w:cs="Times New Roman"/>
      </w:rPr>
    </w:lvl>
    <w:lvl w:ilvl="8" w:tplc="020856B8">
      <w:start w:val="1"/>
      <w:numFmt w:val="bullet"/>
      <w:lvlText w:val=""/>
      <w:lvlJc w:val="left"/>
      <w:pPr>
        <w:ind w:left="6480" w:hanging="360"/>
      </w:pPr>
      <w:rPr>
        <w:rFonts w:hint="default" w:ascii="Wingdings" w:hAnsi="Wingdings"/>
      </w:rPr>
    </w:lvl>
  </w:abstractNum>
  <w:abstractNum w:abstractNumId="27" w15:restartNumberingAfterBreak="0">
    <w:nsid w:val="78B16110"/>
    <w:multiLevelType w:val="multilevel"/>
    <w:tmpl w:val="3DC63FC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D6B5224"/>
    <w:multiLevelType w:val="multilevel"/>
    <w:tmpl w:val="57000EF8"/>
    <w:styleLink w:val="OneLevel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1624751">
    <w:abstractNumId w:val="27"/>
  </w:num>
  <w:num w:numId="2" w16cid:durableId="2028939402">
    <w:abstractNumId w:val="1"/>
  </w:num>
  <w:num w:numId="3" w16cid:durableId="1810511828">
    <w:abstractNumId w:val="12"/>
  </w:num>
  <w:num w:numId="4" w16cid:durableId="431972095">
    <w:abstractNumId w:val="13"/>
  </w:num>
  <w:num w:numId="5" w16cid:durableId="210848128">
    <w:abstractNumId w:val="14"/>
  </w:num>
  <w:num w:numId="6" w16cid:durableId="1833713478">
    <w:abstractNumId w:val="4"/>
  </w:num>
  <w:num w:numId="7" w16cid:durableId="1039477548">
    <w:abstractNumId w:val="9"/>
  </w:num>
  <w:num w:numId="8" w16cid:durableId="821043678">
    <w:abstractNumId w:val="6"/>
  </w:num>
  <w:num w:numId="9" w16cid:durableId="1138493670">
    <w:abstractNumId w:val="28"/>
  </w:num>
  <w:num w:numId="10" w16cid:durableId="2013138249">
    <w:abstractNumId w:val="20"/>
  </w:num>
  <w:num w:numId="11" w16cid:durableId="622885997">
    <w:abstractNumId w:val="15"/>
  </w:num>
  <w:num w:numId="12" w16cid:durableId="936911773">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3600458">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4583110">
    <w:abstractNumId w:val="10"/>
  </w:num>
  <w:num w:numId="15" w16cid:durableId="1256863791">
    <w:abstractNumId w:val="8"/>
  </w:num>
  <w:num w:numId="16" w16cid:durableId="1733380755">
    <w:abstractNumId w:val="11"/>
  </w:num>
  <w:num w:numId="17" w16cid:durableId="2137139833">
    <w:abstractNumId w:val="5"/>
  </w:num>
  <w:num w:numId="18" w16cid:durableId="1402485257">
    <w:abstractNumId w:val="2"/>
  </w:num>
  <w:num w:numId="19" w16cid:durableId="1807120100">
    <w:abstractNumId w:val="23"/>
  </w:num>
  <w:num w:numId="20" w16cid:durableId="1894653503">
    <w:abstractNumId w:val="26"/>
  </w:num>
  <w:num w:numId="21" w16cid:durableId="300967766">
    <w:abstractNumId w:val="26"/>
  </w:num>
  <w:num w:numId="22" w16cid:durableId="24252660">
    <w:abstractNumId w:val="21"/>
  </w:num>
  <w:num w:numId="23" w16cid:durableId="2136294182">
    <w:abstractNumId w:val="19"/>
  </w:num>
  <w:num w:numId="24" w16cid:durableId="1385837435">
    <w:abstractNumId w:val="18"/>
  </w:num>
  <w:num w:numId="25" w16cid:durableId="1608732306">
    <w:abstractNumId w:val="3"/>
  </w:num>
  <w:num w:numId="26" w16cid:durableId="574244348">
    <w:abstractNumId w:val="16"/>
  </w:num>
  <w:num w:numId="27" w16cid:durableId="2041280255">
    <w:abstractNumId w:val="27"/>
  </w:num>
  <w:num w:numId="28" w16cid:durableId="984239001">
    <w:abstractNumId w:val="25"/>
  </w:num>
  <w:num w:numId="29" w16cid:durableId="1118328466">
    <w:abstractNumId w:val="17"/>
  </w:num>
  <w:num w:numId="30" w16cid:durableId="895161256">
    <w:abstractNumId w:val="24"/>
  </w:num>
  <w:num w:numId="31" w16cid:durableId="963925684">
    <w:abstractNumId w:val="0"/>
  </w:num>
  <w:num w:numId="32" w16cid:durableId="527453139">
    <w:abstractNumId w:val="7"/>
  </w:num>
  <w:num w:numId="33" w16cid:durableId="1316757005">
    <w:abstractNumId w:val="22"/>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FC"/>
    <w:rsid w:val="000006F0"/>
    <w:rsid w:val="00000802"/>
    <w:rsid w:val="00000B73"/>
    <w:rsid w:val="00000F0D"/>
    <w:rsid w:val="00001976"/>
    <w:rsid w:val="00001AEF"/>
    <w:rsid w:val="00001B14"/>
    <w:rsid w:val="00001D78"/>
    <w:rsid w:val="00001E55"/>
    <w:rsid w:val="00002487"/>
    <w:rsid w:val="000026DF"/>
    <w:rsid w:val="000029B1"/>
    <w:rsid w:val="000029ED"/>
    <w:rsid w:val="00002AFA"/>
    <w:rsid w:val="00002E4B"/>
    <w:rsid w:val="000032E8"/>
    <w:rsid w:val="00003344"/>
    <w:rsid w:val="00003427"/>
    <w:rsid w:val="00003472"/>
    <w:rsid w:val="00003C3D"/>
    <w:rsid w:val="000040FB"/>
    <w:rsid w:val="000042B0"/>
    <w:rsid w:val="00004C77"/>
    <w:rsid w:val="00004C87"/>
    <w:rsid w:val="000054C6"/>
    <w:rsid w:val="000054D3"/>
    <w:rsid w:val="0000582F"/>
    <w:rsid w:val="0000599A"/>
    <w:rsid w:val="00005A21"/>
    <w:rsid w:val="00005A61"/>
    <w:rsid w:val="00005DC0"/>
    <w:rsid w:val="00005F97"/>
    <w:rsid w:val="00006192"/>
    <w:rsid w:val="0000693D"/>
    <w:rsid w:val="0000695C"/>
    <w:rsid w:val="00006A80"/>
    <w:rsid w:val="00006CD6"/>
    <w:rsid w:val="00006FC5"/>
    <w:rsid w:val="00007114"/>
    <w:rsid w:val="0000735E"/>
    <w:rsid w:val="00007516"/>
    <w:rsid w:val="0000765F"/>
    <w:rsid w:val="0000776E"/>
    <w:rsid w:val="0000795F"/>
    <w:rsid w:val="00007B4D"/>
    <w:rsid w:val="00010CDA"/>
    <w:rsid w:val="00011057"/>
    <w:rsid w:val="00011645"/>
    <w:rsid w:val="00011DD4"/>
    <w:rsid w:val="000128BB"/>
    <w:rsid w:val="00012944"/>
    <w:rsid w:val="00012B7C"/>
    <w:rsid w:val="00012BCF"/>
    <w:rsid w:val="000131F6"/>
    <w:rsid w:val="00013774"/>
    <w:rsid w:val="0001380D"/>
    <w:rsid w:val="000139ED"/>
    <w:rsid w:val="0001408F"/>
    <w:rsid w:val="000144DB"/>
    <w:rsid w:val="00015178"/>
    <w:rsid w:val="0001562F"/>
    <w:rsid w:val="0001565B"/>
    <w:rsid w:val="000157E4"/>
    <w:rsid w:val="00015D56"/>
    <w:rsid w:val="00016B31"/>
    <w:rsid w:val="00016BC0"/>
    <w:rsid w:val="0001718F"/>
    <w:rsid w:val="0001740B"/>
    <w:rsid w:val="00017469"/>
    <w:rsid w:val="000175A2"/>
    <w:rsid w:val="0001778E"/>
    <w:rsid w:val="0001798D"/>
    <w:rsid w:val="00017A48"/>
    <w:rsid w:val="00017D44"/>
    <w:rsid w:val="000200AA"/>
    <w:rsid w:val="000202AE"/>
    <w:rsid w:val="0002047B"/>
    <w:rsid w:val="000208B4"/>
    <w:rsid w:val="000208DC"/>
    <w:rsid w:val="00020C50"/>
    <w:rsid w:val="00021195"/>
    <w:rsid w:val="000211B1"/>
    <w:rsid w:val="000218B8"/>
    <w:rsid w:val="00021933"/>
    <w:rsid w:val="00021C9B"/>
    <w:rsid w:val="0002263A"/>
    <w:rsid w:val="00022A96"/>
    <w:rsid w:val="00022E68"/>
    <w:rsid w:val="000231AD"/>
    <w:rsid w:val="0002387A"/>
    <w:rsid w:val="00023971"/>
    <w:rsid w:val="00024335"/>
    <w:rsid w:val="00024A72"/>
    <w:rsid w:val="00024CB2"/>
    <w:rsid w:val="0002521C"/>
    <w:rsid w:val="00025258"/>
    <w:rsid w:val="00025A2A"/>
    <w:rsid w:val="00025A4F"/>
    <w:rsid w:val="00026437"/>
    <w:rsid w:val="000269B4"/>
    <w:rsid w:val="000269DC"/>
    <w:rsid w:val="00026C57"/>
    <w:rsid w:val="000272A3"/>
    <w:rsid w:val="00027E09"/>
    <w:rsid w:val="00027E5A"/>
    <w:rsid w:val="0003023B"/>
    <w:rsid w:val="000302D3"/>
    <w:rsid w:val="0003059C"/>
    <w:rsid w:val="000305FA"/>
    <w:rsid w:val="000309F2"/>
    <w:rsid w:val="00030EE2"/>
    <w:rsid w:val="0003103C"/>
    <w:rsid w:val="000310AD"/>
    <w:rsid w:val="00031848"/>
    <w:rsid w:val="0003186D"/>
    <w:rsid w:val="000318E4"/>
    <w:rsid w:val="00031E80"/>
    <w:rsid w:val="00031F97"/>
    <w:rsid w:val="00032289"/>
    <w:rsid w:val="00032310"/>
    <w:rsid w:val="00032534"/>
    <w:rsid w:val="00032E03"/>
    <w:rsid w:val="000339D0"/>
    <w:rsid w:val="00033BAA"/>
    <w:rsid w:val="00033EC9"/>
    <w:rsid w:val="00034AE9"/>
    <w:rsid w:val="00034FCB"/>
    <w:rsid w:val="00035534"/>
    <w:rsid w:val="00035733"/>
    <w:rsid w:val="00035A75"/>
    <w:rsid w:val="00035AD6"/>
    <w:rsid w:val="00035ADD"/>
    <w:rsid w:val="00036496"/>
    <w:rsid w:val="00036779"/>
    <w:rsid w:val="00036E12"/>
    <w:rsid w:val="00036E64"/>
    <w:rsid w:val="000370B0"/>
    <w:rsid w:val="000374E7"/>
    <w:rsid w:val="0003777F"/>
    <w:rsid w:val="00037A7A"/>
    <w:rsid w:val="00037ABD"/>
    <w:rsid w:val="00040138"/>
    <w:rsid w:val="000402FB"/>
    <w:rsid w:val="00040332"/>
    <w:rsid w:val="00040375"/>
    <w:rsid w:val="00040566"/>
    <w:rsid w:val="00040977"/>
    <w:rsid w:val="00040E29"/>
    <w:rsid w:val="00040E94"/>
    <w:rsid w:val="000411F0"/>
    <w:rsid w:val="000413A6"/>
    <w:rsid w:val="000413DC"/>
    <w:rsid w:val="000416AA"/>
    <w:rsid w:val="00041979"/>
    <w:rsid w:val="00041A16"/>
    <w:rsid w:val="00042017"/>
    <w:rsid w:val="00042294"/>
    <w:rsid w:val="000425B0"/>
    <w:rsid w:val="000427A6"/>
    <w:rsid w:val="000429DD"/>
    <w:rsid w:val="00042F4E"/>
    <w:rsid w:val="0004395F"/>
    <w:rsid w:val="00043ADD"/>
    <w:rsid w:val="00044897"/>
    <w:rsid w:val="000448CF"/>
    <w:rsid w:val="0004499D"/>
    <w:rsid w:val="00044FA4"/>
    <w:rsid w:val="000453EE"/>
    <w:rsid w:val="00046395"/>
    <w:rsid w:val="00046764"/>
    <w:rsid w:val="00046A8D"/>
    <w:rsid w:val="00047258"/>
    <w:rsid w:val="00047262"/>
    <w:rsid w:val="0005029C"/>
    <w:rsid w:val="00050411"/>
    <w:rsid w:val="000507A3"/>
    <w:rsid w:val="00050B50"/>
    <w:rsid w:val="000511F7"/>
    <w:rsid w:val="00051A69"/>
    <w:rsid w:val="00052690"/>
    <w:rsid w:val="000527F9"/>
    <w:rsid w:val="00052929"/>
    <w:rsid w:val="000538F2"/>
    <w:rsid w:val="00053AA3"/>
    <w:rsid w:val="00053D54"/>
    <w:rsid w:val="00053FD3"/>
    <w:rsid w:val="00054184"/>
    <w:rsid w:val="0005465B"/>
    <w:rsid w:val="00054AE7"/>
    <w:rsid w:val="00054F52"/>
    <w:rsid w:val="000553A1"/>
    <w:rsid w:val="000553DF"/>
    <w:rsid w:val="000554D8"/>
    <w:rsid w:val="000562B4"/>
    <w:rsid w:val="00056690"/>
    <w:rsid w:val="00056952"/>
    <w:rsid w:val="00056BEF"/>
    <w:rsid w:val="00056F0E"/>
    <w:rsid w:val="000570D6"/>
    <w:rsid w:val="000573A2"/>
    <w:rsid w:val="000576A4"/>
    <w:rsid w:val="00057A83"/>
    <w:rsid w:val="00057E53"/>
    <w:rsid w:val="000601AC"/>
    <w:rsid w:val="00060440"/>
    <w:rsid w:val="0006078C"/>
    <w:rsid w:val="000614F2"/>
    <w:rsid w:val="00061A95"/>
    <w:rsid w:val="00061C29"/>
    <w:rsid w:val="00061E70"/>
    <w:rsid w:val="00061EB4"/>
    <w:rsid w:val="00062201"/>
    <w:rsid w:val="000625B6"/>
    <w:rsid w:val="00062818"/>
    <w:rsid w:val="00062D59"/>
    <w:rsid w:val="00062E2C"/>
    <w:rsid w:val="000635C3"/>
    <w:rsid w:val="00063789"/>
    <w:rsid w:val="00063BB0"/>
    <w:rsid w:val="00063EFD"/>
    <w:rsid w:val="00064516"/>
    <w:rsid w:val="00064538"/>
    <w:rsid w:val="00064735"/>
    <w:rsid w:val="000648F8"/>
    <w:rsid w:val="000649E4"/>
    <w:rsid w:val="00064E54"/>
    <w:rsid w:val="00064F2E"/>
    <w:rsid w:val="00065205"/>
    <w:rsid w:val="00065FCC"/>
    <w:rsid w:val="000662A3"/>
    <w:rsid w:val="000664B3"/>
    <w:rsid w:val="00066E7E"/>
    <w:rsid w:val="00067209"/>
    <w:rsid w:val="000706E9"/>
    <w:rsid w:val="0007072C"/>
    <w:rsid w:val="00070ADA"/>
    <w:rsid w:val="00070B05"/>
    <w:rsid w:val="00071340"/>
    <w:rsid w:val="00071C42"/>
    <w:rsid w:val="0007217F"/>
    <w:rsid w:val="00072450"/>
    <w:rsid w:val="0007361D"/>
    <w:rsid w:val="000737D8"/>
    <w:rsid w:val="00073A68"/>
    <w:rsid w:val="00073B8C"/>
    <w:rsid w:val="00073DDC"/>
    <w:rsid w:val="00074534"/>
    <w:rsid w:val="00075516"/>
    <w:rsid w:val="00076CD2"/>
    <w:rsid w:val="00076E2B"/>
    <w:rsid w:val="00076E93"/>
    <w:rsid w:val="00077A7F"/>
    <w:rsid w:val="00077B9C"/>
    <w:rsid w:val="000802D2"/>
    <w:rsid w:val="00080705"/>
    <w:rsid w:val="00080E80"/>
    <w:rsid w:val="00081180"/>
    <w:rsid w:val="000816DC"/>
    <w:rsid w:val="00081B15"/>
    <w:rsid w:val="00081C1B"/>
    <w:rsid w:val="00081E8F"/>
    <w:rsid w:val="00081F10"/>
    <w:rsid w:val="00082857"/>
    <w:rsid w:val="000828B1"/>
    <w:rsid w:val="000839EF"/>
    <w:rsid w:val="00083BC9"/>
    <w:rsid w:val="0008431A"/>
    <w:rsid w:val="000849A4"/>
    <w:rsid w:val="00084C0A"/>
    <w:rsid w:val="00085986"/>
    <w:rsid w:val="00085A26"/>
    <w:rsid w:val="00085A30"/>
    <w:rsid w:val="00085B8D"/>
    <w:rsid w:val="00085FCA"/>
    <w:rsid w:val="00086443"/>
    <w:rsid w:val="0008655D"/>
    <w:rsid w:val="0008687B"/>
    <w:rsid w:val="000871B5"/>
    <w:rsid w:val="000876EC"/>
    <w:rsid w:val="00087D9C"/>
    <w:rsid w:val="00087EDF"/>
    <w:rsid w:val="0009028E"/>
    <w:rsid w:val="000909EB"/>
    <w:rsid w:val="00090A0A"/>
    <w:rsid w:val="00090D0E"/>
    <w:rsid w:val="00091076"/>
    <w:rsid w:val="000911AB"/>
    <w:rsid w:val="000911B9"/>
    <w:rsid w:val="00091222"/>
    <w:rsid w:val="000913CC"/>
    <w:rsid w:val="00091C3D"/>
    <w:rsid w:val="00091D44"/>
    <w:rsid w:val="00091E4D"/>
    <w:rsid w:val="000921F7"/>
    <w:rsid w:val="00092214"/>
    <w:rsid w:val="00092DFE"/>
    <w:rsid w:val="00092E01"/>
    <w:rsid w:val="00093154"/>
    <w:rsid w:val="00093EA9"/>
    <w:rsid w:val="00094259"/>
    <w:rsid w:val="000945E5"/>
    <w:rsid w:val="00094A81"/>
    <w:rsid w:val="000955A5"/>
    <w:rsid w:val="00095D3A"/>
    <w:rsid w:val="00095EE1"/>
    <w:rsid w:val="000961A8"/>
    <w:rsid w:val="00096494"/>
    <w:rsid w:val="000968A2"/>
    <w:rsid w:val="00096A23"/>
    <w:rsid w:val="00096A3F"/>
    <w:rsid w:val="00096C6F"/>
    <w:rsid w:val="00096E09"/>
    <w:rsid w:val="0009789B"/>
    <w:rsid w:val="00097EE6"/>
    <w:rsid w:val="000A06D2"/>
    <w:rsid w:val="000A07E2"/>
    <w:rsid w:val="000A0C32"/>
    <w:rsid w:val="000A0DA8"/>
    <w:rsid w:val="000A1BD2"/>
    <w:rsid w:val="000A21F9"/>
    <w:rsid w:val="000A2363"/>
    <w:rsid w:val="000A26A6"/>
    <w:rsid w:val="000A2919"/>
    <w:rsid w:val="000A2A13"/>
    <w:rsid w:val="000A4978"/>
    <w:rsid w:val="000A4F30"/>
    <w:rsid w:val="000A507D"/>
    <w:rsid w:val="000A59A1"/>
    <w:rsid w:val="000A5CE6"/>
    <w:rsid w:val="000A60EC"/>
    <w:rsid w:val="000A636B"/>
    <w:rsid w:val="000A63BE"/>
    <w:rsid w:val="000A65FC"/>
    <w:rsid w:val="000A69A4"/>
    <w:rsid w:val="000A6ABF"/>
    <w:rsid w:val="000A781C"/>
    <w:rsid w:val="000A7899"/>
    <w:rsid w:val="000A7C71"/>
    <w:rsid w:val="000B0099"/>
    <w:rsid w:val="000B0A6C"/>
    <w:rsid w:val="000B0C44"/>
    <w:rsid w:val="000B0EAF"/>
    <w:rsid w:val="000B110E"/>
    <w:rsid w:val="000B165A"/>
    <w:rsid w:val="000B1691"/>
    <w:rsid w:val="000B16DC"/>
    <w:rsid w:val="000B1BF7"/>
    <w:rsid w:val="000B2536"/>
    <w:rsid w:val="000B28D8"/>
    <w:rsid w:val="000B2F22"/>
    <w:rsid w:val="000B317B"/>
    <w:rsid w:val="000B362B"/>
    <w:rsid w:val="000B3739"/>
    <w:rsid w:val="000B3BC0"/>
    <w:rsid w:val="000B3FAB"/>
    <w:rsid w:val="000B4081"/>
    <w:rsid w:val="000B48CE"/>
    <w:rsid w:val="000B4990"/>
    <w:rsid w:val="000B4D9D"/>
    <w:rsid w:val="000B4FAD"/>
    <w:rsid w:val="000B583F"/>
    <w:rsid w:val="000B5AE5"/>
    <w:rsid w:val="000B5DBE"/>
    <w:rsid w:val="000B60EC"/>
    <w:rsid w:val="000B65FB"/>
    <w:rsid w:val="000B67D5"/>
    <w:rsid w:val="000B6C3E"/>
    <w:rsid w:val="000B6D85"/>
    <w:rsid w:val="000B70EF"/>
    <w:rsid w:val="000B752A"/>
    <w:rsid w:val="000B79EE"/>
    <w:rsid w:val="000C0005"/>
    <w:rsid w:val="000C0142"/>
    <w:rsid w:val="000C015E"/>
    <w:rsid w:val="000C05BB"/>
    <w:rsid w:val="000C0A5D"/>
    <w:rsid w:val="000C1636"/>
    <w:rsid w:val="000C1B05"/>
    <w:rsid w:val="000C1B72"/>
    <w:rsid w:val="000C22E5"/>
    <w:rsid w:val="000C298E"/>
    <w:rsid w:val="000C2CCB"/>
    <w:rsid w:val="000C2D3C"/>
    <w:rsid w:val="000C2D89"/>
    <w:rsid w:val="000C2ED4"/>
    <w:rsid w:val="000C2F56"/>
    <w:rsid w:val="000C3232"/>
    <w:rsid w:val="000C370B"/>
    <w:rsid w:val="000C3962"/>
    <w:rsid w:val="000C3B29"/>
    <w:rsid w:val="000C410A"/>
    <w:rsid w:val="000C4409"/>
    <w:rsid w:val="000C4410"/>
    <w:rsid w:val="000C44AF"/>
    <w:rsid w:val="000C4E7D"/>
    <w:rsid w:val="000C503A"/>
    <w:rsid w:val="000C5128"/>
    <w:rsid w:val="000C55E1"/>
    <w:rsid w:val="000C585D"/>
    <w:rsid w:val="000C5B02"/>
    <w:rsid w:val="000C5BA0"/>
    <w:rsid w:val="000C5DF3"/>
    <w:rsid w:val="000C6542"/>
    <w:rsid w:val="000C6753"/>
    <w:rsid w:val="000C6B03"/>
    <w:rsid w:val="000C6BF1"/>
    <w:rsid w:val="000C7158"/>
    <w:rsid w:val="000C71B1"/>
    <w:rsid w:val="000C73E8"/>
    <w:rsid w:val="000C7695"/>
    <w:rsid w:val="000C779E"/>
    <w:rsid w:val="000C78BB"/>
    <w:rsid w:val="000C7AE6"/>
    <w:rsid w:val="000C7CAA"/>
    <w:rsid w:val="000D013B"/>
    <w:rsid w:val="000D0540"/>
    <w:rsid w:val="000D08CC"/>
    <w:rsid w:val="000D0E5C"/>
    <w:rsid w:val="000D0F9C"/>
    <w:rsid w:val="000D11E8"/>
    <w:rsid w:val="000D12E1"/>
    <w:rsid w:val="000D1FCA"/>
    <w:rsid w:val="000D26A8"/>
    <w:rsid w:val="000D2C94"/>
    <w:rsid w:val="000D34C2"/>
    <w:rsid w:val="000D3616"/>
    <w:rsid w:val="000D3C5B"/>
    <w:rsid w:val="000D41D7"/>
    <w:rsid w:val="000D477C"/>
    <w:rsid w:val="000D56ED"/>
    <w:rsid w:val="000D5975"/>
    <w:rsid w:val="000D5B84"/>
    <w:rsid w:val="000D5D26"/>
    <w:rsid w:val="000D5D30"/>
    <w:rsid w:val="000D5E9A"/>
    <w:rsid w:val="000D5F44"/>
    <w:rsid w:val="000D5F52"/>
    <w:rsid w:val="000D6358"/>
    <w:rsid w:val="000D63A8"/>
    <w:rsid w:val="000D66FB"/>
    <w:rsid w:val="000D789D"/>
    <w:rsid w:val="000D7D69"/>
    <w:rsid w:val="000D7E10"/>
    <w:rsid w:val="000E0030"/>
    <w:rsid w:val="000E005A"/>
    <w:rsid w:val="000E02FC"/>
    <w:rsid w:val="000E0F30"/>
    <w:rsid w:val="000E0FA0"/>
    <w:rsid w:val="000E16E8"/>
    <w:rsid w:val="000E1C65"/>
    <w:rsid w:val="000E1DCE"/>
    <w:rsid w:val="000E24A8"/>
    <w:rsid w:val="000E2793"/>
    <w:rsid w:val="000E2851"/>
    <w:rsid w:val="000E2A7F"/>
    <w:rsid w:val="000E2FD4"/>
    <w:rsid w:val="000E348E"/>
    <w:rsid w:val="000E3848"/>
    <w:rsid w:val="000E4073"/>
    <w:rsid w:val="000E420E"/>
    <w:rsid w:val="000E457C"/>
    <w:rsid w:val="000E4A69"/>
    <w:rsid w:val="000E534E"/>
    <w:rsid w:val="000E552F"/>
    <w:rsid w:val="000E586E"/>
    <w:rsid w:val="000E5980"/>
    <w:rsid w:val="000E5B5C"/>
    <w:rsid w:val="000E5EEE"/>
    <w:rsid w:val="000E6377"/>
    <w:rsid w:val="000E637D"/>
    <w:rsid w:val="000E63A7"/>
    <w:rsid w:val="000E652B"/>
    <w:rsid w:val="000E6891"/>
    <w:rsid w:val="000E69CB"/>
    <w:rsid w:val="000E6E65"/>
    <w:rsid w:val="000E70EE"/>
    <w:rsid w:val="000E711C"/>
    <w:rsid w:val="000E72ED"/>
    <w:rsid w:val="000E73B9"/>
    <w:rsid w:val="000E75C9"/>
    <w:rsid w:val="000E781C"/>
    <w:rsid w:val="000E79D7"/>
    <w:rsid w:val="000E7E7F"/>
    <w:rsid w:val="000F0136"/>
    <w:rsid w:val="000F0E48"/>
    <w:rsid w:val="000F125F"/>
    <w:rsid w:val="000F143E"/>
    <w:rsid w:val="000F1AF1"/>
    <w:rsid w:val="000F1B7D"/>
    <w:rsid w:val="000F22F3"/>
    <w:rsid w:val="000F2580"/>
    <w:rsid w:val="000F302D"/>
    <w:rsid w:val="000F34C7"/>
    <w:rsid w:val="000F370F"/>
    <w:rsid w:val="000F3CB1"/>
    <w:rsid w:val="000F4113"/>
    <w:rsid w:val="000F441B"/>
    <w:rsid w:val="000F44F4"/>
    <w:rsid w:val="000F4594"/>
    <w:rsid w:val="000F4989"/>
    <w:rsid w:val="000F49CA"/>
    <w:rsid w:val="000F49EE"/>
    <w:rsid w:val="000F4B4A"/>
    <w:rsid w:val="000F4C32"/>
    <w:rsid w:val="000F4DBA"/>
    <w:rsid w:val="000F4F0D"/>
    <w:rsid w:val="000F589C"/>
    <w:rsid w:val="000F58FC"/>
    <w:rsid w:val="000F60EB"/>
    <w:rsid w:val="000F60FD"/>
    <w:rsid w:val="000F6242"/>
    <w:rsid w:val="000F652A"/>
    <w:rsid w:val="000F67A7"/>
    <w:rsid w:val="000F6D21"/>
    <w:rsid w:val="000F7159"/>
    <w:rsid w:val="000F74DB"/>
    <w:rsid w:val="000F75CD"/>
    <w:rsid w:val="000F776D"/>
    <w:rsid w:val="000F7BB9"/>
    <w:rsid w:val="001002E7"/>
    <w:rsid w:val="001003A7"/>
    <w:rsid w:val="001007B5"/>
    <w:rsid w:val="001008ED"/>
    <w:rsid w:val="00101681"/>
    <w:rsid w:val="001029D2"/>
    <w:rsid w:val="00102C5E"/>
    <w:rsid w:val="001030A4"/>
    <w:rsid w:val="00103267"/>
    <w:rsid w:val="00103781"/>
    <w:rsid w:val="00104F9D"/>
    <w:rsid w:val="0010524F"/>
    <w:rsid w:val="0010571A"/>
    <w:rsid w:val="00105965"/>
    <w:rsid w:val="00106616"/>
    <w:rsid w:val="00106A63"/>
    <w:rsid w:val="00106AE1"/>
    <w:rsid w:val="00106BDA"/>
    <w:rsid w:val="0010728E"/>
    <w:rsid w:val="00107760"/>
    <w:rsid w:val="00107878"/>
    <w:rsid w:val="00107F13"/>
    <w:rsid w:val="00110152"/>
    <w:rsid w:val="001105B9"/>
    <w:rsid w:val="00111E81"/>
    <w:rsid w:val="001121C9"/>
    <w:rsid w:val="00112762"/>
    <w:rsid w:val="001127AC"/>
    <w:rsid w:val="001128C6"/>
    <w:rsid w:val="00112931"/>
    <w:rsid w:val="001129C1"/>
    <w:rsid w:val="0011397E"/>
    <w:rsid w:val="00114CD4"/>
    <w:rsid w:val="001157B0"/>
    <w:rsid w:val="00115C98"/>
    <w:rsid w:val="00116274"/>
    <w:rsid w:val="00116604"/>
    <w:rsid w:val="001175EF"/>
    <w:rsid w:val="0011790F"/>
    <w:rsid w:val="001179C7"/>
    <w:rsid w:val="00117B73"/>
    <w:rsid w:val="00117CEC"/>
    <w:rsid w:val="001208BE"/>
    <w:rsid w:val="00120DCF"/>
    <w:rsid w:val="00121524"/>
    <w:rsid w:val="00121AEA"/>
    <w:rsid w:val="00121E07"/>
    <w:rsid w:val="00122264"/>
    <w:rsid w:val="0012277A"/>
    <w:rsid w:val="0012280E"/>
    <w:rsid w:val="0012285B"/>
    <w:rsid w:val="00122CA0"/>
    <w:rsid w:val="00122F54"/>
    <w:rsid w:val="00123516"/>
    <w:rsid w:val="00123C7C"/>
    <w:rsid w:val="0012481A"/>
    <w:rsid w:val="00124918"/>
    <w:rsid w:val="00124D44"/>
    <w:rsid w:val="00124FF5"/>
    <w:rsid w:val="001256DE"/>
    <w:rsid w:val="001256DF"/>
    <w:rsid w:val="001265B7"/>
    <w:rsid w:val="00126C30"/>
    <w:rsid w:val="00126C4D"/>
    <w:rsid w:val="00126DA1"/>
    <w:rsid w:val="001272C5"/>
    <w:rsid w:val="001277D7"/>
    <w:rsid w:val="00127896"/>
    <w:rsid w:val="0012791C"/>
    <w:rsid w:val="00127CEF"/>
    <w:rsid w:val="0013028C"/>
    <w:rsid w:val="00130724"/>
    <w:rsid w:val="00130756"/>
    <w:rsid w:val="001308BD"/>
    <w:rsid w:val="00130A19"/>
    <w:rsid w:val="00130BF5"/>
    <w:rsid w:val="00130DEC"/>
    <w:rsid w:val="00130F8D"/>
    <w:rsid w:val="00131578"/>
    <w:rsid w:val="00131A09"/>
    <w:rsid w:val="00131B29"/>
    <w:rsid w:val="00132B24"/>
    <w:rsid w:val="00132D1D"/>
    <w:rsid w:val="00132D38"/>
    <w:rsid w:val="00132D6F"/>
    <w:rsid w:val="0013352C"/>
    <w:rsid w:val="0013372A"/>
    <w:rsid w:val="0013379B"/>
    <w:rsid w:val="001339EE"/>
    <w:rsid w:val="00133A04"/>
    <w:rsid w:val="00133B37"/>
    <w:rsid w:val="00134169"/>
    <w:rsid w:val="001341D3"/>
    <w:rsid w:val="00134836"/>
    <w:rsid w:val="00134FD5"/>
    <w:rsid w:val="00135161"/>
    <w:rsid w:val="00135419"/>
    <w:rsid w:val="00135A68"/>
    <w:rsid w:val="00135C96"/>
    <w:rsid w:val="001369E1"/>
    <w:rsid w:val="00136A21"/>
    <w:rsid w:val="00136A8C"/>
    <w:rsid w:val="00136C54"/>
    <w:rsid w:val="00137220"/>
    <w:rsid w:val="00137503"/>
    <w:rsid w:val="0013765E"/>
    <w:rsid w:val="001376E4"/>
    <w:rsid w:val="0014025F"/>
    <w:rsid w:val="001413E6"/>
    <w:rsid w:val="00141432"/>
    <w:rsid w:val="001418BA"/>
    <w:rsid w:val="00141CB9"/>
    <w:rsid w:val="00141D35"/>
    <w:rsid w:val="00142E42"/>
    <w:rsid w:val="00142F58"/>
    <w:rsid w:val="0014397F"/>
    <w:rsid w:val="00143C63"/>
    <w:rsid w:val="0014419E"/>
    <w:rsid w:val="001454C7"/>
    <w:rsid w:val="00146006"/>
    <w:rsid w:val="00146010"/>
    <w:rsid w:val="001464B0"/>
    <w:rsid w:val="00146B3C"/>
    <w:rsid w:val="00146BA5"/>
    <w:rsid w:val="00147A06"/>
    <w:rsid w:val="00147DE2"/>
    <w:rsid w:val="00150498"/>
    <w:rsid w:val="00150C7E"/>
    <w:rsid w:val="00151699"/>
    <w:rsid w:val="00151C40"/>
    <w:rsid w:val="001521AC"/>
    <w:rsid w:val="0015294C"/>
    <w:rsid w:val="00152C66"/>
    <w:rsid w:val="00152EC5"/>
    <w:rsid w:val="001539C4"/>
    <w:rsid w:val="00153AFC"/>
    <w:rsid w:val="00153B16"/>
    <w:rsid w:val="00153C5E"/>
    <w:rsid w:val="00153EDB"/>
    <w:rsid w:val="0015413E"/>
    <w:rsid w:val="001546F7"/>
    <w:rsid w:val="00155160"/>
    <w:rsid w:val="001556B9"/>
    <w:rsid w:val="00155A68"/>
    <w:rsid w:val="001562A6"/>
    <w:rsid w:val="00157653"/>
    <w:rsid w:val="00157A97"/>
    <w:rsid w:val="00160211"/>
    <w:rsid w:val="001605E1"/>
    <w:rsid w:val="00160BA6"/>
    <w:rsid w:val="00161605"/>
    <w:rsid w:val="00161D1B"/>
    <w:rsid w:val="00162102"/>
    <w:rsid w:val="001622F5"/>
    <w:rsid w:val="001623A4"/>
    <w:rsid w:val="001623F2"/>
    <w:rsid w:val="00162812"/>
    <w:rsid w:val="0016291F"/>
    <w:rsid w:val="00162923"/>
    <w:rsid w:val="00162F57"/>
    <w:rsid w:val="00163A3C"/>
    <w:rsid w:val="00163CA3"/>
    <w:rsid w:val="00164244"/>
    <w:rsid w:val="0016432C"/>
    <w:rsid w:val="0016447E"/>
    <w:rsid w:val="00164969"/>
    <w:rsid w:val="00165037"/>
    <w:rsid w:val="00165550"/>
    <w:rsid w:val="001657E7"/>
    <w:rsid w:val="0016580F"/>
    <w:rsid w:val="0016689B"/>
    <w:rsid w:val="0016690B"/>
    <w:rsid w:val="00166C2D"/>
    <w:rsid w:val="00166CFA"/>
    <w:rsid w:val="00167170"/>
    <w:rsid w:val="001671E2"/>
    <w:rsid w:val="00167836"/>
    <w:rsid w:val="0016786E"/>
    <w:rsid w:val="00167F2F"/>
    <w:rsid w:val="0017033D"/>
    <w:rsid w:val="0017043D"/>
    <w:rsid w:val="0017057C"/>
    <w:rsid w:val="00170808"/>
    <w:rsid w:val="00170E3A"/>
    <w:rsid w:val="00170FD2"/>
    <w:rsid w:val="00171812"/>
    <w:rsid w:val="00171C1B"/>
    <w:rsid w:val="00171F10"/>
    <w:rsid w:val="0017223E"/>
    <w:rsid w:val="00172C94"/>
    <w:rsid w:val="00172DAE"/>
    <w:rsid w:val="00173D10"/>
    <w:rsid w:val="00173DD6"/>
    <w:rsid w:val="00174210"/>
    <w:rsid w:val="001742B2"/>
    <w:rsid w:val="0017433B"/>
    <w:rsid w:val="00174579"/>
    <w:rsid w:val="001746D6"/>
    <w:rsid w:val="001748C1"/>
    <w:rsid w:val="001757F1"/>
    <w:rsid w:val="00175D6A"/>
    <w:rsid w:val="00175DB5"/>
    <w:rsid w:val="00176265"/>
    <w:rsid w:val="00176309"/>
    <w:rsid w:val="0017631B"/>
    <w:rsid w:val="00176569"/>
    <w:rsid w:val="00176B1E"/>
    <w:rsid w:val="00176CDC"/>
    <w:rsid w:val="00176F92"/>
    <w:rsid w:val="001770FC"/>
    <w:rsid w:val="00177159"/>
    <w:rsid w:val="00177358"/>
    <w:rsid w:val="00177374"/>
    <w:rsid w:val="00177A3B"/>
    <w:rsid w:val="00180458"/>
    <w:rsid w:val="00180A9F"/>
    <w:rsid w:val="00180FC0"/>
    <w:rsid w:val="00181216"/>
    <w:rsid w:val="001820EB"/>
    <w:rsid w:val="001823B0"/>
    <w:rsid w:val="001825DB"/>
    <w:rsid w:val="00182DD9"/>
    <w:rsid w:val="00182F93"/>
    <w:rsid w:val="001836C6"/>
    <w:rsid w:val="001836C8"/>
    <w:rsid w:val="001836D3"/>
    <w:rsid w:val="001839CD"/>
    <w:rsid w:val="00183C03"/>
    <w:rsid w:val="00184124"/>
    <w:rsid w:val="00184224"/>
    <w:rsid w:val="00185299"/>
    <w:rsid w:val="001852FD"/>
    <w:rsid w:val="0018536F"/>
    <w:rsid w:val="001853C6"/>
    <w:rsid w:val="00185869"/>
    <w:rsid w:val="0018595A"/>
    <w:rsid w:val="001859F6"/>
    <w:rsid w:val="00186461"/>
    <w:rsid w:val="00186920"/>
    <w:rsid w:val="00187121"/>
    <w:rsid w:val="0018717A"/>
    <w:rsid w:val="0018717C"/>
    <w:rsid w:val="00187198"/>
    <w:rsid w:val="0018731B"/>
    <w:rsid w:val="0018774F"/>
    <w:rsid w:val="001877E5"/>
    <w:rsid w:val="00187A1E"/>
    <w:rsid w:val="00187B90"/>
    <w:rsid w:val="00187DC5"/>
    <w:rsid w:val="00187F07"/>
    <w:rsid w:val="00190087"/>
    <w:rsid w:val="00190CBB"/>
    <w:rsid w:val="0019117D"/>
    <w:rsid w:val="001914A0"/>
    <w:rsid w:val="00191A7E"/>
    <w:rsid w:val="00191AF2"/>
    <w:rsid w:val="00191E78"/>
    <w:rsid w:val="00192071"/>
    <w:rsid w:val="00192231"/>
    <w:rsid w:val="00192566"/>
    <w:rsid w:val="0019270D"/>
    <w:rsid w:val="001928C0"/>
    <w:rsid w:val="00192C28"/>
    <w:rsid w:val="00192C40"/>
    <w:rsid w:val="0019308D"/>
    <w:rsid w:val="001933F4"/>
    <w:rsid w:val="00193C03"/>
    <w:rsid w:val="00193C92"/>
    <w:rsid w:val="00193F53"/>
    <w:rsid w:val="00194005"/>
    <w:rsid w:val="00194A6D"/>
    <w:rsid w:val="00194BC2"/>
    <w:rsid w:val="00194D05"/>
    <w:rsid w:val="00194F03"/>
    <w:rsid w:val="0019538D"/>
    <w:rsid w:val="00195A0A"/>
    <w:rsid w:val="00195D94"/>
    <w:rsid w:val="00196C33"/>
    <w:rsid w:val="001970BA"/>
    <w:rsid w:val="0019736E"/>
    <w:rsid w:val="00197493"/>
    <w:rsid w:val="001978A7"/>
    <w:rsid w:val="00197BFF"/>
    <w:rsid w:val="00197C46"/>
    <w:rsid w:val="001A01EC"/>
    <w:rsid w:val="001A0B2B"/>
    <w:rsid w:val="001A0D3B"/>
    <w:rsid w:val="001A0D7F"/>
    <w:rsid w:val="001A137D"/>
    <w:rsid w:val="001A18A8"/>
    <w:rsid w:val="001A25A8"/>
    <w:rsid w:val="001A331B"/>
    <w:rsid w:val="001A4133"/>
    <w:rsid w:val="001A45D7"/>
    <w:rsid w:val="001A50F7"/>
    <w:rsid w:val="001A51F9"/>
    <w:rsid w:val="001A53F3"/>
    <w:rsid w:val="001A5634"/>
    <w:rsid w:val="001A570D"/>
    <w:rsid w:val="001A5D01"/>
    <w:rsid w:val="001A623A"/>
    <w:rsid w:val="001A62C6"/>
    <w:rsid w:val="001A709C"/>
    <w:rsid w:val="001A70A7"/>
    <w:rsid w:val="001A72D0"/>
    <w:rsid w:val="001A73B6"/>
    <w:rsid w:val="001A7506"/>
    <w:rsid w:val="001A7F17"/>
    <w:rsid w:val="001B0136"/>
    <w:rsid w:val="001B0C14"/>
    <w:rsid w:val="001B14F8"/>
    <w:rsid w:val="001B1643"/>
    <w:rsid w:val="001B17FF"/>
    <w:rsid w:val="001B1996"/>
    <w:rsid w:val="001B1D90"/>
    <w:rsid w:val="001B21FA"/>
    <w:rsid w:val="001B247D"/>
    <w:rsid w:val="001B24D8"/>
    <w:rsid w:val="001B258B"/>
    <w:rsid w:val="001B25C2"/>
    <w:rsid w:val="001B2930"/>
    <w:rsid w:val="001B2A30"/>
    <w:rsid w:val="001B2CA9"/>
    <w:rsid w:val="001B2DE2"/>
    <w:rsid w:val="001B2F27"/>
    <w:rsid w:val="001B3581"/>
    <w:rsid w:val="001B3E6D"/>
    <w:rsid w:val="001B4213"/>
    <w:rsid w:val="001B4275"/>
    <w:rsid w:val="001B44C6"/>
    <w:rsid w:val="001B4B90"/>
    <w:rsid w:val="001B4EE9"/>
    <w:rsid w:val="001B5815"/>
    <w:rsid w:val="001B5C49"/>
    <w:rsid w:val="001B5E1F"/>
    <w:rsid w:val="001B61DB"/>
    <w:rsid w:val="001B661A"/>
    <w:rsid w:val="001B6622"/>
    <w:rsid w:val="001B6B74"/>
    <w:rsid w:val="001B6E88"/>
    <w:rsid w:val="001B72B8"/>
    <w:rsid w:val="001B72F9"/>
    <w:rsid w:val="001C0291"/>
    <w:rsid w:val="001C0415"/>
    <w:rsid w:val="001C06B4"/>
    <w:rsid w:val="001C0731"/>
    <w:rsid w:val="001C08D2"/>
    <w:rsid w:val="001C0DB0"/>
    <w:rsid w:val="001C117B"/>
    <w:rsid w:val="001C1498"/>
    <w:rsid w:val="001C159A"/>
    <w:rsid w:val="001C1E06"/>
    <w:rsid w:val="001C2597"/>
    <w:rsid w:val="001C26E7"/>
    <w:rsid w:val="001C300D"/>
    <w:rsid w:val="001C3189"/>
    <w:rsid w:val="001C326A"/>
    <w:rsid w:val="001C4679"/>
    <w:rsid w:val="001C48C0"/>
    <w:rsid w:val="001C495D"/>
    <w:rsid w:val="001C50AC"/>
    <w:rsid w:val="001C5798"/>
    <w:rsid w:val="001C5A3B"/>
    <w:rsid w:val="001C5D14"/>
    <w:rsid w:val="001C63C8"/>
    <w:rsid w:val="001C6635"/>
    <w:rsid w:val="001C67FC"/>
    <w:rsid w:val="001C68A1"/>
    <w:rsid w:val="001C7834"/>
    <w:rsid w:val="001C7E5C"/>
    <w:rsid w:val="001C7F66"/>
    <w:rsid w:val="001D02AF"/>
    <w:rsid w:val="001D0A9D"/>
    <w:rsid w:val="001D0C19"/>
    <w:rsid w:val="001D0CE9"/>
    <w:rsid w:val="001D0FBE"/>
    <w:rsid w:val="001D135A"/>
    <w:rsid w:val="001D1519"/>
    <w:rsid w:val="001D15DA"/>
    <w:rsid w:val="001D17D2"/>
    <w:rsid w:val="001D1B57"/>
    <w:rsid w:val="001D1D97"/>
    <w:rsid w:val="001D1F3C"/>
    <w:rsid w:val="001D2471"/>
    <w:rsid w:val="001D2581"/>
    <w:rsid w:val="001D2933"/>
    <w:rsid w:val="001D2D3F"/>
    <w:rsid w:val="001D2E6A"/>
    <w:rsid w:val="001D2EA5"/>
    <w:rsid w:val="001D3484"/>
    <w:rsid w:val="001D3530"/>
    <w:rsid w:val="001D3651"/>
    <w:rsid w:val="001D3A84"/>
    <w:rsid w:val="001D40B5"/>
    <w:rsid w:val="001D42A2"/>
    <w:rsid w:val="001D4339"/>
    <w:rsid w:val="001D4499"/>
    <w:rsid w:val="001D473E"/>
    <w:rsid w:val="001D481D"/>
    <w:rsid w:val="001D4C1C"/>
    <w:rsid w:val="001D4C1D"/>
    <w:rsid w:val="001D4EAB"/>
    <w:rsid w:val="001D4EBC"/>
    <w:rsid w:val="001D5004"/>
    <w:rsid w:val="001D5737"/>
    <w:rsid w:val="001D5CD2"/>
    <w:rsid w:val="001D5D13"/>
    <w:rsid w:val="001D6398"/>
    <w:rsid w:val="001D650E"/>
    <w:rsid w:val="001D6A3C"/>
    <w:rsid w:val="001D7585"/>
    <w:rsid w:val="001D763A"/>
    <w:rsid w:val="001D7688"/>
    <w:rsid w:val="001D7756"/>
    <w:rsid w:val="001D7C19"/>
    <w:rsid w:val="001E05AF"/>
    <w:rsid w:val="001E0739"/>
    <w:rsid w:val="001E0891"/>
    <w:rsid w:val="001E0A19"/>
    <w:rsid w:val="001E0F6F"/>
    <w:rsid w:val="001E111F"/>
    <w:rsid w:val="001E12AB"/>
    <w:rsid w:val="001E1440"/>
    <w:rsid w:val="001E1485"/>
    <w:rsid w:val="001E1827"/>
    <w:rsid w:val="001E1F54"/>
    <w:rsid w:val="001E1F8C"/>
    <w:rsid w:val="001E2150"/>
    <w:rsid w:val="001E243D"/>
    <w:rsid w:val="001E28D4"/>
    <w:rsid w:val="001E2E19"/>
    <w:rsid w:val="001E2F24"/>
    <w:rsid w:val="001E32EE"/>
    <w:rsid w:val="001E3490"/>
    <w:rsid w:val="001E3B72"/>
    <w:rsid w:val="001E4816"/>
    <w:rsid w:val="001E493A"/>
    <w:rsid w:val="001E4E57"/>
    <w:rsid w:val="001E57AE"/>
    <w:rsid w:val="001E5A67"/>
    <w:rsid w:val="001E5D8A"/>
    <w:rsid w:val="001E5DC4"/>
    <w:rsid w:val="001E5E1A"/>
    <w:rsid w:val="001E6074"/>
    <w:rsid w:val="001E60B8"/>
    <w:rsid w:val="001E61F9"/>
    <w:rsid w:val="001E67FB"/>
    <w:rsid w:val="001E6924"/>
    <w:rsid w:val="001E6A5A"/>
    <w:rsid w:val="001E6D0A"/>
    <w:rsid w:val="001E6D87"/>
    <w:rsid w:val="001E70D3"/>
    <w:rsid w:val="001E73C0"/>
    <w:rsid w:val="001E75FD"/>
    <w:rsid w:val="001E7907"/>
    <w:rsid w:val="001E7AF0"/>
    <w:rsid w:val="001F004B"/>
    <w:rsid w:val="001F0497"/>
    <w:rsid w:val="001F0959"/>
    <w:rsid w:val="001F0960"/>
    <w:rsid w:val="001F0A03"/>
    <w:rsid w:val="001F1369"/>
    <w:rsid w:val="001F16DB"/>
    <w:rsid w:val="001F1814"/>
    <w:rsid w:val="001F1AAF"/>
    <w:rsid w:val="001F1AB7"/>
    <w:rsid w:val="001F1FC0"/>
    <w:rsid w:val="001F2067"/>
    <w:rsid w:val="001F26CF"/>
    <w:rsid w:val="001F2C50"/>
    <w:rsid w:val="001F2F65"/>
    <w:rsid w:val="001F3271"/>
    <w:rsid w:val="001F3286"/>
    <w:rsid w:val="001F3667"/>
    <w:rsid w:val="001F36A0"/>
    <w:rsid w:val="001F37E5"/>
    <w:rsid w:val="001F390B"/>
    <w:rsid w:val="001F39EA"/>
    <w:rsid w:val="001F3D3F"/>
    <w:rsid w:val="001F3F9A"/>
    <w:rsid w:val="001F4051"/>
    <w:rsid w:val="001F42FB"/>
    <w:rsid w:val="001F4763"/>
    <w:rsid w:val="001F476F"/>
    <w:rsid w:val="001F48F6"/>
    <w:rsid w:val="001F4E30"/>
    <w:rsid w:val="001F5636"/>
    <w:rsid w:val="001F5E35"/>
    <w:rsid w:val="001F60CC"/>
    <w:rsid w:val="001F6102"/>
    <w:rsid w:val="001F63BD"/>
    <w:rsid w:val="001F7194"/>
    <w:rsid w:val="00200067"/>
    <w:rsid w:val="00200078"/>
    <w:rsid w:val="002009C0"/>
    <w:rsid w:val="00200B1F"/>
    <w:rsid w:val="00200B6E"/>
    <w:rsid w:val="00200D04"/>
    <w:rsid w:val="00200DD4"/>
    <w:rsid w:val="002011BA"/>
    <w:rsid w:val="002013D8"/>
    <w:rsid w:val="002015DE"/>
    <w:rsid w:val="00201D8E"/>
    <w:rsid w:val="0020256E"/>
    <w:rsid w:val="002025B2"/>
    <w:rsid w:val="0020295C"/>
    <w:rsid w:val="00202F4F"/>
    <w:rsid w:val="002031C4"/>
    <w:rsid w:val="00203629"/>
    <w:rsid w:val="0020373C"/>
    <w:rsid w:val="00203FA2"/>
    <w:rsid w:val="0020426B"/>
    <w:rsid w:val="00204819"/>
    <w:rsid w:val="00204935"/>
    <w:rsid w:val="00204CB2"/>
    <w:rsid w:val="00204E2D"/>
    <w:rsid w:val="002053C0"/>
    <w:rsid w:val="002053E6"/>
    <w:rsid w:val="0020596F"/>
    <w:rsid w:val="00205D49"/>
    <w:rsid w:val="00206127"/>
    <w:rsid w:val="00206314"/>
    <w:rsid w:val="00206F3A"/>
    <w:rsid w:val="002076BD"/>
    <w:rsid w:val="00207C5D"/>
    <w:rsid w:val="00207E9F"/>
    <w:rsid w:val="00210B38"/>
    <w:rsid w:val="00210F75"/>
    <w:rsid w:val="00210FE4"/>
    <w:rsid w:val="002111FA"/>
    <w:rsid w:val="00211312"/>
    <w:rsid w:val="002115DA"/>
    <w:rsid w:val="0021191B"/>
    <w:rsid w:val="002119B8"/>
    <w:rsid w:val="00211ADA"/>
    <w:rsid w:val="002127AD"/>
    <w:rsid w:val="002128B2"/>
    <w:rsid w:val="00212E25"/>
    <w:rsid w:val="00212F5F"/>
    <w:rsid w:val="00212F7B"/>
    <w:rsid w:val="00213118"/>
    <w:rsid w:val="00213C7A"/>
    <w:rsid w:val="002146AC"/>
    <w:rsid w:val="00214BFE"/>
    <w:rsid w:val="0021511A"/>
    <w:rsid w:val="002151B5"/>
    <w:rsid w:val="0021552B"/>
    <w:rsid w:val="002156BF"/>
    <w:rsid w:val="0021575D"/>
    <w:rsid w:val="002157E3"/>
    <w:rsid w:val="00215C95"/>
    <w:rsid w:val="00216259"/>
    <w:rsid w:val="002163C1"/>
    <w:rsid w:val="00216572"/>
    <w:rsid w:val="00216E3C"/>
    <w:rsid w:val="00216E67"/>
    <w:rsid w:val="00216E97"/>
    <w:rsid w:val="00217209"/>
    <w:rsid w:val="002178CE"/>
    <w:rsid w:val="00217B4D"/>
    <w:rsid w:val="0022031C"/>
    <w:rsid w:val="002216AE"/>
    <w:rsid w:val="00221D57"/>
    <w:rsid w:val="00221F83"/>
    <w:rsid w:val="002221ED"/>
    <w:rsid w:val="00222399"/>
    <w:rsid w:val="002227AD"/>
    <w:rsid w:val="00222B99"/>
    <w:rsid w:val="002237BA"/>
    <w:rsid w:val="00223A14"/>
    <w:rsid w:val="00223CD1"/>
    <w:rsid w:val="002240D1"/>
    <w:rsid w:val="002245CF"/>
    <w:rsid w:val="00224E96"/>
    <w:rsid w:val="00224E97"/>
    <w:rsid w:val="0022551F"/>
    <w:rsid w:val="00225B12"/>
    <w:rsid w:val="00226FF2"/>
    <w:rsid w:val="00227DAA"/>
    <w:rsid w:val="00227F9C"/>
    <w:rsid w:val="00230437"/>
    <w:rsid w:val="00230C5B"/>
    <w:rsid w:val="00230E98"/>
    <w:rsid w:val="00230F60"/>
    <w:rsid w:val="0023105C"/>
    <w:rsid w:val="002310CE"/>
    <w:rsid w:val="00231397"/>
    <w:rsid w:val="002315DB"/>
    <w:rsid w:val="0023229C"/>
    <w:rsid w:val="002326A3"/>
    <w:rsid w:val="00232838"/>
    <w:rsid w:val="00232B07"/>
    <w:rsid w:val="002333E1"/>
    <w:rsid w:val="0023413E"/>
    <w:rsid w:val="002348F9"/>
    <w:rsid w:val="0023533F"/>
    <w:rsid w:val="0023552B"/>
    <w:rsid w:val="00235DC7"/>
    <w:rsid w:val="00236180"/>
    <w:rsid w:val="00236337"/>
    <w:rsid w:val="00236687"/>
    <w:rsid w:val="00236E01"/>
    <w:rsid w:val="00237007"/>
    <w:rsid w:val="00240008"/>
    <w:rsid w:val="002405AA"/>
    <w:rsid w:val="00240859"/>
    <w:rsid w:val="00240AFD"/>
    <w:rsid w:val="00240B82"/>
    <w:rsid w:val="00241011"/>
    <w:rsid w:val="002413D3"/>
    <w:rsid w:val="0024145A"/>
    <w:rsid w:val="002415D6"/>
    <w:rsid w:val="00241615"/>
    <w:rsid w:val="00241887"/>
    <w:rsid w:val="00241C0F"/>
    <w:rsid w:val="00241C39"/>
    <w:rsid w:val="00241E4B"/>
    <w:rsid w:val="00241F57"/>
    <w:rsid w:val="00241F78"/>
    <w:rsid w:val="002429A9"/>
    <w:rsid w:val="00242FA4"/>
    <w:rsid w:val="002431C7"/>
    <w:rsid w:val="00243241"/>
    <w:rsid w:val="00243617"/>
    <w:rsid w:val="00243A89"/>
    <w:rsid w:val="00243B8A"/>
    <w:rsid w:val="00243D45"/>
    <w:rsid w:val="00243E4B"/>
    <w:rsid w:val="00243E8D"/>
    <w:rsid w:val="0024410E"/>
    <w:rsid w:val="0024481A"/>
    <w:rsid w:val="002448D1"/>
    <w:rsid w:val="00244CCE"/>
    <w:rsid w:val="00244E67"/>
    <w:rsid w:val="00244EB1"/>
    <w:rsid w:val="00245283"/>
    <w:rsid w:val="00245578"/>
    <w:rsid w:val="002455F4"/>
    <w:rsid w:val="00245970"/>
    <w:rsid w:val="00245985"/>
    <w:rsid w:val="00245CD8"/>
    <w:rsid w:val="002461AE"/>
    <w:rsid w:val="002468C3"/>
    <w:rsid w:val="00246B14"/>
    <w:rsid w:val="002472D8"/>
    <w:rsid w:val="002475A5"/>
    <w:rsid w:val="00247776"/>
    <w:rsid w:val="0024787A"/>
    <w:rsid w:val="00250281"/>
    <w:rsid w:val="00250404"/>
    <w:rsid w:val="002506D2"/>
    <w:rsid w:val="002507A5"/>
    <w:rsid w:val="00250884"/>
    <w:rsid w:val="00250B81"/>
    <w:rsid w:val="00250E2D"/>
    <w:rsid w:val="00250E7F"/>
    <w:rsid w:val="0025106C"/>
    <w:rsid w:val="00251A65"/>
    <w:rsid w:val="00251C63"/>
    <w:rsid w:val="00251E73"/>
    <w:rsid w:val="0025220A"/>
    <w:rsid w:val="00252300"/>
    <w:rsid w:val="00252C0A"/>
    <w:rsid w:val="00252CE9"/>
    <w:rsid w:val="00252D19"/>
    <w:rsid w:val="00252DA2"/>
    <w:rsid w:val="0025310B"/>
    <w:rsid w:val="0025325B"/>
    <w:rsid w:val="002536AA"/>
    <w:rsid w:val="00253A66"/>
    <w:rsid w:val="00253CBB"/>
    <w:rsid w:val="00253EF6"/>
    <w:rsid w:val="00254040"/>
    <w:rsid w:val="002545B4"/>
    <w:rsid w:val="00254627"/>
    <w:rsid w:val="00255A54"/>
    <w:rsid w:val="00255B96"/>
    <w:rsid w:val="00256178"/>
    <w:rsid w:val="00256427"/>
    <w:rsid w:val="002565AE"/>
    <w:rsid w:val="002565FC"/>
    <w:rsid w:val="00256700"/>
    <w:rsid w:val="002575DC"/>
    <w:rsid w:val="00257768"/>
    <w:rsid w:val="00257A50"/>
    <w:rsid w:val="00257F80"/>
    <w:rsid w:val="00260844"/>
    <w:rsid w:val="00260B42"/>
    <w:rsid w:val="00260BC1"/>
    <w:rsid w:val="002610D2"/>
    <w:rsid w:val="002610E4"/>
    <w:rsid w:val="00261218"/>
    <w:rsid w:val="00261315"/>
    <w:rsid w:val="00261519"/>
    <w:rsid w:val="00261AD1"/>
    <w:rsid w:val="00261FA9"/>
    <w:rsid w:val="0026213F"/>
    <w:rsid w:val="0026231F"/>
    <w:rsid w:val="00262539"/>
    <w:rsid w:val="002625D7"/>
    <w:rsid w:val="00262BC8"/>
    <w:rsid w:val="00262FBF"/>
    <w:rsid w:val="00263936"/>
    <w:rsid w:val="00263A0E"/>
    <w:rsid w:val="00263C2F"/>
    <w:rsid w:val="00263ED9"/>
    <w:rsid w:val="00264090"/>
    <w:rsid w:val="00264718"/>
    <w:rsid w:val="00264762"/>
    <w:rsid w:val="0026495C"/>
    <w:rsid w:val="00264F9F"/>
    <w:rsid w:val="00264FD2"/>
    <w:rsid w:val="00265209"/>
    <w:rsid w:val="00265278"/>
    <w:rsid w:val="00265F3E"/>
    <w:rsid w:val="00266090"/>
    <w:rsid w:val="00266904"/>
    <w:rsid w:val="00266A27"/>
    <w:rsid w:val="00266BBF"/>
    <w:rsid w:val="00266D8F"/>
    <w:rsid w:val="00266DE3"/>
    <w:rsid w:val="002670F9"/>
    <w:rsid w:val="002671A4"/>
    <w:rsid w:val="002671DA"/>
    <w:rsid w:val="00267FD9"/>
    <w:rsid w:val="00267FDA"/>
    <w:rsid w:val="00270100"/>
    <w:rsid w:val="00270497"/>
    <w:rsid w:val="0027059D"/>
    <w:rsid w:val="002712A4"/>
    <w:rsid w:val="00271357"/>
    <w:rsid w:val="0027139A"/>
    <w:rsid w:val="002717CD"/>
    <w:rsid w:val="00271970"/>
    <w:rsid w:val="00271C5E"/>
    <w:rsid w:val="00271DDA"/>
    <w:rsid w:val="002721C0"/>
    <w:rsid w:val="00272679"/>
    <w:rsid w:val="002726A8"/>
    <w:rsid w:val="00272913"/>
    <w:rsid w:val="00272D75"/>
    <w:rsid w:val="00272F8E"/>
    <w:rsid w:val="002735C3"/>
    <w:rsid w:val="00273A65"/>
    <w:rsid w:val="00273D7D"/>
    <w:rsid w:val="00273F80"/>
    <w:rsid w:val="00274099"/>
    <w:rsid w:val="002746FC"/>
    <w:rsid w:val="002748D4"/>
    <w:rsid w:val="00274A2F"/>
    <w:rsid w:val="0027538C"/>
    <w:rsid w:val="00275485"/>
    <w:rsid w:val="002757AB"/>
    <w:rsid w:val="00275BDA"/>
    <w:rsid w:val="00275D4F"/>
    <w:rsid w:val="00275D63"/>
    <w:rsid w:val="0027653C"/>
    <w:rsid w:val="00276805"/>
    <w:rsid w:val="00276E24"/>
    <w:rsid w:val="0027700A"/>
    <w:rsid w:val="0027755F"/>
    <w:rsid w:val="00277875"/>
    <w:rsid w:val="00277A16"/>
    <w:rsid w:val="0028005D"/>
    <w:rsid w:val="0028005F"/>
    <w:rsid w:val="0028016F"/>
    <w:rsid w:val="00280256"/>
    <w:rsid w:val="0028029C"/>
    <w:rsid w:val="00280569"/>
    <w:rsid w:val="00280C87"/>
    <w:rsid w:val="002811FF"/>
    <w:rsid w:val="00281644"/>
    <w:rsid w:val="00281941"/>
    <w:rsid w:val="00281BAE"/>
    <w:rsid w:val="00281E04"/>
    <w:rsid w:val="00282023"/>
    <w:rsid w:val="0028233C"/>
    <w:rsid w:val="002828AB"/>
    <w:rsid w:val="0028293A"/>
    <w:rsid w:val="00282A9A"/>
    <w:rsid w:val="00282AC2"/>
    <w:rsid w:val="00282B9B"/>
    <w:rsid w:val="00282D0A"/>
    <w:rsid w:val="0028311B"/>
    <w:rsid w:val="002833BB"/>
    <w:rsid w:val="002835BD"/>
    <w:rsid w:val="00283B70"/>
    <w:rsid w:val="002840F0"/>
    <w:rsid w:val="00284391"/>
    <w:rsid w:val="002844A5"/>
    <w:rsid w:val="002849CE"/>
    <w:rsid w:val="00284B96"/>
    <w:rsid w:val="00285727"/>
    <w:rsid w:val="00285EC0"/>
    <w:rsid w:val="00285FB7"/>
    <w:rsid w:val="00286181"/>
    <w:rsid w:val="002866A3"/>
    <w:rsid w:val="002873A1"/>
    <w:rsid w:val="002874D6"/>
    <w:rsid w:val="00287844"/>
    <w:rsid w:val="00287851"/>
    <w:rsid w:val="0028792C"/>
    <w:rsid w:val="002879F7"/>
    <w:rsid w:val="00287B0E"/>
    <w:rsid w:val="00290246"/>
    <w:rsid w:val="00290A9E"/>
    <w:rsid w:val="00290AFA"/>
    <w:rsid w:val="00290DC7"/>
    <w:rsid w:val="002913C6"/>
    <w:rsid w:val="00291735"/>
    <w:rsid w:val="002917B9"/>
    <w:rsid w:val="002918B2"/>
    <w:rsid w:val="00291EF6"/>
    <w:rsid w:val="00292222"/>
    <w:rsid w:val="0029231B"/>
    <w:rsid w:val="002927CC"/>
    <w:rsid w:val="00292930"/>
    <w:rsid w:val="00292B9A"/>
    <w:rsid w:val="00292C48"/>
    <w:rsid w:val="00292CA1"/>
    <w:rsid w:val="00292E98"/>
    <w:rsid w:val="0029307E"/>
    <w:rsid w:val="00293402"/>
    <w:rsid w:val="00293433"/>
    <w:rsid w:val="002935F3"/>
    <w:rsid w:val="002939EE"/>
    <w:rsid w:val="00293A43"/>
    <w:rsid w:val="00294048"/>
    <w:rsid w:val="00294421"/>
    <w:rsid w:val="002944CE"/>
    <w:rsid w:val="00294DA1"/>
    <w:rsid w:val="00295107"/>
    <w:rsid w:val="002951B9"/>
    <w:rsid w:val="00295418"/>
    <w:rsid w:val="0029549F"/>
    <w:rsid w:val="002955F0"/>
    <w:rsid w:val="002960B7"/>
    <w:rsid w:val="0029685F"/>
    <w:rsid w:val="00296A78"/>
    <w:rsid w:val="00296B51"/>
    <w:rsid w:val="0029750E"/>
    <w:rsid w:val="00297D14"/>
    <w:rsid w:val="002A0012"/>
    <w:rsid w:val="002A018F"/>
    <w:rsid w:val="002A043E"/>
    <w:rsid w:val="002A044A"/>
    <w:rsid w:val="002A059C"/>
    <w:rsid w:val="002A0FF1"/>
    <w:rsid w:val="002A1957"/>
    <w:rsid w:val="002A198B"/>
    <w:rsid w:val="002A1A52"/>
    <w:rsid w:val="002A1B67"/>
    <w:rsid w:val="002A1EBD"/>
    <w:rsid w:val="002A1EE6"/>
    <w:rsid w:val="002A20FD"/>
    <w:rsid w:val="002A2155"/>
    <w:rsid w:val="002A21C8"/>
    <w:rsid w:val="002A2585"/>
    <w:rsid w:val="002A2C55"/>
    <w:rsid w:val="002A2D82"/>
    <w:rsid w:val="002A30B3"/>
    <w:rsid w:val="002A31AB"/>
    <w:rsid w:val="002A3480"/>
    <w:rsid w:val="002A3830"/>
    <w:rsid w:val="002A3855"/>
    <w:rsid w:val="002A39D3"/>
    <w:rsid w:val="002A3CD4"/>
    <w:rsid w:val="002A3F87"/>
    <w:rsid w:val="002A41A7"/>
    <w:rsid w:val="002A42C0"/>
    <w:rsid w:val="002A456F"/>
    <w:rsid w:val="002A4C61"/>
    <w:rsid w:val="002A4D05"/>
    <w:rsid w:val="002A4EEE"/>
    <w:rsid w:val="002A56DC"/>
    <w:rsid w:val="002A5C84"/>
    <w:rsid w:val="002A675D"/>
    <w:rsid w:val="002A6866"/>
    <w:rsid w:val="002A6B09"/>
    <w:rsid w:val="002A7662"/>
    <w:rsid w:val="002A793A"/>
    <w:rsid w:val="002B0244"/>
    <w:rsid w:val="002B02B4"/>
    <w:rsid w:val="002B0EA5"/>
    <w:rsid w:val="002B12E8"/>
    <w:rsid w:val="002B1C2E"/>
    <w:rsid w:val="002B1F37"/>
    <w:rsid w:val="002B23AC"/>
    <w:rsid w:val="002B29C2"/>
    <w:rsid w:val="002B2B92"/>
    <w:rsid w:val="002B2E7B"/>
    <w:rsid w:val="002B31D2"/>
    <w:rsid w:val="002B396B"/>
    <w:rsid w:val="002B39F8"/>
    <w:rsid w:val="002B3FD0"/>
    <w:rsid w:val="002B43E6"/>
    <w:rsid w:val="002B45A4"/>
    <w:rsid w:val="002B4699"/>
    <w:rsid w:val="002B46A4"/>
    <w:rsid w:val="002B4A23"/>
    <w:rsid w:val="002B529A"/>
    <w:rsid w:val="002B52CD"/>
    <w:rsid w:val="002B56BD"/>
    <w:rsid w:val="002B5AC2"/>
    <w:rsid w:val="002B5AD3"/>
    <w:rsid w:val="002B618E"/>
    <w:rsid w:val="002B6BE7"/>
    <w:rsid w:val="002B736F"/>
    <w:rsid w:val="002B7A5C"/>
    <w:rsid w:val="002B7C69"/>
    <w:rsid w:val="002C00A1"/>
    <w:rsid w:val="002C07CF"/>
    <w:rsid w:val="002C0C9D"/>
    <w:rsid w:val="002C111E"/>
    <w:rsid w:val="002C1135"/>
    <w:rsid w:val="002C2048"/>
    <w:rsid w:val="002C219F"/>
    <w:rsid w:val="002C2517"/>
    <w:rsid w:val="002C25AD"/>
    <w:rsid w:val="002C2773"/>
    <w:rsid w:val="002C2AF8"/>
    <w:rsid w:val="002C2BB1"/>
    <w:rsid w:val="002C2BB5"/>
    <w:rsid w:val="002C325C"/>
    <w:rsid w:val="002C350D"/>
    <w:rsid w:val="002C4048"/>
    <w:rsid w:val="002C41A7"/>
    <w:rsid w:val="002C49D2"/>
    <w:rsid w:val="002C52E8"/>
    <w:rsid w:val="002C5526"/>
    <w:rsid w:val="002C609E"/>
    <w:rsid w:val="002C6215"/>
    <w:rsid w:val="002C6F8A"/>
    <w:rsid w:val="002C717F"/>
    <w:rsid w:val="002C72A4"/>
    <w:rsid w:val="002C783B"/>
    <w:rsid w:val="002C7F20"/>
    <w:rsid w:val="002D012B"/>
    <w:rsid w:val="002D06A7"/>
    <w:rsid w:val="002D0955"/>
    <w:rsid w:val="002D0B04"/>
    <w:rsid w:val="002D0C12"/>
    <w:rsid w:val="002D0EF6"/>
    <w:rsid w:val="002D118E"/>
    <w:rsid w:val="002D1215"/>
    <w:rsid w:val="002D1422"/>
    <w:rsid w:val="002D178E"/>
    <w:rsid w:val="002D198D"/>
    <w:rsid w:val="002D1FA5"/>
    <w:rsid w:val="002D2D95"/>
    <w:rsid w:val="002D3276"/>
    <w:rsid w:val="002D34E3"/>
    <w:rsid w:val="002D3504"/>
    <w:rsid w:val="002D37BE"/>
    <w:rsid w:val="002D39FA"/>
    <w:rsid w:val="002D3CB4"/>
    <w:rsid w:val="002D3F7A"/>
    <w:rsid w:val="002D4B11"/>
    <w:rsid w:val="002D4EE2"/>
    <w:rsid w:val="002D55FD"/>
    <w:rsid w:val="002D5734"/>
    <w:rsid w:val="002D5B6F"/>
    <w:rsid w:val="002D5D0C"/>
    <w:rsid w:val="002D62DB"/>
    <w:rsid w:val="002D6355"/>
    <w:rsid w:val="002D6428"/>
    <w:rsid w:val="002D6507"/>
    <w:rsid w:val="002D65CD"/>
    <w:rsid w:val="002D664B"/>
    <w:rsid w:val="002D7066"/>
    <w:rsid w:val="002D70FD"/>
    <w:rsid w:val="002E0535"/>
    <w:rsid w:val="002E15D6"/>
    <w:rsid w:val="002E15E7"/>
    <w:rsid w:val="002E1688"/>
    <w:rsid w:val="002E1A23"/>
    <w:rsid w:val="002E2E77"/>
    <w:rsid w:val="002E2F60"/>
    <w:rsid w:val="002E3156"/>
    <w:rsid w:val="002E321C"/>
    <w:rsid w:val="002E32E3"/>
    <w:rsid w:val="002E3327"/>
    <w:rsid w:val="002E39D5"/>
    <w:rsid w:val="002E3FEA"/>
    <w:rsid w:val="002E42E1"/>
    <w:rsid w:val="002E43D0"/>
    <w:rsid w:val="002E447C"/>
    <w:rsid w:val="002E5400"/>
    <w:rsid w:val="002E540F"/>
    <w:rsid w:val="002E57F3"/>
    <w:rsid w:val="002E5811"/>
    <w:rsid w:val="002E5927"/>
    <w:rsid w:val="002E5F31"/>
    <w:rsid w:val="002E5FD4"/>
    <w:rsid w:val="002E6209"/>
    <w:rsid w:val="002E633F"/>
    <w:rsid w:val="002E66A0"/>
    <w:rsid w:val="002E717A"/>
    <w:rsid w:val="002E72E1"/>
    <w:rsid w:val="002E7A2F"/>
    <w:rsid w:val="002E7E2D"/>
    <w:rsid w:val="002F0027"/>
    <w:rsid w:val="002F01B7"/>
    <w:rsid w:val="002F039B"/>
    <w:rsid w:val="002F061D"/>
    <w:rsid w:val="002F097B"/>
    <w:rsid w:val="002F1BA1"/>
    <w:rsid w:val="002F25E0"/>
    <w:rsid w:val="002F3546"/>
    <w:rsid w:val="002F3ACB"/>
    <w:rsid w:val="002F3B22"/>
    <w:rsid w:val="002F3CC1"/>
    <w:rsid w:val="002F5A5E"/>
    <w:rsid w:val="002F6446"/>
    <w:rsid w:val="002F682D"/>
    <w:rsid w:val="002F6CBD"/>
    <w:rsid w:val="002F6D58"/>
    <w:rsid w:val="002F712F"/>
    <w:rsid w:val="002F73B9"/>
    <w:rsid w:val="002F77DC"/>
    <w:rsid w:val="002F7907"/>
    <w:rsid w:val="00300249"/>
    <w:rsid w:val="00300C01"/>
    <w:rsid w:val="00300F7E"/>
    <w:rsid w:val="00301260"/>
    <w:rsid w:val="00301345"/>
    <w:rsid w:val="0030160B"/>
    <w:rsid w:val="00301633"/>
    <w:rsid w:val="00302113"/>
    <w:rsid w:val="0030222C"/>
    <w:rsid w:val="00302264"/>
    <w:rsid w:val="00302A0C"/>
    <w:rsid w:val="0030307F"/>
    <w:rsid w:val="00303150"/>
    <w:rsid w:val="003032B5"/>
    <w:rsid w:val="00303458"/>
    <w:rsid w:val="003036BF"/>
    <w:rsid w:val="003039A8"/>
    <w:rsid w:val="00303CA1"/>
    <w:rsid w:val="00304C67"/>
    <w:rsid w:val="00304D5F"/>
    <w:rsid w:val="003051D3"/>
    <w:rsid w:val="00305502"/>
    <w:rsid w:val="00305601"/>
    <w:rsid w:val="0030560D"/>
    <w:rsid w:val="00305724"/>
    <w:rsid w:val="0030572D"/>
    <w:rsid w:val="00305848"/>
    <w:rsid w:val="00305F2C"/>
    <w:rsid w:val="0030609E"/>
    <w:rsid w:val="00306129"/>
    <w:rsid w:val="0030649D"/>
    <w:rsid w:val="00307004"/>
    <w:rsid w:val="0030711B"/>
    <w:rsid w:val="003072EA"/>
    <w:rsid w:val="00307915"/>
    <w:rsid w:val="00307A04"/>
    <w:rsid w:val="00307A93"/>
    <w:rsid w:val="00307BB5"/>
    <w:rsid w:val="00307C60"/>
    <w:rsid w:val="00307EDE"/>
    <w:rsid w:val="00307FAF"/>
    <w:rsid w:val="00310057"/>
    <w:rsid w:val="003100E9"/>
    <w:rsid w:val="00310332"/>
    <w:rsid w:val="00310492"/>
    <w:rsid w:val="003105AE"/>
    <w:rsid w:val="00310C13"/>
    <w:rsid w:val="00310C19"/>
    <w:rsid w:val="00311719"/>
    <w:rsid w:val="00312218"/>
    <w:rsid w:val="00312C61"/>
    <w:rsid w:val="00312EDD"/>
    <w:rsid w:val="00313022"/>
    <w:rsid w:val="00313255"/>
    <w:rsid w:val="00313549"/>
    <w:rsid w:val="00314465"/>
    <w:rsid w:val="0031468A"/>
    <w:rsid w:val="00314C2E"/>
    <w:rsid w:val="00314EDE"/>
    <w:rsid w:val="003157C1"/>
    <w:rsid w:val="00315B4A"/>
    <w:rsid w:val="00315CF6"/>
    <w:rsid w:val="00315F23"/>
    <w:rsid w:val="003161C5"/>
    <w:rsid w:val="00316237"/>
    <w:rsid w:val="00316C1E"/>
    <w:rsid w:val="00316D9C"/>
    <w:rsid w:val="00316EA7"/>
    <w:rsid w:val="003174A3"/>
    <w:rsid w:val="00317BD3"/>
    <w:rsid w:val="00317DEE"/>
    <w:rsid w:val="00320319"/>
    <w:rsid w:val="00320715"/>
    <w:rsid w:val="00320F07"/>
    <w:rsid w:val="00320F9E"/>
    <w:rsid w:val="003212B1"/>
    <w:rsid w:val="00322611"/>
    <w:rsid w:val="00323141"/>
    <w:rsid w:val="003239ED"/>
    <w:rsid w:val="00323FC0"/>
    <w:rsid w:val="00324A21"/>
    <w:rsid w:val="00324B43"/>
    <w:rsid w:val="00324D9E"/>
    <w:rsid w:val="003250C0"/>
    <w:rsid w:val="003251C9"/>
    <w:rsid w:val="00325376"/>
    <w:rsid w:val="00325650"/>
    <w:rsid w:val="003265A6"/>
    <w:rsid w:val="00326880"/>
    <w:rsid w:val="00326A2E"/>
    <w:rsid w:val="003271B5"/>
    <w:rsid w:val="0032748D"/>
    <w:rsid w:val="003309B7"/>
    <w:rsid w:val="003309F5"/>
    <w:rsid w:val="003314E9"/>
    <w:rsid w:val="003317BD"/>
    <w:rsid w:val="0033213B"/>
    <w:rsid w:val="003324EC"/>
    <w:rsid w:val="00332A4C"/>
    <w:rsid w:val="00332A65"/>
    <w:rsid w:val="00333769"/>
    <w:rsid w:val="00333777"/>
    <w:rsid w:val="00333AA4"/>
    <w:rsid w:val="00333EE2"/>
    <w:rsid w:val="00333F0B"/>
    <w:rsid w:val="003340B9"/>
    <w:rsid w:val="003342A5"/>
    <w:rsid w:val="003347A0"/>
    <w:rsid w:val="003349A1"/>
    <w:rsid w:val="00334A68"/>
    <w:rsid w:val="0033503D"/>
    <w:rsid w:val="00335648"/>
    <w:rsid w:val="00335884"/>
    <w:rsid w:val="0033612F"/>
    <w:rsid w:val="0033618B"/>
    <w:rsid w:val="003367BA"/>
    <w:rsid w:val="00336AF7"/>
    <w:rsid w:val="00336F28"/>
    <w:rsid w:val="0033707C"/>
    <w:rsid w:val="00337AC4"/>
    <w:rsid w:val="00337AC6"/>
    <w:rsid w:val="00337C49"/>
    <w:rsid w:val="00337EFB"/>
    <w:rsid w:val="00340343"/>
    <w:rsid w:val="003404E1"/>
    <w:rsid w:val="00340864"/>
    <w:rsid w:val="00340ECD"/>
    <w:rsid w:val="003415EB"/>
    <w:rsid w:val="00341848"/>
    <w:rsid w:val="00341F9C"/>
    <w:rsid w:val="00342091"/>
    <w:rsid w:val="00342127"/>
    <w:rsid w:val="00342553"/>
    <w:rsid w:val="00342F08"/>
    <w:rsid w:val="0034387D"/>
    <w:rsid w:val="00343A79"/>
    <w:rsid w:val="00343C50"/>
    <w:rsid w:val="00343CF4"/>
    <w:rsid w:val="00343F12"/>
    <w:rsid w:val="0034409C"/>
    <w:rsid w:val="0034473B"/>
    <w:rsid w:val="00345653"/>
    <w:rsid w:val="00345E0B"/>
    <w:rsid w:val="003463A7"/>
    <w:rsid w:val="003465B0"/>
    <w:rsid w:val="0034663A"/>
    <w:rsid w:val="00346A40"/>
    <w:rsid w:val="003472BF"/>
    <w:rsid w:val="00347382"/>
    <w:rsid w:val="003475C7"/>
    <w:rsid w:val="00347634"/>
    <w:rsid w:val="00347920"/>
    <w:rsid w:val="0035022B"/>
    <w:rsid w:val="00350468"/>
    <w:rsid w:val="00350910"/>
    <w:rsid w:val="00350F67"/>
    <w:rsid w:val="00350FA8"/>
    <w:rsid w:val="00351065"/>
    <w:rsid w:val="003510EE"/>
    <w:rsid w:val="00351413"/>
    <w:rsid w:val="00351641"/>
    <w:rsid w:val="00351753"/>
    <w:rsid w:val="00351921"/>
    <w:rsid w:val="0035199D"/>
    <w:rsid w:val="00351CD4"/>
    <w:rsid w:val="00352945"/>
    <w:rsid w:val="00352D7C"/>
    <w:rsid w:val="00352E06"/>
    <w:rsid w:val="00352F41"/>
    <w:rsid w:val="003532F5"/>
    <w:rsid w:val="003536FD"/>
    <w:rsid w:val="00353763"/>
    <w:rsid w:val="00353AA4"/>
    <w:rsid w:val="00353AD7"/>
    <w:rsid w:val="00353DFC"/>
    <w:rsid w:val="003540FF"/>
    <w:rsid w:val="003543EE"/>
    <w:rsid w:val="0035489B"/>
    <w:rsid w:val="00354A12"/>
    <w:rsid w:val="00354D70"/>
    <w:rsid w:val="00354D8A"/>
    <w:rsid w:val="00355BEE"/>
    <w:rsid w:val="00355EA8"/>
    <w:rsid w:val="003562C2"/>
    <w:rsid w:val="003569CB"/>
    <w:rsid w:val="00356D30"/>
    <w:rsid w:val="00356E67"/>
    <w:rsid w:val="00356EE5"/>
    <w:rsid w:val="003572F4"/>
    <w:rsid w:val="0035762C"/>
    <w:rsid w:val="0036020D"/>
    <w:rsid w:val="00360250"/>
    <w:rsid w:val="00360691"/>
    <w:rsid w:val="003606D5"/>
    <w:rsid w:val="00360752"/>
    <w:rsid w:val="003607AB"/>
    <w:rsid w:val="003607D1"/>
    <w:rsid w:val="003609FD"/>
    <w:rsid w:val="0036136F"/>
    <w:rsid w:val="00361424"/>
    <w:rsid w:val="00361544"/>
    <w:rsid w:val="003616F4"/>
    <w:rsid w:val="003618DB"/>
    <w:rsid w:val="003619FC"/>
    <w:rsid w:val="00361D68"/>
    <w:rsid w:val="00361DA1"/>
    <w:rsid w:val="003625B6"/>
    <w:rsid w:val="00362A10"/>
    <w:rsid w:val="00362A87"/>
    <w:rsid w:val="00362C98"/>
    <w:rsid w:val="003636C4"/>
    <w:rsid w:val="00363885"/>
    <w:rsid w:val="00364148"/>
    <w:rsid w:val="00364534"/>
    <w:rsid w:val="003647B6"/>
    <w:rsid w:val="00364860"/>
    <w:rsid w:val="0036507C"/>
    <w:rsid w:val="00365096"/>
    <w:rsid w:val="003659DC"/>
    <w:rsid w:val="003660ED"/>
    <w:rsid w:val="003664A6"/>
    <w:rsid w:val="00366652"/>
    <w:rsid w:val="00366A25"/>
    <w:rsid w:val="00366A5B"/>
    <w:rsid w:val="00366B99"/>
    <w:rsid w:val="00366C09"/>
    <w:rsid w:val="003670ED"/>
    <w:rsid w:val="0036718F"/>
    <w:rsid w:val="003673CF"/>
    <w:rsid w:val="00367BE8"/>
    <w:rsid w:val="0037090F"/>
    <w:rsid w:val="00370B24"/>
    <w:rsid w:val="00371AC5"/>
    <w:rsid w:val="0037272A"/>
    <w:rsid w:val="0037381D"/>
    <w:rsid w:val="00373E29"/>
    <w:rsid w:val="00374176"/>
    <w:rsid w:val="00374378"/>
    <w:rsid w:val="003748E1"/>
    <w:rsid w:val="003759B6"/>
    <w:rsid w:val="00376374"/>
    <w:rsid w:val="0037646F"/>
    <w:rsid w:val="003764CF"/>
    <w:rsid w:val="00376A22"/>
    <w:rsid w:val="00376C45"/>
    <w:rsid w:val="0037709E"/>
    <w:rsid w:val="003772CF"/>
    <w:rsid w:val="003779BD"/>
    <w:rsid w:val="00377FE4"/>
    <w:rsid w:val="003807FA"/>
    <w:rsid w:val="00380864"/>
    <w:rsid w:val="00380DC8"/>
    <w:rsid w:val="00380EBF"/>
    <w:rsid w:val="00381587"/>
    <w:rsid w:val="003819EA"/>
    <w:rsid w:val="00381D74"/>
    <w:rsid w:val="00381DB7"/>
    <w:rsid w:val="00381F4E"/>
    <w:rsid w:val="00381FA6"/>
    <w:rsid w:val="00381FDB"/>
    <w:rsid w:val="003827AC"/>
    <w:rsid w:val="00383058"/>
    <w:rsid w:val="00383231"/>
    <w:rsid w:val="00383819"/>
    <w:rsid w:val="003838B9"/>
    <w:rsid w:val="00383AD8"/>
    <w:rsid w:val="00383FAF"/>
    <w:rsid w:val="00384001"/>
    <w:rsid w:val="00384330"/>
    <w:rsid w:val="0038466D"/>
    <w:rsid w:val="003848DB"/>
    <w:rsid w:val="00384D65"/>
    <w:rsid w:val="0038524B"/>
    <w:rsid w:val="0038536C"/>
    <w:rsid w:val="0038592C"/>
    <w:rsid w:val="00385B25"/>
    <w:rsid w:val="003862B9"/>
    <w:rsid w:val="00386555"/>
    <w:rsid w:val="00386961"/>
    <w:rsid w:val="00386A8B"/>
    <w:rsid w:val="00386A9F"/>
    <w:rsid w:val="00387367"/>
    <w:rsid w:val="00387486"/>
    <w:rsid w:val="003875ED"/>
    <w:rsid w:val="003903D7"/>
    <w:rsid w:val="00390557"/>
    <w:rsid w:val="003908AF"/>
    <w:rsid w:val="00390B3C"/>
    <w:rsid w:val="00390E51"/>
    <w:rsid w:val="00391116"/>
    <w:rsid w:val="0039192A"/>
    <w:rsid w:val="0039215A"/>
    <w:rsid w:val="003921E4"/>
    <w:rsid w:val="00392241"/>
    <w:rsid w:val="003929FF"/>
    <w:rsid w:val="00392C68"/>
    <w:rsid w:val="00393277"/>
    <w:rsid w:val="0039405E"/>
    <w:rsid w:val="003946DA"/>
    <w:rsid w:val="003947AF"/>
    <w:rsid w:val="003950B9"/>
    <w:rsid w:val="0039519C"/>
    <w:rsid w:val="00395816"/>
    <w:rsid w:val="00395AF7"/>
    <w:rsid w:val="00395FD5"/>
    <w:rsid w:val="00395FEE"/>
    <w:rsid w:val="00396325"/>
    <w:rsid w:val="0039687E"/>
    <w:rsid w:val="00396F6D"/>
    <w:rsid w:val="003974D6"/>
    <w:rsid w:val="003975B6"/>
    <w:rsid w:val="003A046E"/>
    <w:rsid w:val="003A1881"/>
    <w:rsid w:val="003A1DEA"/>
    <w:rsid w:val="003A20D8"/>
    <w:rsid w:val="003A2691"/>
    <w:rsid w:val="003A2823"/>
    <w:rsid w:val="003A2BD8"/>
    <w:rsid w:val="003A307C"/>
    <w:rsid w:val="003A3250"/>
    <w:rsid w:val="003A39E9"/>
    <w:rsid w:val="003A444F"/>
    <w:rsid w:val="003A466A"/>
    <w:rsid w:val="003A5ED0"/>
    <w:rsid w:val="003A62D4"/>
    <w:rsid w:val="003A69D5"/>
    <w:rsid w:val="003A6C38"/>
    <w:rsid w:val="003A6E41"/>
    <w:rsid w:val="003A754F"/>
    <w:rsid w:val="003A79B4"/>
    <w:rsid w:val="003A7C6C"/>
    <w:rsid w:val="003A7EB9"/>
    <w:rsid w:val="003B03DA"/>
    <w:rsid w:val="003B0A4B"/>
    <w:rsid w:val="003B1584"/>
    <w:rsid w:val="003B1981"/>
    <w:rsid w:val="003B2047"/>
    <w:rsid w:val="003B22E5"/>
    <w:rsid w:val="003B241D"/>
    <w:rsid w:val="003B27A4"/>
    <w:rsid w:val="003B28DC"/>
    <w:rsid w:val="003B2ABF"/>
    <w:rsid w:val="003B2C4E"/>
    <w:rsid w:val="003B2E0D"/>
    <w:rsid w:val="003B340C"/>
    <w:rsid w:val="003B36DF"/>
    <w:rsid w:val="003B3CAB"/>
    <w:rsid w:val="003B3E12"/>
    <w:rsid w:val="003B41E7"/>
    <w:rsid w:val="003B46E1"/>
    <w:rsid w:val="003B4844"/>
    <w:rsid w:val="003B4EE4"/>
    <w:rsid w:val="003B597A"/>
    <w:rsid w:val="003B5AE4"/>
    <w:rsid w:val="003B5B4B"/>
    <w:rsid w:val="003B5F7E"/>
    <w:rsid w:val="003B622B"/>
    <w:rsid w:val="003B6B13"/>
    <w:rsid w:val="003B70E8"/>
    <w:rsid w:val="003B73A3"/>
    <w:rsid w:val="003B75A5"/>
    <w:rsid w:val="003B782A"/>
    <w:rsid w:val="003B7871"/>
    <w:rsid w:val="003B7880"/>
    <w:rsid w:val="003B7ABB"/>
    <w:rsid w:val="003B7B98"/>
    <w:rsid w:val="003B7F7C"/>
    <w:rsid w:val="003C00D8"/>
    <w:rsid w:val="003C115D"/>
    <w:rsid w:val="003C15E8"/>
    <w:rsid w:val="003C19FE"/>
    <w:rsid w:val="003C1EC0"/>
    <w:rsid w:val="003C23E1"/>
    <w:rsid w:val="003C2767"/>
    <w:rsid w:val="003C2BC8"/>
    <w:rsid w:val="003C3525"/>
    <w:rsid w:val="003C35D3"/>
    <w:rsid w:val="003C3638"/>
    <w:rsid w:val="003C4060"/>
    <w:rsid w:val="003C4110"/>
    <w:rsid w:val="003C439C"/>
    <w:rsid w:val="003C4446"/>
    <w:rsid w:val="003C46EC"/>
    <w:rsid w:val="003C4BB4"/>
    <w:rsid w:val="003C4EFF"/>
    <w:rsid w:val="003C50F9"/>
    <w:rsid w:val="003C5DF9"/>
    <w:rsid w:val="003C5EBA"/>
    <w:rsid w:val="003C5F63"/>
    <w:rsid w:val="003C629A"/>
    <w:rsid w:val="003C6C6E"/>
    <w:rsid w:val="003C7257"/>
    <w:rsid w:val="003C743C"/>
    <w:rsid w:val="003D0C61"/>
    <w:rsid w:val="003D1AAC"/>
    <w:rsid w:val="003D1C8F"/>
    <w:rsid w:val="003D21AA"/>
    <w:rsid w:val="003D256F"/>
    <w:rsid w:val="003D26D0"/>
    <w:rsid w:val="003D29CD"/>
    <w:rsid w:val="003D2F05"/>
    <w:rsid w:val="003D3038"/>
    <w:rsid w:val="003D37A6"/>
    <w:rsid w:val="003D432C"/>
    <w:rsid w:val="003D43F4"/>
    <w:rsid w:val="003D497A"/>
    <w:rsid w:val="003D4ADA"/>
    <w:rsid w:val="003D4E51"/>
    <w:rsid w:val="003D55F3"/>
    <w:rsid w:val="003D6091"/>
    <w:rsid w:val="003D65E0"/>
    <w:rsid w:val="003D6B51"/>
    <w:rsid w:val="003D6BD5"/>
    <w:rsid w:val="003D6CD5"/>
    <w:rsid w:val="003D7333"/>
    <w:rsid w:val="003D758F"/>
    <w:rsid w:val="003D761A"/>
    <w:rsid w:val="003D76A6"/>
    <w:rsid w:val="003D76AD"/>
    <w:rsid w:val="003D7A93"/>
    <w:rsid w:val="003E025D"/>
    <w:rsid w:val="003E0875"/>
    <w:rsid w:val="003E08E7"/>
    <w:rsid w:val="003E0B7E"/>
    <w:rsid w:val="003E0CA6"/>
    <w:rsid w:val="003E1148"/>
    <w:rsid w:val="003E13D0"/>
    <w:rsid w:val="003E141A"/>
    <w:rsid w:val="003E17B9"/>
    <w:rsid w:val="003E1D7B"/>
    <w:rsid w:val="003E2047"/>
    <w:rsid w:val="003E27D3"/>
    <w:rsid w:val="003E2800"/>
    <w:rsid w:val="003E2FCA"/>
    <w:rsid w:val="003E30B6"/>
    <w:rsid w:val="003E3112"/>
    <w:rsid w:val="003E3136"/>
    <w:rsid w:val="003E33F0"/>
    <w:rsid w:val="003E396C"/>
    <w:rsid w:val="003E44E8"/>
    <w:rsid w:val="003E4CAF"/>
    <w:rsid w:val="003E5DC9"/>
    <w:rsid w:val="003E6DB8"/>
    <w:rsid w:val="003E7080"/>
    <w:rsid w:val="003E7470"/>
    <w:rsid w:val="003E7587"/>
    <w:rsid w:val="003E76B0"/>
    <w:rsid w:val="003F00D7"/>
    <w:rsid w:val="003F01F2"/>
    <w:rsid w:val="003F05D7"/>
    <w:rsid w:val="003F0D41"/>
    <w:rsid w:val="003F13BD"/>
    <w:rsid w:val="003F1E2F"/>
    <w:rsid w:val="003F1F69"/>
    <w:rsid w:val="003F1F70"/>
    <w:rsid w:val="003F2305"/>
    <w:rsid w:val="003F28D0"/>
    <w:rsid w:val="003F2C7F"/>
    <w:rsid w:val="003F2FB4"/>
    <w:rsid w:val="003F3823"/>
    <w:rsid w:val="003F4258"/>
    <w:rsid w:val="003F4D65"/>
    <w:rsid w:val="003F4FA5"/>
    <w:rsid w:val="003F5006"/>
    <w:rsid w:val="003F501D"/>
    <w:rsid w:val="003F531A"/>
    <w:rsid w:val="003F5347"/>
    <w:rsid w:val="003F55B6"/>
    <w:rsid w:val="003F5659"/>
    <w:rsid w:val="003F59FF"/>
    <w:rsid w:val="003F5E48"/>
    <w:rsid w:val="003F609C"/>
    <w:rsid w:val="003F6251"/>
    <w:rsid w:val="003F6616"/>
    <w:rsid w:val="003F68B2"/>
    <w:rsid w:val="003F75D6"/>
    <w:rsid w:val="003F77C0"/>
    <w:rsid w:val="003F7F1E"/>
    <w:rsid w:val="00400268"/>
    <w:rsid w:val="0040054E"/>
    <w:rsid w:val="00401280"/>
    <w:rsid w:val="00401362"/>
    <w:rsid w:val="00401F23"/>
    <w:rsid w:val="00401FDD"/>
    <w:rsid w:val="004025EC"/>
    <w:rsid w:val="00403455"/>
    <w:rsid w:val="0040351E"/>
    <w:rsid w:val="0040355E"/>
    <w:rsid w:val="0040474A"/>
    <w:rsid w:val="00404AE2"/>
    <w:rsid w:val="0040525A"/>
    <w:rsid w:val="00405823"/>
    <w:rsid w:val="00405E17"/>
    <w:rsid w:val="00406A23"/>
    <w:rsid w:val="004070BE"/>
    <w:rsid w:val="004079D3"/>
    <w:rsid w:val="00407BB2"/>
    <w:rsid w:val="004100EC"/>
    <w:rsid w:val="0041020F"/>
    <w:rsid w:val="00410DFA"/>
    <w:rsid w:val="00410E05"/>
    <w:rsid w:val="004119AB"/>
    <w:rsid w:val="00411A80"/>
    <w:rsid w:val="00411E3B"/>
    <w:rsid w:val="00412ECE"/>
    <w:rsid w:val="00413384"/>
    <w:rsid w:val="00413411"/>
    <w:rsid w:val="0041380D"/>
    <w:rsid w:val="0041393B"/>
    <w:rsid w:val="00413D29"/>
    <w:rsid w:val="00413E1A"/>
    <w:rsid w:val="00413E3A"/>
    <w:rsid w:val="004146C0"/>
    <w:rsid w:val="0041486B"/>
    <w:rsid w:val="00414B3F"/>
    <w:rsid w:val="00414B51"/>
    <w:rsid w:val="004153F6"/>
    <w:rsid w:val="004154F4"/>
    <w:rsid w:val="004156AC"/>
    <w:rsid w:val="00415852"/>
    <w:rsid w:val="00415889"/>
    <w:rsid w:val="004158B9"/>
    <w:rsid w:val="00415C1D"/>
    <w:rsid w:val="0041642A"/>
    <w:rsid w:val="0041669C"/>
    <w:rsid w:val="00416756"/>
    <w:rsid w:val="0041683E"/>
    <w:rsid w:val="00416A9E"/>
    <w:rsid w:val="00416C8C"/>
    <w:rsid w:val="00416CD4"/>
    <w:rsid w:val="00417165"/>
    <w:rsid w:val="004171E0"/>
    <w:rsid w:val="004178F5"/>
    <w:rsid w:val="00417989"/>
    <w:rsid w:val="00417B21"/>
    <w:rsid w:val="00417CC2"/>
    <w:rsid w:val="0042094F"/>
    <w:rsid w:val="00420AC5"/>
    <w:rsid w:val="00420B2C"/>
    <w:rsid w:val="00420C32"/>
    <w:rsid w:val="00420CDD"/>
    <w:rsid w:val="00420DC6"/>
    <w:rsid w:val="00420EE0"/>
    <w:rsid w:val="00421585"/>
    <w:rsid w:val="00421639"/>
    <w:rsid w:val="00421852"/>
    <w:rsid w:val="00421C14"/>
    <w:rsid w:val="00421D6D"/>
    <w:rsid w:val="00421FF3"/>
    <w:rsid w:val="004223BB"/>
    <w:rsid w:val="004224E1"/>
    <w:rsid w:val="004229F5"/>
    <w:rsid w:val="00422A8F"/>
    <w:rsid w:val="00422F4A"/>
    <w:rsid w:val="0042347B"/>
    <w:rsid w:val="00423A42"/>
    <w:rsid w:val="00423FED"/>
    <w:rsid w:val="004241FE"/>
    <w:rsid w:val="00424525"/>
    <w:rsid w:val="004246B0"/>
    <w:rsid w:val="00424A56"/>
    <w:rsid w:val="00424B2B"/>
    <w:rsid w:val="00424C8D"/>
    <w:rsid w:val="00424F88"/>
    <w:rsid w:val="004256C3"/>
    <w:rsid w:val="00425908"/>
    <w:rsid w:val="00426297"/>
    <w:rsid w:val="004263DC"/>
    <w:rsid w:val="00426422"/>
    <w:rsid w:val="00426481"/>
    <w:rsid w:val="004267B5"/>
    <w:rsid w:val="004269A2"/>
    <w:rsid w:val="0042714F"/>
    <w:rsid w:val="004274D0"/>
    <w:rsid w:val="00427B1E"/>
    <w:rsid w:val="00430110"/>
    <w:rsid w:val="004302D8"/>
    <w:rsid w:val="00430B57"/>
    <w:rsid w:val="00430E80"/>
    <w:rsid w:val="0043154D"/>
    <w:rsid w:val="004317CA"/>
    <w:rsid w:val="00431E1B"/>
    <w:rsid w:val="00432280"/>
    <w:rsid w:val="00432ED9"/>
    <w:rsid w:val="00434234"/>
    <w:rsid w:val="00434AD7"/>
    <w:rsid w:val="00434D96"/>
    <w:rsid w:val="00435144"/>
    <w:rsid w:val="004354F9"/>
    <w:rsid w:val="0043579D"/>
    <w:rsid w:val="00436112"/>
    <w:rsid w:val="004364A7"/>
    <w:rsid w:val="0043676D"/>
    <w:rsid w:val="00436C61"/>
    <w:rsid w:val="00436F77"/>
    <w:rsid w:val="00437254"/>
    <w:rsid w:val="004374F7"/>
    <w:rsid w:val="00437B72"/>
    <w:rsid w:val="00440206"/>
    <w:rsid w:val="00440512"/>
    <w:rsid w:val="00441024"/>
    <w:rsid w:val="004412DD"/>
    <w:rsid w:val="00441709"/>
    <w:rsid w:val="0044176C"/>
    <w:rsid w:val="00441AB7"/>
    <w:rsid w:val="00441FA4"/>
    <w:rsid w:val="0044215C"/>
    <w:rsid w:val="00442863"/>
    <w:rsid w:val="004429CC"/>
    <w:rsid w:val="00442E06"/>
    <w:rsid w:val="00442F37"/>
    <w:rsid w:val="00443204"/>
    <w:rsid w:val="0044382B"/>
    <w:rsid w:val="00443966"/>
    <w:rsid w:val="00443BD9"/>
    <w:rsid w:val="004441CF"/>
    <w:rsid w:val="00444C41"/>
    <w:rsid w:val="0044509E"/>
    <w:rsid w:val="004452FD"/>
    <w:rsid w:val="004456EF"/>
    <w:rsid w:val="00445949"/>
    <w:rsid w:val="00445B75"/>
    <w:rsid w:val="0044611A"/>
    <w:rsid w:val="0044624A"/>
    <w:rsid w:val="0044630E"/>
    <w:rsid w:val="0044653E"/>
    <w:rsid w:val="004465D1"/>
    <w:rsid w:val="0044662A"/>
    <w:rsid w:val="00446748"/>
    <w:rsid w:val="00446895"/>
    <w:rsid w:val="00446EDF"/>
    <w:rsid w:val="004470F2"/>
    <w:rsid w:val="0044719A"/>
    <w:rsid w:val="004471C7"/>
    <w:rsid w:val="00447810"/>
    <w:rsid w:val="00447906"/>
    <w:rsid w:val="004501A3"/>
    <w:rsid w:val="0045070E"/>
    <w:rsid w:val="00450A0F"/>
    <w:rsid w:val="00450B4D"/>
    <w:rsid w:val="00450EB2"/>
    <w:rsid w:val="00450F9C"/>
    <w:rsid w:val="0045158E"/>
    <w:rsid w:val="00451620"/>
    <w:rsid w:val="00451FBF"/>
    <w:rsid w:val="0045225F"/>
    <w:rsid w:val="00452459"/>
    <w:rsid w:val="00452674"/>
    <w:rsid w:val="00452D9B"/>
    <w:rsid w:val="0045302F"/>
    <w:rsid w:val="00453184"/>
    <w:rsid w:val="00453289"/>
    <w:rsid w:val="00453DE0"/>
    <w:rsid w:val="004542BD"/>
    <w:rsid w:val="00454325"/>
    <w:rsid w:val="00454477"/>
    <w:rsid w:val="00454713"/>
    <w:rsid w:val="00454E88"/>
    <w:rsid w:val="0045534C"/>
    <w:rsid w:val="004555F2"/>
    <w:rsid w:val="00455A20"/>
    <w:rsid w:val="00455D4F"/>
    <w:rsid w:val="00455F5F"/>
    <w:rsid w:val="00455FF4"/>
    <w:rsid w:val="004564C8"/>
    <w:rsid w:val="00456573"/>
    <w:rsid w:val="00456954"/>
    <w:rsid w:val="00456A17"/>
    <w:rsid w:val="004574A4"/>
    <w:rsid w:val="00457825"/>
    <w:rsid w:val="00457966"/>
    <w:rsid w:val="004603E2"/>
    <w:rsid w:val="00460891"/>
    <w:rsid w:val="0046111D"/>
    <w:rsid w:val="00461535"/>
    <w:rsid w:val="004617A8"/>
    <w:rsid w:val="004618D5"/>
    <w:rsid w:val="00461932"/>
    <w:rsid w:val="00461D2C"/>
    <w:rsid w:val="00461EC2"/>
    <w:rsid w:val="00462115"/>
    <w:rsid w:val="004627D8"/>
    <w:rsid w:val="00462EC2"/>
    <w:rsid w:val="00463AE9"/>
    <w:rsid w:val="004641C6"/>
    <w:rsid w:val="004647EA"/>
    <w:rsid w:val="0046481E"/>
    <w:rsid w:val="004650F4"/>
    <w:rsid w:val="004656ED"/>
    <w:rsid w:val="00465BE8"/>
    <w:rsid w:val="0046621F"/>
    <w:rsid w:val="0046630D"/>
    <w:rsid w:val="004663E3"/>
    <w:rsid w:val="0046650E"/>
    <w:rsid w:val="00466751"/>
    <w:rsid w:val="00466A2B"/>
    <w:rsid w:val="004674D6"/>
    <w:rsid w:val="00467736"/>
    <w:rsid w:val="00467CE1"/>
    <w:rsid w:val="00467CE5"/>
    <w:rsid w:val="00467E4C"/>
    <w:rsid w:val="00470124"/>
    <w:rsid w:val="00470245"/>
    <w:rsid w:val="004702A6"/>
    <w:rsid w:val="0047045D"/>
    <w:rsid w:val="004705C5"/>
    <w:rsid w:val="004709ED"/>
    <w:rsid w:val="00470D0C"/>
    <w:rsid w:val="00471153"/>
    <w:rsid w:val="00471C9E"/>
    <w:rsid w:val="00471DDE"/>
    <w:rsid w:val="00471E03"/>
    <w:rsid w:val="00471F37"/>
    <w:rsid w:val="004721C5"/>
    <w:rsid w:val="004728DD"/>
    <w:rsid w:val="004728DF"/>
    <w:rsid w:val="00472A03"/>
    <w:rsid w:val="00472AF8"/>
    <w:rsid w:val="00472C48"/>
    <w:rsid w:val="0047309F"/>
    <w:rsid w:val="004732A7"/>
    <w:rsid w:val="00473C8E"/>
    <w:rsid w:val="00473D5B"/>
    <w:rsid w:val="00473E11"/>
    <w:rsid w:val="004746BB"/>
    <w:rsid w:val="00474A26"/>
    <w:rsid w:val="004752FC"/>
    <w:rsid w:val="004754A8"/>
    <w:rsid w:val="00475565"/>
    <w:rsid w:val="00475B34"/>
    <w:rsid w:val="00475CBF"/>
    <w:rsid w:val="0047641C"/>
    <w:rsid w:val="00476541"/>
    <w:rsid w:val="00476969"/>
    <w:rsid w:val="00476F07"/>
    <w:rsid w:val="00476FA6"/>
    <w:rsid w:val="0047728D"/>
    <w:rsid w:val="004777FD"/>
    <w:rsid w:val="00477B6C"/>
    <w:rsid w:val="00477F79"/>
    <w:rsid w:val="00480B64"/>
    <w:rsid w:val="00480C45"/>
    <w:rsid w:val="004824E2"/>
    <w:rsid w:val="004828D9"/>
    <w:rsid w:val="00482D21"/>
    <w:rsid w:val="00482D41"/>
    <w:rsid w:val="00482D5D"/>
    <w:rsid w:val="00482E92"/>
    <w:rsid w:val="004845DE"/>
    <w:rsid w:val="00484B68"/>
    <w:rsid w:val="00484C42"/>
    <w:rsid w:val="00484D92"/>
    <w:rsid w:val="00484FB3"/>
    <w:rsid w:val="0048525B"/>
    <w:rsid w:val="004852C5"/>
    <w:rsid w:val="00485CEF"/>
    <w:rsid w:val="00485CFA"/>
    <w:rsid w:val="004860F5"/>
    <w:rsid w:val="00486416"/>
    <w:rsid w:val="0048672B"/>
    <w:rsid w:val="00487380"/>
    <w:rsid w:val="0048754D"/>
    <w:rsid w:val="00487A71"/>
    <w:rsid w:val="00487A7B"/>
    <w:rsid w:val="00487BEC"/>
    <w:rsid w:val="00490567"/>
    <w:rsid w:val="0049086D"/>
    <w:rsid w:val="0049097E"/>
    <w:rsid w:val="00490CC4"/>
    <w:rsid w:val="00490E1A"/>
    <w:rsid w:val="0049135C"/>
    <w:rsid w:val="00491587"/>
    <w:rsid w:val="004917C9"/>
    <w:rsid w:val="0049185E"/>
    <w:rsid w:val="00491A36"/>
    <w:rsid w:val="004929EE"/>
    <w:rsid w:val="00492B46"/>
    <w:rsid w:val="004933A8"/>
    <w:rsid w:val="00493E98"/>
    <w:rsid w:val="0049419A"/>
    <w:rsid w:val="004949D5"/>
    <w:rsid w:val="00494AC0"/>
    <w:rsid w:val="0049562C"/>
    <w:rsid w:val="0049571C"/>
    <w:rsid w:val="0049574C"/>
    <w:rsid w:val="00495A02"/>
    <w:rsid w:val="004960B5"/>
    <w:rsid w:val="0049632B"/>
    <w:rsid w:val="0049687A"/>
    <w:rsid w:val="00496D84"/>
    <w:rsid w:val="00496DEE"/>
    <w:rsid w:val="00497189"/>
    <w:rsid w:val="004A00D0"/>
    <w:rsid w:val="004A0FC3"/>
    <w:rsid w:val="004A161A"/>
    <w:rsid w:val="004A1EAA"/>
    <w:rsid w:val="004A1FE1"/>
    <w:rsid w:val="004A21ED"/>
    <w:rsid w:val="004A26A6"/>
    <w:rsid w:val="004A291E"/>
    <w:rsid w:val="004A2B7F"/>
    <w:rsid w:val="004A2EDC"/>
    <w:rsid w:val="004A374D"/>
    <w:rsid w:val="004A4E44"/>
    <w:rsid w:val="004A5097"/>
    <w:rsid w:val="004A50C0"/>
    <w:rsid w:val="004A5129"/>
    <w:rsid w:val="004A5D48"/>
    <w:rsid w:val="004A5ED8"/>
    <w:rsid w:val="004A5EDC"/>
    <w:rsid w:val="004A6346"/>
    <w:rsid w:val="004A6488"/>
    <w:rsid w:val="004A6770"/>
    <w:rsid w:val="004A6CA4"/>
    <w:rsid w:val="004A7247"/>
    <w:rsid w:val="004A7D81"/>
    <w:rsid w:val="004B009B"/>
    <w:rsid w:val="004B0324"/>
    <w:rsid w:val="004B0B8C"/>
    <w:rsid w:val="004B133B"/>
    <w:rsid w:val="004B1512"/>
    <w:rsid w:val="004B1B8B"/>
    <w:rsid w:val="004B1C4B"/>
    <w:rsid w:val="004B22A6"/>
    <w:rsid w:val="004B26E3"/>
    <w:rsid w:val="004B29CF"/>
    <w:rsid w:val="004B2C1E"/>
    <w:rsid w:val="004B2FD8"/>
    <w:rsid w:val="004B37B8"/>
    <w:rsid w:val="004B3DA4"/>
    <w:rsid w:val="004B4591"/>
    <w:rsid w:val="004B4BB5"/>
    <w:rsid w:val="004B4F63"/>
    <w:rsid w:val="004B54F1"/>
    <w:rsid w:val="004B55FB"/>
    <w:rsid w:val="004B5F55"/>
    <w:rsid w:val="004B64EE"/>
    <w:rsid w:val="004B6711"/>
    <w:rsid w:val="004B6E6F"/>
    <w:rsid w:val="004B7372"/>
    <w:rsid w:val="004B78B0"/>
    <w:rsid w:val="004B78B5"/>
    <w:rsid w:val="004B799A"/>
    <w:rsid w:val="004B7EBA"/>
    <w:rsid w:val="004B7F08"/>
    <w:rsid w:val="004C00FE"/>
    <w:rsid w:val="004C0383"/>
    <w:rsid w:val="004C0724"/>
    <w:rsid w:val="004C09B5"/>
    <w:rsid w:val="004C0C38"/>
    <w:rsid w:val="004C0E44"/>
    <w:rsid w:val="004C1350"/>
    <w:rsid w:val="004C15B7"/>
    <w:rsid w:val="004C162B"/>
    <w:rsid w:val="004C16F9"/>
    <w:rsid w:val="004C1A6B"/>
    <w:rsid w:val="004C1A71"/>
    <w:rsid w:val="004C1C5C"/>
    <w:rsid w:val="004C217D"/>
    <w:rsid w:val="004C23E4"/>
    <w:rsid w:val="004C35BA"/>
    <w:rsid w:val="004C3EAB"/>
    <w:rsid w:val="004C43CB"/>
    <w:rsid w:val="004C484E"/>
    <w:rsid w:val="004C4B62"/>
    <w:rsid w:val="004C4D4C"/>
    <w:rsid w:val="004C4F1A"/>
    <w:rsid w:val="004C4F96"/>
    <w:rsid w:val="004C5BED"/>
    <w:rsid w:val="004C5E8F"/>
    <w:rsid w:val="004C64F8"/>
    <w:rsid w:val="004C6D4C"/>
    <w:rsid w:val="004C6F40"/>
    <w:rsid w:val="004C7035"/>
    <w:rsid w:val="004C758B"/>
    <w:rsid w:val="004C7D19"/>
    <w:rsid w:val="004C7F83"/>
    <w:rsid w:val="004D0147"/>
    <w:rsid w:val="004D0871"/>
    <w:rsid w:val="004D0948"/>
    <w:rsid w:val="004D09E0"/>
    <w:rsid w:val="004D1D2B"/>
    <w:rsid w:val="004D20E7"/>
    <w:rsid w:val="004D23A9"/>
    <w:rsid w:val="004D2BF4"/>
    <w:rsid w:val="004D31ED"/>
    <w:rsid w:val="004D333B"/>
    <w:rsid w:val="004D3A1D"/>
    <w:rsid w:val="004D3B50"/>
    <w:rsid w:val="004D3E49"/>
    <w:rsid w:val="004D3F18"/>
    <w:rsid w:val="004D437C"/>
    <w:rsid w:val="004D44F1"/>
    <w:rsid w:val="004D4A7A"/>
    <w:rsid w:val="004D608F"/>
    <w:rsid w:val="004D64F2"/>
    <w:rsid w:val="004D6875"/>
    <w:rsid w:val="004D70BD"/>
    <w:rsid w:val="004D7511"/>
    <w:rsid w:val="004D7705"/>
    <w:rsid w:val="004D7712"/>
    <w:rsid w:val="004D7C4D"/>
    <w:rsid w:val="004D7CA7"/>
    <w:rsid w:val="004E08F0"/>
    <w:rsid w:val="004E0AE7"/>
    <w:rsid w:val="004E1BB5"/>
    <w:rsid w:val="004E229C"/>
    <w:rsid w:val="004E2790"/>
    <w:rsid w:val="004E2859"/>
    <w:rsid w:val="004E2A07"/>
    <w:rsid w:val="004E3735"/>
    <w:rsid w:val="004E3838"/>
    <w:rsid w:val="004E45DF"/>
    <w:rsid w:val="004E5073"/>
    <w:rsid w:val="004E5103"/>
    <w:rsid w:val="004E54BC"/>
    <w:rsid w:val="004E5D25"/>
    <w:rsid w:val="004E6426"/>
    <w:rsid w:val="004E644F"/>
    <w:rsid w:val="004E6ACF"/>
    <w:rsid w:val="004E6FC9"/>
    <w:rsid w:val="004E74E8"/>
    <w:rsid w:val="004E773B"/>
    <w:rsid w:val="004E7AAD"/>
    <w:rsid w:val="004E7D8B"/>
    <w:rsid w:val="004E7DB1"/>
    <w:rsid w:val="004E7F3B"/>
    <w:rsid w:val="004F0049"/>
    <w:rsid w:val="004F0110"/>
    <w:rsid w:val="004F04C6"/>
    <w:rsid w:val="004F0706"/>
    <w:rsid w:val="004F074D"/>
    <w:rsid w:val="004F0E22"/>
    <w:rsid w:val="004F0F66"/>
    <w:rsid w:val="004F1063"/>
    <w:rsid w:val="004F129F"/>
    <w:rsid w:val="004F1354"/>
    <w:rsid w:val="004F1A35"/>
    <w:rsid w:val="004F1A6E"/>
    <w:rsid w:val="004F1AE0"/>
    <w:rsid w:val="004F1B40"/>
    <w:rsid w:val="004F2320"/>
    <w:rsid w:val="004F2436"/>
    <w:rsid w:val="004F2441"/>
    <w:rsid w:val="004F27A3"/>
    <w:rsid w:val="004F2B62"/>
    <w:rsid w:val="004F2D3B"/>
    <w:rsid w:val="004F2EA8"/>
    <w:rsid w:val="004F34F4"/>
    <w:rsid w:val="004F359E"/>
    <w:rsid w:val="004F377E"/>
    <w:rsid w:val="004F4179"/>
    <w:rsid w:val="004F4254"/>
    <w:rsid w:val="004F4852"/>
    <w:rsid w:val="004F49F8"/>
    <w:rsid w:val="004F4F32"/>
    <w:rsid w:val="004F5677"/>
    <w:rsid w:val="004F58E5"/>
    <w:rsid w:val="004F5BFA"/>
    <w:rsid w:val="004F61D0"/>
    <w:rsid w:val="004F712D"/>
    <w:rsid w:val="004F7229"/>
    <w:rsid w:val="004F7857"/>
    <w:rsid w:val="004F7926"/>
    <w:rsid w:val="004F79FA"/>
    <w:rsid w:val="00500038"/>
    <w:rsid w:val="0050010D"/>
    <w:rsid w:val="00500547"/>
    <w:rsid w:val="00500BAF"/>
    <w:rsid w:val="00500D63"/>
    <w:rsid w:val="00501086"/>
    <w:rsid w:val="005018A5"/>
    <w:rsid w:val="00501AEF"/>
    <w:rsid w:val="00501B71"/>
    <w:rsid w:val="0050264A"/>
    <w:rsid w:val="00502823"/>
    <w:rsid w:val="0050290F"/>
    <w:rsid w:val="00502AD1"/>
    <w:rsid w:val="00502AF0"/>
    <w:rsid w:val="00502F0E"/>
    <w:rsid w:val="005033B3"/>
    <w:rsid w:val="00504362"/>
    <w:rsid w:val="0050447A"/>
    <w:rsid w:val="00504486"/>
    <w:rsid w:val="00504668"/>
    <w:rsid w:val="005046CA"/>
    <w:rsid w:val="00504A73"/>
    <w:rsid w:val="00504AF5"/>
    <w:rsid w:val="00504F3C"/>
    <w:rsid w:val="00504FCB"/>
    <w:rsid w:val="00505220"/>
    <w:rsid w:val="00505E22"/>
    <w:rsid w:val="0050628F"/>
    <w:rsid w:val="0050648C"/>
    <w:rsid w:val="00506B63"/>
    <w:rsid w:val="00506C0F"/>
    <w:rsid w:val="00506C7C"/>
    <w:rsid w:val="00510244"/>
    <w:rsid w:val="00510717"/>
    <w:rsid w:val="00510A4F"/>
    <w:rsid w:val="005119FE"/>
    <w:rsid w:val="00511D17"/>
    <w:rsid w:val="005120D9"/>
    <w:rsid w:val="00512104"/>
    <w:rsid w:val="00512694"/>
    <w:rsid w:val="00512786"/>
    <w:rsid w:val="005127AB"/>
    <w:rsid w:val="005129DD"/>
    <w:rsid w:val="00512ADB"/>
    <w:rsid w:val="00512E44"/>
    <w:rsid w:val="00513006"/>
    <w:rsid w:val="00513361"/>
    <w:rsid w:val="00513446"/>
    <w:rsid w:val="005135D9"/>
    <w:rsid w:val="00513874"/>
    <w:rsid w:val="00513B3F"/>
    <w:rsid w:val="00513BFC"/>
    <w:rsid w:val="00513F48"/>
    <w:rsid w:val="0051402A"/>
    <w:rsid w:val="00514173"/>
    <w:rsid w:val="00514F63"/>
    <w:rsid w:val="0051528D"/>
    <w:rsid w:val="005152F6"/>
    <w:rsid w:val="0051534C"/>
    <w:rsid w:val="0051539A"/>
    <w:rsid w:val="005155EC"/>
    <w:rsid w:val="00515C12"/>
    <w:rsid w:val="00516276"/>
    <w:rsid w:val="005164F1"/>
    <w:rsid w:val="00516CF1"/>
    <w:rsid w:val="00516D76"/>
    <w:rsid w:val="00516F9B"/>
    <w:rsid w:val="00517104"/>
    <w:rsid w:val="00517113"/>
    <w:rsid w:val="0051724B"/>
    <w:rsid w:val="00517531"/>
    <w:rsid w:val="005175A7"/>
    <w:rsid w:val="005177E6"/>
    <w:rsid w:val="0052000D"/>
    <w:rsid w:val="00520943"/>
    <w:rsid w:val="00521064"/>
    <w:rsid w:val="0052107F"/>
    <w:rsid w:val="0052124D"/>
    <w:rsid w:val="005218BF"/>
    <w:rsid w:val="005218E3"/>
    <w:rsid w:val="00521CF2"/>
    <w:rsid w:val="00521E71"/>
    <w:rsid w:val="005220A9"/>
    <w:rsid w:val="005220B8"/>
    <w:rsid w:val="005220DF"/>
    <w:rsid w:val="005223FA"/>
    <w:rsid w:val="00522C7E"/>
    <w:rsid w:val="00523042"/>
    <w:rsid w:val="00523558"/>
    <w:rsid w:val="005236B9"/>
    <w:rsid w:val="00523CBA"/>
    <w:rsid w:val="0052449A"/>
    <w:rsid w:val="00524536"/>
    <w:rsid w:val="005247B3"/>
    <w:rsid w:val="005248BC"/>
    <w:rsid w:val="00524936"/>
    <w:rsid w:val="00525363"/>
    <w:rsid w:val="00525949"/>
    <w:rsid w:val="00526293"/>
    <w:rsid w:val="0052638A"/>
    <w:rsid w:val="00526392"/>
    <w:rsid w:val="005264A1"/>
    <w:rsid w:val="005266F1"/>
    <w:rsid w:val="00526880"/>
    <w:rsid w:val="00526AA1"/>
    <w:rsid w:val="005278CE"/>
    <w:rsid w:val="00527BD5"/>
    <w:rsid w:val="00527DFA"/>
    <w:rsid w:val="00527F82"/>
    <w:rsid w:val="005303A1"/>
    <w:rsid w:val="00530F0F"/>
    <w:rsid w:val="00531066"/>
    <w:rsid w:val="00531B7F"/>
    <w:rsid w:val="00531F82"/>
    <w:rsid w:val="005321FD"/>
    <w:rsid w:val="005322AE"/>
    <w:rsid w:val="005329D0"/>
    <w:rsid w:val="00532AC3"/>
    <w:rsid w:val="00532B71"/>
    <w:rsid w:val="00533263"/>
    <w:rsid w:val="005337B4"/>
    <w:rsid w:val="00533B02"/>
    <w:rsid w:val="0053428E"/>
    <w:rsid w:val="0053469B"/>
    <w:rsid w:val="005348B1"/>
    <w:rsid w:val="005349CB"/>
    <w:rsid w:val="00534B8E"/>
    <w:rsid w:val="00534E7E"/>
    <w:rsid w:val="00535835"/>
    <w:rsid w:val="005358A4"/>
    <w:rsid w:val="005359F0"/>
    <w:rsid w:val="00535E51"/>
    <w:rsid w:val="00535F3E"/>
    <w:rsid w:val="00536C70"/>
    <w:rsid w:val="00536D98"/>
    <w:rsid w:val="0053701E"/>
    <w:rsid w:val="0054029A"/>
    <w:rsid w:val="005404D7"/>
    <w:rsid w:val="00540652"/>
    <w:rsid w:val="00540ED3"/>
    <w:rsid w:val="00541276"/>
    <w:rsid w:val="0054155F"/>
    <w:rsid w:val="005415A5"/>
    <w:rsid w:val="0054186C"/>
    <w:rsid w:val="005421DC"/>
    <w:rsid w:val="00542209"/>
    <w:rsid w:val="0054234A"/>
    <w:rsid w:val="005426E0"/>
    <w:rsid w:val="00542D1A"/>
    <w:rsid w:val="00542F3E"/>
    <w:rsid w:val="00542F6B"/>
    <w:rsid w:val="0054325F"/>
    <w:rsid w:val="00543281"/>
    <w:rsid w:val="005433DE"/>
    <w:rsid w:val="005436E7"/>
    <w:rsid w:val="00543B6D"/>
    <w:rsid w:val="00544260"/>
    <w:rsid w:val="00544323"/>
    <w:rsid w:val="00544508"/>
    <w:rsid w:val="0054458F"/>
    <w:rsid w:val="00544FAD"/>
    <w:rsid w:val="00545A1E"/>
    <w:rsid w:val="00545A8D"/>
    <w:rsid w:val="00546142"/>
    <w:rsid w:val="005469F8"/>
    <w:rsid w:val="00546D5E"/>
    <w:rsid w:val="00546E78"/>
    <w:rsid w:val="005472E7"/>
    <w:rsid w:val="0054791D"/>
    <w:rsid w:val="00547C0D"/>
    <w:rsid w:val="005503A5"/>
    <w:rsid w:val="005506EB"/>
    <w:rsid w:val="00550856"/>
    <w:rsid w:val="00550FC4"/>
    <w:rsid w:val="00551153"/>
    <w:rsid w:val="00551794"/>
    <w:rsid w:val="00551EA5"/>
    <w:rsid w:val="00551F19"/>
    <w:rsid w:val="0055212A"/>
    <w:rsid w:val="0055218C"/>
    <w:rsid w:val="0055237A"/>
    <w:rsid w:val="00552571"/>
    <w:rsid w:val="005525FC"/>
    <w:rsid w:val="00552962"/>
    <w:rsid w:val="00552E2F"/>
    <w:rsid w:val="005530AC"/>
    <w:rsid w:val="00553260"/>
    <w:rsid w:val="0055389B"/>
    <w:rsid w:val="00554583"/>
    <w:rsid w:val="00554CA6"/>
    <w:rsid w:val="00555B1C"/>
    <w:rsid w:val="00555BAD"/>
    <w:rsid w:val="00556365"/>
    <w:rsid w:val="005563A7"/>
    <w:rsid w:val="005565BD"/>
    <w:rsid w:val="005566B2"/>
    <w:rsid w:val="00556772"/>
    <w:rsid w:val="00556CE9"/>
    <w:rsid w:val="00556EAD"/>
    <w:rsid w:val="00557247"/>
    <w:rsid w:val="00557D7C"/>
    <w:rsid w:val="005601C6"/>
    <w:rsid w:val="00560257"/>
    <w:rsid w:val="00560701"/>
    <w:rsid w:val="00560817"/>
    <w:rsid w:val="00560A85"/>
    <w:rsid w:val="00560B3A"/>
    <w:rsid w:val="0056174A"/>
    <w:rsid w:val="00561A5C"/>
    <w:rsid w:val="00561C07"/>
    <w:rsid w:val="00562F1B"/>
    <w:rsid w:val="00563531"/>
    <w:rsid w:val="005636E4"/>
    <w:rsid w:val="00563774"/>
    <w:rsid w:val="00563A2E"/>
    <w:rsid w:val="00563C3D"/>
    <w:rsid w:val="0056410E"/>
    <w:rsid w:val="005641D5"/>
    <w:rsid w:val="005646E9"/>
    <w:rsid w:val="00564869"/>
    <w:rsid w:val="00564B47"/>
    <w:rsid w:val="00564F1F"/>
    <w:rsid w:val="00564F78"/>
    <w:rsid w:val="005651D3"/>
    <w:rsid w:val="005658E6"/>
    <w:rsid w:val="00566106"/>
    <w:rsid w:val="005664C0"/>
    <w:rsid w:val="0056657C"/>
    <w:rsid w:val="0056676B"/>
    <w:rsid w:val="00566BCB"/>
    <w:rsid w:val="00566C08"/>
    <w:rsid w:val="00566FCC"/>
    <w:rsid w:val="0056721B"/>
    <w:rsid w:val="005675DF"/>
    <w:rsid w:val="0056764A"/>
    <w:rsid w:val="00567693"/>
    <w:rsid w:val="00567927"/>
    <w:rsid w:val="00567A0D"/>
    <w:rsid w:val="00567B1B"/>
    <w:rsid w:val="00567DEC"/>
    <w:rsid w:val="0057000C"/>
    <w:rsid w:val="00570287"/>
    <w:rsid w:val="00570411"/>
    <w:rsid w:val="0057146E"/>
    <w:rsid w:val="00571EDA"/>
    <w:rsid w:val="00571FC5"/>
    <w:rsid w:val="0057211E"/>
    <w:rsid w:val="005723FD"/>
    <w:rsid w:val="00572534"/>
    <w:rsid w:val="0057295F"/>
    <w:rsid w:val="00572B71"/>
    <w:rsid w:val="00573D8F"/>
    <w:rsid w:val="005740CD"/>
    <w:rsid w:val="005742B6"/>
    <w:rsid w:val="0057445F"/>
    <w:rsid w:val="00574AFC"/>
    <w:rsid w:val="00574B92"/>
    <w:rsid w:val="00574BDB"/>
    <w:rsid w:val="00574F3B"/>
    <w:rsid w:val="005751E1"/>
    <w:rsid w:val="0057553C"/>
    <w:rsid w:val="005755BF"/>
    <w:rsid w:val="00575663"/>
    <w:rsid w:val="005758AA"/>
    <w:rsid w:val="00575C1B"/>
    <w:rsid w:val="00575C30"/>
    <w:rsid w:val="00575E54"/>
    <w:rsid w:val="00576607"/>
    <w:rsid w:val="0057673C"/>
    <w:rsid w:val="005768A9"/>
    <w:rsid w:val="00576F23"/>
    <w:rsid w:val="0057710F"/>
    <w:rsid w:val="005773F0"/>
    <w:rsid w:val="0057793C"/>
    <w:rsid w:val="00577AD4"/>
    <w:rsid w:val="005800BA"/>
    <w:rsid w:val="005802D3"/>
    <w:rsid w:val="005807B8"/>
    <w:rsid w:val="00580B0C"/>
    <w:rsid w:val="00581571"/>
    <w:rsid w:val="00581761"/>
    <w:rsid w:val="00581B5E"/>
    <w:rsid w:val="005825D9"/>
    <w:rsid w:val="00582B75"/>
    <w:rsid w:val="00582D95"/>
    <w:rsid w:val="00582F3B"/>
    <w:rsid w:val="0058310F"/>
    <w:rsid w:val="00583181"/>
    <w:rsid w:val="00583DCE"/>
    <w:rsid w:val="005841E6"/>
    <w:rsid w:val="00584350"/>
    <w:rsid w:val="00584512"/>
    <w:rsid w:val="00584AF7"/>
    <w:rsid w:val="00584D70"/>
    <w:rsid w:val="00585052"/>
    <w:rsid w:val="005850E2"/>
    <w:rsid w:val="005853B4"/>
    <w:rsid w:val="005857DC"/>
    <w:rsid w:val="00585876"/>
    <w:rsid w:val="00585B11"/>
    <w:rsid w:val="005860A1"/>
    <w:rsid w:val="00586130"/>
    <w:rsid w:val="005861C1"/>
    <w:rsid w:val="00586278"/>
    <w:rsid w:val="005865E6"/>
    <w:rsid w:val="00586769"/>
    <w:rsid w:val="00586800"/>
    <w:rsid w:val="005869EA"/>
    <w:rsid w:val="00586A4F"/>
    <w:rsid w:val="00586D45"/>
    <w:rsid w:val="00586EAE"/>
    <w:rsid w:val="005870EF"/>
    <w:rsid w:val="005872CF"/>
    <w:rsid w:val="00587677"/>
    <w:rsid w:val="00587821"/>
    <w:rsid w:val="0058798D"/>
    <w:rsid w:val="00587C79"/>
    <w:rsid w:val="00587D8A"/>
    <w:rsid w:val="00590498"/>
    <w:rsid w:val="0059090C"/>
    <w:rsid w:val="00591237"/>
    <w:rsid w:val="005913E4"/>
    <w:rsid w:val="005929E3"/>
    <w:rsid w:val="00592ECB"/>
    <w:rsid w:val="00593046"/>
    <w:rsid w:val="0059372F"/>
    <w:rsid w:val="005937A5"/>
    <w:rsid w:val="00593D2D"/>
    <w:rsid w:val="0059426F"/>
    <w:rsid w:val="005942B3"/>
    <w:rsid w:val="00594538"/>
    <w:rsid w:val="00594563"/>
    <w:rsid w:val="0059481A"/>
    <w:rsid w:val="00594C2A"/>
    <w:rsid w:val="00595306"/>
    <w:rsid w:val="00595671"/>
    <w:rsid w:val="005960B2"/>
    <w:rsid w:val="0059638D"/>
    <w:rsid w:val="005967CC"/>
    <w:rsid w:val="00597061"/>
    <w:rsid w:val="0059720F"/>
    <w:rsid w:val="005975ED"/>
    <w:rsid w:val="005978B6"/>
    <w:rsid w:val="00597A0C"/>
    <w:rsid w:val="00597B47"/>
    <w:rsid w:val="00597C22"/>
    <w:rsid w:val="00597D32"/>
    <w:rsid w:val="005A00E1"/>
    <w:rsid w:val="005A00FA"/>
    <w:rsid w:val="005A09AB"/>
    <w:rsid w:val="005A0BF0"/>
    <w:rsid w:val="005A0C18"/>
    <w:rsid w:val="005A0C97"/>
    <w:rsid w:val="005A10D4"/>
    <w:rsid w:val="005A1777"/>
    <w:rsid w:val="005A18B3"/>
    <w:rsid w:val="005A1AE7"/>
    <w:rsid w:val="005A26EC"/>
    <w:rsid w:val="005A2923"/>
    <w:rsid w:val="005A2BF9"/>
    <w:rsid w:val="005A2E28"/>
    <w:rsid w:val="005A2EA0"/>
    <w:rsid w:val="005A2EAC"/>
    <w:rsid w:val="005A2F39"/>
    <w:rsid w:val="005A30DC"/>
    <w:rsid w:val="005A369A"/>
    <w:rsid w:val="005A3807"/>
    <w:rsid w:val="005A3AE5"/>
    <w:rsid w:val="005A3D3A"/>
    <w:rsid w:val="005A4073"/>
    <w:rsid w:val="005A45DA"/>
    <w:rsid w:val="005A46DF"/>
    <w:rsid w:val="005A4FBD"/>
    <w:rsid w:val="005A5757"/>
    <w:rsid w:val="005A5814"/>
    <w:rsid w:val="005A64C0"/>
    <w:rsid w:val="005A669E"/>
    <w:rsid w:val="005A6979"/>
    <w:rsid w:val="005A6A92"/>
    <w:rsid w:val="005A6C2D"/>
    <w:rsid w:val="005A70BA"/>
    <w:rsid w:val="005A72FB"/>
    <w:rsid w:val="005A7F16"/>
    <w:rsid w:val="005B0925"/>
    <w:rsid w:val="005B0FAE"/>
    <w:rsid w:val="005B1276"/>
    <w:rsid w:val="005B1330"/>
    <w:rsid w:val="005B18BA"/>
    <w:rsid w:val="005B1A89"/>
    <w:rsid w:val="005B1AC2"/>
    <w:rsid w:val="005B1D7F"/>
    <w:rsid w:val="005B256C"/>
    <w:rsid w:val="005B2B15"/>
    <w:rsid w:val="005B2C8B"/>
    <w:rsid w:val="005B2DB4"/>
    <w:rsid w:val="005B2E5D"/>
    <w:rsid w:val="005B334D"/>
    <w:rsid w:val="005B3486"/>
    <w:rsid w:val="005B38DB"/>
    <w:rsid w:val="005B3B87"/>
    <w:rsid w:val="005B3FCF"/>
    <w:rsid w:val="005B432D"/>
    <w:rsid w:val="005B479E"/>
    <w:rsid w:val="005B483F"/>
    <w:rsid w:val="005B4A6E"/>
    <w:rsid w:val="005B4ACA"/>
    <w:rsid w:val="005B4B23"/>
    <w:rsid w:val="005B4C19"/>
    <w:rsid w:val="005B4FC5"/>
    <w:rsid w:val="005B50C2"/>
    <w:rsid w:val="005B5EB9"/>
    <w:rsid w:val="005B61A9"/>
    <w:rsid w:val="005B64AF"/>
    <w:rsid w:val="005B6D72"/>
    <w:rsid w:val="005B71F0"/>
    <w:rsid w:val="005B7852"/>
    <w:rsid w:val="005B7A62"/>
    <w:rsid w:val="005C026F"/>
    <w:rsid w:val="005C167A"/>
    <w:rsid w:val="005C16E6"/>
    <w:rsid w:val="005C19FB"/>
    <w:rsid w:val="005C1CE9"/>
    <w:rsid w:val="005C2470"/>
    <w:rsid w:val="005C28D2"/>
    <w:rsid w:val="005C298A"/>
    <w:rsid w:val="005C2C1A"/>
    <w:rsid w:val="005C339E"/>
    <w:rsid w:val="005C3483"/>
    <w:rsid w:val="005C39E7"/>
    <w:rsid w:val="005C3C79"/>
    <w:rsid w:val="005C4E79"/>
    <w:rsid w:val="005C4EE7"/>
    <w:rsid w:val="005C510C"/>
    <w:rsid w:val="005C5382"/>
    <w:rsid w:val="005C53AC"/>
    <w:rsid w:val="005C5B19"/>
    <w:rsid w:val="005C5F5A"/>
    <w:rsid w:val="005C6B23"/>
    <w:rsid w:val="005C6B89"/>
    <w:rsid w:val="005C6E80"/>
    <w:rsid w:val="005C6ED6"/>
    <w:rsid w:val="005C70AF"/>
    <w:rsid w:val="005C73BB"/>
    <w:rsid w:val="005C7A49"/>
    <w:rsid w:val="005C7B89"/>
    <w:rsid w:val="005D01D1"/>
    <w:rsid w:val="005D03C1"/>
    <w:rsid w:val="005D0A8F"/>
    <w:rsid w:val="005D0F4E"/>
    <w:rsid w:val="005D0FBA"/>
    <w:rsid w:val="005D184F"/>
    <w:rsid w:val="005D249F"/>
    <w:rsid w:val="005D25FF"/>
    <w:rsid w:val="005D2ACB"/>
    <w:rsid w:val="005D2CBC"/>
    <w:rsid w:val="005D2EDA"/>
    <w:rsid w:val="005D31BC"/>
    <w:rsid w:val="005D34D4"/>
    <w:rsid w:val="005D424D"/>
    <w:rsid w:val="005D4550"/>
    <w:rsid w:val="005D4AE0"/>
    <w:rsid w:val="005D5468"/>
    <w:rsid w:val="005D54E0"/>
    <w:rsid w:val="005D5717"/>
    <w:rsid w:val="005D58FD"/>
    <w:rsid w:val="005D5EFB"/>
    <w:rsid w:val="005D64BB"/>
    <w:rsid w:val="005D66AB"/>
    <w:rsid w:val="005D6DCD"/>
    <w:rsid w:val="005D6EF3"/>
    <w:rsid w:val="005D70F2"/>
    <w:rsid w:val="005D7119"/>
    <w:rsid w:val="005D76CD"/>
    <w:rsid w:val="005E006D"/>
    <w:rsid w:val="005E0476"/>
    <w:rsid w:val="005E098B"/>
    <w:rsid w:val="005E099D"/>
    <w:rsid w:val="005E0B09"/>
    <w:rsid w:val="005E14F6"/>
    <w:rsid w:val="005E160E"/>
    <w:rsid w:val="005E1D83"/>
    <w:rsid w:val="005E212E"/>
    <w:rsid w:val="005E2675"/>
    <w:rsid w:val="005E26A3"/>
    <w:rsid w:val="005E2896"/>
    <w:rsid w:val="005E2AAA"/>
    <w:rsid w:val="005E2D0D"/>
    <w:rsid w:val="005E2E50"/>
    <w:rsid w:val="005E389D"/>
    <w:rsid w:val="005E3990"/>
    <w:rsid w:val="005E3EC8"/>
    <w:rsid w:val="005E432E"/>
    <w:rsid w:val="005E47A1"/>
    <w:rsid w:val="005E47D9"/>
    <w:rsid w:val="005E4805"/>
    <w:rsid w:val="005E4C23"/>
    <w:rsid w:val="005E5172"/>
    <w:rsid w:val="005E526B"/>
    <w:rsid w:val="005E539D"/>
    <w:rsid w:val="005E57B5"/>
    <w:rsid w:val="005E5A94"/>
    <w:rsid w:val="005E60D7"/>
    <w:rsid w:val="005E680C"/>
    <w:rsid w:val="005E70EE"/>
    <w:rsid w:val="005E7AB4"/>
    <w:rsid w:val="005E7B2E"/>
    <w:rsid w:val="005E7F88"/>
    <w:rsid w:val="005F0C86"/>
    <w:rsid w:val="005F0DCF"/>
    <w:rsid w:val="005F11C2"/>
    <w:rsid w:val="005F1264"/>
    <w:rsid w:val="005F16E2"/>
    <w:rsid w:val="005F19F0"/>
    <w:rsid w:val="005F2190"/>
    <w:rsid w:val="005F250B"/>
    <w:rsid w:val="005F2E86"/>
    <w:rsid w:val="005F3AC1"/>
    <w:rsid w:val="005F3C09"/>
    <w:rsid w:val="005F3D5F"/>
    <w:rsid w:val="005F434E"/>
    <w:rsid w:val="005F492F"/>
    <w:rsid w:val="005F4A5B"/>
    <w:rsid w:val="005F4E4C"/>
    <w:rsid w:val="005F51DA"/>
    <w:rsid w:val="005F5647"/>
    <w:rsid w:val="005F5C7C"/>
    <w:rsid w:val="005F5EA5"/>
    <w:rsid w:val="005F6379"/>
    <w:rsid w:val="005F65CA"/>
    <w:rsid w:val="005F6794"/>
    <w:rsid w:val="005F6CAF"/>
    <w:rsid w:val="005F6D4C"/>
    <w:rsid w:val="005F752B"/>
    <w:rsid w:val="005F79C1"/>
    <w:rsid w:val="005F7F34"/>
    <w:rsid w:val="0060018B"/>
    <w:rsid w:val="006002D9"/>
    <w:rsid w:val="00600A51"/>
    <w:rsid w:val="006010B3"/>
    <w:rsid w:val="00601B5C"/>
    <w:rsid w:val="00601C16"/>
    <w:rsid w:val="00601C88"/>
    <w:rsid w:val="00601EC9"/>
    <w:rsid w:val="00601F9E"/>
    <w:rsid w:val="0060257E"/>
    <w:rsid w:val="0060280F"/>
    <w:rsid w:val="00603063"/>
    <w:rsid w:val="0060314C"/>
    <w:rsid w:val="00603323"/>
    <w:rsid w:val="00603418"/>
    <w:rsid w:val="00604494"/>
    <w:rsid w:val="00604812"/>
    <w:rsid w:val="00605077"/>
    <w:rsid w:val="00605078"/>
    <w:rsid w:val="006050B5"/>
    <w:rsid w:val="006054C9"/>
    <w:rsid w:val="0060599B"/>
    <w:rsid w:val="006061D4"/>
    <w:rsid w:val="006064BA"/>
    <w:rsid w:val="006067FB"/>
    <w:rsid w:val="00606F21"/>
    <w:rsid w:val="0060747F"/>
    <w:rsid w:val="00607BC4"/>
    <w:rsid w:val="00607F20"/>
    <w:rsid w:val="00607F4C"/>
    <w:rsid w:val="00610166"/>
    <w:rsid w:val="00610A2D"/>
    <w:rsid w:val="00612161"/>
    <w:rsid w:val="00612381"/>
    <w:rsid w:val="00612A4A"/>
    <w:rsid w:val="00612A6A"/>
    <w:rsid w:val="00612BAD"/>
    <w:rsid w:val="00612C59"/>
    <w:rsid w:val="00613175"/>
    <w:rsid w:val="006132C6"/>
    <w:rsid w:val="006135E3"/>
    <w:rsid w:val="00614487"/>
    <w:rsid w:val="00614560"/>
    <w:rsid w:val="00614804"/>
    <w:rsid w:val="00614E7C"/>
    <w:rsid w:val="00615074"/>
    <w:rsid w:val="006150D7"/>
    <w:rsid w:val="00615996"/>
    <w:rsid w:val="00615CBF"/>
    <w:rsid w:val="00615EE7"/>
    <w:rsid w:val="006162DD"/>
    <w:rsid w:val="006165CD"/>
    <w:rsid w:val="0061676C"/>
    <w:rsid w:val="006168B7"/>
    <w:rsid w:val="00616AA6"/>
    <w:rsid w:val="00616B20"/>
    <w:rsid w:val="00616C78"/>
    <w:rsid w:val="00616F80"/>
    <w:rsid w:val="006173DC"/>
    <w:rsid w:val="0061752A"/>
    <w:rsid w:val="0061786E"/>
    <w:rsid w:val="00617AF3"/>
    <w:rsid w:val="00617E69"/>
    <w:rsid w:val="00617EE7"/>
    <w:rsid w:val="00617F63"/>
    <w:rsid w:val="00620072"/>
    <w:rsid w:val="0062026A"/>
    <w:rsid w:val="006202EF"/>
    <w:rsid w:val="0062034D"/>
    <w:rsid w:val="00620536"/>
    <w:rsid w:val="00620D23"/>
    <w:rsid w:val="00620D32"/>
    <w:rsid w:val="00620D4B"/>
    <w:rsid w:val="006212D8"/>
    <w:rsid w:val="0062132B"/>
    <w:rsid w:val="00622126"/>
    <w:rsid w:val="0062262B"/>
    <w:rsid w:val="006236E6"/>
    <w:rsid w:val="00623D30"/>
    <w:rsid w:val="00624677"/>
    <w:rsid w:val="006246A8"/>
    <w:rsid w:val="00624CD6"/>
    <w:rsid w:val="006259E9"/>
    <w:rsid w:val="00625A39"/>
    <w:rsid w:val="00625C16"/>
    <w:rsid w:val="00625CE6"/>
    <w:rsid w:val="00625E6D"/>
    <w:rsid w:val="00625F86"/>
    <w:rsid w:val="0062652C"/>
    <w:rsid w:val="0062679B"/>
    <w:rsid w:val="006269D3"/>
    <w:rsid w:val="00626B9A"/>
    <w:rsid w:val="00626E4A"/>
    <w:rsid w:val="00626EA3"/>
    <w:rsid w:val="0062731A"/>
    <w:rsid w:val="0062798A"/>
    <w:rsid w:val="00627C65"/>
    <w:rsid w:val="00627D1F"/>
    <w:rsid w:val="00630420"/>
    <w:rsid w:val="006306DF"/>
    <w:rsid w:val="00630714"/>
    <w:rsid w:val="00630D11"/>
    <w:rsid w:val="00631161"/>
    <w:rsid w:val="006315FB"/>
    <w:rsid w:val="0063174B"/>
    <w:rsid w:val="00631CC3"/>
    <w:rsid w:val="00631F32"/>
    <w:rsid w:val="00632540"/>
    <w:rsid w:val="00632919"/>
    <w:rsid w:val="00632E56"/>
    <w:rsid w:val="00633853"/>
    <w:rsid w:val="00633926"/>
    <w:rsid w:val="006340BF"/>
    <w:rsid w:val="00634188"/>
    <w:rsid w:val="006341C5"/>
    <w:rsid w:val="006343D2"/>
    <w:rsid w:val="00634761"/>
    <w:rsid w:val="00634E43"/>
    <w:rsid w:val="00635118"/>
    <w:rsid w:val="006351F2"/>
    <w:rsid w:val="00635420"/>
    <w:rsid w:val="00635C0C"/>
    <w:rsid w:val="00635D1E"/>
    <w:rsid w:val="00635F0F"/>
    <w:rsid w:val="00636115"/>
    <w:rsid w:val="00636C4B"/>
    <w:rsid w:val="0063733D"/>
    <w:rsid w:val="006373B4"/>
    <w:rsid w:val="00637493"/>
    <w:rsid w:val="006375BA"/>
    <w:rsid w:val="00637822"/>
    <w:rsid w:val="0063782C"/>
    <w:rsid w:val="00637B33"/>
    <w:rsid w:val="00637D89"/>
    <w:rsid w:val="006405A8"/>
    <w:rsid w:val="006406B7"/>
    <w:rsid w:val="006407DE"/>
    <w:rsid w:val="00640CB3"/>
    <w:rsid w:val="00640FAA"/>
    <w:rsid w:val="0064121F"/>
    <w:rsid w:val="0064134D"/>
    <w:rsid w:val="0064159E"/>
    <w:rsid w:val="00641725"/>
    <w:rsid w:val="006418EF"/>
    <w:rsid w:val="00641995"/>
    <w:rsid w:val="00641C32"/>
    <w:rsid w:val="00641F99"/>
    <w:rsid w:val="00642808"/>
    <w:rsid w:val="0064288A"/>
    <w:rsid w:val="00642B88"/>
    <w:rsid w:val="00642DB4"/>
    <w:rsid w:val="00643193"/>
    <w:rsid w:val="006434B5"/>
    <w:rsid w:val="006435DA"/>
    <w:rsid w:val="0064366C"/>
    <w:rsid w:val="0064377F"/>
    <w:rsid w:val="006437AE"/>
    <w:rsid w:val="006448F3"/>
    <w:rsid w:val="00645AA0"/>
    <w:rsid w:val="00645B58"/>
    <w:rsid w:val="00645E26"/>
    <w:rsid w:val="00645FE7"/>
    <w:rsid w:val="00646853"/>
    <w:rsid w:val="00646ADC"/>
    <w:rsid w:val="00646BE1"/>
    <w:rsid w:val="006472A3"/>
    <w:rsid w:val="00647528"/>
    <w:rsid w:val="00647C52"/>
    <w:rsid w:val="00647E41"/>
    <w:rsid w:val="00650C1C"/>
    <w:rsid w:val="00650C67"/>
    <w:rsid w:val="006510A9"/>
    <w:rsid w:val="006512DD"/>
    <w:rsid w:val="00651339"/>
    <w:rsid w:val="00651394"/>
    <w:rsid w:val="0065144B"/>
    <w:rsid w:val="00651BC8"/>
    <w:rsid w:val="00653006"/>
    <w:rsid w:val="00653489"/>
    <w:rsid w:val="00653B5B"/>
    <w:rsid w:val="00653CD8"/>
    <w:rsid w:val="006540C4"/>
    <w:rsid w:val="00654486"/>
    <w:rsid w:val="006545BC"/>
    <w:rsid w:val="00654966"/>
    <w:rsid w:val="0065508F"/>
    <w:rsid w:val="006553E9"/>
    <w:rsid w:val="00655778"/>
    <w:rsid w:val="00655C34"/>
    <w:rsid w:val="00655CAB"/>
    <w:rsid w:val="0065617D"/>
    <w:rsid w:val="00656271"/>
    <w:rsid w:val="006564BC"/>
    <w:rsid w:val="00656D55"/>
    <w:rsid w:val="00657672"/>
    <w:rsid w:val="0065767F"/>
    <w:rsid w:val="00657E72"/>
    <w:rsid w:val="0066014B"/>
    <w:rsid w:val="00660999"/>
    <w:rsid w:val="00660C6C"/>
    <w:rsid w:val="006612A0"/>
    <w:rsid w:val="006615C8"/>
    <w:rsid w:val="006616A5"/>
    <w:rsid w:val="006616DB"/>
    <w:rsid w:val="006621EA"/>
    <w:rsid w:val="006628F0"/>
    <w:rsid w:val="00662D45"/>
    <w:rsid w:val="00663173"/>
    <w:rsid w:val="006637F0"/>
    <w:rsid w:val="00664499"/>
    <w:rsid w:val="00664C84"/>
    <w:rsid w:val="00664EE2"/>
    <w:rsid w:val="0066505D"/>
    <w:rsid w:val="0066527A"/>
    <w:rsid w:val="006653C4"/>
    <w:rsid w:val="00665AE8"/>
    <w:rsid w:val="00665CC8"/>
    <w:rsid w:val="00665D59"/>
    <w:rsid w:val="00666386"/>
    <w:rsid w:val="006666F4"/>
    <w:rsid w:val="00667746"/>
    <w:rsid w:val="0066791A"/>
    <w:rsid w:val="00667B7E"/>
    <w:rsid w:val="00670271"/>
    <w:rsid w:val="00670901"/>
    <w:rsid w:val="00670A4B"/>
    <w:rsid w:val="00670A53"/>
    <w:rsid w:val="0067109A"/>
    <w:rsid w:val="00671F76"/>
    <w:rsid w:val="0067203E"/>
    <w:rsid w:val="0067223D"/>
    <w:rsid w:val="006722ED"/>
    <w:rsid w:val="00672567"/>
    <w:rsid w:val="006728C2"/>
    <w:rsid w:val="00672C19"/>
    <w:rsid w:val="00672D0A"/>
    <w:rsid w:val="00672E15"/>
    <w:rsid w:val="00672E5C"/>
    <w:rsid w:val="00673754"/>
    <w:rsid w:val="00673981"/>
    <w:rsid w:val="00673A28"/>
    <w:rsid w:val="00673E6D"/>
    <w:rsid w:val="0067495F"/>
    <w:rsid w:val="00674C02"/>
    <w:rsid w:val="00674DE5"/>
    <w:rsid w:val="00675E22"/>
    <w:rsid w:val="00675FE6"/>
    <w:rsid w:val="00676160"/>
    <w:rsid w:val="0067662D"/>
    <w:rsid w:val="00676D76"/>
    <w:rsid w:val="00677128"/>
    <w:rsid w:val="006772D9"/>
    <w:rsid w:val="00677854"/>
    <w:rsid w:val="00677C6A"/>
    <w:rsid w:val="00677CB1"/>
    <w:rsid w:val="00677DFC"/>
    <w:rsid w:val="0068057C"/>
    <w:rsid w:val="00680C78"/>
    <w:rsid w:val="00680EAE"/>
    <w:rsid w:val="00680ED9"/>
    <w:rsid w:val="006810C6"/>
    <w:rsid w:val="006811F2"/>
    <w:rsid w:val="00681460"/>
    <w:rsid w:val="00681878"/>
    <w:rsid w:val="0068194B"/>
    <w:rsid w:val="006819FB"/>
    <w:rsid w:val="00681E37"/>
    <w:rsid w:val="00682022"/>
    <w:rsid w:val="0068231A"/>
    <w:rsid w:val="006828C9"/>
    <w:rsid w:val="00682DA4"/>
    <w:rsid w:val="00683096"/>
    <w:rsid w:val="00683C0C"/>
    <w:rsid w:val="00683DF5"/>
    <w:rsid w:val="00684339"/>
    <w:rsid w:val="00684A85"/>
    <w:rsid w:val="006852CD"/>
    <w:rsid w:val="00685C0F"/>
    <w:rsid w:val="00685C74"/>
    <w:rsid w:val="00685D96"/>
    <w:rsid w:val="0068632A"/>
    <w:rsid w:val="006866EB"/>
    <w:rsid w:val="006868EE"/>
    <w:rsid w:val="00686CA0"/>
    <w:rsid w:val="00686CBF"/>
    <w:rsid w:val="00686D83"/>
    <w:rsid w:val="00686E85"/>
    <w:rsid w:val="00687671"/>
    <w:rsid w:val="006877E8"/>
    <w:rsid w:val="00687B8E"/>
    <w:rsid w:val="00687C4D"/>
    <w:rsid w:val="006900C7"/>
    <w:rsid w:val="00690354"/>
    <w:rsid w:val="0069085E"/>
    <w:rsid w:val="00691CA1"/>
    <w:rsid w:val="00691D36"/>
    <w:rsid w:val="006920AB"/>
    <w:rsid w:val="00692227"/>
    <w:rsid w:val="00692596"/>
    <w:rsid w:val="00692783"/>
    <w:rsid w:val="0069279F"/>
    <w:rsid w:val="00692BE7"/>
    <w:rsid w:val="00692EB9"/>
    <w:rsid w:val="00693001"/>
    <w:rsid w:val="006934C4"/>
    <w:rsid w:val="00693728"/>
    <w:rsid w:val="0069388E"/>
    <w:rsid w:val="00693A62"/>
    <w:rsid w:val="00693C8C"/>
    <w:rsid w:val="006945CB"/>
    <w:rsid w:val="00695511"/>
    <w:rsid w:val="0069641E"/>
    <w:rsid w:val="00696577"/>
    <w:rsid w:val="006965C8"/>
    <w:rsid w:val="006965E0"/>
    <w:rsid w:val="006969D6"/>
    <w:rsid w:val="00696A49"/>
    <w:rsid w:val="00696C47"/>
    <w:rsid w:val="006A05C6"/>
    <w:rsid w:val="006A0A74"/>
    <w:rsid w:val="006A0CB0"/>
    <w:rsid w:val="006A0CB7"/>
    <w:rsid w:val="006A0D92"/>
    <w:rsid w:val="006A0DBB"/>
    <w:rsid w:val="006A107C"/>
    <w:rsid w:val="006A1369"/>
    <w:rsid w:val="006A1375"/>
    <w:rsid w:val="006A1B14"/>
    <w:rsid w:val="006A1D9A"/>
    <w:rsid w:val="006A1FA8"/>
    <w:rsid w:val="006A211C"/>
    <w:rsid w:val="006A25B3"/>
    <w:rsid w:val="006A2E6C"/>
    <w:rsid w:val="006A2FC1"/>
    <w:rsid w:val="006A32C1"/>
    <w:rsid w:val="006A34F6"/>
    <w:rsid w:val="006A3545"/>
    <w:rsid w:val="006A3B81"/>
    <w:rsid w:val="006A3FCB"/>
    <w:rsid w:val="006A41E6"/>
    <w:rsid w:val="006A4784"/>
    <w:rsid w:val="006A4F03"/>
    <w:rsid w:val="006A5259"/>
    <w:rsid w:val="006A5A26"/>
    <w:rsid w:val="006A5A8F"/>
    <w:rsid w:val="006A5BAC"/>
    <w:rsid w:val="006A66B2"/>
    <w:rsid w:val="006A6773"/>
    <w:rsid w:val="006A67DE"/>
    <w:rsid w:val="006A6832"/>
    <w:rsid w:val="006A6999"/>
    <w:rsid w:val="006A6EF8"/>
    <w:rsid w:val="006B001A"/>
    <w:rsid w:val="006B060E"/>
    <w:rsid w:val="006B06B5"/>
    <w:rsid w:val="006B0744"/>
    <w:rsid w:val="006B10F7"/>
    <w:rsid w:val="006B1111"/>
    <w:rsid w:val="006B1412"/>
    <w:rsid w:val="006B1B96"/>
    <w:rsid w:val="006B1C73"/>
    <w:rsid w:val="006B1CBA"/>
    <w:rsid w:val="006B2073"/>
    <w:rsid w:val="006B2564"/>
    <w:rsid w:val="006B2816"/>
    <w:rsid w:val="006B2BEF"/>
    <w:rsid w:val="006B2CA8"/>
    <w:rsid w:val="006B32CD"/>
    <w:rsid w:val="006B32F3"/>
    <w:rsid w:val="006B384F"/>
    <w:rsid w:val="006B386E"/>
    <w:rsid w:val="006B389F"/>
    <w:rsid w:val="006B3921"/>
    <w:rsid w:val="006B3944"/>
    <w:rsid w:val="006B3C38"/>
    <w:rsid w:val="006B3DAB"/>
    <w:rsid w:val="006B4742"/>
    <w:rsid w:val="006B54D2"/>
    <w:rsid w:val="006B5BFB"/>
    <w:rsid w:val="006B5D13"/>
    <w:rsid w:val="006B5E3C"/>
    <w:rsid w:val="006B6276"/>
    <w:rsid w:val="006B6516"/>
    <w:rsid w:val="006B6732"/>
    <w:rsid w:val="006B6833"/>
    <w:rsid w:val="006B6A3A"/>
    <w:rsid w:val="006B6A48"/>
    <w:rsid w:val="006B6FAF"/>
    <w:rsid w:val="006B72A0"/>
    <w:rsid w:val="006B7725"/>
    <w:rsid w:val="006B7786"/>
    <w:rsid w:val="006C0238"/>
    <w:rsid w:val="006C03FB"/>
    <w:rsid w:val="006C0832"/>
    <w:rsid w:val="006C0C1F"/>
    <w:rsid w:val="006C1544"/>
    <w:rsid w:val="006C2366"/>
    <w:rsid w:val="006C2583"/>
    <w:rsid w:val="006C29C4"/>
    <w:rsid w:val="006C2AAB"/>
    <w:rsid w:val="006C3B60"/>
    <w:rsid w:val="006C3D08"/>
    <w:rsid w:val="006C41FB"/>
    <w:rsid w:val="006C432C"/>
    <w:rsid w:val="006C46AB"/>
    <w:rsid w:val="006C49E9"/>
    <w:rsid w:val="006C4FF0"/>
    <w:rsid w:val="006C5212"/>
    <w:rsid w:val="006C5339"/>
    <w:rsid w:val="006C5945"/>
    <w:rsid w:val="006C5AF2"/>
    <w:rsid w:val="006C5B2F"/>
    <w:rsid w:val="006C5C13"/>
    <w:rsid w:val="006C5F56"/>
    <w:rsid w:val="006C60EF"/>
    <w:rsid w:val="006C6D7D"/>
    <w:rsid w:val="006C6DAC"/>
    <w:rsid w:val="006C6F88"/>
    <w:rsid w:val="006C6FBD"/>
    <w:rsid w:val="006C70AF"/>
    <w:rsid w:val="006C7293"/>
    <w:rsid w:val="006C73EA"/>
    <w:rsid w:val="006C79AA"/>
    <w:rsid w:val="006D0610"/>
    <w:rsid w:val="006D089E"/>
    <w:rsid w:val="006D09C3"/>
    <w:rsid w:val="006D0A3C"/>
    <w:rsid w:val="006D15DB"/>
    <w:rsid w:val="006D28F6"/>
    <w:rsid w:val="006D2D66"/>
    <w:rsid w:val="006D3063"/>
    <w:rsid w:val="006D30F1"/>
    <w:rsid w:val="006D3331"/>
    <w:rsid w:val="006D3863"/>
    <w:rsid w:val="006D40E1"/>
    <w:rsid w:val="006D4519"/>
    <w:rsid w:val="006D45F3"/>
    <w:rsid w:val="006D46E2"/>
    <w:rsid w:val="006D48F2"/>
    <w:rsid w:val="006D52B7"/>
    <w:rsid w:val="006D5427"/>
    <w:rsid w:val="006D57E5"/>
    <w:rsid w:val="006D59C7"/>
    <w:rsid w:val="006D5AA7"/>
    <w:rsid w:val="006D5B47"/>
    <w:rsid w:val="006D5F2C"/>
    <w:rsid w:val="006D6147"/>
    <w:rsid w:val="006D6957"/>
    <w:rsid w:val="006D69A9"/>
    <w:rsid w:val="006D6E07"/>
    <w:rsid w:val="006D6EB4"/>
    <w:rsid w:val="006D725A"/>
    <w:rsid w:val="006D74F7"/>
    <w:rsid w:val="006D761E"/>
    <w:rsid w:val="006D7924"/>
    <w:rsid w:val="006E02D2"/>
    <w:rsid w:val="006E0374"/>
    <w:rsid w:val="006E0570"/>
    <w:rsid w:val="006E0742"/>
    <w:rsid w:val="006E078F"/>
    <w:rsid w:val="006E0DBB"/>
    <w:rsid w:val="006E0F52"/>
    <w:rsid w:val="006E1081"/>
    <w:rsid w:val="006E1D82"/>
    <w:rsid w:val="006E21DD"/>
    <w:rsid w:val="006E2F5E"/>
    <w:rsid w:val="006E2F84"/>
    <w:rsid w:val="006E304C"/>
    <w:rsid w:val="006E355E"/>
    <w:rsid w:val="006E3563"/>
    <w:rsid w:val="006E36B6"/>
    <w:rsid w:val="006E38DD"/>
    <w:rsid w:val="006E3C75"/>
    <w:rsid w:val="006E3DDD"/>
    <w:rsid w:val="006E42B8"/>
    <w:rsid w:val="006E4444"/>
    <w:rsid w:val="006E44E8"/>
    <w:rsid w:val="006E4607"/>
    <w:rsid w:val="006E499A"/>
    <w:rsid w:val="006E499E"/>
    <w:rsid w:val="006E4A2E"/>
    <w:rsid w:val="006E52C2"/>
    <w:rsid w:val="006E5386"/>
    <w:rsid w:val="006E5446"/>
    <w:rsid w:val="006E55A6"/>
    <w:rsid w:val="006E5B05"/>
    <w:rsid w:val="006E5CAB"/>
    <w:rsid w:val="006E67A4"/>
    <w:rsid w:val="006E687E"/>
    <w:rsid w:val="006E6E55"/>
    <w:rsid w:val="006E72A4"/>
    <w:rsid w:val="006E7763"/>
    <w:rsid w:val="006E7AFC"/>
    <w:rsid w:val="006F00D6"/>
    <w:rsid w:val="006F0377"/>
    <w:rsid w:val="006F03DA"/>
    <w:rsid w:val="006F06ED"/>
    <w:rsid w:val="006F098A"/>
    <w:rsid w:val="006F1130"/>
    <w:rsid w:val="006F15D7"/>
    <w:rsid w:val="006F197E"/>
    <w:rsid w:val="006F1E5A"/>
    <w:rsid w:val="006F1E85"/>
    <w:rsid w:val="006F1F98"/>
    <w:rsid w:val="006F21BB"/>
    <w:rsid w:val="006F310B"/>
    <w:rsid w:val="006F3116"/>
    <w:rsid w:val="006F36A7"/>
    <w:rsid w:val="006F3F05"/>
    <w:rsid w:val="006F3FF7"/>
    <w:rsid w:val="006F5457"/>
    <w:rsid w:val="006F54B3"/>
    <w:rsid w:val="006F5C37"/>
    <w:rsid w:val="006F5DB9"/>
    <w:rsid w:val="006F5E65"/>
    <w:rsid w:val="006F5F8C"/>
    <w:rsid w:val="006F61E8"/>
    <w:rsid w:val="006F6342"/>
    <w:rsid w:val="006F665C"/>
    <w:rsid w:val="006F6694"/>
    <w:rsid w:val="006F66A2"/>
    <w:rsid w:val="006F6B8D"/>
    <w:rsid w:val="006F7043"/>
    <w:rsid w:val="006F723C"/>
    <w:rsid w:val="006F786A"/>
    <w:rsid w:val="006F787D"/>
    <w:rsid w:val="006F78F3"/>
    <w:rsid w:val="006F790E"/>
    <w:rsid w:val="006F7DE9"/>
    <w:rsid w:val="006F7F08"/>
    <w:rsid w:val="00700065"/>
    <w:rsid w:val="00700072"/>
    <w:rsid w:val="007001E4"/>
    <w:rsid w:val="00700944"/>
    <w:rsid w:val="007010A3"/>
    <w:rsid w:val="00701B89"/>
    <w:rsid w:val="00701CF3"/>
    <w:rsid w:val="00701D11"/>
    <w:rsid w:val="00702041"/>
    <w:rsid w:val="00702448"/>
    <w:rsid w:val="0070299E"/>
    <w:rsid w:val="00703404"/>
    <w:rsid w:val="00703E84"/>
    <w:rsid w:val="00703FA9"/>
    <w:rsid w:val="0070414E"/>
    <w:rsid w:val="00704913"/>
    <w:rsid w:val="00704E8F"/>
    <w:rsid w:val="00705A9D"/>
    <w:rsid w:val="007061B7"/>
    <w:rsid w:val="00706612"/>
    <w:rsid w:val="007066A7"/>
    <w:rsid w:val="00706809"/>
    <w:rsid w:val="00706AFE"/>
    <w:rsid w:val="00706B24"/>
    <w:rsid w:val="00706DA1"/>
    <w:rsid w:val="00706F2B"/>
    <w:rsid w:val="007071ED"/>
    <w:rsid w:val="007077C0"/>
    <w:rsid w:val="007105F5"/>
    <w:rsid w:val="00710789"/>
    <w:rsid w:val="00710DF4"/>
    <w:rsid w:val="00711575"/>
    <w:rsid w:val="007119FB"/>
    <w:rsid w:val="0071214A"/>
    <w:rsid w:val="0071247D"/>
    <w:rsid w:val="0071267E"/>
    <w:rsid w:val="0071284C"/>
    <w:rsid w:val="00712946"/>
    <w:rsid w:val="00712AFF"/>
    <w:rsid w:val="00713DF3"/>
    <w:rsid w:val="007143A9"/>
    <w:rsid w:val="0071468E"/>
    <w:rsid w:val="00714BEA"/>
    <w:rsid w:val="00714D85"/>
    <w:rsid w:val="0071540E"/>
    <w:rsid w:val="00715799"/>
    <w:rsid w:val="00715E67"/>
    <w:rsid w:val="00716175"/>
    <w:rsid w:val="00716195"/>
    <w:rsid w:val="0071663C"/>
    <w:rsid w:val="007167F8"/>
    <w:rsid w:val="0071685A"/>
    <w:rsid w:val="00716D19"/>
    <w:rsid w:val="00716F67"/>
    <w:rsid w:val="007176BB"/>
    <w:rsid w:val="0071796A"/>
    <w:rsid w:val="00717A72"/>
    <w:rsid w:val="0072031D"/>
    <w:rsid w:val="007220D5"/>
    <w:rsid w:val="007227DC"/>
    <w:rsid w:val="00722973"/>
    <w:rsid w:val="007230A0"/>
    <w:rsid w:val="00723A42"/>
    <w:rsid w:val="00723A75"/>
    <w:rsid w:val="007245D6"/>
    <w:rsid w:val="007252F5"/>
    <w:rsid w:val="00725433"/>
    <w:rsid w:val="00725F3A"/>
    <w:rsid w:val="00726189"/>
    <w:rsid w:val="00726482"/>
    <w:rsid w:val="00726668"/>
    <w:rsid w:val="00726849"/>
    <w:rsid w:val="00726C90"/>
    <w:rsid w:val="00726C9A"/>
    <w:rsid w:val="00726DF9"/>
    <w:rsid w:val="007270E9"/>
    <w:rsid w:val="007275F6"/>
    <w:rsid w:val="0072791F"/>
    <w:rsid w:val="00727A4A"/>
    <w:rsid w:val="00727B2A"/>
    <w:rsid w:val="0073002F"/>
    <w:rsid w:val="0073020C"/>
    <w:rsid w:val="0073061A"/>
    <w:rsid w:val="0073077D"/>
    <w:rsid w:val="00730D52"/>
    <w:rsid w:val="00730F94"/>
    <w:rsid w:val="007310A5"/>
    <w:rsid w:val="00731344"/>
    <w:rsid w:val="00731551"/>
    <w:rsid w:val="00731C62"/>
    <w:rsid w:val="00731CBB"/>
    <w:rsid w:val="007324F6"/>
    <w:rsid w:val="0073297D"/>
    <w:rsid w:val="00732C2C"/>
    <w:rsid w:val="00732FE9"/>
    <w:rsid w:val="0073302E"/>
    <w:rsid w:val="00733A19"/>
    <w:rsid w:val="00734793"/>
    <w:rsid w:val="00734B52"/>
    <w:rsid w:val="00735069"/>
    <w:rsid w:val="00736146"/>
    <w:rsid w:val="0073652E"/>
    <w:rsid w:val="00737447"/>
    <w:rsid w:val="007376AB"/>
    <w:rsid w:val="00737B57"/>
    <w:rsid w:val="00737B88"/>
    <w:rsid w:val="00740854"/>
    <w:rsid w:val="00740906"/>
    <w:rsid w:val="00740A0F"/>
    <w:rsid w:val="00740BB5"/>
    <w:rsid w:val="00741F9B"/>
    <w:rsid w:val="00742146"/>
    <w:rsid w:val="0074228F"/>
    <w:rsid w:val="00742A43"/>
    <w:rsid w:val="00742FF5"/>
    <w:rsid w:val="00743384"/>
    <w:rsid w:val="0074407E"/>
    <w:rsid w:val="00744488"/>
    <w:rsid w:val="007447EF"/>
    <w:rsid w:val="00744850"/>
    <w:rsid w:val="007449EA"/>
    <w:rsid w:val="00745040"/>
    <w:rsid w:val="007451A8"/>
    <w:rsid w:val="007461CA"/>
    <w:rsid w:val="007465FF"/>
    <w:rsid w:val="00746B30"/>
    <w:rsid w:val="00746B91"/>
    <w:rsid w:val="00746BBF"/>
    <w:rsid w:val="007470C9"/>
    <w:rsid w:val="007479E3"/>
    <w:rsid w:val="00747D0B"/>
    <w:rsid w:val="007501A7"/>
    <w:rsid w:val="007509D6"/>
    <w:rsid w:val="0075158B"/>
    <w:rsid w:val="00751B04"/>
    <w:rsid w:val="007523D8"/>
    <w:rsid w:val="0075270E"/>
    <w:rsid w:val="00752B82"/>
    <w:rsid w:val="007535F6"/>
    <w:rsid w:val="00754BFF"/>
    <w:rsid w:val="0075503B"/>
    <w:rsid w:val="00755640"/>
    <w:rsid w:val="007558E5"/>
    <w:rsid w:val="007559C1"/>
    <w:rsid w:val="00755A6F"/>
    <w:rsid w:val="00755B3E"/>
    <w:rsid w:val="00755D3C"/>
    <w:rsid w:val="007562AA"/>
    <w:rsid w:val="0075631B"/>
    <w:rsid w:val="00756381"/>
    <w:rsid w:val="0075662A"/>
    <w:rsid w:val="00756ABD"/>
    <w:rsid w:val="00757974"/>
    <w:rsid w:val="00757BFA"/>
    <w:rsid w:val="007603FA"/>
    <w:rsid w:val="00760613"/>
    <w:rsid w:val="007606D3"/>
    <w:rsid w:val="007606D7"/>
    <w:rsid w:val="00760832"/>
    <w:rsid w:val="007609F9"/>
    <w:rsid w:val="00760D3C"/>
    <w:rsid w:val="0076142B"/>
    <w:rsid w:val="00761489"/>
    <w:rsid w:val="007614BF"/>
    <w:rsid w:val="00761831"/>
    <w:rsid w:val="00761C14"/>
    <w:rsid w:val="00761D4C"/>
    <w:rsid w:val="007627E4"/>
    <w:rsid w:val="00762F6A"/>
    <w:rsid w:val="00763261"/>
    <w:rsid w:val="00763362"/>
    <w:rsid w:val="0076362B"/>
    <w:rsid w:val="00763720"/>
    <w:rsid w:val="00763ADC"/>
    <w:rsid w:val="00763BCC"/>
    <w:rsid w:val="00763CF3"/>
    <w:rsid w:val="00763DF8"/>
    <w:rsid w:val="00764269"/>
    <w:rsid w:val="00764376"/>
    <w:rsid w:val="0076495C"/>
    <w:rsid w:val="00764AA1"/>
    <w:rsid w:val="0076515D"/>
    <w:rsid w:val="00765184"/>
    <w:rsid w:val="00765656"/>
    <w:rsid w:val="0076580A"/>
    <w:rsid w:val="0076583E"/>
    <w:rsid w:val="00765DF7"/>
    <w:rsid w:val="00765E9F"/>
    <w:rsid w:val="00765F7D"/>
    <w:rsid w:val="0076699D"/>
    <w:rsid w:val="00766C47"/>
    <w:rsid w:val="00766DA2"/>
    <w:rsid w:val="007676DA"/>
    <w:rsid w:val="00767B0C"/>
    <w:rsid w:val="00767B9A"/>
    <w:rsid w:val="00767DA7"/>
    <w:rsid w:val="00767E26"/>
    <w:rsid w:val="00767F54"/>
    <w:rsid w:val="00770473"/>
    <w:rsid w:val="007704BB"/>
    <w:rsid w:val="00770B55"/>
    <w:rsid w:val="00770F6B"/>
    <w:rsid w:val="00771019"/>
    <w:rsid w:val="007714E1"/>
    <w:rsid w:val="0077150E"/>
    <w:rsid w:val="00771702"/>
    <w:rsid w:val="0077170E"/>
    <w:rsid w:val="00772078"/>
    <w:rsid w:val="00772345"/>
    <w:rsid w:val="00772648"/>
    <w:rsid w:val="0077273D"/>
    <w:rsid w:val="00772AE6"/>
    <w:rsid w:val="00772BD0"/>
    <w:rsid w:val="00772E7F"/>
    <w:rsid w:val="00774557"/>
    <w:rsid w:val="00774FA7"/>
    <w:rsid w:val="00775135"/>
    <w:rsid w:val="00775D66"/>
    <w:rsid w:val="00775D85"/>
    <w:rsid w:val="00776605"/>
    <w:rsid w:val="0077683C"/>
    <w:rsid w:val="00776BD3"/>
    <w:rsid w:val="00776ECD"/>
    <w:rsid w:val="0077731E"/>
    <w:rsid w:val="00777D23"/>
    <w:rsid w:val="00780895"/>
    <w:rsid w:val="00780B1C"/>
    <w:rsid w:val="00780D3A"/>
    <w:rsid w:val="00781044"/>
    <w:rsid w:val="0078116D"/>
    <w:rsid w:val="00781784"/>
    <w:rsid w:val="007819D6"/>
    <w:rsid w:val="00781DEF"/>
    <w:rsid w:val="00781EB4"/>
    <w:rsid w:val="00781EBA"/>
    <w:rsid w:val="0078290F"/>
    <w:rsid w:val="00782A3E"/>
    <w:rsid w:val="00782FF7"/>
    <w:rsid w:val="00783160"/>
    <w:rsid w:val="00783368"/>
    <w:rsid w:val="00783501"/>
    <w:rsid w:val="007835B0"/>
    <w:rsid w:val="00783D21"/>
    <w:rsid w:val="007843AD"/>
    <w:rsid w:val="0078487A"/>
    <w:rsid w:val="00784B35"/>
    <w:rsid w:val="00785381"/>
    <w:rsid w:val="007856D6"/>
    <w:rsid w:val="00785831"/>
    <w:rsid w:val="007860B5"/>
    <w:rsid w:val="00786353"/>
    <w:rsid w:val="0078681C"/>
    <w:rsid w:val="0078693D"/>
    <w:rsid w:val="0078771D"/>
    <w:rsid w:val="007878DB"/>
    <w:rsid w:val="00787B95"/>
    <w:rsid w:val="00787D82"/>
    <w:rsid w:val="00787E13"/>
    <w:rsid w:val="0079012C"/>
    <w:rsid w:val="007906A0"/>
    <w:rsid w:val="00790F82"/>
    <w:rsid w:val="007910FC"/>
    <w:rsid w:val="00791698"/>
    <w:rsid w:val="007918A4"/>
    <w:rsid w:val="00791904"/>
    <w:rsid w:val="0079194C"/>
    <w:rsid w:val="00791B78"/>
    <w:rsid w:val="00791F22"/>
    <w:rsid w:val="00791F5C"/>
    <w:rsid w:val="00791FCE"/>
    <w:rsid w:val="00791FF5"/>
    <w:rsid w:val="00792644"/>
    <w:rsid w:val="007928BA"/>
    <w:rsid w:val="00792A07"/>
    <w:rsid w:val="00792C2F"/>
    <w:rsid w:val="00792EA7"/>
    <w:rsid w:val="00792F98"/>
    <w:rsid w:val="0079323B"/>
    <w:rsid w:val="00793794"/>
    <w:rsid w:val="00793AFC"/>
    <w:rsid w:val="00793C70"/>
    <w:rsid w:val="007940DD"/>
    <w:rsid w:val="00794D38"/>
    <w:rsid w:val="00795019"/>
    <w:rsid w:val="0079552C"/>
    <w:rsid w:val="00795E6B"/>
    <w:rsid w:val="007963E0"/>
    <w:rsid w:val="00796578"/>
    <w:rsid w:val="00797217"/>
    <w:rsid w:val="00797BE5"/>
    <w:rsid w:val="00797D6F"/>
    <w:rsid w:val="007A0203"/>
    <w:rsid w:val="007A0256"/>
    <w:rsid w:val="007A028E"/>
    <w:rsid w:val="007A03F8"/>
    <w:rsid w:val="007A076C"/>
    <w:rsid w:val="007A0D61"/>
    <w:rsid w:val="007A106E"/>
    <w:rsid w:val="007A12F6"/>
    <w:rsid w:val="007A14D3"/>
    <w:rsid w:val="007A17B4"/>
    <w:rsid w:val="007A1903"/>
    <w:rsid w:val="007A193B"/>
    <w:rsid w:val="007A197E"/>
    <w:rsid w:val="007A1D1D"/>
    <w:rsid w:val="007A2655"/>
    <w:rsid w:val="007A281E"/>
    <w:rsid w:val="007A2843"/>
    <w:rsid w:val="007A35C4"/>
    <w:rsid w:val="007A37C3"/>
    <w:rsid w:val="007A3BD1"/>
    <w:rsid w:val="007A3C18"/>
    <w:rsid w:val="007A42A9"/>
    <w:rsid w:val="007A42C8"/>
    <w:rsid w:val="007A42E5"/>
    <w:rsid w:val="007A451F"/>
    <w:rsid w:val="007A4E96"/>
    <w:rsid w:val="007A4EBA"/>
    <w:rsid w:val="007A546A"/>
    <w:rsid w:val="007A5764"/>
    <w:rsid w:val="007A5795"/>
    <w:rsid w:val="007A5A46"/>
    <w:rsid w:val="007A5EAA"/>
    <w:rsid w:val="007A68D1"/>
    <w:rsid w:val="007A78B8"/>
    <w:rsid w:val="007B05F9"/>
    <w:rsid w:val="007B0F3D"/>
    <w:rsid w:val="007B1F21"/>
    <w:rsid w:val="007B2174"/>
    <w:rsid w:val="007B21D6"/>
    <w:rsid w:val="007B24E4"/>
    <w:rsid w:val="007B25D2"/>
    <w:rsid w:val="007B2885"/>
    <w:rsid w:val="007B2ABA"/>
    <w:rsid w:val="007B2AE6"/>
    <w:rsid w:val="007B2B2F"/>
    <w:rsid w:val="007B2DBF"/>
    <w:rsid w:val="007B33A3"/>
    <w:rsid w:val="007B3674"/>
    <w:rsid w:val="007B36AB"/>
    <w:rsid w:val="007B36B2"/>
    <w:rsid w:val="007B374E"/>
    <w:rsid w:val="007B37D5"/>
    <w:rsid w:val="007B39EA"/>
    <w:rsid w:val="007B39F0"/>
    <w:rsid w:val="007B3AA1"/>
    <w:rsid w:val="007B4C5B"/>
    <w:rsid w:val="007B55EB"/>
    <w:rsid w:val="007B56E3"/>
    <w:rsid w:val="007B5949"/>
    <w:rsid w:val="007B5B6E"/>
    <w:rsid w:val="007B5D9F"/>
    <w:rsid w:val="007B6B26"/>
    <w:rsid w:val="007B7055"/>
    <w:rsid w:val="007B7166"/>
    <w:rsid w:val="007B7212"/>
    <w:rsid w:val="007B72FE"/>
    <w:rsid w:val="007B73BF"/>
    <w:rsid w:val="007B7A98"/>
    <w:rsid w:val="007C0246"/>
    <w:rsid w:val="007C0433"/>
    <w:rsid w:val="007C0451"/>
    <w:rsid w:val="007C094A"/>
    <w:rsid w:val="007C0DFB"/>
    <w:rsid w:val="007C0F78"/>
    <w:rsid w:val="007C1567"/>
    <w:rsid w:val="007C16F8"/>
    <w:rsid w:val="007C1987"/>
    <w:rsid w:val="007C1EC0"/>
    <w:rsid w:val="007C1FD9"/>
    <w:rsid w:val="007C2010"/>
    <w:rsid w:val="007C3C6E"/>
    <w:rsid w:val="007C3C81"/>
    <w:rsid w:val="007C3DFC"/>
    <w:rsid w:val="007C4B0B"/>
    <w:rsid w:val="007C589B"/>
    <w:rsid w:val="007C5B45"/>
    <w:rsid w:val="007C5D32"/>
    <w:rsid w:val="007C5F65"/>
    <w:rsid w:val="007C60D8"/>
    <w:rsid w:val="007C635E"/>
    <w:rsid w:val="007C641C"/>
    <w:rsid w:val="007C657C"/>
    <w:rsid w:val="007C669C"/>
    <w:rsid w:val="007C69DB"/>
    <w:rsid w:val="007C6AA2"/>
    <w:rsid w:val="007C6D12"/>
    <w:rsid w:val="007C7236"/>
    <w:rsid w:val="007C76FA"/>
    <w:rsid w:val="007C789E"/>
    <w:rsid w:val="007C796F"/>
    <w:rsid w:val="007D02A1"/>
    <w:rsid w:val="007D0305"/>
    <w:rsid w:val="007D0758"/>
    <w:rsid w:val="007D07AA"/>
    <w:rsid w:val="007D09A8"/>
    <w:rsid w:val="007D0E8C"/>
    <w:rsid w:val="007D0EB5"/>
    <w:rsid w:val="007D101D"/>
    <w:rsid w:val="007D146F"/>
    <w:rsid w:val="007D17AF"/>
    <w:rsid w:val="007D1D06"/>
    <w:rsid w:val="007D1FE2"/>
    <w:rsid w:val="007D26CD"/>
    <w:rsid w:val="007D27A5"/>
    <w:rsid w:val="007D2859"/>
    <w:rsid w:val="007D32C7"/>
    <w:rsid w:val="007D4258"/>
    <w:rsid w:val="007D43F4"/>
    <w:rsid w:val="007D4652"/>
    <w:rsid w:val="007D52B5"/>
    <w:rsid w:val="007D5514"/>
    <w:rsid w:val="007D5568"/>
    <w:rsid w:val="007D5592"/>
    <w:rsid w:val="007D574C"/>
    <w:rsid w:val="007D5C68"/>
    <w:rsid w:val="007D5D0B"/>
    <w:rsid w:val="007D5FF6"/>
    <w:rsid w:val="007D635F"/>
    <w:rsid w:val="007D656D"/>
    <w:rsid w:val="007D65C5"/>
    <w:rsid w:val="007D65DF"/>
    <w:rsid w:val="007D688D"/>
    <w:rsid w:val="007D6DEC"/>
    <w:rsid w:val="007D7196"/>
    <w:rsid w:val="007D73D3"/>
    <w:rsid w:val="007D767A"/>
    <w:rsid w:val="007D7956"/>
    <w:rsid w:val="007D7B2E"/>
    <w:rsid w:val="007D7E48"/>
    <w:rsid w:val="007D7F68"/>
    <w:rsid w:val="007D7FB8"/>
    <w:rsid w:val="007E00DA"/>
    <w:rsid w:val="007E0492"/>
    <w:rsid w:val="007E0551"/>
    <w:rsid w:val="007E094C"/>
    <w:rsid w:val="007E0966"/>
    <w:rsid w:val="007E0E3D"/>
    <w:rsid w:val="007E0E40"/>
    <w:rsid w:val="007E0FB0"/>
    <w:rsid w:val="007E18A0"/>
    <w:rsid w:val="007E19E1"/>
    <w:rsid w:val="007E1C04"/>
    <w:rsid w:val="007E1CAC"/>
    <w:rsid w:val="007E1E02"/>
    <w:rsid w:val="007E2083"/>
    <w:rsid w:val="007E254F"/>
    <w:rsid w:val="007E2631"/>
    <w:rsid w:val="007E346C"/>
    <w:rsid w:val="007E3D05"/>
    <w:rsid w:val="007E3E66"/>
    <w:rsid w:val="007E3F1B"/>
    <w:rsid w:val="007E4C77"/>
    <w:rsid w:val="007E4DFA"/>
    <w:rsid w:val="007E5179"/>
    <w:rsid w:val="007E5190"/>
    <w:rsid w:val="007E53F9"/>
    <w:rsid w:val="007E5427"/>
    <w:rsid w:val="007E5BD9"/>
    <w:rsid w:val="007E5C40"/>
    <w:rsid w:val="007E5E5C"/>
    <w:rsid w:val="007E61F7"/>
    <w:rsid w:val="007E63AE"/>
    <w:rsid w:val="007E6732"/>
    <w:rsid w:val="007E6FDA"/>
    <w:rsid w:val="007E713A"/>
    <w:rsid w:val="007E7B29"/>
    <w:rsid w:val="007E7D24"/>
    <w:rsid w:val="007E7D79"/>
    <w:rsid w:val="007E7F64"/>
    <w:rsid w:val="007E7F98"/>
    <w:rsid w:val="007F03FC"/>
    <w:rsid w:val="007F068C"/>
    <w:rsid w:val="007F127A"/>
    <w:rsid w:val="007F138D"/>
    <w:rsid w:val="007F1A5B"/>
    <w:rsid w:val="007F1BC1"/>
    <w:rsid w:val="007F1F65"/>
    <w:rsid w:val="007F267E"/>
    <w:rsid w:val="007F2CCD"/>
    <w:rsid w:val="007F3513"/>
    <w:rsid w:val="007F3558"/>
    <w:rsid w:val="007F3C97"/>
    <w:rsid w:val="007F3F9D"/>
    <w:rsid w:val="007F4024"/>
    <w:rsid w:val="007F4266"/>
    <w:rsid w:val="007F47B5"/>
    <w:rsid w:val="007F49F7"/>
    <w:rsid w:val="007F4AA7"/>
    <w:rsid w:val="007F4D0C"/>
    <w:rsid w:val="007F57D2"/>
    <w:rsid w:val="007F5AD4"/>
    <w:rsid w:val="007F5B53"/>
    <w:rsid w:val="007F6753"/>
    <w:rsid w:val="007F6DA5"/>
    <w:rsid w:val="007F72CE"/>
    <w:rsid w:val="007F773B"/>
    <w:rsid w:val="007F77C9"/>
    <w:rsid w:val="007F7C29"/>
    <w:rsid w:val="008004E9"/>
    <w:rsid w:val="00800668"/>
    <w:rsid w:val="00800D29"/>
    <w:rsid w:val="00800FBB"/>
    <w:rsid w:val="00801218"/>
    <w:rsid w:val="008013D2"/>
    <w:rsid w:val="008015DC"/>
    <w:rsid w:val="0080161C"/>
    <w:rsid w:val="00801D5E"/>
    <w:rsid w:val="008021F2"/>
    <w:rsid w:val="00802616"/>
    <w:rsid w:val="008026A1"/>
    <w:rsid w:val="00802ABE"/>
    <w:rsid w:val="00803117"/>
    <w:rsid w:val="0080323C"/>
    <w:rsid w:val="008033F1"/>
    <w:rsid w:val="00803EFA"/>
    <w:rsid w:val="0080433B"/>
    <w:rsid w:val="00804A6F"/>
    <w:rsid w:val="00804D96"/>
    <w:rsid w:val="008050C1"/>
    <w:rsid w:val="00805A75"/>
    <w:rsid w:val="00805DBA"/>
    <w:rsid w:val="00805E43"/>
    <w:rsid w:val="00805E61"/>
    <w:rsid w:val="00805FD6"/>
    <w:rsid w:val="00806929"/>
    <w:rsid w:val="0080694B"/>
    <w:rsid w:val="00806963"/>
    <w:rsid w:val="00806B7D"/>
    <w:rsid w:val="00806D87"/>
    <w:rsid w:val="00807003"/>
    <w:rsid w:val="00807097"/>
    <w:rsid w:val="0080737E"/>
    <w:rsid w:val="00807666"/>
    <w:rsid w:val="008077EE"/>
    <w:rsid w:val="00807A37"/>
    <w:rsid w:val="00807C23"/>
    <w:rsid w:val="00807DA4"/>
    <w:rsid w:val="0081009D"/>
    <w:rsid w:val="00810339"/>
    <w:rsid w:val="0081066C"/>
    <w:rsid w:val="008106AB"/>
    <w:rsid w:val="008112A1"/>
    <w:rsid w:val="00811343"/>
    <w:rsid w:val="008116EE"/>
    <w:rsid w:val="008119CD"/>
    <w:rsid w:val="00811A3E"/>
    <w:rsid w:val="00811EA2"/>
    <w:rsid w:val="00811F0F"/>
    <w:rsid w:val="00811FB1"/>
    <w:rsid w:val="008126B8"/>
    <w:rsid w:val="008128AB"/>
    <w:rsid w:val="00812BC6"/>
    <w:rsid w:val="00812F8E"/>
    <w:rsid w:val="0081366A"/>
    <w:rsid w:val="0081382C"/>
    <w:rsid w:val="00813AA6"/>
    <w:rsid w:val="00813E62"/>
    <w:rsid w:val="00813F1E"/>
    <w:rsid w:val="00813FB7"/>
    <w:rsid w:val="00814598"/>
    <w:rsid w:val="00814AFE"/>
    <w:rsid w:val="00814D7D"/>
    <w:rsid w:val="00815118"/>
    <w:rsid w:val="00815B86"/>
    <w:rsid w:val="0081634F"/>
    <w:rsid w:val="008165F6"/>
    <w:rsid w:val="008167CC"/>
    <w:rsid w:val="008170CD"/>
    <w:rsid w:val="008179E2"/>
    <w:rsid w:val="00817A7D"/>
    <w:rsid w:val="00817C6A"/>
    <w:rsid w:val="00817CCA"/>
    <w:rsid w:val="00817F7C"/>
    <w:rsid w:val="008201A9"/>
    <w:rsid w:val="008201D2"/>
    <w:rsid w:val="008209B5"/>
    <w:rsid w:val="008209CE"/>
    <w:rsid w:val="00820BC4"/>
    <w:rsid w:val="008217B3"/>
    <w:rsid w:val="00821BC4"/>
    <w:rsid w:val="00821DEE"/>
    <w:rsid w:val="0082293C"/>
    <w:rsid w:val="00822AF2"/>
    <w:rsid w:val="008231BC"/>
    <w:rsid w:val="00823435"/>
    <w:rsid w:val="008234F3"/>
    <w:rsid w:val="00823699"/>
    <w:rsid w:val="00823854"/>
    <w:rsid w:val="00823BCF"/>
    <w:rsid w:val="00823DA4"/>
    <w:rsid w:val="00824384"/>
    <w:rsid w:val="00824FDB"/>
    <w:rsid w:val="008251A5"/>
    <w:rsid w:val="0082554B"/>
    <w:rsid w:val="00825568"/>
    <w:rsid w:val="008261BA"/>
    <w:rsid w:val="0082648F"/>
    <w:rsid w:val="0082674D"/>
    <w:rsid w:val="008267F6"/>
    <w:rsid w:val="00826C3C"/>
    <w:rsid w:val="0082700B"/>
    <w:rsid w:val="0082701B"/>
    <w:rsid w:val="008270FD"/>
    <w:rsid w:val="008278A1"/>
    <w:rsid w:val="00830866"/>
    <w:rsid w:val="00830BEB"/>
    <w:rsid w:val="00830D75"/>
    <w:rsid w:val="00831227"/>
    <w:rsid w:val="0083194F"/>
    <w:rsid w:val="0083257C"/>
    <w:rsid w:val="0083259A"/>
    <w:rsid w:val="0083283C"/>
    <w:rsid w:val="00832CA6"/>
    <w:rsid w:val="00832CAE"/>
    <w:rsid w:val="00832EC0"/>
    <w:rsid w:val="00833366"/>
    <w:rsid w:val="00833B32"/>
    <w:rsid w:val="00833F76"/>
    <w:rsid w:val="00833F84"/>
    <w:rsid w:val="008340CC"/>
    <w:rsid w:val="00834168"/>
    <w:rsid w:val="008354A4"/>
    <w:rsid w:val="008354EE"/>
    <w:rsid w:val="008356EF"/>
    <w:rsid w:val="008357FB"/>
    <w:rsid w:val="00835C3F"/>
    <w:rsid w:val="00836087"/>
    <w:rsid w:val="008367E6"/>
    <w:rsid w:val="00836A32"/>
    <w:rsid w:val="00836E5B"/>
    <w:rsid w:val="00836F3D"/>
    <w:rsid w:val="0083758B"/>
    <w:rsid w:val="00837958"/>
    <w:rsid w:val="00837B46"/>
    <w:rsid w:val="00837D61"/>
    <w:rsid w:val="0084002B"/>
    <w:rsid w:val="00840552"/>
    <w:rsid w:val="008408FA"/>
    <w:rsid w:val="00840C6B"/>
    <w:rsid w:val="0084157D"/>
    <w:rsid w:val="00841AAC"/>
    <w:rsid w:val="0084212F"/>
    <w:rsid w:val="008429FE"/>
    <w:rsid w:val="00843519"/>
    <w:rsid w:val="00843FD9"/>
    <w:rsid w:val="00844519"/>
    <w:rsid w:val="00844749"/>
    <w:rsid w:val="00844A82"/>
    <w:rsid w:val="00844E8D"/>
    <w:rsid w:val="00844F5D"/>
    <w:rsid w:val="0084553E"/>
    <w:rsid w:val="00845AB6"/>
    <w:rsid w:val="00845BB6"/>
    <w:rsid w:val="0084622C"/>
    <w:rsid w:val="00847004"/>
    <w:rsid w:val="00847174"/>
    <w:rsid w:val="008472C4"/>
    <w:rsid w:val="008476C6"/>
    <w:rsid w:val="0084781E"/>
    <w:rsid w:val="00847947"/>
    <w:rsid w:val="0084794D"/>
    <w:rsid w:val="00847AF7"/>
    <w:rsid w:val="00847E24"/>
    <w:rsid w:val="0085132D"/>
    <w:rsid w:val="00851396"/>
    <w:rsid w:val="0085184E"/>
    <w:rsid w:val="00851B47"/>
    <w:rsid w:val="0085245F"/>
    <w:rsid w:val="00852527"/>
    <w:rsid w:val="008526C9"/>
    <w:rsid w:val="008532D1"/>
    <w:rsid w:val="0085393C"/>
    <w:rsid w:val="00853DAD"/>
    <w:rsid w:val="008540F1"/>
    <w:rsid w:val="00854709"/>
    <w:rsid w:val="00854C01"/>
    <w:rsid w:val="008550E7"/>
    <w:rsid w:val="0085518E"/>
    <w:rsid w:val="00855912"/>
    <w:rsid w:val="0085640A"/>
    <w:rsid w:val="00856479"/>
    <w:rsid w:val="00856739"/>
    <w:rsid w:val="008568A3"/>
    <w:rsid w:val="00856E22"/>
    <w:rsid w:val="00856ED6"/>
    <w:rsid w:val="008576F0"/>
    <w:rsid w:val="008579C2"/>
    <w:rsid w:val="00860182"/>
    <w:rsid w:val="00860DD9"/>
    <w:rsid w:val="00860EAD"/>
    <w:rsid w:val="00861063"/>
    <w:rsid w:val="0086169C"/>
    <w:rsid w:val="00861784"/>
    <w:rsid w:val="008619F2"/>
    <w:rsid w:val="008620BA"/>
    <w:rsid w:val="00862142"/>
    <w:rsid w:val="0086217E"/>
    <w:rsid w:val="0086226C"/>
    <w:rsid w:val="0086246E"/>
    <w:rsid w:val="00862806"/>
    <w:rsid w:val="008632FD"/>
    <w:rsid w:val="00863B4B"/>
    <w:rsid w:val="00863BDD"/>
    <w:rsid w:val="00863E78"/>
    <w:rsid w:val="008645D7"/>
    <w:rsid w:val="0086470C"/>
    <w:rsid w:val="00865227"/>
    <w:rsid w:val="008657F3"/>
    <w:rsid w:val="0086644B"/>
    <w:rsid w:val="00866561"/>
    <w:rsid w:val="0086671D"/>
    <w:rsid w:val="00866726"/>
    <w:rsid w:val="00867694"/>
    <w:rsid w:val="008676F6"/>
    <w:rsid w:val="0086777A"/>
    <w:rsid w:val="00867B31"/>
    <w:rsid w:val="00867B6A"/>
    <w:rsid w:val="008703F4"/>
    <w:rsid w:val="00870A49"/>
    <w:rsid w:val="0087141A"/>
    <w:rsid w:val="00871D9E"/>
    <w:rsid w:val="00871E1E"/>
    <w:rsid w:val="00872510"/>
    <w:rsid w:val="008727EF"/>
    <w:rsid w:val="00872AC3"/>
    <w:rsid w:val="00872E56"/>
    <w:rsid w:val="00873217"/>
    <w:rsid w:val="008734F6"/>
    <w:rsid w:val="008736A9"/>
    <w:rsid w:val="00873B3A"/>
    <w:rsid w:val="00873F43"/>
    <w:rsid w:val="00874792"/>
    <w:rsid w:val="00874C94"/>
    <w:rsid w:val="00875664"/>
    <w:rsid w:val="008759F1"/>
    <w:rsid w:val="00875F6C"/>
    <w:rsid w:val="0087632D"/>
    <w:rsid w:val="0087664B"/>
    <w:rsid w:val="008766EB"/>
    <w:rsid w:val="00876C3E"/>
    <w:rsid w:val="00876D2A"/>
    <w:rsid w:val="0087702A"/>
    <w:rsid w:val="00877B63"/>
    <w:rsid w:val="00877C0D"/>
    <w:rsid w:val="00877DB8"/>
    <w:rsid w:val="008804BE"/>
    <w:rsid w:val="008809D6"/>
    <w:rsid w:val="008810B2"/>
    <w:rsid w:val="008810C8"/>
    <w:rsid w:val="0088160B"/>
    <w:rsid w:val="00882796"/>
    <w:rsid w:val="008828E7"/>
    <w:rsid w:val="00883686"/>
    <w:rsid w:val="008838EE"/>
    <w:rsid w:val="00883EB3"/>
    <w:rsid w:val="00885102"/>
    <w:rsid w:val="008853FC"/>
    <w:rsid w:val="00885757"/>
    <w:rsid w:val="00885D71"/>
    <w:rsid w:val="00886A44"/>
    <w:rsid w:val="00886AC7"/>
    <w:rsid w:val="00886D6A"/>
    <w:rsid w:val="00886E9C"/>
    <w:rsid w:val="00886F14"/>
    <w:rsid w:val="00886F45"/>
    <w:rsid w:val="008870F0"/>
    <w:rsid w:val="008873A6"/>
    <w:rsid w:val="008875DE"/>
    <w:rsid w:val="0088768E"/>
    <w:rsid w:val="00887F1C"/>
    <w:rsid w:val="00890388"/>
    <w:rsid w:val="00890EA3"/>
    <w:rsid w:val="0089143D"/>
    <w:rsid w:val="00891456"/>
    <w:rsid w:val="0089188D"/>
    <w:rsid w:val="008922B4"/>
    <w:rsid w:val="00892473"/>
    <w:rsid w:val="00892733"/>
    <w:rsid w:val="00892C67"/>
    <w:rsid w:val="00892D9F"/>
    <w:rsid w:val="00892E0D"/>
    <w:rsid w:val="00893953"/>
    <w:rsid w:val="00893C0A"/>
    <w:rsid w:val="00893E17"/>
    <w:rsid w:val="00893EAA"/>
    <w:rsid w:val="008943E1"/>
    <w:rsid w:val="008944CF"/>
    <w:rsid w:val="00894969"/>
    <w:rsid w:val="00894F7C"/>
    <w:rsid w:val="008951D7"/>
    <w:rsid w:val="00895363"/>
    <w:rsid w:val="00895487"/>
    <w:rsid w:val="00895703"/>
    <w:rsid w:val="00895C8D"/>
    <w:rsid w:val="00895DD3"/>
    <w:rsid w:val="008962D3"/>
    <w:rsid w:val="008966D2"/>
    <w:rsid w:val="00896FAE"/>
    <w:rsid w:val="008970A6"/>
    <w:rsid w:val="00897502"/>
    <w:rsid w:val="00897A27"/>
    <w:rsid w:val="00897E33"/>
    <w:rsid w:val="00897EAE"/>
    <w:rsid w:val="008A0525"/>
    <w:rsid w:val="008A0614"/>
    <w:rsid w:val="008A0A50"/>
    <w:rsid w:val="008A1648"/>
    <w:rsid w:val="008A17BC"/>
    <w:rsid w:val="008A1E01"/>
    <w:rsid w:val="008A2801"/>
    <w:rsid w:val="008A288A"/>
    <w:rsid w:val="008A2978"/>
    <w:rsid w:val="008A2CFE"/>
    <w:rsid w:val="008A2F98"/>
    <w:rsid w:val="008A324E"/>
    <w:rsid w:val="008A341A"/>
    <w:rsid w:val="008A3664"/>
    <w:rsid w:val="008A39BD"/>
    <w:rsid w:val="008A3BAA"/>
    <w:rsid w:val="008A40CA"/>
    <w:rsid w:val="008A4267"/>
    <w:rsid w:val="008A4366"/>
    <w:rsid w:val="008A4472"/>
    <w:rsid w:val="008A4521"/>
    <w:rsid w:val="008A45A5"/>
    <w:rsid w:val="008A48F5"/>
    <w:rsid w:val="008A538B"/>
    <w:rsid w:val="008A57B3"/>
    <w:rsid w:val="008A5907"/>
    <w:rsid w:val="008A5A13"/>
    <w:rsid w:val="008A5ADF"/>
    <w:rsid w:val="008A66F3"/>
    <w:rsid w:val="008A6BE4"/>
    <w:rsid w:val="008A7304"/>
    <w:rsid w:val="008A73BB"/>
    <w:rsid w:val="008A7509"/>
    <w:rsid w:val="008A78E9"/>
    <w:rsid w:val="008A7DE6"/>
    <w:rsid w:val="008A7F5D"/>
    <w:rsid w:val="008B0CF2"/>
    <w:rsid w:val="008B1205"/>
    <w:rsid w:val="008B15BA"/>
    <w:rsid w:val="008B16F5"/>
    <w:rsid w:val="008B16F9"/>
    <w:rsid w:val="008B1718"/>
    <w:rsid w:val="008B18D7"/>
    <w:rsid w:val="008B1C4D"/>
    <w:rsid w:val="008B1FAE"/>
    <w:rsid w:val="008B2622"/>
    <w:rsid w:val="008B2BF1"/>
    <w:rsid w:val="008B3E62"/>
    <w:rsid w:val="008B43F5"/>
    <w:rsid w:val="008B4628"/>
    <w:rsid w:val="008B4B8C"/>
    <w:rsid w:val="008B4D24"/>
    <w:rsid w:val="008B4ED3"/>
    <w:rsid w:val="008B4F47"/>
    <w:rsid w:val="008B51F5"/>
    <w:rsid w:val="008B584C"/>
    <w:rsid w:val="008B59DD"/>
    <w:rsid w:val="008B5D48"/>
    <w:rsid w:val="008B6342"/>
    <w:rsid w:val="008B6609"/>
    <w:rsid w:val="008B6B48"/>
    <w:rsid w:val="008B7631"/>
    <w:rsid w:val="008B7C89"/>
    <w:rsid w:val="008B7C9F"/>
    <w:rsid w:val="008B7D53"/>
    <w:rsid w:val="008C0431"/>
    <w:rsid w:val="008C0864"/>
    <w:rsid w:val="008C1146"/>
    <w:rsid w:val="008C1B89"/>
    <w:rsid w:val="008C1CD8"/>
    <w:rsid w:val="008C1F9D"/>
    <w:rsid w:val="008C30B8"/>
    <w:rsid w:val="008C3BF0"/>
    <w:rsid w:val="008C4036"/>
    <w:rsid w:val="008C4CCC"/>
    <w:rsid w:val="008C4F55"/>
    <w:rsid w:val="008C50A0"/>
    <w:rsid w:val="008C57D0"/>
    <w:rsid w:val="008C57D5"/>
    <w:rsid w:val="008C5B71"/>
    <w:rsid w:val="008C62B8"/>
    <w:rsid w:val="008C6342"/>
    <w:rsid w:val="008C6718"/>
    <w:rsid w:val="008C69C6"/>
    <w:rsid w:val="008C6AB2"/>
    <w:rsid w:val="008C70DA"/>
    <w:rsid w:val="008C75D8"/>
    <w:rsid w:val="008C7614"/>
    <w:rsid w:val="008C7EDA"/>
    <w:rsid w:val="008D023F"/>
    <w:rsid w:val="008D0A7A"/>
    <w:rsid w:val="008D0C15"/>
    <w:rsid w:val="008D0E39"/>
    <w:rsid w:val="008D158A"/>
    <w:rsid w:val="008D19C4"/>
    <w:rsid w:val="008D1FD3"/>
    <w:rsid w:val="008D24CA"/>
    <w:rsid w:val="008D24D8"/>
    <w:rsid w:val="008D2D68"/>
    <w:rsid w:val="008D2DA0"/>
    <w:rsid w:val="008D3832"/>
    <w:rsid w:val="008D3B3E"/>
    <w:rsid w:val="008D3B9B"/>
    <w:rsid w:val="008D40C6"/>
    <w:rsid w:val="008D41B0"/>
    <w:rsid w:val="008D4445"/>
    <w:rsid w:val="008D4EF3"/>
    <w:rsid w:val="008D50D1"/>
    <w:rsid w:val="008D5252"/>
    <w:rsid w:val="008D5CDE"/>
    <w:rsid w:val="008D66E9"/>
    <w:rsid w:val="008D68A5"/>
    <w:rsid w:val="008D6DE3"/>
    <w:rsid w:val="008D7318"/>
    <w:rsid w:val="008D733E"/>
    <w:rsid w:val="008D7D91"/>
    <w:rsid w:val="008E01FF"/>
    <w:rsid w:val="008E0533"/>
    <w:rsid w:val="008E06D0"/>
    <w:rsid w:val="008E0919"/>
    <w:rsid w:val="008E0DB4"/>
    <w:rsid w:val="008E0EE1"/>
    <w:rsid w:val="008E10A8"/>
    <w:rsid w:val="008E14D3"/>
    <w:rsid w:val="008E1B65"/>
    <w:rsid w:val="008E1E79"/>
    <w:rsid w:val="008E2577"/>
    <w:rsid w:val="008E2627"/>
    <w:rsid w:val="008E31EB"/>
    <w:rsid w:val="008E3C18"/>
    <w:rsid w:val="008E3D7D"/>
    <w:rsid w:val="008E4069"/>
    <w:rsid w:val="008E40FE"/>
    <w:rsid w:val="008E4488"/>
    <w:rsid w:val="008E461E"/>
    <w:rsid w:val="008E4922"/>
    <w:rsid w:val="008E49D7"/>
    <w:rsid w:val="008E502F"/>
    <w:rsid w:val="008E5962"/>
    <w:rsid w:val="008E5BD3"/>
    <w:rsid w:val="008E5E7A"/>
    <w:rsid w:val="008E5EF8"/>
    <w:rsid w:val="008E5F1F"/>
    <w:rsid w:val="008E622B"/>
    <w:rsid w:val="008E64F8"/>
    <w:rsid w:val="008E6A8A"/>
    <w:rsid w:val="008E71B6"/>
    <w:rsid w:val="008E7507"/>
    <w:rsid w:val="008E76CF"/>
    <w:rsid w:val="008E78FB"/>
    <w:rsid w:val="008E7D05"/>
    <w:rsid w:val="008F0116"/>
    <w:rsid w:val="008F01C4"/>
    <w:rsid w:val="008F0269"/>
    <w:rsid w:val="008F0547"/>
    <w:rsid w:val="008F06F5"/>
    <w:rsid w:val="008F0A63"/>
    <w:rsid w:val="008F0F81"/>
    <w:rsid w:val="008F18DB"/>
    <w:rsid w:val="008F19A1"/>
    <w:rsid w:val="008F1F27"/>
    <w:rsid w:val="008F2449"/>
    <w:rsid w:val="008F2995"/>
    <w:rsid w:val="008F2A69"/>
    <w:rsid w:val="008F3249"/>
    <w:rsid w:val="008F38B5"/>
    <w:rsid w:val="008F4829"/>
    <w:rsid w:val="008F4FA1"/>
    <w:rsid w:val="008F50B5"/>
    <w:rsid w:val="008F5427"/>
    <w:rsid w:val="008F5AFC"/>
    <w:rsid w:val="008F6208"/>
    <w:rsid w:val="008F6A7C"/>
    <w:rsid w:val="008F7279"/>
    <w:rsid w:val="008F7391"/>
    <w:rsid w:val="008F79C8"/>
    <w:rsid w:val="0090058A"/>
    <w:rsid w:val="009005FD"/>
    <w:rsid w:val="0090081B"/>
    <w:rsid w:val="00900E59"/>
    <w:rsid w:val="009015CD"/>
    <w:rsid w:val="00901AD3"/>
    <w:rsid w:val="00901B50"/>
    <w:rsid w:val="00901E29"/>
    <w:rsid w:val="00902139"/>
    <w:rsid w:val="00902BCA"/>
    <w:rsid w:val="0090306A"/>
    <w:rsid w:val="00903364"/>
    <w:rsid w:val="0090390D"/>
    <w:rsid w:val="00903FE8"/>
    <w:rsid w:val="00904461"/>
    <w:rsid w:val="00904843"/>
    <w:rsid w:val="0090495F"/>
    <w:rsid w:val="00904E4A"/>
    <w:rsid w:val="00904E53"/>
    <w:rsid w:val="00904E6A"/>
    <w:rsid w:val="00905751"/>
    <w:rsid w:val="00905CEA"/>
    <w:rsid w:val="00905D92"/>
    <w:rsid w:val="00905EEE"/>
    <w:rsid w:val="009062D5"/>
    <w:rsid w:val="00906596"/>
    <w:rsid w:val="00907212"/>
    <w:rsid w:val="00907576"/>
    <w:rsid w:val="0090760F"/>
    <w:rsid w:val="00907724"/>
    <w:rsid w:val="009077D0"/>
    <w:rsid w:val="00907B13"/>
    <w:rsid w:val="00907ED4"/>
    <w:rsid w:val="00907EEE"/>
    <w:rsid w:val="00910051"/>
    <w:rsid w:val="009100DB"/>
    <w:rsid w:val="0091094F"/>
    <w:rsid w:val="00910B0D"/>
    <w:rsid w:val="00910BFA"/>
    <w:rsid w:val="009115B6"/>
    <w:rsid w:val="009115EB"/>
    <w:rsid w:val="00911794"/>
    <w:rsid w:val="009118C9"/>
    <w:rsid w:val="00913393"/>
    <w:rsid w:val="009138B8"/>
    <w:rsid w:val="009141A0"/>
    <w:rsid w:val="009142C6"/>
    <w:rsid w:val="00914539"/>
    <w:rsid w:val="00914629"/>
    <w:rsid w:val="009148C8"/>
    <w:rsid w:val="00914A57"/>
    <w:rsid w:val="00914E52"/>
    <w:rsid w:val="00914EA8"/>
    <w:rsid w:val="0091503E"/>
    <w:rsid w:val="009150D3"/>
    <w:rsid w:val="00915522"/>
    <w:rsid w:val="00915747"/>
    <w:rsid w:val="0091598C"/>
    <w:rsid w:val="009159CD"/>
    <w:rsid w:val="00915A3B"/>
    <w:rsid w:val="00915EA5"/>
    <w:rsid w:val="00915F2D"/>
    <w:rsid w:val="0091620C"/>
    <w:rsid w:val="009166E7"/>
    <w:rsid w:val="00916C5E"/>
    <w:rsid w:val="00916FFF"/>
    <w:rsid w:val="009172BC"/>
    <w:rsid w:val="009173D8"/>
    <w:rsid w:val="00917551"/>
    <w:rsid w:val="0092038E"/>
    <w:rsid w:val="00920C07"/>
    <w:rsid w:val="0092160D"/>
    <w:rsid w:val="009221A7"/>
    <w:rsid w:val="0092234D"/>
    <w:rsid w:val="00922B76"/>
    <w:rsid w:val="00923020"/>
    <w:rsid w:val="009234D8"/>
    <w:rsid w:val="00924327"/>
    <w:rsid w:val="009243F3"/>
    <w:rsid w:val="00924446"/>
    <w:rsid w:val="00924D42"/>
    <w:rsid w:val="00924DFC"/>
    <w:rsid w:val="009251E9"/>
    <w:rsid w:val="009256C7"/>
    <w:rsid w:val="0092576A"/>
    <w:rsid w:val="009257A2"/>
    <w:rsid w:val="00925CE5"/>
    <w:rsid w:val="00925FA7"/>
    <w:rsid w:val="00926428"/>
    <w:rsid w:val="0092660D"/>
    <w:rsid w:val="00926C5B"/>
    <w:rsid w:val="00926CB2"/>
    <w:rsid w:val="00926E63"/>
    <w:rsid w:val="00926EAA"/>
    <w:rsid w:val="00926EFD"/>
    <w:rsid w:val="00927456"/>
    <w:rsid w:val="009274AD"/>
    <w:rsid w:val="0092792B"/>
    <w:rsid w:val="009279A7"/>
    <w:rsid w:val="00927AB7"/>
    <w:rsid w:val="009301BD"/>
    <w:rsid w:val="009305D3"/>
    <w:rsid w:val="0093071C"/>
    <w:rsid w:val="00930B7B"/>
    <w:rsid w:val="00930F6B"/>
    <w:rsid w:val="009311E5"/>
    <w:rsid w:val="009320C0"/>
    <w:rsid w:val="0093262F"/>
    <w:rsid w:val="00932748"/>
    <w:rsid w:val="00932FF6"/>
    <w:rsid w:val="009335FD"/>
    <w:rsid w:val="00933F5C"/>
    <w:rsid w:val="009344A9"/>
    <w:rsid w:val="0093475A"/>
    <w:rsid w:val="0093489E"/>
    <w:rsid w:val="009348AF"/>
    <w:rsid w:val="00934AAB"/>
    <w:rsid w:val="0093574E"/>
    <w:rsid w:val="0093587F"/>
    <w:rsid w:val="00935A29"/>
    <w:rsid w:val="00936E9E"/>
    <w:rsid w:val="009373E4"/>
    <w:rsid w:val="0094062A"/>
    <w:rsid w:val="00940C88"/>
    <w:rsid w:val="00940FDE"/>
    <w:rsid w:val="0094111F"/>
    <w:rsid w:val="009416BB"/>
    <w:rsid w:val="009419C9"/>
    <w:rsid w:val="00941D4F"/>
    <w:rsid w:val="00941F9C"/>
    <w:rsid w:val="00942128"/>
    <w:rsid w:val="00942748"/>
    <w:rsid w:val="00942D4E"/>
    <w:rsid w:val="009444B9"/>
    <w:rsid w:val="0094495C"/>
    <w:rsid w:val="00944EC7"/>
    <w:rsid w:val="00945E4D"/>
    <w:rsid w:val="00946315"/>
    <w:rsid w:val="009463E3"/>
    <w:rsid w:val="00946506"/>
    <w:rsid w:val="00946EC2"/>
    <w:rsid w:val="00946FA0"/>
    <w:rsid w:val="009473ED"/>
    <w:rsid w:val="009476E8"/>
    <w:rsid w:val="009504F4"/>
    <w:rsid w:val="00950692"/>
    <w:rsid w:val="00950BA8"/>
    <w:rsid w:val="00950C95"/>
    <w:rsid w:val="00950E16"/>
    <w:rsid w:val="009510C3"/>
    <w:rsid w:val="009522CE"/>
    <w:rsid w:val="00952329"/>
    <w:rsid w:val="0095297C"/>
    <w:rsid w:val="00952C29"/>
    <w:rsid w:val="00952C32"/>
    <w:rsid w:val="00952D2F"/>
    <w:rsid w:val="00952FBB"/>
    <w:rsid w:val="00954545"/>
    <w:rsid w:val="00954BC1"/>
    <w:rsid w:val="00954F31"/>
    <w:rsid w:val="00954FAE"/>
    <w:rsid w:val="00955480"/>
    <w:rsid w:val="00955667"/>
    <w:rsid w:val="0095582C"/>
    <w:rsid w:val="009559DF"/>
    <w:rsid w:val="00955CAC"/>
    <w:rsid w:val="00955FB2"/>
    <w:rsid w:val="00956A61"/>
    <w:rsid w:val="00957062"/>
    <w:rsid w:val="00957211"/>
    <w:rsid w:val="00957369"/>
    <w:rsid w:val="009574E5"/>
    <w:rsid w:val="009576C1"/>
    <w:rsid w:val="009577D2"/>
    <w:rsid w:val="0095787E"/>
    <w:rsid w:val="009602EC"/>
    <w:rsid w:val="009603E8"/>
    <w:rsid w:val="00960612"/>
    <w:rsid w:val="00960920"/>
    <w:rsid w:val="009609F2"/>
    <w:rsid w:val="009616C5"/>
    <w:rsid w:val="00961739"/>
    <w:rsid w:val="009626E0"/>
    <w:rsid w:val="00962B14"/>
    <w:rsid w:val="00962DF0"/>
    <w:rsid w:val="00962F90"/>
    <w:rsid w:val="00963884"/>
    <w:rsid w:val="00963AA7"/>
    <w:rsid w:val="00963BD6"/>
    <w:rsid w:val="00963C92"/>
    <w:rsid w:val="009643E4"/>
    <w:rsid w:val="00964481"/>
    <w:rsid w:val="009648B8"/>
    <w:rsid w:val="00964967"/>
    <w:rsid w:val="00964DE2"/>
    <w:rsid w:val="00965C64"/>
    <w:rsid w:val="00966717"/>
    <w:rsid w:val="009667DF"/>
    <w:rsid w:val="00966B46"/>
    <w:rsid w:val="00967863"/>
    <w:rsid w:val="00967BE6"/>
    <w:rsid w:val="009703C1"/>
    <w:rsid w:val="009704DC"/>
    <w:rsid w:val="0097085B"/>
    <w:rsid w:val="009709B5"/>
    <w:rsid w:val="00970E7C"/>
    <w:rsid w:val="00971074"/>
    <w:rsid w:val="009711E0"/>
    <w:rsid w:val="00971629"/>
    <w:rsid w:val="00971CA0"/>
    <w:rsid w:val="0097221D"/>
    <w:rsid w:val="0097252E"/>
    <w:rsid w:val="00972A71"/>
    <w:rsid w:val="00972DF3"/>
    <w:rsid w:val="00972F0D"/>
    <w:rsid w:val="009731FB"/>
    <w:rsid w:val="0097379D"/>
    <w:rsid w:val="009744E5"/>
    <w:rsid w:val="00974590"/>
    <w:rsid w:val="00975754"/>
    <w:rsid w:val="00975E33"/>
    <w:rsid w:val="009763D3"/>
    <w:rsid w:val="009766EC"/>
    <w:rsid w:val="00976C66"/>
    <w:rsid w:val="00976E47"/>
    <w:rsid w:val="0097734F"/>
    <w:rsid w:val="00977961"/>
    <w:rsid w:val="00977AD8"/>
    <w:rsid w:val="00977E9B"/>
    <w:rsid w:val="00977EF5"/>
    <w:rsid w:val="00980381"/>
    <w:rsid w:val="009809CB"/>
    <w:rsid w:val="0098101E"/>
    <w:rsid w:val="009810E1"/>
    <w:rsid w:val="009816B8"/>
    <w:rsid w:val="009830EA"/>
    <w:rsid w:val="009834A7"/>
    <w:rsid w:val="0098350E"/>
    <w:rsid w:val="009838BC"/>
    <w:rsid w:val="0098421E"/>
    <w:rsid w:val="009842D1"/>
    <w:rsid w:val="0098583B"/>
    <w:rsid w:val="0098592F"/>
    <w:rsid w:val="00985A84"/>
    <w:rsid w:val="009862B0"/>
    <w:rsid w:val="00986AE2"/>
    <w:rsid w:val="00986D7E"/>
    <w:rsid w:val="009871D2"/>
    <w:rsid w:val="00987769"/>
    <w:rsid w:val="00987B71"/>
    <w:rsid w:val="00987CB6"/>
    <w:rsid w:val="00987CFF"/>
    <w:rsid w:val="00987D23"/>
    <w:rsid w:val="00990C94"/>
    <w:rsid w:val="00990D39"/>
    <w:rsid w:val="00990FF7"/>
    <w:rsid w:val="009914C8"/>
    <w:rsid w:val="00991B7F"/>
    <w:rsid w:val="00991C06"/>
    <w:rsid w:val="009920E5"/>
    <w:rsid w:val="00992217"/>
    <w:rsid w:val="00993278"/>
    <w:rsid w:val="00993B29"/>
    <w:rsid w:val="009943A5"/>
    <w:rsid w:val="009946AF"/>
    <w:rsid w:val="00995A9D"/>
    <w:rsid w:val="00995BA0"/>
    <w:rsid w:val="00996F2F"/>
    <w:rsid w:val="00996FB5"/>
    <w:rsid w:val="00997156"/>
    <w:rsid w:val="00997190"/>
    <w:rsid w:val="00997469"/>
    <w:rsid w:val="00997998"/>
    <w:rsid w:val="00997BC1"/>
    <w:rsid w:val="00997BEA"/>
    <w:rsid w:val="009A039A"/>
    <w:rsid w:val="009A04CA"/>
    <w:rsid w:val="009A065A"/>
    <w:rsid w:val="009A06D0"/>
    <w:rsid w:val="009A12AF"/>
    <w:rsid w:val="009A176A"/>
    <w:rsid w:val="009A1884"/>
    <w:rsid w:val="009A188D"/>
    <w:rsid w:val="009A1E81"/>
    <w:rsid w:val="009A21B5"/>
    <w:rsid w:val="009A287F"/>
    <w:rsid w:val="009A2DA7"/>
    <w:rsid w:val="009A3243"/>
    <w:rsid w:val="009A35A2"/>
    <w:rsid w:val="009A3AE0"/>
    <w:rsid w:val="009A45EA"/>
    <w:rsid w:val="009A48D3"/>
    <w:rsid w:val="009A4917"/>
    <w:rsid w:val="009A4BA0"/>
    <w:rsid w:val="009A4F74"/>
    <w:rsid w:val="009A51C6"/>
    <w:rsid w:val="009A55B7"/>
    <w:rsid w:val="009A55D0"/>
    <w:rsid w:val="009A69CF"/>
    <w:rsid w:val="009A6F82"/>
    <w:rsid w:val="009A7129"/>
    <w:rsid w:val="009A765A"/>
    <w:rsid w:val="009B00DB"/>
    <w:rsid w:val="009B0207"/>
    <w:rsid w:val="009B04D1"/>
    <w:rsid w:val="009B0569"/>
    <w:rsid w:val="009B060F"/>
    <w:rsid w:val="009B0627"/>
    <w:rsid w:val="009B0A6E"/>
    <w:rsid w:val="009B1803"/>
    <w:rsid w:val="009B1DAF"/>
    <w:rsid w:val="009B1E92"/>
    <w:rsid w:val="009B24F5"/>
    <w:rsid w:val="009B2C6A"/>
    <w:rsid w:val="009B2F5C"/>
    <w:rsid w:val="009B37EE"/>
    <w:rsid w:val="009B3DB9"/>
    <w:rsid w:val="009B4190"/>
    <w:rsid w:val="009B44AA"/>
    <w:rsid w:val="009B4FE5"/>
    <w:rsid w:val="009B592B"/>
    <w:rsid w:val="009B5B08"/>
    <w:rsid w:val="009B6437"/>
    <w:rsid w:val="009B654F"/>
    <w:rsid w:val="009B675E"/>
    <w:rsid w:val="009B67EF"/>
    <w:rsid w:val="009B68DE"/>
    <w:rsid w:val="009B68E8"/>
    <w:rsid w:val="009B6903"/>
    <w:rsid w:val="009B7123"/>
    <w:rsid w:val="009B733E"/>
    <w:rsid w:val="009B7DF8"/>
    <w:rsid w:val="009C00FC"/>
    <w:rsid w:val="009C029B"/>
    <w:rsid w:val="009C047B"/>
    <w:rsid w:val="009C0632"/>
    <w:rsid w:val="009C070D"/>
    <w:rsid w:val="009C08C5"/>
    <w:rsid w:val="009C0956"/>
    <w:rsid w:val="009C107A"/>
    <w:rsid w:val="009C1088"/>
    <w:rsid w:val="009C1FB6"/>
    <w:rsid w:val="009C2007"/>
    <w:rsid w:val="009C20ED"/>
    <w:rsid w:val="009C2169"/>
    <w:rsid w:val="009C21EA"/>
    <w:rsid w:val="009C22E0"/>
    <w:rsid w:val="009C22FE"/>
    <w:rsid w:val="009C23E3"/>
    <w:rsid w:val="009C24A6"/>
    <w:rsid w:val="009C2D04"/>
    <w:rsid w:val="009C30CD"/>
    <w:rsid w:val="009C360B"/>
    <w:rsid w:val="009C3621"/>
    <w:rsid w:val="009C3898"/>
    <w:rsid w:val="009C45E7"/>
    <w:rsid w:val="009C4733"/>
    <w:rsid w:val="009C4F91"/>
    <w:rsid w:val="009C58FA"/>
    <w:rsid w:val="009C601A"/>
    <w:rsid w:val="009C6020"/>
    <w:rsid w:val="009C6327"/>
    <w:rsid w:val="009C644B"/>
    <w:rsid w:val="009C68BB"/>
    <w:rsid w:val="009C6C8A"/>
    <w:rsid w:val="009C6E5D"/>
    <w:rsid w:val="009C7033"/>
    <w:rsid w:val="009C7189"/>
    <w:rsid w:val="009C73A9"/>
    <w:rsid w:val="009C7514"/>
    <w:rsid w:val="009C76CE"/>
    <w:rsid w:val="009C7D85"/>
    <w:rsid w:val="009C7F35"/>
    <w:rsid w:val="009C7FA4"/>
    <w:rsid w:val="009D0547"/>
    <w:rsid w:val="009D062A"/>
    <w:rsid w:val="009D06C1"/>
    <w:rsid w:val="009D0804"/>
    <w:rsid w:val="009D0BCD"/>
    <w:rsid w:val="009D0F1C"/>
    <w:rsid w:val="009D1075"/>
    <w:rsid w:val="009D1F0F"/>
    <w:rsid w:val="009D28C9"/>
    <w:rsid w:val="009D2CAF"/>
    <w:rsid w:val="009D2E40"/>
    <w:rsid w:val="009D2E61"/>
    <w:rsid w:val="009D3450"/>
    <w:rsid w:val="009D3549"/>
    <w:rsid w:val="009D35E6"/>
    <w:rsid w:val="009D40D5"/>
    <w:rsid w:val="009D4329"/>
    <w:rsid w:val="009D4451"/>
    <w:rsid w:val="009D45D3"/>
    <w:rsid w:val="009D4626"/>
    <w:rsid w:val="009D4BD4"/>
    <w:rsid w:val="009D525B"/>
    <w:rsid w:val="009D52C9"/>
    <w:rsid w:val="009D544E"/>
    <w:rsid w:val="009D553C"/>
    <w:rsid w:val="009D57CF"/>
    <w:rsid w:val="009D58CD"/>
    <w:rsid w:val="009D5ACD"/>
    <w:rsid w:val="009D62AB"/>
    <w:rsid w:val="009D6316"/>
    <w:rsid w:val="009D64FF"/>
    <w:rsid w:val="009D69EE"/>
    <w:rsid w:val="009D77B9"/>
    <w:rsid w:val="009D791D"/>
    <w:rsid w:val="009D7940"/>
    <w:rsid w:val="009D7D80"/>
    <w:rsid w:val="009E0318"/>
    <w:rsid w:val="009E0390"/>
    <w:rsid w:val="009E0413"/>
    <w:rsid w:val="009E04C9"/>
    <w:rsid w:val="009E054C"/>
    <w:rsid w:val="009E0EF2"/>
    <w:rsid w:val="009E1C8F"/>
    <w:rsid w:val="009E1EAE"/>
    <w:rsid w:val="009E21AD"/>
    <w:rsid w:val="009E2A78"/>
    <w:rsid w:val="009E2B64"/>
    <w:rsid w:val="009E3188"/>
    <w:rsid w:val="009E3555"/>
    <w:rsid w:val="009E3826"/>
    <w:rsid w:val="009E3974"/>
    <w:rsid w:val="009E39D5"/>
    <w:rsid w:val="009E3E28"/>
    <w:rsid w:val="009E3F2D"/>
    <w:rsid w:val="009E4593"/>
    <w:rsid w:val="009E47DC"/>
    <w:rsid w:val="009E4CFA"/>
    <w:rsid w:val="009E5607"/>
    <w:rsid w:val="009E616D"/>
    <w:rsid w:val="009E635E"/>
    <w:rsid w:val="009E73C0"/>
    <w:rsid w:val="009F04F9"/>
    <w:rsid w:val="009F065C"/>
    <w:rsid w:val="009F078C"/>
    <w:rsid w:val="009F085F"/>
    <w:rsid w:val="009F0937"/>
    <w:rsid w:val="009F0CE9"/>
    <w:rsid w:val="009F0E1A"/>
    <w:rsid w:val="009F0EFE"/>
    <w:rsid w:val="009F117F"/>
    <w:rsid w:val="009F1B8B"/>
    <w:rsid w:val="009F1E16"/>
    <w:rsid w:val="009F21F5"/>
    <w:rsid w:val="009F2984"/>
    <w:rsid w:val="009F2F8E"/>
    <w:rsid w:val="009F3180"/>
    <w:rsid w:val="009F33BD"/>
    <w:rsid w:val="009F3FCF"/>
    <w:rsid w:val="009F41B5"/>
    <w:rsid w:val="009F43F4"/>
    <w:rsid w:val="009F4884"/>
    <w:rsid w:val="009F48D9"/>
    <w:rsid w:val="009F4A1A"/>
    <w:rsid w:val="009F52C7"/>
    <w:rsid w:val="009F5DA9"/>
    <w:rsid w:val="009F60B3"/>
    <w:rsid w:val="009F6107"/>
    <w:rsid w:val="009F689C"/>
    <w:rsid w:val="009F6DFB"/>
    <w:rsid w:val="009F746E"/>
    <w:rsid w:val="009F75CE"/>
    <w:rsid w:val="009F768E"/>
    <w:rsid w:val="009F7E92"/>
    <w:rsid w:val="00A0009C"/>
    <w:rsid w:val="00A002E2"/>
    <w:rsid w:val="00A0048A"/>
    <w:rsid w:val="00A0059D"/>
    <w:rsid w:val="00A006BE"/>
    <w:rsid w:val="00A007CD"/>
    <w:rsid w:val="00A00DD2"/>
    <w:rsid w:val="00A0234E"/>
    <w:rsid w:val="00A0241F"/>
    <w:rsid w:val="00A0250C"/>
    <w:rsid w:val="00A0251F"/>
    <w:rsid w:val="00A025A3"/>
    <w:rsid w:val="00A0261E"/>
    <w:rsid w:val="00A026D7"/>
    <w:rsid w:val="00A028F5"/>
    <w:rsid w:val="00A02B46"/>
    <w:rsid w:val="00A02F40"/>
    <w:rsid w:val="00A03271"/>
    <w:rsid w:val="00A03A4A"/>
    <w:rsid w:val="00A03BA4"/>
    <w:rsid w:val="00A03FD3"/>
    <w:rsid w:val="00A04538"/>
    <w:rsid w:val="00A0543A"/>
    <w:rsid w:val="00A05459"/>
    <w:rsid w:val="00A05F71"/>
    <w:rsid w:val="00A06032"/>
    <w:rsid w:val="00A061B1"/>
    <w:rsid w:val="00A062B5"/>
    <w:rsid w:val="00A06448"/>
    <w:rsid w:val="00A06991"/>
    <w:rsid w:val="00A07A91"/>
    <w:rsid w:val="00A1016E"/>
    <w:rsid w:val="00A10205"/>
    <w:rsid w:val="00A102D1"/>
    <w:rsid w:val="00A10429"/>
    <w:rsid w:val="00A1045C"/>
    <w:rsid w:val="00A10B3B"/>
    <w:rsid w:val="00A10D64"/>
    <w:rsid w:val="00A10FA8"/>
    <w:rsid w:val="00A11523"/>
    <w:rsid w:val="00A11B0B"/>
    <w:rsid w:val="00A12591"/>
    <w:rsid w:val="00A1277E"/>
    <w:rsid w:val="00A134E2"/>
    <w:rsid w:val="00A137C5"/>
    <w:rsid w:val="00A13AFC"/>
    <w:rsid w:val="00A13D08"/>
    <w:rsid w:val="00A14154"/>
    <w:rsid w:val="00A145BD"/>
    <w:rsid w:val="00A146C0"/>
    <w:rsid w:val="00A14864"/>
    <w:rsid w:val="00A1506E"/>
    <w:rsid w:val="00A15562"/>
    <w:rsid w:val="00A157C5"/>
    <w:rsid w:val="00A15851"/>
    <w:rsid w:val="00A159CE"/>
    <w:rsid w:val="00A15C99"/>
    <w:rsid w:val="00A16477"/>
    <w:rsid w:val="00A16864"/>
    <w:rsid w:val="00A16E0F"/>
    <w:rsid w:val="00A16EE3"/>
    <w:rsid w:val="00A1745D"/>
    <w:rsid w:val="00A17B23"/>
    <w:rsid w:val="00A17C4E"/>
    <w:rsid w:val="00A17E47"/>
    <w:rsid w:val="00A17F84"/>
    <w:rsid w:val="00A20506"/>
    <w:rsid w:val="00A21091"/>
    <w:rsid w:val="00A2145E"/>
    <w:rsid w:val="00A216E7"/>
    <w:rsid w:val="00A21723"/>
    <w:rsid w:val="00A224E1"/>
    <w:rsid w:val="00A22685"/>
    <w:rsid w:val="00A22A1F"/>
    <w:rsid w:val="00A22DF1"/>
    <w:rsid w:val="00A232EB"/>
    <w:rsid w:val="00A243D4"/>
    <w:rsid w:val="00A245BD"/>
    <w:rsid w:val="00A245E0"/>
    <w:rsid w:val="00A24E76"/>
    <w:rsid w:val="00A25951"/>
    <w:rsid w:val="00A25B9B"/>
    <w:rsid w:val="00A2623E"/>
    <w:rsid w:val="00A26BC3"/>
    <w:rsid w:val="00A273F5"/>
    <w:rsid w:val="00A2788A"/>
    <w:rsid w:val="00A3054E"/>
    <w:rsid w:val="00A307F2"/>
    <w:rsid w:val="00A30831"/>
    <w:rsid w:val="00A30B92"/>
    <w:rsid w:val="00A312CE"/>
    <w:rsid w:val="00A31C59"/>
    <w:rsid w:val="00A32C37"/>
    <w:rsid w:val="00A3314F"/>
    <w:rsid w:val="00A33573"/>
    <w:rsid w:val="00A335B1"/>
    <w:rsid w:val="00A33803"/>
    <w:rsid w:val="00A33A6C"/>
    <w:rsid w:val="00A33D0D"/>
    <w:rsid w:val="00A33E89"/>
    <w:rsid w:val="00A33F12"/>
    <w:rsid w:val="00A3446C"/>
    <w:rsid w:val="00A349A8"/>
    <w:rsid w:val="00A34BF5"/>
    <w:rsid w:val="00A34F52"/>
    <w:rsid w:val="00A3513E"/>
    <w:rsid w:val="00A35248"/>
    <w:rsid w:val="00A3566F"/>
    <w:rsid w:val="00A357FE"/>
    <w:rsid w:val="00A35827"/>
    <w:rsid w:val="00A35E11"/>
    <w:rsid w:val="00A35FEC"/>
    <w:rsid w:val="00A361E7"/>
    <w:rsid w:val="00A366D4"/>
    <w:rsid w:val="00A369DE"/>
    <w:rsid w:val="00A36B5E"/>
    <w:rsid w:val="00A36E5E"/>
    <w:rsid w:val="00A36F4D"/>
    <w:rsid w:val="00A37230"/>
    <w:rsid w:val="00A3744A"/>
    <w:rsid w:val="00A37638"/>
    <w:rsid w:val="00A3765A"/>
    <w:rsid w:val="00A379BA"/>
    <w:rsid w:val="00A37CCF"/>
    <w:rsid w:val="00A37ED3"/>
    <w:rsid w:val="00A40118"/>
    <w:rsid w:val="00A404B1"/>
    <w:rsid w:val="00A405C8"/>
    <w:rsid w:val="00A406B0"/>
    <w:rsid w:val="00A409A7"/>
    <w:rsid w:val="00A41416"/>
    <w:rsid w:val="00A414AE"/>
    <w:rsid w:val="00A4176E"/>
    <w:rsid w:val="00A417D9"/>
    <w:rsid w:val="00A41A66"/>
    <w:rsid w:val="00A41A8A"/>
    <w:rsid w:val="00A41D0A"/>
    <w:rsid w:val="00A41FBD"/>
    <w:rsid w:val="00A420E6"/>
    <w:rsid w:val="00A423C7"/>
    <w:rsid w:val="00A4286D"/>
    <w:rsid w:val="00A42903"/>
    <w:rsid w:val="00A4297D"/>
    <w:rsid w:val="00A42B36"/>
    <w:rsid w:val="00A42C2E"/>
    <w:rsid w:val="00A42D40"/>
    <w:rsid w:val="00A433CA"/>
    <w:rsid w:val="00A44298"/>
    <w:rsid w:val="00A443D6"/>
    <w:rsid w:val="00A44814"/>
    <w:rsid w:val="00A44906"/>
    <w:rsid w:val="00A4497D"/>
    <w:rsid w:val="00A44B2B"/>
    <w:rsid w:val="00A44C96"/>
    <w:rsid w:val="00A453A2"/>
    <w:rsid w:val="00A4554B"/>
    <w:rsid w:val="00A45929"/>
    <w:rsid w:val="00A45C1B"/>
    <w:rsid w:val="00A45DF2"/>
    <w:rsid w:val="00A45E2D"/>
    <w:rsid w:val="00A45E65"/>
    <w:rsid w:val="00A46637"/>
    <w:rsid w:val="00A46810"/>
    <w:rsid w:val="00A46F30"/>
    <w:rsid w:val="00A476EF"/>
    <w:rsid w:val="00A47A9D"/>
    <w:rsid w:val="00A47F36"/>
    <w:rsid w:val="00A5005B"/>
    <w:rsid w:val="00A5039D"/>
    <w:rsid w:val="00A50665"/>
    <w:rsid w:val="00A50CA4"/>
    <w:rsid w:val="00A511F6"/>
    <w:rsid w:val="00A51220"/>
    <w:rsid w:val="00A51518"/>
    <w:rsid w:val="00A51BD8"/>
    <w:rsid w:val="00A51C90"/>
    <w:rsid w:val="00A5202E"/>
    <w:rsid w:val="00A52275"/>
    <w:rsid w:val="00A52B9A"/>
    <w:rsid w:val="00A53076"/>
    <w:rsid w:val="00A53330"/>
    <w:rsid w:val="00A5380A"/>
    <w:rsid w:val="00A53A08"/>
    <w:rsid w:val="00A54387"/>
    <w:rsid w:val="00A54A92"/>
    <w:rsid w:val="00A54B78"/>
    <w:rsid w:val="00A54CA1"/>
    <w:rsid w:val="00A55031"/>
    <w:rsid w:val="00A55270"/>
    <w:rsid w:val="00A55356"/>
    <w:rsid w:val="00A55570"/>
    <w:rsid w:val="00A5557D"/>
    <w:rsid w:val="00A559F4"/>
    <w:rsid w:val="00A55CC8"/>
    <w:rsid w:val="00A563FB"/>
    <w:rsid w:val="00A568B7"/>
    <w:rsid w:val="00A56B26"/>
    <w:rsid w:val="00A56EB9"/>
    <w:rsid w:val="00A571BD"/>
    <w:rsid w:val="00A57AEF"/>
    <w:rsid w:val="00A57BFC"/>
    <w:rsid w:val="00A601BB"/>
    <w:rsid w:val="00A60397"/>
    <w:rsid w:val="00A60726"/>
    <w:rsid w:val="00A61550"/>
    <w:rsid w:val="00A6173A"/>
    <w:rsid w:val="00A617C5"/>
    <w:rsid w:val="00A61AD0"/>
    <w:rsid w:val="00A61BCE"/>
    <w:rsid w:val="00A61EA7"/>
    <w:rsid w:val="00A621AA"/>
    <w:rsid w:val="00A623AC"/>
    <w:rsid w:val="00A62C0E"/>
    <w:rsid w:val="00A63048"/>
    <w:rsid w:val="00A631CC"/>
    <w:rsid w:val="00A63537"/>
    <w:rsid w:val="00A63705"/>
    <w:rsid w:val="00A637E9"/>
    <w:rsid w:val="00A638A0"/>
    <w:rsid w:val="00A63CEF"/>
    <w:rsid w:val="00A64456"/>
    <w:rsid w:val="00A64939"/>
    <w:rsid w:val="00A64B82"/>
    <w:rsid w:val="00A64BE8"/>
    <w:rsid w:val="00A64C6B"/>
    <w:rsid w:val="00A64DFF"/>
    <w:rsid w:val="00A64F62"/>
    <w:rsid w:val="00A65042"/>
    <w:rsid w:val="00A658A4"/>
    <w:rsid w:val="00A65A60"/>
    <w:rsid w:val="00A65C9B"/>
    <w:rsid w:val="00A660F9"/>
    <w:rsid w:val="00A66114"/>
    <w:rsid w:val="00A6639A"/>
    <w:rsid w:val="00A66615"/>
    <w:rsid w:val="00A66929"/>
    <w:rsid w:val="00A66B2E"/>
    <w:rsid w:val="00A66BE0"/>
    <w:rsid w:val="00A6722C"/>
    <w:rsid w:val="00A67254"/>
    <w:rsid w:val="00A70024"/>
    <w:rsid w:val="00A70498"/>
    <w:rsid w:val="00A70C2B"/>
    <w:rsid w:val="00A70CE0"/>
    <w:rsid w:val="00A71C0D"/>
    <w:rsid w:val="00A71D6B"/>
    <w:rsid w:val="00A722F5"/>
    <w:rsid w:val="00A72370"/>
    <w:rsid w:val="00A72854"/>
    <w:rsid w:val="00A7289F"/>
    <w:rsid w:val="00A72C2F"/>
    <w:rsid w:val="00A72F71"/>
    <w:rsid w:val="00A7346A"/>
    <w:rsid w:val="00A73822"/>
    <w:rsid w:val="00A738FA"/>
    <w:rsid w:val="00A73F36"/>
    <w:rsid w:val="00A7410C"/>
    <w:rsid w:val="00A7484E"/>
    <w:rsid w:val="00A748F3"/>
    <w:rsid w:val="00A75583"/>
    <w:rsid w:val="00A75A55"/>
    <w:rsid w:val="00A75C36"/>
    <w:rsid w:val="00A7600C"/>
    <w:rsid w:val="00A76048"/>
    <w:rsid w:val="00A7616A"/>
    <w:rsid w:val="00A7667D"/>
    <w:rsid w:val="00A7670F"/>
    <w:rsid w:val="00A76827"/>
    <w:rsid w:val="00A77336"/>
    <w:rsid w:val="00A7733A"/>
    <w:rsid w:val="00A7749B"/>
    <w:rsid w:val="00A77C5A"/>
    <w:rsid w:val="00A77DF5"/>
    <w:rsid w:val="00A80073"/>
    <w:rsid w:val="00A80B4C"/>
    <w:rsid w:val="00A80C3C"/>
    <w:rsid w:val="00A80DC7"/>
    <w:rsid w:val="00A81145"/>
    <w:rsid w:val="00A814C9"/>
    <w:rsid w:val="00A820C0"/>
    <w:rsid w:val="00A823B3"/>
    <w:rsid w:val="00A82869"/>
    <w:rsid w:val="00A82CA6"/>
    <w:rsid w:val="00A83DB7"/>
    <w:rsid w:val="00A83FC3"/>
    <w:rsid w:val="00A84591"/>
    <w:rsid w:val="00A84C9E"/>
    <w:rsid w:val="00A8501D"/>
    <w:rsid w:val="00A855A0"/>
    <w:rsid w:val="00A858A4"/>
    <w:rsid w:val="00A85E43"/>
    <w:rsid w:val="00A860DD"/>
    <w:rsid w:val="00A86262"/>
    <w:rsid w:val="00A8694A"/>
    <w:rsid w:val="00A870DB"/>
    <w:rsid w:val="00A871E7"/>
    <w:rsid w:val="00A8725B"/>
    <w:rsid w:val="00A8744D"/>
    <w:rsid w:val="00A87D29"/>
    <w:rsid w:val="00A90023"/>
    <w:rsid w:val="00A9008A"/>
    <w:rsid w:val="00A907CD"/>
    <w:rsid w:val="00A908FD"/>
    <w:rsid w:val="00A91029"/>
    <w:rsid w:val="00A912CA"/>
    <w:rsid w:val="00A91F45"/>
    <w:rsid w:val="00A926D9"/>
    <w:rsid w:val="00A926FC"/>
    <w:rsid w:val="00A92814"/>
    <w:rsid w:val="00A92C8E"/>
    <w:rsid w:val="00A93C73"/>
    <w:rsid w:val="00A93FCB"/>
    <w:rsid w:val="00A941CC"/>
    <w:rsid w:val="00A94919"/>
    <w:rsid w:val="00A94AD3"/>
    <w:rsid w:val="00A94B11"/>
    <w:rsid w:val="00A94B76"/>
    <w:rsid w:val="00A94C60"/>
    <w:rsid w:val="00A95205"/>
    <w:rsid w:val="00A960D2"/>
    <w:rsid w:val="00A9663F"/>
    <w:rsid w:val="00A96AF3"/>
    <w:rsid w:val="00A96CD9"/>
    <w:rsid w:val="00A96F52"/>
    <w:rsid w:val="00A9703C"/>
    <w:rsid w:val="00A97107"/>
    <w:rsid w:val="00A976F7"/>
    <w:rsid w:val="00AA0092"/>
    <w:rsid w:val="00AA0C58"/>
    <w:rsid w:val="00AA1609"/>
    <w:rsid w:val="00AA165C"/>
    <w:rsid w:val="00AA16C2"/>
    <w:rsid w:val="00AA1995"/>
    <w:rsid w:val="00AA1C04"/>
    <w:rsid w:val="00AA1C20"/>
    <w:rsid w:val="00AA1C48"/>
    <w:rsid w:val="00AA1F6C"/>
    <w:rsid w:val="00AA2019"/>
    <w:rsid w:val="00AA2082"/>
    <w:rsid w:val="00AA21FC"/>
    <w:rsid w:val="00AA2620"/>
    <w:rsid w:val="00AA2CAB"/>
    <w:rsid w:val="00AA2D4A"/>
    <w:rsid w:val="00AA317E"/>
    <w:rsid w:val="00AA338C"/>
    <w:rsid w:val="00AA3640"/>
    <w:rsid w:val="00AA36C7"/>
    <w:rsid w:val="00AA4261"/>
    <w:rsid w:val="00AA455A"/>
    <w:rsid w:val="00AA48AB"/>
    <w:rsid w:val="00AA4C90"/>
    <w:rsid w:val="00AA5110"/>
    <w:rsid w:val="00AA55EC"/>
    <w:rsid w:val="00AA55EF"/>
    <w:rsid w:val="00AA5AF3"/>
    <w:rsid w:val="00AA60A9"/>
    <w:rsid w:val="00AA6118"/>
    <w:rsid w:val="00AA6661"/>
    <w:rsid w:val="00AA73DE"/>
    <w:rsid w:val="00AA78FD"/>
    <w:rsid w:val="00AA7A7A"/>
    <w:rsid w:val="00AA7B4A"/>
    <w:rsid w:val="00AA7B6E"/>
    <w:rsid w:val="00AA7BB3"/>
    <w:rsid w:val="00AA7D29"/>
    <w:rsid w:val="00AB046A"/>
    <w:rsid w:val="00AB052B"/>
    <w:rsid w:val="00AB073B"/>
    <w:rsid w:val="00AB0B5F"/>
    <w:rsid w:val="00AB0C9F"/>
    <w:rsid w:val="00AB0F8F"/>
    <w:rsid w:val="00AB10A9"/>
    <w:rsid w:val="00AB11B8"/>
    <w:rsid w:val="00AB17AC"/>
    <w:rsid w:val="00AB195F"/>
    <w:rsid w:val="00AB1BC2"/>
    <w:rsid w:val="00AB1E3E"/>
    <w:rsid w:val="00AB2958"/>
    <w:rsid w:val="00AB365D"/>
    <w:rsid w:val="00AB41A4"/>
    <w:rsid w:val="00AB4D4F"/>
    <w:rsid w:val="00AB6322"/>
    <w:rsid w:val="00AB65F2"/>
    <w:rsid w:val="00AB6846"/>
    <w:rsid w:val="00AB69DC"/>
    <w:rsid w:val="00AB6FE5"/>
    <w:rsid w:val="00AB7065"/>
    <w:rsid w:val="00AB7181"/>
    <w:rsid w:val="00AB793A"/>
    <w:rsid w:val="00AC06EB"/>
    <w:rsid w:val="00AC09A8"/>
    <w:rsid w:val="00AC0F8F"/>
    <w:rsid w:val="00AC0F99"/>
    <w:rsid w:val="00AC11B9"/>
    <w:rsid w:val="00AC11F7"/>
    <w:rsid w:val="00AC12A1"/>
    <w:rsid w:val="00AC18EB"/>
    <w:rsid w:val="00AC1D0D"/>
    <w:rsid w:val="00AC1E7A"/>
    <w:rsid w:val="00AC1E88"/>
    <w:rsid w:val="00AC2555"/>
    <w:rsid w:val="00AC35FC"/>
    <w:rsid w:val="00AC3BE6"/>
    <w:rsid w:val="00AC3D55"/>
    <w:rsid w:val="00AC4384"/>
    <w:rsid w:val="00AC43DA"/>
    <w:rsid w:val="00AC462E"/>
    <w:rsid w:val="00AC477A"/>
    <w:rsid w:val="00AC49F6"/>
    <w:rsid w:val="00AC4A19"/>
    <w:rsid w:val="00AC4FBC"/>
    <w:rsid w:val="00AC5323"/>
    <w:rsid w:val="00AC59B0"/>
    <w:rsid w:val="00AC5DC7"/>
    <w:rsid w:val="00AC62AA"/>
    <w:rsid w:val="00AC73D5"/>
    <w:rsid w:val="00AD0180"/>
    <w:rsid w:val="00AD01FE"/>
    <w:rsid w:val="00AD060F"/>
    <w:rsid w:val="00AD09DF"/>
    <w:rsid w:val="00AD14C5"/>
    <w:rsid w:val="00AD1707"/>
    <w:rsid w:val="00AD1D5C"/>
    <w:rsid w:val="00AD1E4B"/>
    <w:rsid w:val="00AD21F5"/>
    <w:rsid w:val="00AD2C99"/>
    <w:rsid w:val="00AD2E84"/>
    <w:rsid w:val="00AD3006"/>
    <w:rsid w:val="00AD312C"/>
    <w:rsid w:val="00AD3304"/>
    <w:rsid w:val="00AD346C"/>
    <w:rsid w:val="00AD3886"/>
    <w:rsid w:val="00AD39EB"/>
    <w:rsid w:val="00AD3AF1"/>
    <w:rsid w:val="00AD3D1D"/>
    <w:rsid w:val="00AD3E3E"/>
    <w:rsid w:val="00AD4143"/>
    <w:rsid w:val="00AD418A"/>
    <w:rsid w:val="00AD434A"/>
    <w:rsid w:val="00AD44EA"/>
    <w:rsid w:val="00AD495C"/>
    <w:rsid w:val="00AD52D4"/>
    <w:rsid w:val="00AD57D7"/>
    <w:rsid w:val="00AD5CE4"/>
    <w:rsid w:val="00AD6087"/>
    <w:rsid w:val="00AD700E"/>
    <w:rsid w:val="00AD7C4B"/>
    <w:rsid w:val="00AD7E3B"/>
    <w:rsid w:val="00AE00C2"/>
    <w:rsid w:val="00AE093B"/>
    <w:rsid w:val="00AE0B40"/>
    <w:rsid w:val="00AE107D"/>
    <w:rsid w:val="00AE1247"/>
    <w:rsid w:val="00AE1B2A"/>
    <w:rsid w:val="00AE1C49"/>
    <w:rsid w:val="00AE1C4D"/>
    <w:rsid w:val="00AE1F0D"/>
    <w:rsid w:val="00AE22CE"/>
    <w:rsid w:val="00AE259F"/>
    <w:rsid w:val="00AE2DBC"/>
    <w:rsid w:val="00AE2E44"/>
    <w:rsid w:val="00AE319A"/>
    <w:rsid w:val="00AE32E3"/>
    <w:rsid w:val="00AE362A"/>
    <w:rsid w:val="00AE3B52"/>
    <w:rsid w:val="00AE4359"/>
    <w:rsid w:val="00AE57A8"/>
    <w:rsid w:val="00AE5E9B"/>
    <w:rsid w:val="00AE612F"/>
    <w:rsid w:val="00AE62EB"/>
    <w:rsid w:val="00AE6692"/>
    <w:rsid w:val="00AE6D7D"/>
    <w:rsid w:val="00AE7110"/>
    <w:rsid w:val="00AE72ED"/>
    <w:rsid w:val="00AE7422"/>
    <w:rsid w:val="00AF0578"/>
    <w:rsid w:val="00AF0B22"/>
    <w:rsid w:val="00AF0B81"/>
    <w:rsid w:val="00AF1179"/>
    <w:rsid w:val="00AF14C6"/>
    <w:rsid w:val="00AF1FDD"/>
    <w:rsid w:val="00AF20C8"/>
    <w:rsid w:val="00AF211E"/>
    <w:rsid w:val="00AF2586"/>
    <w:rsid w:val="00AF2B9E"/>
    <w:rsid w:val="00AF2C8C"/>
    <w:rsid w:val="00AF2F06"/>
    <w:rsid w:val="00AF3669"/>
    <w:rsid w:val="00AF38AD"/>
    <w:rsid w:val="00AF39F7"/>
    <w:rsid w:val="00AF3C0B"/>
    <w:rsid w:val="00AF3D64"/>
    <w:rsid w:val="00AF3E43"/>
    <w:rsid w:val="00AF3EA7"/>
    <w:rsid w:val="00AF403A"/>
    <w:rsid w:val="00AF41B6"/>
    <w:rsid w:val="00AF46C0"/>
    <w:rsid w:val="00AF47FC"/>
    <w:rsid w:val="00AF4E3D"/>
    <w:rsid w:val="00AF4E4E"/>
    <w:rsid w:val="00AF528E"/>
    <w:rsid w:val="00AF53FE"/>
    <w:rsid w:val="00AF5527"/>
    <w:rsid w:val="00AF5629"/>
    <w:rsid w:val="00AF5805"/>
    <w:rsid w:val="00AF5813"/>
    <w:rsid w:val="00AF5E08"/>
    <w:rsid w:val="00AF5FD8"/>
    <w:rsid w:val="00AF61B7"/>
    <w:rsid w:val="00AF654F"/>
    <w:rsid w:val="00AF6775"/>
    <w:rsid w:val="00AF6985"/>
    <w:rsid w:val="00AF6B6B"/>
    <w:rsid w:val="00AF7C50"/>
    <w:rsid w:val="00AF7DB0"/>
    <w:rsid w:val="00B00D1C"/>
    <w:rsid w:val="00B0113D"/>
    <w:rsid w:val="00B01382"/>
    <w:rsid w:val="00B013FD"/>
    <w:rsid w:val="00B01516"/>
    <w:rsid w:val="00B022BF"/>
    <w:rsid w:val="00B02684"/>
    <w:rsid w:val="00B02941"/>
    <w:rsid w:val="00B0297C"/>
    <w:rsid w:val="00B02CED"/>
    <w:rsid w:val="00B02D5A"/>
    <w:rsid w:val="00B03293"/>
    <w:rsid w:val="00B03E2D"/>
    <w:rsid w:val="00B03F66"/>
    <w:rsid w:val="00B03F88"/>
    <w:rsid w:val="00B04005"/>
    <w:rsid w:val="00B0409D"/>
    <w:rsid w:val="00B040AD"/>
    <w:rsid w:val="00B049D0"/>
    <w:rsid w:val="00B04B66"/>
    <w:rsid w:val="00B04E0C"/>
    <w:rsid w:val="00B05100"/>
    <w:rsid w:val="00B05270"/>
    <w:rsid w:val="00B054D8"/>
    <w:rsid w:val="00B05653"/>
    <w:rsid w:val="00B056D4"/>
    <w:rsid w:val="00B05711"/>
    <w:rsid w:val="00B05B9E"/>
    <w:rsid w:val="00B0611D"/>
    <w:rsid w:val="00B06B72"/>
    <w:rsid w:val="00B06BED"/>
    <w:rsid w:val="00B06E3A"/>
    <w:rsid w:val="00B074DD"/>
    <w:rsid w:val="00B07AD2"/>
    <w:rsid w:val="00B07BCC"/>
    <w:rsid w:val="00B1016F"/>
    <w:rsid w:val="00B1025B"/>
    <w:rsid w:val="00B10318"/>
    <w:rsid w:val="00B1037A"/>
    <w:rsid w:val="00B104CE"/>
    <w:rsid w:val="00B10C09"/>
    <w:rsid w:val="00B10EEA"/>
    <w:rsid w:val="00B11187"/>
    <w:rsid w:val="00B11428"/>
    <w:rsid w:val="00B116FB"/>
    <w:rsid w:val="00B11B62"/>
    <w:rsid w:val="00B124AD"/>
    <w:rsid w:val="00B129DA"/>
    <w:rsid w:val="00B12BB3"/>
    <w:rsid w:val="00B12BBC"/>
    <w:rsid w:val="00B1357C"/>
    <w:rsid w:val="00B13E0E"/>
    <w:rsid w:val="00B142EA"/>
    <w:rsid w:val="00B144DD"/>
    <w:rsid w:val="00B145A3"/>
    <w:rsid w:val="00B146F0"/>
    <w:rsid w:val="00B14F01"/>
    <w:rsid w:val="00B14F49"/>
    <w:rsid w:val="00B15037"/>
    <w:rsid w:val="00B15387"/>
    <w:rsid w:val="00B1550A"/>
    <w:rsid w:val="00B15837"/>
    <w:rsid w:val="00B161F1"/>
    <w:rsid w:val="00B1667F"/>
    <w:rsid w:val="00B1695A"/>
    <w:rsid w:val="00B169A0"/>
    <w:rsid w:val="00B16D80"/>
    <w:rsid w:val="00B16E3C"/>
    <w:rsid w:val="00B1789C"/>
    <w:rsid w:val="00B178AB"/>
    <w:rsid w:val="00B17A9D"/>
    <w:rsid w:val="00B17C07"/>
    <w:rsid w:val="00B20292"/>
    <w:rsid w:val="00B203A8"/>
    <w:rsid w:val="00B20444"/>
    <w:rsid w:val="00B204E6"/>
    <w:rsid w:val="00B20899"/>
    <w:rsid w:val="00B208DD"/>
    <w:rsid w:val="00B2092C"/>
    <w:rsid w:val="00B212C8"/>
    <w:rsid w:val="00B21408"/>
    <w:rsid w:val="00B2142C"/>
    <w:rsid w:val="00B21895"/>
    <w:rsid w:val="00B218C3"/>
    <w:rsid w:val="00B219C8"/>
    <w:rsid w:val="00B22643"/>
    <w:rsid w:val="00B22932"/>
    <w:rsid w:val="00B22C87"/>
    <w:rsid w:val="00B22F08"/>
    <w:rsid w:val="00B22FCC"/>
    <w:rsid w:val="00B23213"/>
    <w:rsid w:val="00B23537"/>
    <w:rsid w:val="00B23CB9"/>
    <w:rsid w:val="00B24121"/>
    <w:rsid w:val="00B24E43"/>
    <w:rsid w:val="00B250F7"/>
    <w:rsid w:val="00B25536"/>
    <w:rsid w:val="00B25642"/>
    <w:rsid w:val="00B25CB6"/>
    <w:rsid w:val="00B26076"/>
    <w:rsid w:val="00B261D4"/>
    <w:rsid w:val="00B261DD"/>
    <w:rsid w:val="00B26311"/>
    <w:rsid w:val="00B26636"/>
    <w:rsid w:val="00B268BF"/>
    <w:rsid w:val="00B26A6E"/>
    <w:rsid w:val="00B26C47"/>
    <w:rsid w:val="00B26C7A"/>
    <w:rsid w:val="00B26F8F"/>
    <w:rsid w:val="00B2748C"/>
    <w:rsid w:val="00B2775E"/>
    <w:rsid w:val="00B27A88"/>
    <w:rsid w:val="00B30061"/>
    <w:rsid w:val="00B30360"/>
    <w:rsid w:val="00B3085E"/>
    <w:rsid w:val="00B30971"/>
    <w:rsid w:val="00B30988"/>
    <w:rsid w:val="00B30A5B"/>
    <w:rsid w:val="00B30B52"/>
    <w:rsid w:val="00B30CFB"/>
    <w:rsid w:val="00B31023"/>
    <w:rsid w:val="00B31039"/>
    <w:rsid w:val="00B31805"/>
    <w:rsid w:val="00B31BD4"/>
    <w:rsid w:val="00B31C41"/>
    <w:rsid w:val="00B31C93"/>
    <w:rsid w:val="00B31D1E"/>
    <w:rsid w:val="00B32D23"/>
    <w:rsid w:val="00B333BF"/>
    <w:rsid w:val="00B33E27"/>
    <w:rsid w:val="00B33F68"/>
    <w:rsid w:val="00B3411F"/>
    <w:rsid w:val="00B3440D"/>
    <w:rsid w:val="00B344C1"/>
    <w:rsid w:val="00B347A0"/>
    <w:rsid w:val="00B34BCA"/>
    <w:rsid w:val="00B34C74"/>
    <w:rsid w:val="00B351E6"/>
    <w:rsid w:val="00B35396"/>
    <w:rsid w:val="00B35543"/>
    <w:rsid w:val="00B355DF"/>
    <w:rsid w:val="00B35614"/>
    <w:rsid w:val="00B35F81"/>
    <w:rsid w:val="00B36286"/>
    <w:rsid w:val="00B368B7"/>
    <w:rsid w:val="00B3698E"/>
    <w:rsid w:val="00B369B4"/>
    <w:rsid w:val="00B37764"/>
    <w:rsid w:val="00B37B11"/>
    <w:rsid w:val="00B40151"/>
    <w:rsid w:val="00B408F1"/>
    <w:rsid w:val="00B4094D"/>
    <w:rsid w:val="00B40B08"/>
    <w:rsid w:val="00B41120"/>
    <w:rsid w:val="00B41691"/>
    <w:rsid w:val="00B41C8B"/>
    <w:rsid w:val="00B4252B"/>
    <w:rsid w:val="00B4272E"/>
    <w:rsid w:val="00B42A61"/>
    <w:rsid w:val="00B42B3F"/>
    <w:rsid w:val="00B42F89"/>
    <w:rsid w:val="00B430E7"/>
    <w:rsid w:val="00B431C3"/>
    <w:rsid w:val="00B43C09"/>
    <w:rsid w:val="00B43D6E"/>
    <w:rsid w:val="00B449F6"/>
    <w:rsid w:val="00B451B9"/>
    <w:rsid w:val="00B45366"/>
    <w:rsid w:val="00B45BCF"/>
    <w:rsid w:val="00B4603B"/>
    <w:rsid w:val="00B464B9"/>
    <w:rsid w:val="00B465CD"/>
    <w:rsid w:val="00B46618"/>
    <w:rsid w:val="00B46892"/>
    <w:rsid w:val="00B46CA2"/>
    <w:rsid w:val="00B471D7"/>
    <w:rsid w:val="00B47485"/>
    <w:rsid w:val="00B47A61"/>
    <w:rsid w:val="00B50BBC"/>
    <w:rsid w:val="00B50D9B"/>
    <w:rsid w:val="00B5108A"/>
    <w:rsid w:val="00B5137E"/>
    <w:rsid w:val="00B515BF"/>
    <w:rsid w:val="00B51792"/>
    <w:rsid w:val="00B517AB"/>
    <w:rsid w:val="00B51875"/>
    <w:rsid w:val="00B522C0"/>
    <w:rsid w:val="00B52565"/>
    <w:rsid w:val="00B52896"/>
    <w:rsid w:val="00B529CD"/>
    <w:rsid w:val="00B52ED1"/>
    <w:rsid w:val="00B53D41"/>
    <w:rsid w:val="00B54078"/>
    <w:rsid w:val="00B54F2B"/>
    <w:rsid w:val="00B551C4"/>
    <w:rsid w:val="00B5548C"/>
    <w:rsid w:val="00B5567F"/>
    <w:rsid w:val="00B5592F"/>
    <w:rsid w:val="00B55EEE"/>
    <w:rsid w:val="00B568B2"/>
    <w:rsid w:val="00B57170"/>
    <w:rsid w:val="00B5719E"/>
    <w:rsid w:val="00B5728F"/>
    <w:rsid w:val="00B57309"/>
    <w:rsid w:val="00B578FB"/>
    <w:rsid w:val="00B57F81"/>
    <w:rsid w:val="00B602ED"/>
    <w:rsid w:val="00B60BDA"/>
    <w:rsid w:val="00B60F4B"/>
    <w:rsid w:val="00B61377"/>
    <w:rsid w:val="00B61700"/>
    <w:rsid w:val="00B61DBE"/>
    <w:rsid w:val="00B61DFB"/>
    <w:rsid w:val="00B61F61"/>
    <w:rsid w:val="00B6233D"/>
    <w:rsid w:val="00B62BF1"/>
    <w:rsid w:val="00B63DE6"/>
    <w:rsid w:val="00B63FEF"/>
    <w:rsid w:val="00B64955"/>
    <w:rsid w:val="00B649FD"/>
    <w:rsid w:val="00B64AAA"/>
    <w:rsid w:val="00B64C93"/>
    <w:rsid w:val="00B64E20"/>
    <w:rsid w:val="00B650B1"/>
    <w:rsid w:val="00B6527B"/>
    <w:rsid w:val="00B659E7"/>
    <w:rsid w:val="00B65E45"/>
    <w:rsid w:val="00B663CE"/>
    <w:rsid w:val="00B66616"/>
    <w:rsid w:val="00B66980"/>
    <w:rsid w:val="00B66A6D"/>
    <w:rsid w:val="00B671B4"/>
    <w:rsid w:val="00B6745A"/>
    <w:rsid w:val="00B6780B"/>
    <w:rsid w:val="00B70AD6"/>
    <w:rsid w:val="00B70DE4"/>
    <w:rsid w:val="00B70EAD"/>
    <w:rsid w:val="00B70EFA"/>
    <w:rsid w:val="00B71555"/>
    <w:rsid w:val="00B71D7F"/>
    <w:rsid w:val="00B71DE7"/>
    <w:rsid w:val="00B721BD"/>
    <w:rsid w:val="00B725B7"/>
    <w:rsid w:val="00B7261C"/>
    <w:rsid w:val="00B7262E"/>
    <w:rsid w:val="00B72C36"/>
    <w:rsid w:val="00B72E58"/>
    <w:rsid w:val="00B72F0C"/>
    <w:rsid w:val="00B731B2"/>
    <w:rsid w:val="00B731CA"/>
    <w:rsid w:val="00B738F9"/>
    <w:rsid w:val="00B73D63"/>
    <w:rsid w:val="00B74923"/>
    <w:rsid w:val="00B74AC5"/>
    <w:rsid w:val="00B74FD2"/>
    <w:rsid w:val="00B75082"/>
    <w:rsid w:val="00B75C42"/>
    <w:rsid w:val="00B76AF3"/>
    <w:rsid w:val="00B76E2D"/>
    <w:rsid w:val="00B773E1"/>
    <w:rsid w:val="00B773F9"/>
    <w:rsid w:val="00B7759A"/>
    <w:rsid w:val="00B77817"/>
    <w:rsid w:val="00B77D39"/>
    <w:rsid w:val="00B80298"/>
    <w:rsid w:val="00B80478"/>
    <w:rsid w:val="00B80490"/>
    <w:rsid w:val="00B80BF9"/>
    <w:rsid w:val="00B80C87"/>
    <w:rsid w:val="00B80EA1"/>
    <w:rsid w:val="00B80EC8"/>
    <w:rsid w:val="00B80F72"/>
    <w:rsid w:val="00B81149"/>
    <w:rsid w:val="00B816A3"/>
    <w:rsid w:val="00B81CA1"/>
    <w:rsid w:val="00B81D0E"/>
    <w:rsid w:val="00B8235E"/>
    <w:rsid w:val="00B8314D"/>
    <w:rsid w:val="00B838C6"/>
    <w:rsid w:val="00B83C60"/>
    <w:rsid w:val="00B83D52"/>
    <w:rsid w:val="00B840B3"/>
    <w:rsid w:val="00B84567"/>
    <w:rsid w:val="00B84D2C"/>
    <w:rsid w:val="00B84F6D"/>
    <w:rsid w:val="00B8569A"/>
    <w:rsid w:val="00B857BD"/>
    <w:rsid w:val="00B85886"/>
    <w:rsid w:val="00B858EB"/>
    <w:rsid w:val="00B85AE4"/>
    <w:rsid w:val="00B85D33"/>
    <w:rsid w:val="00B85FC0"/>
    <w:rsid w:val="00B8619A"/>
    <w:rsid w:val="00B868C3"/>
    <w:rsid w:val="00B86B00"/>
    <w:rsid w:val="00B86C2E"/>
    <w:rsid w:val="00B86D72"/>
    <w:rsid w:val="00B87447"/>
    <w:rsid w:val="00B875DC"/>
    <w:rsid w:val="00B878D0"/>
    <w:rsid w:val="00B87ADE"/>
    <w:rsid w:val="00B905E0"/>
    <w:rsid w:val="00B905FF"/>
    <w:rsid w:val="00B90654"/>
    <w:rsid w:val="00B908F7"/>
    <w:rsid w:val="00B90BA5"/>
    <w:rsid w:val="00B90BF8"/>
    <w:rsid w:val="00B90CB9"/>
    <w:rsid w:val="00B90F27"/>
    <w:rsid w:val="00B91719"/>
    <w:rsid w:val="00B91CC5"/>
    <w:rsid w:val="00B91DCB"/>
    <w:rsid w:val="00B92468"/>
    <w:rsid w:val="00B92B37"/>
    <w:rsid w:val="00B92CAB"/>
    <w:rsid w:val="00B93099"/>
    <w:rsid w:val="00B93205"/>
    <w:rsid w:val="00B933E6"/>
    <w:rsid w:val="00B936D3"/>
    <w:rsid w:val="00B937BA"/>
    <w:rsid w:val="00B93B1D"/>
    <w:rsid w:val="00B942A0"/>
    <w:rsid w:val="00B947F5"/>
    <w:rsid w:val="00B94B3A"/>
    <w:rsid w:val="00B94C59"/>
    <w:rsid w:val="00B953DB"/>
    <w:rsid w:val="00B95679"/>
    <w:rsid w:val="00B96131"/>
    <w:rsid w:val="00B96213"/>
    <w:rsid w:val="00B965AE"/>
    <w:rsid w:val="00B968EF"/>
    <w:rsid w:val="00B96BAC"/>
    <w:rsid w:val="00B96DDC"/>
    <w:rsid w:val="00B96E09"/>
    <w:rsid w:val="00B972D4"/>
    <w:rsid w:val="00B97847"/>
    <w:rsid w:val="00B9786B"/>
    <w:rsid w:val="00B97890"/>
    <w:rsid w:val="00B97AAA"/>
    <w:rsid w:val="00B97CE9"/>
    <w:rsid w:val="00B97E87"/>
    <w:rsid w:val="00B97E91"/>
    <w:rsid w:val="00BA069B"/>
    <w:rsid w:val="00BA0798"/>
    <w:rsid w:val="00BA0A0C"/>
    <w:rsid w:val="00BA0CC9"/>
    <w:rsid w:val="00BA10BB"/>
    <w:rsid w:val="00BA1484"/>
    <w:rsid w:val="00BA18AB"/>
    <w:rsid w:val="00BA19A2"/>
    <w:rsid w:val="00BA1C5A"/>
    <w:rsid w:val="00BA1DB4"/>
    <w:rsid w:val="00BA2678"/>
    <w:rsid w:val="00BA2731"/>
    <w:rsid w:val="00BA2EC2"/>
    <w:rsid w:val="00BA309F"/>
    <w:rsid w:val="00BA34DA"/>
    <w:rsid w:val="00BA38FA"/>
    <w:rsid w:val="00BA3980"/>
    <w:rsid w:val="00BA3D57"/>
    <w:rsid w:val="00BA3DFA"/>
    <w:rsid w:val="00BA4258"/>
    <w:rsid w:val="00BA4915"/>
    <w:rsid w:val="00BA4D9E"/>
    <w:rsid w:val="00BA50BE"/>
    <w:rsid w:val="00BA5259"/>
    <w:rsid w:val="00BA5C5D"/>
    <w:rsid w:val="00BA646B"/>
    <w:rsid w:val="00BA697A"/>
    <w:rsid w:val="00BA6A96"/>
    <w:rsid w:val="00BA6E76"/>
    <w:rsid w:val="00BA6E8C"/>
    <w:rsid w:val="00BA731D"/>
    <w:rsid w:val="00BA7434"/>
    <w:rsid w:val="00BA7887"/>
    <w:rsid w:val="00BA7B80"/>
    <w:rsid w:val="00BB0039"/>
    <w:rsid w:val="00BB0067"/>
    <w:rsid w:val="00BB01A6"/>
    <w:rsid w:val="00BB0217"/>
    <w:rsid w:val="00BB0B9C"/>
    <w:rsid w:val="00BB1165"/>
    <w:rsid w:val="00BB16D4"/>
    <w:rsid w:val="00BB17AD"/>
    <w:rsid w:val="00BB212C"/>
    <w:rsid w:val="00BB2B80"/>
    <w:rsid w:val="00BB2C24"/>
    <w:rsid w:val="00BB2C6C"/>
    <w:rsid w:val="00BB2FCE"/>
    <w:rsid w:val="00BB3342"/>
    <w:rsid w:val="00BB3BA1"/>
    <w:rsid w:val="00BB3DEF"/>
    <w:rsid w:val="00BB3F14"/>
    <w:rsid w:val="00BB41B6"/>
    <w:rsid w:val="00BB4B78"/>
    <w:rsid w:val="00BB4DA9"/>
    <w:rsid w:val="00BB5293"/>
    <w:rsid w:val="00BB540D"/>
    <w:rsid w:val="00BB6166"/>
    <w:rsid w:val="00BB686F"/>
    <w:rsid w:val="00BB73D1"/>
    <w:rsid w:val="00BB7417"/>
    <w:rsid w:val="00BB7853"/>
    <w:rsid w:val="00BB78D8"/>
    <w:rsid w:val="00BB7E75"/>
    <w:rsid w:val="00BC02B6"/>
    <w:rsid w:val="00BC0360"/>
    <w:rsid w:val="00BC03DF"/>
    <w:rsid w:val="00BC15DF"/>
    <w:rsid w:val="00BC1BC0"/>
    <w:rsid w:val="00BC209C"/>
    <w:rsid w:val="00BC20F9"/>
    <w:rsid w:val="00BC25D5"/>
    <w:rsid w:val="00BC2714"/>
    <w:rsid w:val="00BC2954"/>
    <w:rsid w:val="00BC2BE0"/>
    <w:rsid w:val="00BC2FC4"/>
    <w:rsid w:val="00BC3199"/>
    <w:rsid w:val="00BC37F6"/>
    <w:rsid w:val="00BC381F"/>
    <w:rsid w:val="00BC3D89"/>
    <w:rsid w:val="00BC4081"/>
    <w:rsid w:val="00BC433C"/>
    <w:rsid w:val="00BC4620"/>
    <w:rsid w:val="00BC46A8"/>
    <w:rsid w:val="00BC4705"/>
    <w:rsid w:val="00BC48D2"/>
    <w:rsid w:val="00BC4FDD"/>
    <w:rsid w:val="00BC552C"/>
    <w:rsid w:val="00BC55D9"/>
    <w:rsid w:val="00BC6208"/>
    <w:rsid w:val="00BC6230"/>
    <w:rsid w:val="00BC626D"/>
    <w:rsid w:val="00BC66AC"/>
    <w:rsid w:val="00BC6A1F"/>
    <w:rsid w:val="00BC6BC2"/>
    <w:rsid w:val="00BC6C54"/>
    <w:rsid w:val="00BC6DB9"/>
    <w:rsid w:val="00BC6E56"/>
    <w:rsid w:val="00BC6F31"/>
    <w:rsid w:val="00BC749F"/>
    <w:rsid w:val="00BC7C49"/>
    <w:rsid w:val="00BD09CA"/>
    <w:rsid w:val="00BD0E65"/>
    <w:rsid w:val="00BD1481"/>
    <w:rsid w:val="00BD1A12"/>
    <w:rsid w:val="00BD1DC6"/>
    <w:rsid w:val="00BD1F6C"/>
    <w:rsid w:val="00BD213F"/>
    <w:rsid w:val="00BD238E"/>
    <w:rsid w:val="00BD2A42"/>
    <w:rsid w:val="00BD3CB0"/>
    <w:rsid w:val="00BD3F88"/>
    <w:rsid w:val="00BD4AB5"/>
    <w:rsid w:val="00BD4BD3"/>
    <w:rsid w:val="00BD4C57"/>
    <w:rsid w:val="00BD4F71"/>
    <w:rsid w:val="00BD50AC"/>
    <w:rsid w:val="00BD5360"/>
    <w:rsid w:val="00BD56F8"/>
    <w:rsid w:val="00BD578A"/>
    <w:rsid w:val="00BD5A0F"/>
    <w:rsid w:val="00BD5A73"/>
    <w:rsid w:val="00BD5C0D"/>
    <w:rsid w:val="00BD5F36"/>
    <w:rsid w:val="00BD6036"/>
    <w:rsid w:val="00BD64C7"/>
    <w:rsid w:val="00BD686E"/>
    <w:rsid w:val="00BD6ADD"/>
    <w:rsid w:val="00BD7103"/>
    <w:rsid w:val="00BD766D"/>
    <w:rsid w:val="00BD76A0"/>
    <w:rsid w:val="00BD7CD1"/>
    <w:rsid w:val="00BD7F9B"/>
    <w:rsid w:val="00BE0361"/>
    <w:rsid w:val="00BE05D6"/>
    <w:rsid w:val="00BE09CE"/>
    <w:rsid w:val="00BE0FC4"/>
    <w:rsid w:val="00BE1239"/>
    <w:rsid w:val="00BE1393"/>
    <w:rsid w:val="00BE1460"/>
    <w:rsid w:val="00BE1A68"/>
    <w:rsid w:val="00BE1ECC"/>
    <w:rsid w:val="00BE2012"/>
    <w:rsid w:val="00BE24F7"/>
    <w:rsid w:val="00BE3E16"/>
    <w:rsid w:val="00BE3FC0"/>
    <w:rsid w:val="00BE46AF"/>
    <w:rsid w:val="00BE4AE9"/>
    <w:rsid w:val="00BE5053"/>
    <w:rsid w:val="00BE5227"/>
    <w:rsid w:val="00BE54D7"/>
    <w:rsid w:val="00BE5CCA"/>
    <w:rsid w:val="00BE5F2E"/>
    <w:rsid w:val="00BE6470"/>
    <w:rsid w:val="00BE6590"/>
    <w:rsid w:val="00BE67C8"/>
    <w:rsid w:val="00BE7289"/>
    <w:rsid w:val="00BE7689"/>
    <w:rsid w:val="00BE7697"/>
    <w:rsid w:val="00BE77CE"/>
    <w:rsid w:val="00BE7888"/>
    <w:rsid w:val="00BE78D6"/>
    <w:rsid w:val="00BE79A3"/>
    <w:rsid w:val="00BE7C4E"/>
    <w:rsid w:val="00BF05EA"/>
    <w:rsid w:val="00BF073B"/>
    <w:rsid w:val="00BF07B8"/>
    <w:rsid w:val="00BF0A10"/>
    <w:rsid w:val="00BF0D15"/>
    <w:rsid w:val="00BF0E73"/>
    <w:rsid w:val="00BF1060"/>
    <w:rsid w:val="00BF13BF"/>
    <w:rsid w:val="00BF1437"/>
    <w:rsid w:val="00BF15EC"/>
    <w:rsid w:val="00BF1F0D"/>
    <w:rsid w:val="00BF26C5"/>
    <w:rsid w:val="00BF2A41"/>
    <w:rsid w:val="00BF2AD6"/>
    <w:rsid w:val="00BF2CE3"/>
    <w:rsid w:val="00BF3500"/>
    <w:rsid w:val="00BF3A55"/>
    <w:rsid w:val="00BF4270"/>
    <w:rsid w:val="00BF46A0"/>
    <w:rsid w:val="00BF4F96"/>
    <w:rsid w:val="00BF5281"/>
    <w:rsid w:val="00BF5893"/>
    <w:rsid w:val="00BF58B2"/>
    <w:rsid w:val="00BF67A0"/>
    <w:rsid w:val="00BF6AFD"/>
    <w:rsid w:val="00BF6B31"/>
    <w:rsid w:val="00BF705B"/>
    <w:rsid w:val="00BF70DF"/>
    <w:rsid w:val="00BF73FE"/>
    <w:rsid w:val="00BF76D0"/>
    <w:rsid w:val="00BF7E23"/>
    <w:rsid w:val="00C00081"/>
    <w:rsid w:val="00C00133"/>
    <w:rsid w:val="00C00209"/>
    <w:rsid w:val="00C005F6"/>
    <w:rsid w:val="00C00B3A"/>
    <w:rsid w:val="00C011E8"/>
    <w:rsid w:val="00C0180C"/>
    <w:rsid w:val="00C01AF3"/>
    <w:rsid w:val="00C029B9"/>
    <w:rsid w:val="00C02E20"/>
    <w:rsid w:val="00C02EF2"/>
    <w:rsid w:val="00C03044"/>
    <w:rsid w:val="00C038F6"/>
    <w:rsid w:val="00C03A52"/>
    <w:rsid w:val="00C03EB9"/>
    <w:rsid w:val="00C03F46"/>
    <w:rsid w:val="00C04B2C"/>
    <w:rsid w:val="00C051C6"/>
    <w:rsid w:val="00C05681"/>
    <w:rsid w:val="00C058AF"/>
    <w:rsid w:val="00C05B6D"/>
    <w:rsid w:val="00C06371"/>
    <w:rsid w:val="00C0677A"/>
    <w:rsid w:val="00C0684F"/>
    <w:rsid w:val="00C069FB"/>
    <w:rsid w:val="00C06CE5"/>
    <w:rsid w:val="00C06F62"/>
    <w:rsid w:val="00C07193"/>
    <w:rsid w:val="00C075FA"/>
    <w:rsid w:val="00C10172"/>
    <w:rsid w:val="00C1017B"/>
    <w:rsid w:val="00C102F1"/>
    <w:rsid w:val="00C104D3"/>
    <w:rsid w:val="00C10BDE"/>
    <w:rsid w:val="00C11090"/>
    <w:rsid w:val="00C111AF"/>
    <w:rsid w:val="00C117D1"/>
    <w:rsid w:val="00C11A8F"/>
    <w:rsid w:val="00C11AC8"/>
    <w:rsid w:val="00C122DE"/>
    <w:rsid w:val="00C129C5"/>
    <w:rsid w:val="00C13686"/>
    <w:rsid w:val="00C137A8"/>
    <w:rsid w:val="00C137B8"/>
    <w:rsid w:val="00C139D2"/>
    <w:rsid w:val="00C13A6F"/>
    <w:rsid w:val="00C143CF"/>
    <w:rsid w:val="00C14635"/>
    <w:rsid w:val="00C14B29"/>
    <w:rsid w:val="00C15224"/>
    <w:rsid w:val="00C15662"/>
    <w:rsid w:val="00C15952"/>
    <w:rsid w:val="00C15B73"/>
    <w:rsid w:val="00C15E86"/>
    <w:rsid w:val="00C15F2C"/>
    <w:rsid w:val="00C165B5"/>
    <w:rsid w:val="00C16A91"/>
    <w:rsid w:val="00C16C96"/>
    <w:rsid w:val="00C172BC"/>
    <w:rsid w:val="00C177F1"/>
    <w:rsid w:val="00C1792C"/>
    <w:rsid w:val="00C179D9"/>
    <w:rsid w:val="00C17BD1"/>
    <w:rsid w:val="00C20797"/>
    <w:rsid w:val="00C20B3B"/>
    <w:rsid w:val="00C21CAF"/>
    <w:rsid w:val="00C22158"/>
    <w:rsid w:val="00C22D94"/>
    <w:rsid w:val="00C22F36"/>
    <w:rsid w:val="00C2383B"/>
    <w:rsid w:val="00C240E5"/>
    <w:rsid w:val="00C24260"/>
    <w:rsid w:val="00C247C9"/>
    <w:rsid w:val="00C24E42"/>
    <w:rsid w:val="00C24ECA"/>
    <w:rsid w:val="00C2527C"/>
    <w:rsid w:val="00C254FC"/>
    <w:rsid w:val="00C2568D"/>
    <w:rsid w:val="00C25951"/>
    <w:rsid w:val="00C25B87"/>
    <w:rsid w:val="00C25B95"/>
    <w:rsid w:val="00C25CC4"/>
    <w:rsid w:val="00C26354"/>
    <w:rsid w:val="00C268C2"/>
    <w:rsid w:val="00C26CFE"/>
    <w:rsid w:val="00C26DA8"/>
    <w:rsid w:val="00C26F6D"/>
    <w:rsid w:val="00C27179"/>
    <w:rsid w:val="00C2723A"/>
    <w:rsid w:val="00C2735D"/>
    <w:rsid w:val="00C276F8"/>
    <w:rsid w:val="00C27856"/>
    <w:rsid w:val="00C30A26"/>
    <w:rsid w:val="00C30D40"/>
    <w:rsid w:val="00C30E8F"/>
    <w:rsid w:val="00C31C6A"/>
    <w:rsid w:val="00C326BB"/>
    <w:rsid w:val="00C328C4"/>
    <w:rsid w:val="00C32C33"/>
    <w:rsid w:val="00C3366D"/>
    <w:rsid w:val="00C33928"/>
    <w:rsid w:val="00C33D6E"/>
    <w:rsid w:val="00C34153"/>
    <w:rsid w:val="00C34833"/>
    <w:rsid w:val="00C3493F"/>
    <w:rsid w:val="00C34A68"/>
    <w:rsid w:val="00C35286"/>
    <w:rsid w:val="00C35321"/>
    <w:rsid w:val="00C355DF"/>
    <w:rsid w:val="00C36315"/>
    <w:rsid w:val="00C37852"/>
    <w:rsid w:val="00C37A49"/>
    <w:rsid w:val="00C40A3E"/>
    <w:rsid w:val="00C40E5B"/>
    <w:rsid w:val="00C4131A"/>
    <w:rsid w:val="00C416B5"/>
    <w:rsid w:val="00C41BE6"/>
    <w:rsid w:val="00C41D79"/>
    <w:rsid w:val="00C4203C"/>
    <w:rsid w:val="00C421C5"/>
    <w:rsid w:val="00C421FD"/>
    <w:rsid w:val="00C425C3"/>
    <w:rsid w:val="00C429E7"/>
    <w:rsid w:val="00C42D63"/>
    <w:rsid w:val="00C42F7A"/>
    <w:rsid w:val="00C431B0"/>
    <w:rsid w:val="00C4374B"/>
    <w:rsid w:val="00C442F6"/>
    <w:rsid w:val="00C44445"/>
    <w:rsid w:val="00C447F5"/>
    <w:rsid w:val="00C4491D"/>
    <w:rsid w:val="00C44A2E"/>
    <w:rsid w:val="00C44A6A"/>
    <w:rsid w:val="00C45154"/>
    <w:rsid w:val="00C452D4"/>
    <w:rsid w:val="00C456CE"/>
    <w:rsid w:val="00C4581B"/>
    <w:rsid w:val="00C45864"/>
    <w:rsid w:val="00C45F82"/>
    <w:rsid w:val="00C46060"/>
    <w:rsid w:val="00C46299"/>
    <w:rsid w:val="00C46537"/>
    <w:rsid w:val="00C46EA7"/>
    <w:rsid w:val="00C501E3"/>
    <w:rsid w:val="00C50408"/>
    <w:rsid w:val="00C5046E"/>
    <w:rsid w:val="00C504F5"/>
    <w:rsid w:val="00C5064B"/>
    <w:rsid w:val="00C508C0"/>
    <w:rsid w:val="00C50E1E"/>
    <w:rsid w:val="00C510DD"/>
    <w:rsid w:val="00C516B7"/>
    <w:rsid w:val="00C51B35"/>
    <w:rsid w:val="00C51C36"/>
    <w:rsid w:val="00C51E6D"/>
    <w:rsid w:val="00C52355"/>
    <w:rsid w:val="00C527DB"/>
    <w:rsid w:val="00C52A67"/>
    <w:rsid w:val="00C52C3F"/>
    <w:rsid w:val="00C538D2"/>
    <w:rsid w:val="00C53ABE"/>
    <w:rsid w:val="00C5407C"/>
    <w:rsid w:val="00C5440F"/>
    <w:rsid w:val="00C5465D"/>
    <w:rsid w:val="00C54749"/>
    <w:rsid w:val="00C54F37"/>
    <w:rsid w:val="00C552FC"/>
    <w:rsid w:val="00C556E7"/>
    <w:rsid w:val="00C55B02"/>
    <w:rsid w:val="00C56161"/>
    <w:rsid w:val="00C56197"/>
    <w:rsid w:val="00C56B19"/>
    <w:rsid w:val="00C56F1C"/>
    <w:rsid w:val="00C56F27"/>
    <w:rsid w:val="00C56F29"/>
    <w:rsid w:val="00C572C8"/>
    <w:rsid w:val="00C57574"/>
    <w:rsid w:val="00C57651"/>
    <w:rsid w:val="00C57880"/>
    <w:rsid w:val="00C57D2D"/>
    <w:rsid w:val="00C57E6B"/>
    <w:rsid w:val="00C57F83"/>
    <w:rsid w:val="00C60520"/>
    <w:rsid w:val="00C6126C"/>
    <w:rsid w:val="00C6179C"/>
    <w:rsid w:val="00C61A60"/>
    <w:rsid w:val="00C61C41"/>
    <w:rsid w:val="00C6207B"/>
    <w:rsid w:val="00C625A7"/>
    <w:rsid w:val="00C628DE"/>
    <w:rsid w:val="00C62EA7"/>
    <w:rsid w:val="00C6478A"/>
    <w:rsid w:val="00C64AE4"/>
    <w:rsid w:val="00C64DCD"/>
    <w:rsid w:val="00C656B0"/>
    <w:rsid w:val="00C6595D"/>
    <w:rsid w:val="00C65B0A"/>
    <w:rsid w:val="00C65B0E"/>
    <w:rsid w:val="00C66113"/>
    <w:rsid w:val="00C664E8"/>
    <w:rsid w:val="00C666E5"/>
    <w:rsid w:val="00C6700A"/>
    <w:rsid w:val="00C6702D"/>
    <w:rsid w:val="00C675B0"/>
    <w:rsid w:val="00C70293"/>
    <w:rsid w:val="00C70380"/>
    <w:rsid w:val="00C70685"/>
    <w:rsid w:val="00C707B4"/>
    <w:rsid w:val="00C70D3A"/>
    <w:rsid w:val="00C71581"/>
    <w:rsid w:val="00C718A4"/>
    <w:rsid w:val="00C72296"/>
    <w:rsid w:val="00C725DE"/>
    <w:rsid w:val="00C7281E"/>
    <w:rsid w:val="00C7296B"/>
    <w:rsid w:val="00C72BF3"/>
    <w:rsid w:val="00C732C5"/>
    <w:rsid w:val="00C73475"/>
    <w:rsid w:val="00C73753"/>
    <w:rsid w:val="00C73D71"/>
    <w:rsid w:val="00C73DB3"/>
    <w:rsid w:val="00C7407D"/>
    <w:rsid w:val="00C742B2"/>
    <w:rsid w:val="00C74468"/>
    <w:rsid w:val="00C74864"/>
    <w:rsid w:val="00C74C1F"/>
    <w:rsid w:val="00C74C58"/>
    <w:rsid w:val="00C74EE2"/>
    <w:rsid w:val="00C7543E"/>
    <w:rsid w:val="00C75833"/>
    <w:rsid w:val="00C75FF5"/>
    <w:rsid w:val="00C76B70"/>
    <w:rsid w:val="00C76CD7"/>
    <w:rsid w:val="00C76DD2"/>
    <w:rsid w:val="00C77309"/>
    <w:rsid w:val="00C774B3"/>
    <w:rsid w:val="00C80148"/>
    <w:rsid w:val="00C80254"/>
    <w:rsid w:val="00C803BB"/>
    <w:rsid w:val="00C80408"/>
    <w:rsid w:val="00C8081B"/>
    <w:rsid w:val="00C80C78"/>
    <w:rsid w:val="00C80E08"/>
    <w:rsid w:val="00C814E5"/>
    <w:rsid w:val="00C81D46"/>
    <w:rsid w:val="00C8298E"/>
    <w:rsid w:val="00C82A5F"/>
    <w:rsid w:val="00C82FF8"/>
    <w:rsid w:val="00C83123"/>
    <w:rsid w:val="00C83183"/>
    <w:rsid w:val="00C83465"/>
    <w:rsid w:val="00C83598"/>
    <w:rsid w:val="00C8397A"/>
    <w:rsid w:val="00C83A22"/>
    <w:rsid w:val="00C83A31"/>
    <w:rsid w:val="00C83C68"/>
    <w:rsid w:val="00C83D60"/>
    <w:rsid w:val="00C83FE8"/>
    <w:rsid w:val="00C84443"/>
    <w:rsid w:val="00C84D29"/>
    <w:rsid w:val="00C84DE8"/>
    <w:rsid w:val="00C84EE4"/>
    <w:rsid w:val="00C851CE"/>
    <w:rsid w:val="00C858A7"/>
    <w:rsid w:val="00C858D5"/>
    <w:rsid w:val="00C85A2E"/>
    <w:rsid w:val="00C85EC0"/>
    <w:rsid w:val="00C86238"/>
    <w:rsid w:val="00C8751D"/>
    <w:rsid w:val="00C875AE"/>
    <w:rsid w:val="00C8763C"/>
    <w:rsid w:val="00C87818"/>
    <w:rsid w:val="00C87AD6"/>
    <w:rsid w:val="00C90329"/>
    <w:rsid w:val="00C9061C"/>
    <w:rsid w:val="00C907EE"/>
    <w:rsid w:val="00C90897"/>
    <w:rsid w:val="00C90F86"/>
    <w:rsid w:val="00C919D8"/>
    <w:rsid w:val="00C91A02"/>
    <w:rsid w:val="00C92B23"/>
    <w:rsid w:val="00C93795"/>
    <w:rsid w:val="00C9398D"/>
    <w:rsid w:val="00C94249"/>
    <w:rsid w:val="00C945FD"/>
    <w:rsid w:val="00C948A7"/>
    <w:rsid w:val="00C95A11"/>
    <w:rsid w:val="00C95F26"/>
    <w:rsid w:val="00C96609"/>
    <w:rsid w:val="00C969FE"/>
    <w:rsid w:val="00C971EA"/>
    <w:rsid w:val="00C97CC3"/>
    <w:rsid w:val="00C97DBD"/>
    <w:rsid w:val="00C97EAD"/>
    <w:rsid w:val="00CA0636"/>
    <w:rsid w:val="00CA10A7"/>
    <w:rsid w:val="00CA1AB4"/>
    <w:rsid w:val="00CA1F95"/>
    <w:rsid w:val="00CA2009"/>
    <w:rsid w:val="00CA2397"/>
    <w:rsid w:val="00CA23EF"/>
    <w:rsid w:val="00CA25E8"/>
    <w:rsid w:val="00CA2F11"/>
    <w:rsid w:val="00CA3031"/>
    <w:rsid w:val="00CA31CF"/>
    <w:rsid w:val="00CA3394"/>
    <w:rsid w:val="00CA3887"/>
    <w:rsid w:val="00CA38C4"/>
    <w:rsid w:val="00CA3BCC"/>
    <w:rsid w:val="00CA4110"/>
    <w:rsid w:val="00CA47B4"/>
    <w:rsid w:val="00CA4C27"/>
    <w:rsid w:val="00CA4DF3"/>
    <w:rsid w:val="00CA5861"/>
    <w:rsid w:val="00CA6896"/>
    <w:rsid w:val="00CA6E3E"/>
    <w:rsid w:val="00CA6F97"/>
    <w:rsid w:val="00CA7010"/>
    <w:rsid w:val="00CA767C"/>
    <w:rsid w:val="00CA79B9"/>
    <w:rsid w:val="00CB00B0"/>
    <w:rsid w:val="00CB0427"/>
    <w:rsid w:val="00CB06E9"/>
    <w:rsid w:val="00CB0CA6"/>
    <w:rsid w:val="00CB0EFE"/>
    <w:rsid w:val="00CB0F2C"/>
    <w:rsid w:val="00CB11C9"/>
    <w:rsid w:val="00CB1604"/>
    <w:rsid w:val="00CB16C8"/>
    <w:rsid w:val="00CB1D8A"/>
    <w:rsid w:val="00CB2239"/>
    <w:rsid w:val="00CB2567"/>
    <w:rsid w:val="00CB344B"/>
    <w:rsid w:val="00CB3794"/>
    <w:rsid w:val="00CB424D"/>
    <w:rsid w:val="00CB4707"/>
    <w:rsid w:val="00CB4CCB"/>
    <w:rsid w:val="00CB51AB"/>
    <w:rsid w:val="00CB599C"/>
    <w:rsid w:val="00CB5FB4"/>
    <w:rsid w:val="00CB63E0"/>
    <w:rsid w:val="00CB6908"/>
    <w:rsid w:val="00CB6DBD"/>
    <w:rsid w:val="00CB6F95"/>
    <w:rsid w:val="00CB6FA9"/>
    <w:rsid w:val="00CB75C7"/>
    <w:rsid w:val="00CB7711"/>
    <w:rsid w:val="00CB7911"/>
    <w:rsid w:val="00CB7C0A"/>
    <w:rsid w:val="00CC08FD"/>
    <w:rsid w:val="00CC0ACD"/>
    <w:rsid w:val="00CC0BC9"/>
    <w:rsid w:val="00CC0E6E"/>
    <w:rsid w:val="00CC0F71"/>
    <w:rsid w:val="00CC1167"/>
    <w:rsid w:val="00CC1179"/>
    <w:rsid w:val="00CC1AFC"/>
    <w:rsid w:val="00CC1B21"/>
    <w:rsid w:val="00CC1E51"/>
    <w:rsid w:val="00CC201A"/>
    <w:rsid w:val="00CC22CB"/>
    <w:rsid w:val="00CC343A"/>
    <w:rsid w:val="00CC34E4"/>
    <w:rsid w:val="00CC404F"/>
    <w:rsid w:val="00CC43B7"/>
    <w:rsid w:val="00CC4BE2"/>
    <w:rsid w:val="00CC4EAC"/>
    <w:rsid w:val="00CC5611"/>
    <w:rsid w:val="00CC59BD"/>
    <w:rsid w:val="00CC5A6F"/>
    <w:rsid w:val="00CC609E"/>
    <w:rsid w:val="00CC629D"/>
    <w:rsid w:val="00CC62EE"/>
    <w:rsid w:val="00CC66B9"/>
    <w:rsid w:val="00CC670A"/>
    <w:rsid w:val="00CC692E"/>
    <w:rsid w:val="00CC6C7A"/>
    <w:rsid w:val="00CC7742"/>
    <w:rsid w:val="00CC79FF"/>
    <w:rsid w:val="00CC7B98"/>
    <w:rsid w:val="00CC7CED"/>
    <w:rsid w:val="00CC7EE7"/>
    <w:rsid w:val="00CD0306"/>
    <w:rsid w:val="00CD0383"/>
    <w:rsid w:val="00CD09A9"/>
    <w:rsid w:val="00CD0FE9"/>
    <w:rsid w:val="00CD1657"/>
    <w:rsid w:val="00CD1776"/>
    <w:rsid w:val="00CD187D"/>
    <w:rsid w:val="00CD18BD"/>
    <w:rsid w:val="00CD1ED3"/>
    <w:rsid w:val="00CD1F5E"/>
    <w:rsid w:val="00CD201C"/>
    <w:rsid w:val="00CD203B"/>
    <w:rsid w:val="00CD2A1F"/>
    <w:rsid w:val="00CD32E0"/>
    <w:rsid w:val="00CD343E"/>
    <w:rsid w:val="00CD3736"/>
    <w:rsid w:val="00CD3D2A"/>
    <w:rsid w:val="00CD4013"/>
    <w:rsid w:val="00CD4148"/>
    <w:rsid w:val="00CD44A7"/>
    <w:rsid w:val="00CD452C"/>
    <w:rsid w:val="00CD45B9"/>
    <w:rsid w:val="00CD4795"/>
    <w:rsid w:val="00CD47C8"/>
    <w:rsid w:val="00CD48BA"/>
    <w:rsid w:val="00CD4C34"/>
    <w:rsid w:val="00CD5069"/>
    <w:rsid w:val="00CD5DD0"/>
    <w:rsid w:val="00CD5E3C"/>
    <w:rsid w:val="00CD5F30"/>
    <w:rsid w:val="00CD60D2"/>
    <w:rsid w:val="00CD65A5"/>
    <w:rsid w:val="00CD681F"/>
    <w:rsid w:val="00CD6875"/>
    <w:rsid w:val="00CD6972"/>
    <w:rsid w:val="00CD701A"/>
    <w:rsid w:val="00CD7038"/>
    <w:rsid w:val="00CD72B1"/>
    <w:rsid w:val="00CD79B9"/>
    <w:rsid w:val="00CD7D26"/>
    <w:rsid w:val="00CE082F"/>
    <w:rsid w:val="00CE08E4"/>
    <w:rsid w:val="00CE0A66"/>
    <w:rsid w:val="00CE0AD1"/>
    <w:rsid w:val="00CE0DB8"/>
    <w:rsid w:val="00CE13A9"/>
    <w:rsid w:val="00CE14DF"/>
    <w:rsid w:val="00CE1661"/>
    <w:rsid w:val="00CE175A"/>
    <w:rsid w:val="00CE1B59"/>
    <w:rsid w:val="00CE1CDA"/>
    <w:rsid w:val="00CE1DE8"/>
    <w:rsid w:val="00CE1DFC"/>
    <w:rsid w:val="00CE208C"/>
    <w:rsid w:val="00CE2516"/>
    <w:rsid w:val="00CE257E"/>
    <w:rsid w:val="00CE2580"/>
    <w:rsid w:val="00CE3971"/>
    <w:rsid w:val="00CE3C40"/>
    <w:rsid w:val="00CE42A9"/>
    <w:rsid w:val="00CE4CBD"/>
    <w:rsid w:val="00CE4FC2"/>
    <w:rsid w:val="00CE4FFD"/>
    <w:rsid w:val="00CE50D9"/>
    <w:rsid w:val="00CE57D1"/>
    <w:rsid w:val="00CE607B"/>
    <w:rsid w:val="00CE6287"/>
    <w:rsid w:val="00CE70E9"/>
    <w:rsid w:val="00CE7532"/>
    <w:rsid w:val="00CE7B51"/>
    <w:rsid w:val="00CF01D3"/>
    <w:rsid w:val="00CF046F"/>
    <w:rsid w:val="00CF1452"/>
    <w:rsid w:val="00CF19F2"/>
    <w:rsid w:val="00CF1C9A"/>
    <w:rsid w:val="00CF1E08"/>
    <w:rsid w:val="00CF212A"/>
    <w:rsid w:val="00CF349A"/>
    <w:rsid w:val="00CF3604"/>
    <w:rsid w:val="00CF378C"/>
    <w:rsid w:val="00CF3AC0"/>
    <w:rsid w:val="00CF3BCB"/>
    <w:rsid w:val="00CF3DB8"/>
    <w:rsid w:val="00CF3E95"/>
    <w:rsid w:val="00CF41F9"/>
    <w:rsid w:val="00CF4F3D"/>
    <w:rsid w:val="00CF5177"/>
    <w:rsid w:val="00CF52A0"/>
    <w:rsid w:val="00CF5B30"/>
    <w:rsid w:val="00CF5C36"/>
    <w:rsid w:val="00CF5EF9"/>
    <w:rsid w:val="00CF7E6A"/>
    <w:rsid w:val="00D002BB"/>
    <w:rsid w:val="00D00EC8"/>
    <w:rsid w:val="00D00FD5"/>
    <w:rsid w:val="00D010FE"/>
    <w:rsid w:val="00D011DB"/>
    <w:rsid w:val="00D01589"/>
    <w:rsid w:val="00D01AA6"/>
    <w:rsid w:val="00D01BA3"/>
    <w:rsid w:val="00D01DA4"/>
    <w:rsid w:val="00D01E59"/>
    <w:rsid w:val="00D0244B"/>
    <w:rsid w:val="00D024E4"/>
    <w:rsid w:val="00D0267C"/>
    <w:rsid w:val="00D02728"/>
    <w:rsid w:val="00D02767"/>
    <w:rsid w:val="00D02AC9"/>
    <w:rsid w:val="00D02F05"/>
    <w:rsid w:val="00D033B4"/>
    <w:rsid w:val="00D03BB7"/>
    <w:rsid w:val="00D03BE0"/>
    <w:rsid w:val="00D03EC3"/>
    <w:rsid w:val="00D0472D"/>
    <w:rsid w:val="00D048A4"/>
    <w:rsid w:val="00D04C02"/>
    <w:rsid w:val="00D04C4E"/>
    <w:rsid w:val="00D050F3"/>
    <w:rsid w:val="00D05883"/>
    <w:rsid w:val="00D060A2"/>
    <w:rsid w:val="00D06178"/>
    <w:rsid w:val="00D069C4"/>
    <w:rsid w:val="00D06E46"/>
    <w:rsid w:val="00D06FF2"/>
    <w:rsid w:val="00D0751A"/>
    <w:rsid w:val="00D07A4A"/>
    <w:rsid w:val="00D07D25"/>
    <w:rsid w:val="00D10814"/>
    <w:rsid w:val="00D10910"/>
    <w:rsid w:val="00D109E3"/>
    <w:rsid w:val="00D10A84"/>
    <w:rsid w:val="00D113F1"/>
    <w:rsid w:val="00D1184F"/>
    <w:rsid w:val="00D11E27"/>
    <w:rsid w:val="00D12013"/>
    <w:rsid w:val="00D12421"/>
    <w:rsid w:val="00D1242E"/>
    <w:rsid w:val="00D125B4"/>
    <w:rsid w:val="00D12A24"/>
    <w:rsid w:val="00D12AE9"/>
    <w:rsid w:val="00D12C1F"/>
    <w:rsid w:val="00D12C3B"/>
    <w:rsid w:val="00D133B2"/>
    <w:rsid w:val="00D137E1"/>
    <w:rsid w:val="00D13EC9"/>
    <w:rsid w:val="00D14509"/>
    <w:rsid w:val="00D1460F"/>
    <w:rsid w:val="00D147AF"/>
    <w:rsid w:val="00D14E85"/>
    <w:rsid w:val="00D150DF"/>
    <w:rsid w:val="00D153B9"/>
    <w:rsid w:val="00D15445"/>
    <w:rsid w:val="00D1565D"/>
    <w:rsid w:val="00D15EF1"/>
    <w:rsid w:val="00D16863"/>
    <w:rsid w:val="00D1693B"/>
    <w:rsid w:val="00D1731F"/>
    <w:rsid w:val="00D17495"/>
    <w:rsid w:val="00D177CB"/>
    <w:rsid w:val="00D2000D"/>
    <w:rsid w:val="00D2008A"/>
    <w:rsid w:val="00D20208"/>
    <w:rsid w:val="00D20582"/>
    <w:rsid w:val="00D20F44"/>
    <w:rsid w:val="00D213B0"/>
    <w:rsid w:val="00D214C0"/>
    <w:rsid w:val="00D21670"/>
    <w:rsid w:val="00D216C6"/>
    <w:rsid w:val="00D21C15"/>
    <w:rsid w:val="00D21C1C"/>
    <w:rsid w:val="00D21C5A"/>
    <w:rsid w:val="00D21C5B"/>
    <w:rsid w:val="00D21D13"/>
    <w:rsid w:val="00D22034"/>
    <w:rsid w:val="00D2250F"/>
    <w:rsid w:val="00D22C6F"/>
    <w:rsid w:val="00D22E36"/>
    <w:rsid w:val="00D23CED"/>
    <w:rsid w:val="00D24138"/>
    <w:rsid w:val="00D2494E"/>
    <w:rsid w:val="00D24D3D"/>
    <w:rsid w:val="00D252E0"/>
    <w:rsid w:val="00D2554E"/>
    <w:rsid w:val="00D2605B"/>
    <w:rsid w:val="00D268B3"/>
    <w:rsid w:val="00D26C73"/>
    <w:rsid w:val="00D270E9"/>
    <w:rsid w:val="00D270EE"/>
    <w:rsid w:val="00D272B0"/>
    <w:rsid w:val="00D275B3"/>
    <w:rsid w:val="00D275CF"/>
    <w:rsid w:val="00D276D7"/>
    <w:rsid w:val="00D27D8F"/>
    <w:rsid w:val="00D27E43"/>
    <w:rsid w:val="00D30163"/>
    <w:rsid w:val="00D3033E"/>
    <w:rsid w:val="00D3050E"/>
    <w:rsid w:val="00D3093C"/>
    <w:rsid w:val="00D30B24"/>
    <w:rsid w:val="00D30C1E"/>
    <w:rsid w:val="00D30FA5"/>
    <w:rsid w:val="00D313A4"/>
    <w:rsid w:val="00D31CFE"/>
    <w:rsid w:val="00D3251E"/>
    <w:rsid w:val="00D326A7"/>
    <w:rsid w:val="00D3276A"/>
    <w:rsid w:val="00D329F2"/>
    <w:rsid w:val="00D33478"/>
    <w:rsid w:val="00D335BA"/>
    <w:rsid w:val="00D33912"/>
    <w:rsid w:val="00D33D74"/>
    <w:rsid w:val="00D34D09"/>
    <w:rsid w:val="00D34DBD"/>
    <w:rsid w:val="00D350AD"/>
    <w:rsid w:val="00D353F3"/>
    <w:rsid w:val="00D36056"/>
    <w:rsid w:val="00D362C8"/>
    <w:rsid w:val="00D36652"/>
    <w:rsid w:val="00D3673F"/>
    <w:rsid w:val="00D372CB"/>
    <w:rsid w:val="00D37535"/>
    <w:rsid w:val="00D375FD"/>
    <w:rsid w:val="00D37F03"/>
    <w:rsid w:val="00D40015"/>
    <w:rsid w:val="00D40995"/>
    <w:rsid w:val="00D40B2E"/>
    <w:rsid w:val="00D40B88"/>
    <w:rsid w:val="00D41532"/>
    <w:rsid w:val="00D416DC"/>
    <w:rsid w:val="00D418F4"/>
    <w:rsid w:val="00D42B7E"/>
    <w:rsid w:val="00D42D94"/>
    <w:rsid w:val="00D43159"/>
    <w:rsid w:val="00D43D80"/>
    <w:rsid w:val="00D441C8"/>
    <w:rsid w:val="00D441E9"/>
    <w:rsid w:val="00D44E7C"/>
    <w:rsid w:val="00D44EB5"/>
    <w:rsid w:val="00D46399"/>
    <w:rsid w:val="00D46464"/>
    <w:rsid w:val="00D473F3"/>
    <w:rsid w:val="00D47622"/>
    <w:rsid w:val="00D47CA1"/>
    <w:rsid w:val="00D47D7F"/>
    <w:rsid w:val="00D50105"/>
    <w:rsid w:val="00D503BC"/>
    <w:rsid w:val="00D50B8F"/>
    <w:rsid w:val="00D50EE7"/>
    <w:rsid w:val="00D510D9"/>
    <w:rsid w:val="00D514BB"/>
    <w:rsid w:val="00D51697"/>
    <w:rsid w:val="00D51A25"/>
    <w:rsid w:val="00D520E4"/>
    <w:rsid w:val="00D522F8"/>
    <w:rsid w:val="00D5409E"/>
    <w:rsid w:val="00D540A0"/>
    <w:rsid w:val="00D54AA4"/>
    <w:rsid w:val="00D54C7D"/>
    <w:rsid w:val="00D5500F"/>
    <w:rsid w:val="00D5543A"/>
    <w:rsid w:val="00D55749"/>
    <w:rsid w:val="00D55C66"/>
    <w:rsid w:val="00D56AA7"/>
    <w:rsid w:val="00D56AF2"/>
    <w:rsid w:val="00D5722F"/>
    <w:rsid w:val="00D5762C"/>
    <w:rsid w:val="00D57937"/>
    <w:rsid w:val="00D57BB1"/>
    <w:rsid w:val="00D60811"/>
    <w:rsid w:val="00D6087A"/>
    <w:rsid w:val="00D608BD"/>
    <w:rsid w:val="00D60CF4"/>
    <w:rsid w:val="00D60E69"/>
    <w:rsid w:val="00D61178"/>
    <w:rsid w:val="00D61340"/>
    <w:rsid w:val="00D61477"/>
    <w:rsid w:val="00D61B9B"/>
    <w:rsid w:val="00D61D10"/>
    <w:rsid w:val="00D61E0F"/>
    <w:rsid w:val="00D62381"/>
    <w:rsid w:val="00D623B3"/>
    <w:rsid w:val="00D62540"/>
    <w:rsid w:val="00D626FA"/>
    <w:rsid w:val="00D6271D"/>
    <w:rsid w:val="00D62AC6"/>
    <w:rsid w:val="00D631A1"/>
    <w:rsid w:val="00D63670"/>
    <w:rsid w:val="00D63ABA"/>
    <w:rsid w:val="00D64161"/>
    <w:rsid w:val="00D64AC5"/>
    <w:rsid w:val="00D6547D"/>
    <w:rsid w:val="00D655A3"/>
    <w:rsid w:val="00D6566B"/>
    <w:rsid w:val="00D65695"/>
    <w:rsid w:val="00D65A3F"/>
    <w:rsid w:val="00D65D2A"/>
    <w:rsid w:val="00D66517"/>
    <w:rsid w:val="00D66A30"/>
    <w:rsid w:val="00D6704A"/>
    <w:rsid w:val="00D67238"/>
    <w:rsid w:val="00D67340"/>
    <w:rsid w:val="00D6741E"/>
    <w:rsid w:val="00D679ED"/>
    <w:rsid w:val="00D67DDF"/>
    <w:rsid w:val="00D7035D"/>
    <w:rsid w:val="00D703BE"/>
    <w:rsid w:val="00D70526"/>
    <w:rsid w:val="00D7052F"/>
    <w:rsid w:val="00D705B7"/>
    <w:rsid w:val="00D70A50"/>
    <w:rsid w:val="00D71573"/>
    <w:rsid w:val="00D718E0"/>
    <w:rsid w:val="00D71C79"/>
    <w:rsid w:val="00D71EB5"/>
    <w:rsid w:val="00D72394"/>
    <w:rsid w:val="00D723A6"/>
    <w:rsid w:val="00D7270F"/>
    <w:rsid w:val="00D7336B"/>
    <w:rsid w:val="00D738D9"/>
    <w:rsid w:val="00D73B33"/>
    <w:rsid w:val="00D7422A"/>
    <w:rsid w:val="00D75615"/>
    <w:rsid w:val="00D75834"/>
    <w:rsid w:val="00D75B8A"/>
    <w:rsid w:val="00D75F5C"/>
    <w:rsid w:val="00D765FB"/>
    <w:rsid w:val="00D76ADA"/>
    <w:rsid w:val="00D76C79"/>
    <w:rsid w:val="00D76DB0"/>
    <w:rsid w:val="00D7706B"/>
    <w:rsid w:val="00D77529"/>
    <w:rsid w:val="00D777AE"/>
    <w:rsid w:val="00D800E9"/>
    <w:rsid w:val="00D8040E"/>
    <w:rsid w:val="00D8046B"/>
    <w:rsid w:val="00D80707"/>
    <w:rsid w:val="00D80BF5"/>
    <w:rsid w:val="00D80C73"/>
    <w:rsid w:val="00D810B8"/>
    <w:rsid w:val="00D81792"/>
    <w:rsid w:val="00D81970"/>
    <w:rsid w:val="00D823FF"/>
    <w:rsid w:val="00D82737"/>
    <w:rsid w:val="00D82784"/>
    <w:rsid w:val="00D82EF2"/>
    <w:rsid w:val="00D83318"/>
    <w:rsid w:val="00D8331E"/>
    <w:rsid w:val="00D833B1"/>
    <w:rsid w:val="00D83641"/>
    <w:rsid w:val="00D83750"/>
    <w:rsid w:val="00D837CB"/>
    <w:rsid w:val="00D83858"/>
    <w:rsid w:val="00D84104"/>
    <w:rsid w:val="00D8451B"/>
    <w:rsid w:val="00D84844"/>
    <w:rsid w:val="00D84885"/>
    <w:rsid w:val="00D85C38"/>
    <w:rsid w:val="00D85E69"/>
    <w:rsid w:val="00D860AC"/>
    <w:rsid w:val="00D861C5"/>
    <w:rsid w:val="00D8667D"/>
    <w:rsid w:val="00D86872"/>
    <w:rsid w:val="00D86E47"/>
    <w:rsid w:val="00D871AB"/>
    <w:rsid w:val="00D87381"/>
    <w:rsid w:val="00D873C1"/>
    <w:rsid w:val="00D87AE2"/>
    <w:rsid w:val="00D87BC6"/>
    <w:rsid w:val="00D87EED"/>
    <w:rsid w:val="00D901B3"/>
    <w:rsid w:val="00D90336"/>
    <w:rsid w:val="00D9092F"/>
    <w:rsid w:val="00D9097A"/>
    <w:rsid w:val="00D909A5"/>
    <w:rsid w:val="00D90CA0"/>
    <w:rsid w:val="00D90FCE"/>
    <w:rsid w:val="00D91048"/>
    <w:rsid w:val="00D91186"/>
    <w:rsid w:val="00D91C58"/>
    <w:rsid w:val="00D91DE2"/>
    <w:rsid w:val="00D91EA4"/>
    <w:rsid w:val="00D921A0"/>
    <w:rsid w:val="00D92530"/>
    <w:rsid w:val="00D930AB"/>
    <w:rsid w:val="00D933BD"/>
    <w:rsid w:val="00D935C9"/>
    <w:rsid w:val="00D93B5E"/>
    <w:rsid w:val="00D93EAE"/>
    <w:rsid w:val="00D94CD0"/>
    <w:rsid w:val="00D94D84"/>
    <w:rsid w:val="00D94EE3"/>
    <w:rsid w:val="00D95019"/>
    <w:rsid w:val="00D95440"/>
    <w:rsid w:val="00D958EC"/>
    <w:rsid w:val="00D95BC3"/>
    <w:rsid w:val="00D95D3D"/>
    <w:rsid w:val="00D96371"/>
    <w:rsid w:val="00D978E5"/>
    <w:rsid w:val="00DA0043"/>
    <w:rsid w:val="00DA03D3"/>
    <w:rsid w:val="00DA0D4B"/>
    <w:rsid w:val="00DA0E24"/>
    <w:rsid w:val="00DA0E8A"/>
    <w:rsid w:val="00DA1692"/>
    <w:rsid w:val="00DA21BC"/>
    <w:rsid w:val="00DA24D1"/>
    <w:rsid w:val="00DA279C"/>
    <w:rsid w:val="00DA2801"/>
    <w:rsid w:val="00DA2802"/>
    <w:rsid w:val="00DA289D"/>
    <w:rsid w:val="00DA2B12"/>
    <w:rsid w:val="00DA378F"/>
    <w:rsid w:val="00DA3994"/>
    <w:rsid w:val="00DA41EC"/>
    <w:rsid w:val="00DA4478"/>
    <w:rsid w:val="00DA499F"/>
    <w:rsid w:val="00DA4B53"/>
    <w:rsid w:val="00DA4FA9"/>
    <w:rsid w:val="00DA53EB"/>
    <w:rsid w:val="00DA5644"/>
    <w:rsid w:val="00DA6001"/>
    <w:rsid w:val="00DA608A"/>
    <w:rsid w:val="00DA657B"/>
    <w:rsid w:val="00DA65F7"/>
    <w:rsid w:val="00DA6883"/>
    <w:rsid w:val="00DA6DBA"/>
    <w:rsid w:val="00DA74C8"/>
    <w:rsid w:val="00DA7A10"/>
    <w:rsid w:val="00DB0078"/>
    <w:rsid w:val="00DB009A"/>
    <w:rsid w:val="00DB0393"/>
    <w:rsid w:val="00DB049F"/>
    <w:rsid w:val="00DB07DB"/>
    <w:rsid w:val="00DB0869"/>
    <w:rsid w:val="00DB0902"/>
    <w:rsid w:val="00DB0AE4"/>
    <w:rsid w:val="00DB0EA9"/>
    <w:rsid w:val="00DB1069"/>
    <w:rsid w:val="00DB10AA"/>
    <w:rsid w:val="00DB14A4"/>
    <w:rsid w:val="00DB1702"/>
    <w:rsid w:val="00DB1C43"/>
    <w:rsid w:val="00DB2B72"/>
    <w:rsid w:val="00DB2DBA"/>
    <w:rsid w:val="00DB3132"/>
    <w:rsid w:val="00DB38AF"/>
    <w:rsid w:val="00DB40A4"/>
    <w:rsid w:val="00DB4120"/>
    <w:rsid w:val="00DB42E2"/>
    <w:rsid w:val="00DB4964"/>
    <w:rsid w:val="00DB4B23"/>
    <w:rsid w:val="00DB5726"/>
    <w:rsid w:val="00DB5901"/>
    <w:rsid w:val="00DB636B"/>
    <w:rsid w:val="00DB6518"/>
    <w:rsid w:val="00DB65C1"/>
    <w:rsid w:val="00DB661A"/>
    <w:rsid w:val="00DB680B"/>
    <w:rsid w:val="00DB6891"/>
    <w:rsid w:val="00DB6BBE"/>
    <w:rsid w:val="00DB7BCF"/>
    <w:rsid w:val="00DB7C41"/>
    <w:rsid w:val="00DB7F87"/>
    <w:rsid w:val="00DC04D0"/>
    <w:rsid w:val="00DC08E4"/>
    <w:rsid w:val="00DC0AE1"/>
    <w:rsid w:val="00DC0F4A"/>
    <w:rsid w:val="00DC12EF"/>
    <w:rsid w:val="00DC1F70"/>
    <w:rsid w:val="00DC2266"/>
    <w:rsid w:val="00DC247C"/>
    <w:rsid w:val="00DC2571"/>
    <w:rsid w:val="00DC298F"/>
    <w:rsid w:val="00DC2A64"/>
    <w:rsid w:val="00DC4179"/>
    <w:rsid w:val="00DC4220"/>
    <w:rsid w:val="00DC4A4F"/>
    <w:rsid w:val="00DC4A96"/>
    <w:rsid w:val="00DC5104"/>
    <w:rsid w:val="00DC5366"/>
    <w:rsid w:val="00DC564C"/>
    <w:rsid w:val="00DC5BF6"/>
    <w:rsid w:val="00DC5EA7"/>
    <w:rsid w:val="00DC624E"/>
    <w:rsid w:val="00DC6A68"/>
    <w:rsid w:val="00DC6ADF"/>
    <w:rsid w:val="00DC7102"/>
    <w:rsid w:val="00DC76C2"/>
    <w:rsid w:val="00DC789C"/>
    <w:rsid w:val="00DD07D2"/>
    <w:rsid w:val="00DD0B57"/>
    <w:rsid w:val="00DD0CD5"/>
    <w:rsid w:val="00DD0D22"/>
    <w:rsid w:val="00DD0E7C"/>
    <w:rsid w:val="00DD1600"/>
    <w:rsid w:val="00DD1863"/>
    <w:rsid w:val="00DD1E06"/>
    <w:rsid w:val="00DD1FC9"/>
    <w:rsid w:val="00DD2759"/>
    <w:rsid w:val="00DD28F0"/>
    <w:rsid w:val="00DD2C49"/>
    <w:rsid w:val="00DD2CCB"/>
    <w:rsid w:val="00DD31B8"/>
    <w:rsid w:val="00DD3E21"/>
    <w:rsid w:val="00DD3E6D"/>
    <w:rsid w:val="00DD3E7B"/>
    <w:rsid w:val="00DD40AE"/>
    <w:rsid w:val="00DD4934"/>
    <w:rsid w:val="00DD4B54"/>
    <w:rsid w:val="00DD4E1C"/>
    <w:rsid w:val="00DD5108"/>
    <w:rsid w:val="00DD52F7"/>
    <w:rsid w:val="00DD5771"/>
    <w:rsid w:val="00DD60C4"/>
    <w:rsid w:val="00DD6350"/>
    <w:rsid w:val="00DD6D9D"/>
    <w:rsid w:val="00DD6F39"/>
    <w:rsid w:val="00DD754A"/>
    <w:rsid w:val="00DD7635"/>
    <w:rsid w:val="00DD7DDF"/>
    <w:rsid w:val="00DD7E85"/>
    <w:rsid w:val="00DE0947"/>
    <w:rsid w:val="00DE0BA3"/>
    <w:rsid w:val="00DE1399"/>
    <w:rsid w:val="00DE14B8"/>
    <w:rsid w:val="00DE1AF3"/>
    <w:rsid w:val="00DE21BA"/>
    <w:rsid w:val="00DE2785"/>
    <w:rsid w:val="00DE2E3E"/>
    <w:rsid w:val="00DE2F80"/>
    <w:rsid w:val="00DE3488"/>
    <w:rsid w:val="00DE3602"/>
    <w:rsid w:val="00DE3A30"/>
    <w:rsid w:val="00DE3B10"/>
    <w:rsid w:val="00DE3B98"/>
    <w:rsid w:val="00DE3C81"/>
    <w:rsid w:val="00DE40C5"/>
    <w:rsid w:val="00DE45D2"/>
    <w:rsid w:val="00DE48E2"/>
    <w:rsid w:val="00DE4E8C"/>
    <w:rsid w:val="00DE5262"/>
    <w:rsid w:val="00DE52D0"/>
    <w:rsid w:val="00DE5B47"/>
    <w:rsid w:val="00DE5B76"/>
    <w:rsid w:val="00DE6021"/>
    <w:rsid w:val="00DE620C"/>
    <w:rsid w:val="00DE6252"/>
    <w:rsid w:val="00DE627A"/>
    <w:rsid w:val="00DE68BD"/>
    <w:rsid w:val="00DE715C"/>
    <w:rsid w:val="00DE78D2"/>
    <w:rsid w:val="00DF09D1"/>
    <w:rsid w:val="00DF0ADB"/>
    <w:rsid w:val="00DF0BC6"/>
    <w:rsid w:val="00DF0E8E"/>
    <w:rsid w:val="00DF0F0E"/>
    <w:rsid w:val="00DF1094"/>
    <w:rsid w:val="00DF1378"/>
    <w:rsid w:val="00DF1425"/>
    <w:rsid w:val="00DF22CC"/>
    <w:rsid w:val="00DF264A"/>
    <w:rsid w:val="00DF2EE9"/>
    <w:rsid w:val="00DF37C4"/>
    <w:rsid w:val="00DF3CE1"/>
    <w:rsid w:val="00DF4362"/>
    <w:rsid w:val="00DF44BD"/>
    <w:rsid w:val="00DF458F"/>
    <w:rsid w:val="00DF47A2"/>
    <w:rsid w:val="00DF48B7"/>
    <w:rsid w:val="00DF4BB1"/>
    <w:rsid w:val="00DF4D05"/>
    <w:rsid w:val="00DF4DFE"/>
    <w:rsid w:val="00DF4EDF"/>
    <w:rsid w:val="00DF5368"/>
    <w:rsid w:val="00DF5410"/>
    <w:rsid w:val="00DF555F"/>
    <w:rsid w:val="00DF5A2F"/>
    <w:rsid w:val="00DF6252"/>
    <w:rsid w:val="00DF62A8"/>
    <w:rsid w:val="00DF6319"/>
    <w:rsid w:val="00DF674A"/>
    <w:rsid w:val="00DF6863"/>
    <w:rsid w:val="00DF6889"/>
    <w:rsid w:val="00DF7735"/>
    <w:rsid w:val="00DF7B9B"/>
    <w:rsid w:val="00E00484"/>
    <w:rsid w:val="00E00503"/>
    <w:rsid w:val="00E005BC"/>
    <w:rsid w:val="00E00812"/>
    <w:rsid w:val="00E01615"/>
    <w:rsid w:val="00E01721"/>
    <w:rsid w:val="00E0189C"/>
    <w:rsid w:val="00E01922"/>
    <w:rsid w:val="00E022B8"/>
    <w:rsid w:val="00E024D8"/>
    <w:rsid w:val="00E025D6"/>
    <w:rsid w:val="00E02B6D"/>
    <w:rsid w:val="00E032E1"/>
    <w:rsid w:val="00E03772"/>
    <w:rsid w:val="00E03F03"/>
    <w:rsid w:val="00E03F2A"/>
    <w:rsid w:val="00E0447D"/>
    <w:rsid w:val="00E0460B"/>
    <w:rsid w:val="00E04816"/>
    <w:rsid w:val="00E0514C"/>
    <w:rsid w:val="00E0537A"/>
    <w:rsid w:val="00E0588E"/>
    <w:rsid w:val="00E05AB1"/>
    <w:rsid w:val="00E05E34"/>
    <w:rsid w:val="00E060F8"/>
    <w:rsid w:val="00E06393"/>
    <w:rsid w:val="00E06699"/>
    <w:rsid w:val="00E067B0"/>
    <w:rsid w:val="00E07470"/>
    <w:rsid w:val="00E078CA"/>
    <w:rsid w:val="00E101CA"/>
    <w:rsid w:val="00E1054B"/>
    <w:rsid w:val="00E10765"/>
    <w:rsid w:val="00E108C7"/>
    <w:rsid w:val="00E10AC3"/>
    <w:rsid w:val="00E10D15"/>
    <w:rsid w:val="00E10FB2"/>
    <w:rsid w:val="00E11036"/>
    <w:rsid w:val="00E11870"/>
    <w:rsid w:val="00E11A2C"/>
    <w:rsid w:val="00E11A9C"/>
    <w:rsid w:val="00E11BF9"/>
    <w:rsid w:val="00E1218B"/>
    <w:rsid w:val="00E123CA"/>
    <w:rsid w:val="00E126E7"/>
    <w:rsid w:val="00E12B2C"/>
    <w:rsid w:val="00E1319C"/>
    <w:rsid w:val="00E13409"/>
    <w:rsid w:val="00E13532"/>
    <w:rsid w:val="00E137A8"/>
    <w:rsid w:val="00E13AF4"/>
    <w:rsid w:val="00E140FC"/>
    <w:rsid w:val="00E145E2"/>
    <w:rsid w:val="00E14CFD"/>
    <w:rsid w:val="00E14DC0"/>
    <w:rsid w:val="00E15410"/>
    <w:rsid w:val="00E15575"/>
    <w:rsid w:val="00E156DF"/>
    <w:rsid w:val="00E169BD"/>
    <w:rsid w:val="00E169D6"/>
    <w:rsid w:val="00E16A86"/>
    <w:rsid w:val="00E16C03"/>
    <w:rsid w:val="00E16C3C"/>
    <w:rsid w:val="00E170D1"/>
    <w:rsid w:val="00E174E1"/>
    <w:rsid w:val="00E174FE"/>
    <w:rsid w:val="00E17E10"/>
    <w:rsid w:val="00E20072"/>
    <w:rsid w:val="00E20388"/>
    <w:rsid w:val="00E20753"/>
    <w:rsid w:val="00E207BD"/>
    <w:rsid w:val="00E20863"/>
    <w:rsid w:val="00E20F27"/>
    <w:rsid w:val="00E20FB1"/>
    <w:rsid w:val="00E2230B"/>
    <w:rsid w:val="00E2264C"/>
    <w:rsid w:val="00E227C4"/>
    <w:rsid w:val="00E230D5"/>
    <w:rsid w:val="00E23348"/>
    <w:rsid w:val="00E23C9F"/>
    <w:rsid w:val="00E23CD5"/>
    <w:rsid w:val="00E23E1B"/>
    <w:rsid w:val="00E240ED"/>
    <w:rsid w:val="00E243E7"/>
    <w:rsid w:val="00E24C69"/>
    <w:rsid w:val="00E25288"/>
    <w:rsid w:val="00E25B90"/>
    <w:rsid w:val="00E26547"/>
    <w:rsid w:val="00E26587"/>
    <w:rsid w:val="00E26E21"/>
    <w:rsid w:val="00E27F72"/>
    <w:rsid w:val="00E30769"/>
    <w:rsid w:val="00E3077A"/>
    <w:rsid w:val="00E30961"/>
    <w:rsid w:val="00E30AC0"/>
    <w:rsid w:val="00E30E53"/>
    <w:rsid w:val="00E30E76"/>
    <w:rsid w:val="00E31291"/>
    <w:rsid w:val="00E313B0"/>
    <w:rsid w:val="00E3162A"/>
    <w:rsid w:val="00E3171D"/>
    <w:rsid w:val="00E319A2"/>
    <w:rsid w:val="00E323C2"/>
    <w:rsid w:val="00E32C67"/>
    <w:rsid w:val="00E335B2"/>
    <w:rsid w:val="00E338CD"/>
    <w:rsid w:val="00E33CAC"/>
    <w:rsid w:val="00E342D8"/>
    <w:rsid w:val="00E34315"/>
    <w:rsid w:val="00E343C8"/>
    <w:rsid w:val="00E346E7"/>
    <w:rsid w:val="00E34C38"/>
    <w:rsid w:val="00E34CC2"/>
    <w:rsid w:val="00E34D77"/>
    <w:rsid w:val="00E35E69"/>
    <w:rsid w:val="00E35EED"/>
    <w:rsid w:val="00E36DDA"/>
    <w:rsid w:val="00E36EE6"/>
    <w:rsid w:val="00E37214"/>
    <w:rsid w:val="00E3731F"/>
    <w:rsid w:val="00E37CB1"/>
    <w:rsid w:val="00E403A0"/>
    <w:rsid w:val="00E40420"/>
    <w:rsid w:val="00E4099B"/>
    <w:rsid w:val="00E40F1F"/>
    <w:rsid w:val="00E413E6"/>
    <w:rsid w:val="00E41A4F"/>
    <w:rsid w:val="00E420A3"/>
    <w:rsid w:val="00E4271E"/>
    <w:rsid w:val="00E4312E"/>
    <w:rsid w:val="00E435C5"/>
    <w:rsid w:val="00E43B41"/>
    <w:rsid w:val="00E43C21"/>
    <w:rsid w:val="00E43C7A"/>
    <w:rsid w:val="00E43DF7"/>
    <w:rsid w:val="00E45411"/>
    <w:rsid w:val="00E45784"/>
    <w:rsid w:val="00E45D78"/>
    <w:rsid w:val="00E45E68"/>
    <w:rsid w:val="00E45ED8"/>
    <w:rsid w:val="00E460C9"/>
    <w:rsid w:val="00E4618F"/>
    <w:rsid w:val="00E4624D"/>
    <w:rsid w:val="00E4656A"/>
    <w:rsid w:val="00E46AC5"/>
    <w:rsid w:val="00E46CB4"/>
    <w:rsid w:val="00E46D27"/>
    <w:rsid w:val="00E46D90"/>
    <w:rsid w:val="00E46E4F"/>
    <w:rsid w:val="00E46F26"/>
    <w:rsid w:val="00E46FE2"/>
    <w:rsid w:val="00E474D6"/>
    <w:rsid w:val="00E47D90"/>
    <w:rsid w:val="00E47EFA"/>
    <w:rsid w:val="00E50382"/>
    <w:rsid w:val="00E50676"/>
    <w:rsid w:val="00E50C05"/>
    <w:rsid w:val="00E50DCB"/>
    <w:rsid w:val="00E5109D"/>
    <w:rsid w:val="00E51149"/>
    <w:rsid w:val="00E515D1"/>
    <w:rsid w:val="00E522F1"/>
    <w:rsid w:val="00E52334"/>
    <w:rsid w:val="00E52443"/>
    <w:rsid w:val="00E52857"/>
    <w:rsid w:val="00E52D67"/>
    <w:rsid w:val="00E5323E"/>
    <w:rsid w:val="00E53425"/>
    <w:rsid w:val="00E5392E"/>
    <w:rsid w:val="00E54393"/>
    <w:rsid w:val="00E54589"/>
    <w:rsid w:val="00E5461E"/>
    <w:rsid w:val="00E551D2"/>
    <w:rsid w:val="00E557BD"/>
    <w:rsid w:val="00E55B12"/>
    <w:rsid w:val="00E55F10"/>
    <w:rsid w:val="00E5650C"/>
    <w:rsid w:val="00E565A2"/>
    <w:rsid w:val="00E5682B"/>
    <w:rsid w:val="00E56A06"/>
    <w:rsid w:val="00E56EDC"/>
    <w:rsid w:val="00E57A33"/>
    <w:rsid w:val="00E57DF0"/>
    <w:rsid w:val="00E60104"/>
    <w:rsid w:val="00E60176"/>
    <w:rsid w:val="00E60C1F"/>
    <w:rsid w:val="00E60C51"/>
    <w:rsid w:val="00E60F21"/>
    <w:rsid w:val="00E61393"/>
    <w:rsid w:val="00E614B0"/>
    <w:rsid w:val="00E614CB"/>
    <w:rsid w:val="00E616C6"/>
    <w:rsid w:val="00E6174C"/>
    <w:rsid w:val="00E61AE3"/>
    <w:rsid w:val="00E61EDE"/>
    <w:rsid w:val="00E62753"/>
    <w:rsid w:val="00E628E9"/>
    <w:rsid w:val="00E62B38"/>
    <w:rsid w:val="00E62CD3"/>
    <w:rsid w:val="00E62D2B"/>
    <w:rsid w:val="00E63AF9"/>
    <w:rsid w:val="00E63CE7"/>
    <w:rsid w:val="00E63DBA"/>
    <w:rsid w:val="00E63EDD"/>
    <w:rsid w:val="00E63F10"/>
    <w:rsid w:val="00E6419A"/>
    <w:rsid w:val="00E64A1E"/>
    <w:rsid w:val="00E6504E"/>
    <w:rsid w:val="00E651AF"/>
    <w:rsid w:val="00E65327"/>
    <w:rsid w:val="00E6558F"/>
    <w:rsid w:val="00E65AC5"/>
    <w:rsid w:val="00E65C34"/>
    <w:rsid w:val="00E661D4"/>
    <w:rsid w:val="00E66307"/>
    <w:rsid w:val="00E6647A"/>
    <w:rsid w:val="00E66C74"/>
    <w:rsid w:val="00E66D4E"/>
    <w:rsid w:val="00E66D51"/>
    <w:rsid w:val="00E66D8F"/>
    <w:rsid w:val="00E67392"/>
    <w:rsid w:val="00E67DBE"/>
    <w:rsid w:val="00E67E76"/>
    <w:rsid w:val="00E70016"/>
    <w:rsid w:val="00E707F2"/>
    <w:rsid w:val="00E70807"/>
    <w:rsid w:val="00E7090D"/>
    <w:rsid w:val="00E70BC9"/>
    <w:rsid w:val="00E71133"/>
    <w:rsid w:val="00E7175D"/>
    <w:rsid w:val="00E7186C"/>
    <w:rsid w:val="00E718C0"/>
    <w:rsid w:val="00E71A28"/>
    <w:rsid w:val="00E71BB2"/>
    <w:rsid w:val="00E72095"/>
    <w:rsid w:val="00E7248F"/>
    <w:rsid w:val="00E728F8"/>
    <w:rsid w:val="00E72937"/>
    <w:rsid w:val="00E72CE5"/>
    <w:rsid w:val="00E73068"/>
    <w:rsid w:val="00E7325C"/>
    <w:rsid w:val="00E73354"/>
    <w:rsid w:val="00E7360B"/>
    <w:rsid w:val="00E736FB"/>
    <w:rsid w:val="00E74664"/>
    <w:rsid w:val="00E746BD"/>
    <w:rsid w:val="00E74922"/>
    <w:rsid w:val="00E74BBC"/>
    <w:rsid w:val="00E74D4E"/>
    <w:rsid w:val="00E74E5D"/>
    <w:rsid w:val="00E75723"/>
    <w:rsid w:val="00E7579D"/>
    <w:rsid w:val="00E762ED"/>
    <w:rsid w:val="00E77222"/>
    <w:rsid w:val="00E772F8"/>
    <w:rsid w:val="00E77739"/>
    <w:rsid w:val="00E77906"/>
    <w:rsid w:val="00E77CC8"/>
    <w:rsid w:val="00E80163"/>
    <w:rsid w:val="00E801AB"/>
    <w:rsid w:val="00E80F63"/>
    <w:rsid w:val="00E813D0"/>
    <w:rsid w:val="00E81ADA"/>
    <w:rsid w:val="00E82899"/>
    <w:rsid w:val="00E830B3"/>
    <w:rsid w:val="00E836E1"/>
    <w:rsid w:val="00E836F7"/>
    <w:rsid w:val="00E836FA"/>
    <w:rsid w:val="00E83AA5"/>
    <w:rsid w:val="00E83BD1"/>
    <w:rsid w:val="00E8420D"/>
    <w:rsid w:val="00E85237"/>
    <w:rsid w:val="00E854F0"/>
    <w:rsid w:val="00E85574"/>
    <w:rsid w:val="00E857D1"/>
    <w:rsid w:val="00E8581B"/>
    <w:rsid w:val="00E85979"/>
    <w:rsid w:val="00E85BB5"/>
    <w:rsid w:val="00E85DA5"/>
    <w:rsid w:val="00E85F64"/>
    <w:rsid w:val="00E85FEC"/>
    <w:rsid w:val="00E8634A"/>
    <w:rsid w:val="00E86632"/>
    <w:rsid w:val="00E86839"/>
    <w:rsid w:val="00E868DB"/>
    <w:rsid w:val="00E86A3C"/>
    <w:rsid w:val="00E86C7F"/>
    <w:rsid w:val="00E871CA"/>
    <w:rsid w:val="00E8785C"/>
    <w:rsid w:val="00E879AC"/>
    <w:rsid w:val="00E87A91"/>
    <w:rsid w:val="00E87C0B"/>
    <w:rsid w:val="00E87CE8"/>
    <w:rsid w:val="00E90161"/>
    <w:rsid w:val="00E902A1"/>
    <w:rsid w:val="00E90406"/>
    <w:rsid w:val="00E906E8"/>
    <w:rsid w:val="00E907D7"/>
    <w:rsid w:val="00E90BD8"/>
    <w:rsid w:val="00E90D69"/>
    <w:rsid w:val="00E90DD8"/>
    <w:rsid w:val="00E91248"/>
    <w:rsid w:val="00E9200B"/>
    <w:rsid w:val="00E9255D"/>
    <w:rsid w:val="00E92A90"/>
    <w:rsid w:val="00E9310C"/>
    <w:rsid w:val="00E9345D"/>
    <w:rsid w:val="00E93556"/>
    <w:rsid w:val="00E9369B"/>
    <w:rsid w:val="00E937F9"/>
    <w:rsid w:val="00E94559"/>
    <w:rsid w:val="00E95293"/>
    <w:rsid w:val="00E95C73"/>
    <w:rsid w:val="00E95CD1"/>
    <w:rsid w:val="00E9768A"/>
    <w:rsid w:val="00E977F3"/>
    <w:rsid w:val="00E9795F"/>
    <w:rsid w:val="00E97B1B"/>
    <w:rsid w:val="00E97B84"/>
    <w:rsid w:val="00E97B85"/>
    <w:rsid w:val="00E97EE0"/>
    <w:rsid w:val="00EA01CE"/>
    <w:rsid w:val="00EA0686"/>
    <w:rsid w:val="00EA108E"/>
    <w:rsid w:val="00EA185C"/>
    <w:rsid w:val="00EA18D8"/>
    <w:rsid w:val="00EA1B7A"/>
    <w:rsid w:val="00EA223B"/>
    <w:rsid w:val="00EA27DF"/>
    <w:rsid w:val="00EA28BD"/>
    <w:rsid w:val="00EA2BF6"/>
    <w:rsid w:val="00EA2D9D"/>
    <w:rsid w:val="00EA32AA"/>
    <w:rsid w:val="00EA36B3"/>
    <w:rsid w:val="00EA409D"/>
    <w:rsid w:val="00EA417B"/>
    <w:rsid w:val="00EA4473"/>
    <w:rsid w:val="00EA4B79"/>
    <w:rsid w:val="00EA51DE"/>
    <w:rsid w:val="00EA54FB"/>
    <w:rsid w:val="00EA5697"/>
    <w:rsid w:val="00EA5A9B"/>
    <w:rsid w:val="00EA5BBE"/>
    <w:rsid w:val="00EA61EB"/>
    <w:rsid w:val="00EA6E61"/>
    <w:rsid w:val="00EA7236"/>
    <w:rsid w:val="00EA75CD"/>
    <w:rsid w:val="00EA778C"/>
    <w:rsid w:val="00EA7824"/>
    <w:rsid w:val="00EA7867"/>
    <w:rsid w:val="00EA7D04"/>
    <w:rsid w:val="00EA7DE3"/>
    <w:rsid w:val="00EA7E35"/>
    <w:rsid w:val="00EB01D8"/>
    <w:rsid w:val="00EB01E7"/>
    <w:rsid w:val="00EB08F2"/>
    <w:rsid w:val="00EB0EA5"/>
    <w:rsid w:val="00EB0F77"/>
    <w:rsid w:val="00EB119A"/>
    <w:rsid w:val="00EB1328"/>
    <w:rsid w:val="00EB1448"/>
    <w:rsid w:val="00EB161A"/>
    <w:rsid w:val="00EB1940"/>
    <w:rsid w:val="00EB1B3D"/>
    <w:rsid w:val="00EB1CFE"/>
    <w:rsid w:val="00EB1F6D"/>
    <w:rsid w:val="00EB271D"/>
    <w:rsid w:val="00EB2BE9"/>
    <w:rsid w:val="00EB3179"/>
    <w:rsid w:val="00EB3915"/>
    <w:rsid w:val="00EB39B8"/>
    <w:rsid w:val="00EB3D94"/>
    <w:rsid w:val="00EB4007"/>
    <w:rsid w:val="00EB48A4"/>
    <w:rsid w:val="00EB48B5"/>
    <w:rsid w:val="00EB4934"/>
    <w:rsid w:val="00EB4AEA"/>
    <w:rsid w:val="00EB4CF5"/>
    <w:rsid w:val="00EB4D97"/>
    <w:rsid w:val="00EB53E6"/>
    <w:rsid w:val="00EB547B"/>
    <w:rsid w:val="00EB56D2"/>
    <w:rsid w:val="00EB5755"/>
    <w:rsid w:val="00EB5E09"/>
    <w:rsid w:val="00EB5E81"/>
    <w:rsid w:val="00EB5FD4"/>
    <w:rsid w:val="00EB62A9"/>
    <w:rsid w:val="00EB6D20"/>
    <w:rsid w:val="00EB6F81"/>
    <w:rsid w:val="00EB7C21"/>
    <w:rsid w:val="00EB7CFD"/>
    <w:rsid w:val="00EC00FE"/>
    <w:rsid w:val="00EC03FF"/>
    <w:rsid w:val="00EC0F9F"/>
    <w:rsid w:val="00EC14E6"/>
    <w:rsid w:val="00EC18BE"/>
    <w:rsid w:val="00EC23CF"/>
    <w:rsid w:val="00EC2725"/>
    <w:rsid w:val="00EC2FF1"/>
    <w:rsid w:val="00EC3AEB"/>
    <w:rsid w:val="00EC4368"/>
    <w:rsid w:val="00EC451F"/>
    <w:rsid w:val="00EC56E4"/>
    <w:rsid w:val="00EC5C5C"/>
    <w:rsid w:val="00EC5E4F"/>
    <w:rsid w:val="00EC60EE"/>
    <w:rsid w:val="00EC617D"/>
    <w:rsid w:val="00EC6756"/>
    <w:rsid w:val="00EC69CD"/>
    <w:rsid w:val="00EC7115"/>
    <w:rsid w:val="00EC7482"/>
    <w:rsid w:val="00EC7979"/>
    <w:rsid w:val="00EC7E23"/>
    <w:rsid w:val="00ED0410"/>
    <w:rsid w:val="00ED04BC"/>
    <w:rsid w:val="00ED0751"/>
    <w:rsid w:val="00ED0771"/>
    <w:rsid w:val="00ED0F25"/>
    <w:rsid w:val="00ED1276"/>
    <w:rsid w:val="00ED14F8"/>
    <w:rsid w:val="00ED1707"/>
    <w:rsid w:val="00ED1B5E"/>
    <w:rsid w:val="00ED1FBC"/>
    <w:rsid w:val="00ED23A9"/>
    <w:rsid w:val="00ED2602"/>
    <w:rsid w:val="00ED27B7"/>
    <w:rsid w:val="00ED29C9"/>
    <w:rsid w:val="00ED2B49"/>
    <w:rsid w:val="00ED30B3"/>
    <w:rsid w:val="00ED3305"/>
    <w:rsid w:val="00ED33DB"/>
    <w:rsid w:val="00ED3443"/>
    <w:rsid w:val="00ED3544"/>
    <w:rsid w:val="00ED3FCE"/>
    <w:rsid w:val="00ED49CB"/>
    <w:rsid w:val="00ED4DF9"/>
    <w:rsid w:val="00ED500E"/>
    <w:rsid w:val="00ED50AD"/>
    <w:rsid w:val="00ED5519"/>
    <w:rsid w:val="00ED5850"/>
    <w:rsid w:val="00ED5E32"/>
    <w:rsid w:val="00ED5F15"/>
    <w:rsid w:val="00ED6310"/>
    <w:rsid w:val="00ED682E"/>
    <w:rsid w:val="00ED6C7A"/>
    <w:rsid w:val="00ED709B"/>
    <w:rsid w:val="00ED7638"/>
    <w:rsid w:val="00EE0419"/>
    <w:rsid w:val="00EE0738"/>
    <w:rsid w:val="00EE0A4C"/>
    <w:rsid w:val="00EE0B81"/>
    <w:rsid w:val="00EE0DAC"/>
    <w:rsid w:val="00EE1012"/>
    <w:rsid w:val="00EE14CB"/>
    <w:rsid w:val="00EE1D09"/>
    <w:rsid w:val="00EE1E5E"/>
    <w:rsid w:val="00EE2B71"/>
    <w:rsid w:val="00EE2F49"/>
    <w:rsid w:val="00EE347C"/>
    <w:rsid w:val="00EE448B"/>
    <w:rsid w:val="00EE4561"/>
    <w:rsid w:val="00EE4657"/>
    <w:rsid w:val="00EE4792"/>
    <w:rsid w:val="00EE481E"/>
    <w:rsid w:val="00EE4906"/>
    <w:rsid w:val="00EE495F"/>
    <w:rsid w:val="00EE4CE3"/>
    <w:rsid w:val="00EE501B"/>
    <w:rsid w:val="00EE51E8"/>
    <w:rsid w:val="00EE5452"/>
    <w:rsid w:val="00EE5962"/>
    <w:rsid w:val="00EE5AFB"/>
    <w:rsid w:val="00EE5B89"/>
    <w:rsid w:val="00EE5EFB"/>
    <w:rsid w:val="00EE5F56"/>
    <w:rsid w:val="00EE61DC"/>
    <w:rsid w:val="00EE6870"/>
    <w:rsid w:val="00EE694C"/>
    <w:rsid w:val="00EE696D"/>
    <w:rsid w:val="00EE6A2D"/>
    <w:rsid w:val="00EE70B6"/>
    <w:rsid w:val="00EE7732"/>
    <w:rsid w:val="00EE78A3"/>
    <w:rsid w:val="00EE79EC"/>
    <w:rsid w:val="00EE7B7F"/>
    <w:rsid w:val="00EF0444"/>
    <w:rsid w:val="00EF051E"/>
    <w:rsid w:val="00EF056F"/>
    <w:rsid w:val="00EF05B1"/>
    <w:rsid w:val="00EF065F"/>
    <w:rsid w:val="00EF084B"/>
    <w:rsid w:val="00EF0AFF"/>
    <w:rsid w:val="00EF0E05"/>
    <w:rsid w:val="00EF168A"/>
    <w:rsid w:val="00EF1DDD"/>
    <w:rsid w:val="00EF1E7E"/>
    <w:rsid w:val="00EF24A6"/>
    <w:rsid w:val="00EF24EA"/>
    <w:rsid w:val="00EF2E97"/>
    <w:rsid w:val="00EF3481"/>
    <w:rsid w:val="00EF3617"/>
    <w:rsid w:val="00EF399F"/>
    <w:rsid w:val="00EF3C0A"/>
    <w:rsid w:val="00EF44C9"/>
    <w:rsid w:val="00EF46E0"/>
    <w:rsid w:val="00EF4775"/>
    <w:rsid w:val="00EF4C69"/>
    <w:rsid w:val="00EF5B08"/>
    <w:rsid w:val="00EF65CC"/>
    <w:rsid w:val="00EF6636"/>
    <w:rsid w:val="00EF683B"/>
    <w:rsid w:val="00EF6F00"/>
    <w:rsid w:val="00EF7933"/>
    <w:rsid w:val="00EF7ACB"/>
    <w:rsid w:val="00F000E9"/>
    <w:rsid w:val="00F00118"/>
    <w:rsid w:val="00F00780"/>
    <w:rsid w:val="00F00EE6"/>
    <w:rsid w:val="00F01429"/>
    <w:rsid w:val="00F01538"/>
    <w:rsid w:val="00F017FE"/>
    <w:rsid w:val="00F01C78"/>
    <w:rsid w:val="00F01CE5"/>
    <w:rsid w:val="00F020CB"/>
    <w:rsid w:val="00F0236C"/>
    <w:rsid w:val="00F027EF"/>
    <w:rsid w:val="00F0295F"/>
    <w:rsid w:val="00F02C81"/>
    <w:rsid w:val="00F02F08"/>
    <w:rsid w:val="00F02FD2"/>
    <w:rsid w:val="00F033FC"/>
    <w:rsid w:val="00F0434F"/>
    <w:rsid w:val="00F047B3"/>
    <w:rsid w:val="00F04EA3"/>
    <w:rsid w:val="00F056B2"/>
    <w:rsid w:val="00F057FD"/>
    <w:rsid w:val="00F05943"/>
    <w:rsid w:val="00F06523"/>
    <w:rsid w:val="00F06A05"/>
    <w:rsid w:val="00F06A31"/>
    <w:rsid w:val="00F06EF2"/>
    <w:rsid w:val="00F07256"/>
    <w:rsid w:val="00F072AD"/>
    <w:rsid w:val="00F0799F"/>
    <w:rsid w:val="00F07AA0"/>
    <w:rsid w:val="00F07D9B"/>
    <w:rsid w:val="00F100CC"/>
    <w:rsid w:val="00F10420"/>
    <w:rsid w:val="00F11609"/>
    <w:rsid w:val="00F11677"/>
    <w:rsid w:val="00F11C6D"/>
    <w:rsid w:val="00F1217D"/>
    <w:rsid w:val="00F1252C"/>
    <w:rsid w:val="00F128A7"/>
    <w:rsid w:val="00F129E6"/>
    <w:rsid w:val="00F12A77"/>
    <w:rsid w:val="00F131F1"/>
    <w:rsid w:val="00F13335"/>
    <w:rsid w:val="00F1352F"/>
    <w:rsid w:val="00F13B97"/>
    <w:rsid w:val="00F14988"/>
    <w:rsid w:val="00F14AD9"/>
    <w:rsid w:val="00F14EE7"/>
    <w:rsid w:val="00F153F9"/>
    <w:rsid w:val="00F15BE6"/>
    <w:rsid w:val="00F168EB"/>
    <w:rsid w:val="00F16BE2"/>
    <w:rsid w:val="00F16C41"/>
    <w:rsid w:val="00F16F8E"/>
    <w:rsid w:val="00F17CBB"/>
    <w:rsid w:val="00F17E03"/>
    <w:rsid w:val="00F2006F"/>
    <w:rsid w:val="00F203AE"/>
    <w:rsid w:val="00F20787"/>
    <w:rsid w:val="00F20D01"/>
    <w:rsid w:val="00F20D50"/>
    <w:rsid w:val="00F20F55"/>
    <w:rsid w:val="00F2132E"/>
    <w:rsid w:val="00F213F6"/>
    <w:rsid w:val="00F21441"/>
    <w:rsid w:val="00F21641"/>
    <w:rsid w:val="00F2171D"/>
    <w:rsid w:val="00F217EB"/>
    <w:rsid w:val="00F217ED"/>
    <w:rsid w:val="00F21ABA"/>
    <w:rsid w:val="00F21D3E"/>
    <w:rsid w:val="00F22796"/>
    <w:rsid w:val="00F22961"/>
    <w:rsid w:val="00F22AA7"/>
    <w:rsid w:val="00F22CA6"/>
    <w:rsid w:val="00F22DC3"/>
    <w:rsid w:val="00F22E62"/>
    <w:rsid w:val="00F23984"/>
    <w:rsid w:val="00F23F14"/>
    <w:rsid w:val="00F24B25"/>
    <w:rsid w:val="00F24F74"/>
    <w:rsid w:val="00F259DF"/>
    <w:rsid w:val="00F25C2D"/>
    <w:rsid w:val="00F266DB"/>
    <w:rsid w:val="00F269CD"/>
    <w:rsid w:val="00F26F60"/>
    <w:rsid w:val="00F26FEB"/>
    <w:rsid w:val="00F272EF"/>
    <w:rsid w:val="00F274F5"/>
    <w:rsid w:val="00F27975"/>
    <w:rsid w:val="00F300FD"/>
    <w:rsid w:val="00F30134"/>
    <w:rsid w:val="00F31239"/>
    <w:rsid w:val="00F31527"/>
    <w:rsid w:val="00F31A5B"/>
    <w:rsid w:val="00F31BFD"/>
    <w:rsid w:val="00F31CD3"/>
    <w:rsid w:val="00F3200F"/>
    <w:rsid w:val="00F33728"/>
    <w:rsid w:val="00F33814"/>
    <w:rsid w:val="00F33C7A"/>
    <w:rsid w:val="00F3430E"/>
    <w:rsid w:val="00F34809"/>
    <w:rsid w:val="00F34FBD"/>
    <w:rsid w:val="00F35D71"/>
    <w:rsid w:val="00F370F3"/>
    <w:rsid w:val="00F371C3"/>
    <w:rsid w:val="00F3765B"/>
    <w:rsid w:val="00F37794"/>
    <w:rsid w:val="00F37B69"/>
    <w:rsid w:val="00F37C43"/>
    <w:rsid w:val="00F406C6"/>
    <w:rsid w:val="00F408D3"/>
    <w:rsid w:val="00F41045"/>
    <w:rsid w:val="00F413E4"/>
    <w:rsid w:val="00F417D6"/>
    <w:rsid w:val="00F41F00"/>
    <w:rsid w:val="00F42475"/>
    <w:rsid w:val="00F42EE8"/>
    <w:rsid w:val="00F4312E"/>
    <w:rsid w:val="00F4319B"/>
    <w:rsid w:val="00F432A0"/>
    <w:rsid w:val="00F433D0"/>
    <w:rsid w:val="00F438FF"/>
    <w:rsid w:val="00F43F7E"/>
    <w:rsid w:val="00F44412"/>
    <w:rsid w:val="00F44582"/>
    <w:rsid w:val="00F449B6"/>
    <w:rsid w:val="00F4542B"/>
    <w:rsid w:val="00F45DE0"/>
    <w:rsid w:val="00F45FCB"/>
    <w:rsid w:val="00F46521"/>
    <w:rsid w:val="00F46690"/>
    <w:rsid w:val="00F4671A"/>
    <w:rsid w:val="00F469EE"/>
    <w:rsid w:val="00F46E7E"/>
    <w:rsid w:val="00F4777C"/>
    <w:rsid w:val="00F478C1"/>
    <w:rsid w:val="00F479F6"/>
    <w:rsid w:val="00F47FFD"/>
    <w:rsid w:val="00F501F8"/>
    <w:rsid w:val="00F50624"/>
    <w:rsid w:val="00F506D7"/>
    <w:rsid w:val="00F50ABC"/>
    <w:rsid w:val="00F50B61"/>
    <w:rsid w:val="00F50B84"/>
    <w:rsid w:val="00F50C7B"/>
    <w:rsid w:val="00F511C3"/>
    <w:rsid w:val="00F51734"/>
    <w:rsid w:val="00F51929"/>
    <w:rsid w:val="00F519E4"/>
    <w:rsid w:val="00F51A23"/>
    <w:rsid w:val="00F51AB5"/>
    <w:rsid w:val="00F51BB3"/>
    <w:rsid w:val="00F52137"/>
    <w:rsid w:val="00F52F8F"/>
    <w:rsid w:val="00F52FA4"/>
    <w:rsid w:val="00F53291"/>
    <w:rsid w:val="00F53365"/>
    <w:rsid w:val="00F533AC"/>
    <w:rsid w:val="00F5366B"/>
    <w:rsid w:val="00F536F9"/>
    <w:rsid w:val="00F53D32"/>
    <w:rsid w:val="00F542E7"/>
    <w:rsid w:val="00F54730"/>
    <w:rsid w:val="00F54A5A"/>
    <w:rsid w:val="00F5520E"/>
    <w:rsid w:val="00F55E78"/>
    <w:rsid w:val="00F567EB"/>
    <w:rsid w:val="00F5681E"/>
    <w:rsid w:val="00F56B47"/>
    <w:rsid w:val="00F56CFC"/>
    <w:rsid w:val="00F57419"/>
    <w:rsid w:val="00F57494"/>
    <w:rsid w:val="00F57A1D"/>
    <w:rsid w:val="00F57AA8"/>
    <w:rsid w:val="00F57FB9"/>
    <w:rsid w:val="00F60146"/>
    <w:rsid w:val="00F60535"/>
    <w:rsid w:val="00F607D5"/>
    <w:rsid w:val="00F607F0"/>
    <w:rsid w:val="00F609AC"/>
    <w:rsid w:val="00F611DD"/>
    <w:rsid w:val="00F61C46"/>
    <w:rsid w:val="00F6265A"/>
    <w:rsid w:val="00F628AC"/>
    <w:rsid w:val="00F62B4B"/>
    <w:rsid w:val="00F63002"/>
    <w:rsid w:val="00F63C41"/>
    <w:rsid w:val="00F63C75"/>
    <w:rsid w:val="00F63D88"/>
    <w:rsid w:val="00F63E49"/>
    <w:rsid w:val="00F6455E"/>
    <w:rsid w:val="00F647A7"/>
    <w:rsid w:val="00F648C5"/>
    <w:rsid w:val="00F649B9"/>
    <w:rsid w:val="00F65944"/>
    <w:rsid w:val="00F65AB3"/>
    <w:rsid w:val="00F65B42"/>
    <w:rsid w:val="00F66283"/>
    <w:rsid w:val="00F66819"/>
    <w:rsid w:val="00F668D8"/>
    <w:rsid w:val="00F66901"/>
    <w:rsid w:val="00F66957"/>
    <w:rsid w:val="00F66C3A"/>
    <w:rsid w:val="00F67249"/>
    <w:rsid w:val="00F675B6"/>
    <w:rsid w:val="00F675B7"/>
    <w:rsid w:val="00F675D2"/>
    <w:rsid w:val="00F679F8"/>
    <w:rsid w:val="00F67CA1"/>
    <w:rsid w:val="00F67EA9"/>
    <w:rsid w:val="00F70DEF"/>
    <w:rsid w:val="00F7112E"/>
    <w:rsid w:val="00F7146B"/>
    <w:rsid w:val="00F7169A"/>
    <w:rsid w:val="00F71FFA"/>
    <w:rsid w:val="00F7267B"/>
    <w:rsid w:val="00F728DF"/>
    <w:rsid w:val="00F72CBA"/>
    <w:rsid w:val="00F735C2"/>
    <w:rsid w:val="00F73CB3"/>
    <w:rsid w:val="00F73ECD"/>
    <w:rsid w:val="00F74E1F"/>
    <w:rsid w:val="00F74F8B"/>
    <w:rsid w:val="00F751F7"/>
    <w:rsid w:val="00F758C6"/>
    <w:rsid w:val="00F75CB9"/>
    <w:rsid w:val="00F76244"/>
    <w:rsid w:val="00F7639C"/>
    <w:rsid w:val="00F76D67"/>
    <w:rsid w:val="00F77113"/>
    <w:rsid w:val="00F77AFD"/>
    <w:rsid w:val="00F804A8"/>
    <w:rsid w:val="00F80AB9"/>
    <w:rsid w:val="00F80DB8"/>
    <w:rsid w:val="00F80E3C"/>
    <w:rsid w:val="00F813B0"/>
    <w:rsid w:val="00F82155"/>
    <w:rsid w:val="00F82238"/>
    <w:rsid w:val="00F8234C"/>
    <w:rsid w:val="00F823BD"/>
    <w:rsid w:val="00F826A5"/>
    <w:rsid w:val="00F828FC"/>
    <w:rsid w:val="00F82A13"/>
    <w:rsid w:val="00F835B5"/>
    <w:rsid w:val="00F84123"/>
    <w:rsid w:val="00F8437B"/>
    <w:rsid w:val="00F85202"/>
    <w:rsid w:val="00F8563E"/>
    <w:rsid w:val="00F85797"/>
    <w:rsid w:val="00F8585C"/>
    <w:rsid w:val="00F86155"/>
    <w:rsid w:val="00F8617B"/>
    <w:rsid w:val="00F8655E"/>
    <w:rsid w:val="00F86660"/>
    <w:rsid w:val="00F8678D"/>
    <w:rsid w:val="00F8685E"/>
    <w:rsid w:val="00F868B8"/>
    <w:rsid w:val="00F86D09"/>
    <w:rsid w:val="00F87714"/>
    <w:rsid w:val="00F8791E"/>
    <w:rsid w:val="00F87A91"/>
    <w:rsid w:val="00F87B40"/>
    <w:rsid w:val="00F901EC"/>
    <w:rsid w:val="00F90255"/>
    <w:rsid w:val="00F90651"/>
    <w:rsid w:val="00F90973"/>
    <w:rsid w:val="00F90F1B"/>
    <w:rsid w:val="00F90FA5"/>
    <w:rsid w:val="00F913A6"/>
    <w:rsid w:val="00F91471"/>
    <w:rsid w:val="00F91697"/>
    <w:rsid w:val="00F917AF"/>
    <w:rsid w:val="00F9182D"/>
    <w:rsid w:val="00F918F8"/>
    <w:rsid w:val="00F919BF"/>
    <w:rsid w:val="00F91A7F"/>
    <w:rsid w:val="00F91A81"/>
    <w:rsid w:val="00F921E0"/>
    <w:rsid w:val="00F92395"/>
    <w:rsid w:val="00F93154"/>
    <w:rsid w:val="00F932E6"/>
    <w:rsid w:val="00F934BD"/>
    <w:rsid w:val="00F93708"/>
    <w:rsid w:val="00F93B84"/>
    <w:rsid w:val="00F93E1D"/>
    <w:rsid w:val="00F946D5"/>
    <w:rsid w:val="00F949D1"/>
    <w:rsid w:val="00F954F0"/>
    <w:rsid w:val="00F957AC"/>
    <w:rsid w:val="00F95D26"/>
    <w:rsid w:val="00F96205"/>
    <w:rsid w:val="00F9683D"/>
    <w:rsid w:val="00F96BB4"/>
    <w:rsid w:val="00F96CDD"/>
    <w:rsid w:val="00F973A5"/>
    <w:rsid w:val="00F97736"/>
    <w:rsid w:val="00F978B0"/>
    <w:rsid w:val="00F979F2"/>
    <w:rsid w:val="00F97A49"/>
    <w:rsid w:val="00FA029D"/>
    <w:rsid w:val="00FA02A4"/>
    <w:rsid w:val="00FA0C61"/>
    <w:rsid w:val="00FA145F"/>
    <w:rsid w:val="00FA2372"/>
    <w:rsid w:val="00FA245B"/>
    <w:rsid w:val="00FA2558"/>
    <w:rsid w:val="00FA2934"/>
    <w:rsid w:val="00FA2F35"/>
    <w:rsid w:val="00FA3701"/>
    <w:rsid w:val="00FA3816"/>
    <w:rsid w:val="00FA3A7E"/>
    <w:rsid w:val="00FA4101"/>
    <w:rsid w:val="00FA43C5"/>
    <w:rsid w:val="00FA4884"/>
    <w:rsid w:val="00FA59A4"/>
    <w:rsid w:val="00FA5B7B"/>
    <w:rsid w:val="00FA5B8A"/>
    <w:rsid w:val="00FA609B"/>
    <w:rsid w:val="00FA69A7"/>
    <w:rsid w:val="00FA6C7F"/>
    <w:rsid w:val="00FA7368"/>
    <w:rsid w:val="00FA7C4B"/>
    <w:rsid w:val="00FA7EFE"/>
    <w:rsid w:val="00FB064D"/>
    <w:rsid w:val="00FB0FF8"/>
    <w:rsid w:val="00FB1733"/>
    <w:rsid w:val="00FB19E9"/>
    <w:rsid w:val="00FB1CC6"/>
    <w:rsid w:val="00FB1CC8"/>
    <w:rsid w:val="00FB1D74"/>
    <w:rsid w:val="00FB2140"/>
    <w:rsid w:val="00FB2825"/>
    <w:rsid w:val="00FB2888"/>
    <w:rsid w:val="00FB2EA0"/>
    <w:rsid w:val="00FB2EBA"/>
    <w:rsid w:val="00FB30E6"/>
    <w:rsid w:val="00FB31A2"/>
    <w:rsid w:val="00FB331C"/>
    <w:rsid w:val="00FB3384"/>
    <w:rsid w:val="00FB3672"/>
    <w:rsid w:val="00FB3740"/>
    <w:rsid w:val="00FB382C"/>
    <w:rsid w:val="00FB441F"/>
    <w:rsid w:val="00FB442C"/>
    <w:rsid w:val="00FB4488"/>
    <w:rsid w:val="00FB44E0"/>
    <w:rsid w:val="00FB4580"/>
    <w:rsid w:val="00FB4655"/>
    <w:rsid w:val="00FB4FD4"/>
    <w:rsid w:val="00FB58F3"/>
    <w:rsid w:val="00FB59D5"/>
    <w:rsid w:val="00FB5C93"/>
    <w:rsid w:val="00FB6026"/>
    <w:rsid w:val="00FB62F0"/>
    <w:rsid w:val="00FB63C0"/>
    <w:rsid w:val="00FB649B"/>
    <w:rsid w:val="00FB67AE"/>
    <w:rsid w:val="00FB6CF6"/>
    <w:rsid w:val="00FB717B"/>
    <w:rsid w:val="00FB7AD9"/>
    <w:rsid w:val="00FB7B16"/>
    <w:rsid w:val="00FC09D8"/>
    <w:rsid w:val="00FC0F1C"/>
    <w:rsid w:val="00FC12D9"/>
    <w:rsid w:val="00FC1CA2"/>
    <w:rsid w:val="00FC1FF0"/>
    <w:rsid w:val="00FC215A"/>
    <w:rsid w:val="00FC2C38"/>
    <w:rsid w:val="00FC2E33"/>
    <w:rsid w:val="00FC368F"/>
    <w:rsid w:val="00FC44A8"/>
    <w:rsid w:val="00FC4BA9"/>
    <w:rsid w:val="00FC4D61"/>
    <w:rsid w:val="00FC4DB5"/>
    <w:rsid w:val="00FC4E78"/>
    <w:rsid w:val="00FC4EBD"/>
    <w:rsid w:val="00FC541C"/>
    <w:rsid w:val="00FC5509"/>
    <w:rsid w:val="00FC5984"/>
    <w:rsid w:val="00FC599F"/>
    <w:rsid w:val="00FC657B"/>
    <w:rsid w:val="00FC6A87"/>
    <w:rsid w:val="00FC6D63"/>
    <w:rsid w:val="00FC6DB8"/>
    <w:rsid w:val="00FC70CE"/>
    <w:rsid w:val="00FC7245"/>
    <w:rsid w:val="00FC72B7"/>
    <w:rsid w:val="00FC72FE"/>
    <w:rsid w:val="00FC7551"/>
    <w:rsid w:val="00FC7751"/>
    <w:rsid w:val="00FC7DA3"/>
    <w:rsid w:val="00FC7F84"/>
    <w:rsid w:val="00FD016C"/>
    <w:rsid w:val="00FD0226"/>
    <w:rsid w:val="00FD0610"/>
    <w:rsid w:val="00FD08B4"/>
    <w:rsid w:val="00FD0BD0"/>
    <w:rsid w:val="00FD0EFF"/>
    <w:rsid w:val="00FD11B7"/>
    <w:rsid w:val="00FD1433"/>
    <w:rsid w:val="00FD1681"/>
    <w:rsid w:val="00FD1779"/>
    <w:rsid w:val="00FD1A4C"/>
    <w:rsid w:val="00FD1E32"/>
    <w:rsid w:val="00FD31A0"/>
    <w:rsid w:val="00FD33AC"/>
    <w:rsid w:val="00FD3553"/>
    <w:rsid w:val="00FD3645"/>
    <w:rsid w:val="00FD3903"/>
    <w:rsid w:val="00FD3A11"/>
    <w:rsid w:val="00FD3E3C"/>
    <w:rsid w:val="00FD3FCC"/>
    <w:rsid w:val="00FD4237"/>
    <w:rsid w:val="00FD425C"/>
    <w:rsid w:val="00FD4444"/>
    <w:rsid w:val="00FD4761"/>
    <w:rsid w:val="00FD49A4"/>
    <w:rsid w:val="00FD4A98"/>
    <w:rsid w:val="00FD4DDB"/>
    <w:rsid w:val="00FD550A"/>
    <w:rsid w:val="00FD56BA"/>
    <w:rsid w:val="00FD5A45"/>
    <w:rsid w:val="00FD5B61"/>
    <w:rsid w:val="00FD5BD7"/>
    <w:rsid w:val="00FD5D47"/>
    <w:rsid w:val="00FD5E2B"/>
    <w:rsid w:val="00FD638B"/>
    <w:rsid w:val="00FD670D"/>
    <w:rsid w:val="00FD6A49"/>
    <w:rsid w:val="00FD6A9E"/>
    <w:rsid w:val="00FD6BA5"/>
    <w:rsid w:val="00FD6E2B"/>
    <w:rsid w:val="00FD7261"/>
    <w:rsid w:val="00FE084A"/>
    <w:rsid w:val="00FE0E95"/>
    <w:rsid w:val="00FE1432"/>
    <w:rsid w:val="00FE1571"/>
    <w:rsid w:val="00FE19FC"/>
    <w:rsid w:val="00FE1E69"/>
    <w:rsid w:val="00FE214A"/>
    <w:rsid w:val="00FE268F"/>
    <w:rsid w:val="00FE2DDD"/>
    <w:rsid w:val="00FE3069"/>
    <w:rsid w:val="00FE35AF"/>
    <w:rsid w:val="00FE35E6"/>
    <w:rsid w:val="00FE3C56"/>
    <w:rsid w:val="00FE3C8F"/>
    <w:rsid w:val="00FE4373"/>
    <w:rsid w:val="00FE43BB"/>
    <w:rsid w:val="00FE49F3"/>
    <w:rsid w:val="00FE4E34"/>
    <w:rsid w:val="00FE549D"/>
    <w:rsid w:val="00FE57D7"/>
    <w:rsid w:val="00FE5BFD"/>
    <w:rsid w:val="00FE5C44"/>
    <w:rsid w:val="00FE6A92"/>
    <w:rsid w:val="00FE6FBF"/>
    <w:rsid w:val="00FE704E"/>
    <w:rsid w:val="00FE70A6"/>
    <w:rsid w:val="00FE7344"/>
    <w:rsid w:val="00FE78CC"/>
    <w:rsid w:val="00FE7CAD"/>
    <w:rsid w:val="00FF0012"/>
    <w:rsid w:val="00FF0128"/>
    <w:rsid w:val="00FF03A7"/>
    <w:rsid w:val="00FF0526"/>
    <w:rsid w:val="00FF0F54"/>
    <w:rsid w:val="00FF0FE0"/>
    <w:rsid w:val="00FF1EEE"/>
    <w:rsid w:val="00FF2AF6"/>
    <w:rsid w:val="00FF2F4D"/>
    <w:rsid w:val="00FF32C0"/>
    <w:rsid w:val="00FF3B73"/>
    <w:rsid w:val="00FF425A"/>
    <w:rsid w:val="00FF444A"/>
    <w:rsid w:val="00FF49F1"/>
    <w:rsid w:val="00FF4B34"/>
    <w:rsid w:val="00FF4EF0"/>
    <w:rsid w:val="00FF5453"/>
    <w:rsid w:val="00FF55AF"/>
    <w:rsid w:val="00FF55E4"/>
    <w:rsid w:val="00FF5920"/>
    <w:rsid w:val="00FF660B"/>
    <w:rsid w:val="00FF68FA"/>
    <w:rsid w:val="00FF69C9"/>
    <w:rsid w:val="00FF6F77"/>
    <w:rsid w:val="00FF73C0"/>
    <w:rsid w:val="00FF7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A1C2"/>
  <w15:docId w15:val="{C34D9D94-31BE-4B68-B3E6-005B987526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2762"/>
    <w:pPr>
      <w:spacing w:before="120" w:after="120" w:line="240" w:lineRule="auto"/>
    </w:pPr>
    <w:rPr>
      <w:rFonts w:ascii="Calibri Light" w:hAnsi="Calibri Light" w:eastAsia="Times New Roman" w:cs="Times New Roman"/>
      <w:szCs w:val="20"/>
      <w:lang w:eastAsia="en-AU"/>
    </w:rPr>
  </w:style>
  <w:style w:type="paragraph" w:styleId="Heading1">
    <w:name w:val="heading 1"/>
    <w:basedOn w:val="HeadingBase"/>
    <w:next w:val="Normal"/>
    <w:link w:val="Heading1Char"/>
    <w:qFormat/>
    <w:rsid w:val="00F02F08"/>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F02F08"/>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F02F08"/>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F02F08"/>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F02F08"/>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F02F08"/>
    <w:pPr>
      <w:spacing w:before="120" w:after="0" w:line="276" w:lineRule="auto"/>
      <w:outlineLvl w:val="5"/>
    </w:pPr>
    <w:rPr>
      <w:rFonts w:ascii="Calibri Light" w:hAnsi="Calibri Light"/>
      <w:bCs w:val="0"/>
      <w:color w:val="000000" w:themeColor="text1"/>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uiPriority w:val="99"/>
    <w:semiHidden/>
    <w:unhideWhenUsed/>
    <w:rsid w:val="00C52355"/>
    <w:pPr>
      <w:framePr w:w="7920" w:h="1980" w:hSpace="180" w:wrap="auto" w:hAnchor="page" w:xAlign="center" w:yAlign="bottom" w:hRule="exact"/>
      <w:spacing w:after="0"/>
      <w:ind w:left="2880"/>
    </w:pPr>
    <w:rPr>
      <w:rFonts w:ascii="Garamond" w:hAnsi="Garamond" w:eastAsiaTheme="majorEastAsia" w:cstheme="majorBidi"/>
      <w:b/>
      <w:sz w:val="24"/>
      <w:szCs w:val="24"/>
    </w:rPr>
  </w:style>
  <w:style w:type="paragraph" w:styleId="Title">
    <w:name w:val="Title"/>
    <w:basedOn w:val="Normal"/>
    <w:next w:val="Normal"/>
    <w:link w:val="TitleChar"/>
    <w:uiPriority w:val="10"/>
    <w:rsid w:val="00F02F08"/>
    <w:pPr>
      <w:spacing w:before="0" w:after="300"/>
      <w:contextualSpacing/>
    </w:pPr>
    <w:rPr>
      <w:rFonts w:eastAsiaTheme="majorEastAsia" w:cstheme="majorBidi"/>
      <w:b/>
      <w:color w:val="FFFFFF" w:themeColor="background1"/>
      <w:spacing w:val="5"/>
      <w:kern w:val="28"/>
      <w:sz w:val="72"/>
      <w:szCs w:val="52"/>
    </w:rPr>
  </w:style>
  <w:style w:type="character" w:styleId="TitleChar" w:customStyle="1">
    <w:name w:val="Title Char"/>
    <w:basedOn w:val="DefaultParagraphFont"/>
    <w:link w:val="Title"/>
    <w:uiPriority w:val="10"/>
    <w:rsid w:val="00F02F08"/>
    <w:rPr>
      <w:rFonts w:ascii="Calibri Light" w:hAnsi="Calibri Light" w:eastAsiaTheme="majorEastAsia" w:cstheme="majorBidi"/>
      <w:b/>
      <w:color w:val="FFFFFF" w:themeColor="background1"/>
      <w:spacing w:val="5"/>
      <w:kern w:val="28"/>
      <w:sz w:val="72"/>
      <w:szCs w:val="52"/>
      <w:lang w:eastAsia="en-AU"/>
    </w:rPr>
  </w:style>
  <w:style w:type="character" w:styleId="Heading1Char" w:customStyle="1">
    <w:name w:val="Heading 1 Char"/>
    <w:basedOn w:val="DefaultParagraphFont"/>
    <w:link w:val="Heading1"/>
    <w:rsid w:val="00F02F08"/>
    <w:rPr>
      <w:rFonts w:ascii="Calibri" w:hAnsi="Calibri" w:eastAsia="Times New Roman" w:cs="Arial"/>
      <w:b/>
      <w:color w:val="5D779D" w:themeColor="accent3"/>
      <w:kern w:val="32"/>
      <w:sz w:val="44"/>
      <w:szCs w:val="36"/>
      <w:lang w:eastAsia="en-AU"/>
    </w:rPr>
  </w:style>
  <w:style w:type="paragraph" w:styleId="TOCHeading">
    <w:name w:val="TOC Heading"/>
    <w:basedOn w:val="Heading1"/>
    <w:next w:val="Normal"/>
    <w:uiPriority w:val="39"/>
    <w:semiHidden/>
    <w:unhideWhenUsed/>
    <w:qFormat/>
    <w:rsid w:val="00E551D2"/>
    <w:pPr>
      <w:outlineLvl w:val="9"/>
    </w:pPr>
    <w:rPr>
      <w:lang w:val="en-US" w:eastAsia="ja-JP"/>
    </w:rPr>
  </w:style>
  <w:style w:type="paragraph" w:styleId="TOC1">
    <w:name w:val="toc 1"/>
    <w:basedOn w:val="Normal"/>
    <w:next w:val="Normal"/>
    <w:uiPriority w:val="39"/>
    <w:rsid w:val="00F02F08"/>
    <w:pPr>
      <w:keepNext/>
      <w:tabs>
        <w:tab w:val="right" w:leader="dot" w:pos="9072"/>
      </w:tabs>
      <w:spacing w:before="180" w:after="0"/>
      <w:ind w:right="-2"/>
    </w:pPr>
    <w:rPr>
      <w:b/>
      <w:noProof/>
      <w:color w:val="2C384A" w:themeColor="accent1"/>
      <w:szCs w:val="22"/>
    </w:rPr>
  </w:style>
  <w:style w:type="character" w:styleId="Hyperlink">
    <w:name w:val="Hyperlink"/>
    <w:basedOn w:val="DefaultParagraphFont"/>
    <w:uiPriority w:val="99"/>
    <w:rsid w:val="00F02F08"/>
    <w:rPr>
      <w:color w:val="3A6FAF"/>
      <w:u w:val="none"/>
    </w:rPr>
  </w:style>
  <w:style w:type="paragraph" w:styleId="BalloonText">
    <w:name w:val="Balloon Text"/>
    <w:basedOn w:val="Normal"/>
    <w:link w:val="BalloonTextChar"/>
    <w:uiPriority w:val="99"/>
    <w:semiHidden/>
    <w:unhideWhenUsed/>
    <w:rsid w:val="00F02F08"/>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F02F08"/>
    <w:rPr>
      <w:rFonts w:ascii="Tahoma" w:hAnsi="Tahoma" w:eastAsia="Times New Roman" w:cs="Tahoma"/>
      <w:sz w:val="16"/>
      <w:szCs w:val="16"/>
      <w:lang w:eastAsia="en-AU"/>
    </w:rPr>
  </w:style>
  <w:style w:type="paragraph" w:styleId="Bullet" w:customStyle="1">
    <w:name w:val="Bullet"/>
    <w:aliases w:val="Body,b,b + line,b1,level 1,Bullet + line,BodyNum,Bullet Char1,Bullet Char1 Char Char Char,Bullet Char1 Char Char Char Char,Bullet Char1 Char Char Char Char Char,b1 Char Char Char,bulleted,CG-Bullet"/>
    <w:basedOn w:val="Normal"/>
    <w:link w:val="BulletChar"/>
    <w:autoRedefine/>
    <w:qFormat/>
    <w:rsid w:val="001D40B5"/>
    <w:pPr>
      <w:numPr>
        <w:numId w:val="1"/>
      </w:numPr>
      <w:spacing w:before="0" w:after="160" w:line="259" w:lineRule="auto"/>
    </w:pPr>
  </w:style>
  <w:style w:type="character" w:styleId="BulletChar" w:customStyle="1">
    <w:name w:val="Bullet Char"/>
    <w:aliases w:val="b + line Char Char,b Char,b Char Char,Body Char,b + line Char,b1 Char,level 1 Char,Bulleted Para Char,FooterText Char,L Char,List Paragraph Char,List Paragraph1 Char,List Paragraph11 Char,List Paragraph2 Char,Number Char,Bullet + line Char"/>
    <w:basedOn w:val="DefaultParagraphFont"/>
    <w:link w:val="Bullet"/>
    <w:qFormat/>
    <w:rsid w:val="00FF5920"/>
    <w:rPr>
      <w:rFonts w:ascii="Calibri Light" w:hAnsi="Calibri Light" w:eastAsia="Times New Roman" w:cs="Times New Roman"/>
      <w:szCs w:val="20"/>
      <w:lang w:eastAsia="en-AU"/>
    </w:rPr>
  </w:style>
  <w:style w:type="paragraph" w:styleId="Dash" w:customStyle="1">
    <w:name w:val="Dash"/>
    <w:basedOn w:val="Normal"/>
    <w:link w:val="DashChar"/>
    <w:uiPriority w:val="99"/>
    <w:qFormat/>
    <w:rsid w:val="006728C2"/>
    <w:pPr>
      <w:numPr>
        <w:ilvl w:val="1"/>
        <w:numId w:val="1"/>
      </w:numPr>
      <w:spacing w:before="0"/>
    </w:pPr>
  </w:style>
  <w:style w:type="character" w:styleId="DashChar" w:customStyle="1">
    <w:name w:val="Dash Char"/>
    <w:basedOn w:val="DefaultParagraphFont"/>
    <w:link w:val="Dash"/>
    <w:rsid w:val="006728C2"/>
    <w:rPr>
      <w:rFonts w:ascii="Calibri Light" w:hAnsi="Calibri Light" w:eastAsia="Times New Roman" w:cs="Times New Roman"/>
      <w:szCs w:val="20"/>
      <w:lang w:eastAsia="en-AU"/>
    </w:rPr>
  </w:style>
  <w:style w:type="paragraph" w:styleId="DoubleDot" w:customStyle="1">
    <w:name w:val="Double Dot"/>
    <w:basedOn w:val="Normal"/>
    <w:link w:val="DoubleDotChar"/>
    <w:uiPriority w:val="99"/>
    <w:qFormat/>
    <w:rsid w:val="006728C2"/>
    <w:pPr>
      <w:numPr>
        <w:ilvl w:val="2"/>
        <w:numId w:val="1"/>
      </w:numPr>
      <w:spacing w:before="0"/>
    </w:pPr>
  </w:style>
  <w:style w:type="character" w:styleId="DoubleDotChar" w:customStyle="1">
    <w:name w:val="Double Dot Char"/>
    <w:basedOn w:val="DefaultParagraphFont"/>
    <w:link w:val="DoubleDot"/>
    <w:rsid w:val="006728C2"/>
    <w:rPr>
      <w:rFonts w:ascii="Calibri Light" w:hAnsi="Calibri Light" w:eastAsia="Times New Roman" w:cs="Times New Roman"/>
      <w:szCs w:val="20"/>
      <w:lang w:eastAsia="en-AU"/>
    </w:rPr>
  </w:style>
  <w:style w:type="paragraph" w:styleId="Singleparagraph" w:customStyle="1">
    <w:name w:val="Single paragraph"/>
    <w:basedOn w:val="Normal"/>
    <w:qFormat/>
    <w:rsid w:val="007C6D12"/>
    <w:pPr>
      <w:spacing w:after="0"/>
    </w:pPr>
  </w:style>
  <w:style w:type="paragraph" w:styleId="Header">
    <w:name w:val="header"/>
    <w:basedOn w:val="Normal"/>
    <w:link w:val="HeaderChar"/>
    <w:uiPriority w:val="99"/>
    <w:unhideWhenUsed/>
    <w:rsid w:val="00F02F08"/>
    <w:pPr>
      <w:keepNext/>
      <w:spacing w:before="0" w:after="0"/>
      <w:jc w:val="right"/>
    </w:pPr>
    <w:rPr>
      <w:color w:val="004A7F"/>
      <w:sz w:val="20"/>
    </w:rPr>
  </w:style>
  <w:style w:type="character" w:styleId="HeaderChar" w:customStyle="1">
    <w:name w:val="Header Char"/>
    <w:basedOn w:val="DefaultParagraphFont"/>
    <w:link w:val="Header"/>
    <w:uiPriority w:val="99"/>
    <w:rsid w:val="00F02F08"/>
    <w:rPr>
      <w:rFonts w:ascii="Calibri Light" w:hAnsi="Calibri Light" w:eastAsia="Times New Roman" w:cs="Times New Roman"/>
      <w:color w:val="004A7F"/>
      <w:sz w:val="20"/>
      <w:szCs w:val="20"/>
      <w:lang w:eastAsia="en-AU"/>
    </w:rPr>
  </w:style>
  <w:style w:type="paragraph" w:styleId="Footer">
    <w:name w:val="footer"/>
    <w:basedOn w:val="Normal"/>
    <w:link w:val="FooterChar"/>
    <w:uiPriority w:val="99"/>
    <w:unhideWhenUsed/>
    <w:rsid w:val="00F02F08"/>
    <w:pPr>
      <w:tabs>
        <w:tab w:val="center" w:pos="4513"/>
        <w:tab w:val="right" w:pos="9026"/>
      </w:tabs>
      <w:spacing w:before="0" w:after="0"/>
      <w:jc w:val="center"/>
    </w:pPr>
    <w:rPr>
      <w:color w:val="002C47"/>
      <w:sz w:val="20"/>
    </w:rPr>
  </w:style>
  <w:style w:type="character" w:styleId="FooterChar" w:customStyle="1">
    <w:name w:val="Footer Char"/>
    <w:basedOn w:val="DefaultParagraphFont"/>
    <w:link w:val="Footer"/>
    <w:uiPriority w:val="99"/>
    <w:rsid w:val="00F02F08"/>
    <w:rPr>
      <w:rFonts w:ascii="Calibri Light" w:hAnsi="Calibri Light" w:eastAsia="Times New Roman" w:cs="Times New Roman"/>
      <w:color w:val="002C47"/>
      <w:sz w:val="20"/>
      <w:szCs w:val="20"/>
      <w:lang w:eastAsia="en-AU"/>
    </w:rPr>
  </w:style>
  <w:style w:type="character" w:styleId="Heading2Char" w:customStyle="1">
    <w:name w:val="Heading 2 Char"/>
    <w:basedOn w:val="DefaultParagraphFont"/>
    <w:link w:val="Heading2"/>
    <w:rsid w:val="00F02F08"/>
    <w:rPr>
      <w:rFonts w:ascii="Calibri" w:hAnsi="Calibri" w:eastAsia="Times New Roman" w:cs="Arial"/>
      <w:iCs/>
      <w:color w:val="2C384A"/>
      <w:kern w:val="32"/>
      <w:sz w:val="36"/>
      <w:szCs w:val="28"/>
      <w:lang w:eastAsia="en-AU"/>
    </w:rPr>
  </w:style>
  <w:style w:type="paragraph" w:styleId="FootnoteText">
    <w:name w:val="footnote text"/>
    <w:basedOn w:val="Normal"/>
    <w:link w:val="FootnoteTextChar"/>
    <w:uiPriority w:val="99"/>
    <w:rsid w:val="00F02F08"/>
    <w:pPr>
      <w:spacing w:before="0" w:after="0"/>
      <w:ind w:left="397" w:hanging="397"/>
    </w:pPr>
    <w:rPr>
      <w:sz w:val="20"/>
    </w:rPr>
  </w:style>
  <w:style w:type="character" w:styleId="Heading3Char" w:customStyle="1">
    <w:name w:val="Heading 3 Char"/>
    <w:basedOn w:val="DefaultParagraphFont"/>
    <w:link w:val="Heading3"/>
    <w:rsid w:val="00F02F08"/>
    <w:rPr>
      <w:rFonts w:ascii="Calibri" w:hAnsi="Calibri" w:eastAsia="Times New Roman" w:cs="Arial"/>
      <w:b/>
      <w:color w:val="4D7861" w:themeColor="accent2"/>
      <w:kern w:val="32"/>
      <w:sz w:val="28"/>
      <w:szCs w:val="26"/>
      <w:lang w:eastAsia="en-AU"/>
    </w:rPr>
  </w:style>
  <w:style w:type="character" w:styleId="FootnoteTextChar" w:customStyle="1">
    <w:name w:val="Footnote Text Char"/>
    <w:basedOn w:val="DefaultParagraphFont"/>
    <w:link w:val="FootnoteText"/>
    <w:uiPriority w:val="99"/>
    <w:rsid w:val="00F02F08"/>
    <w:rPr>
      <w:rFonts w:ascii="Calibri Light" w:hAnsi="Calibri Light" w:eastAsia="Times New Roman" w:cs="Times New Roman"/>
      <w:sz w:val="20"/>
      <w:szCs w:val="20"/>
      <w:lang w:eastAsia="en-AU"/>
    </w:rPr>
  </w:style>
  <w:style w:type="paragraph" w:styleId="Subtitle">
    <w:name w:val="Subtitle"/>
    <w:basedOn w:val="Normal"/>
    <w:next w:val="Normal"/>
    <w:link w:val="SubtitleChar"/>
    <w:uiPriority w:val="11"/>
    <w:rsid w:val="00F02F08"/>
    <w:pPr>
      <w:numPr>
        <w:ilvl w:val="1"/>
      </w:numPr>
    </w:pPr>
    <w:rPr>
      <w:rFonts w:eastAsiaTheme="majorEastAsia" w:cstheme="majorBidi"/>
      <w:iCs/>
      <w:color w:val="EEEEEE"/>
      <w:sz w:val="44"/>
      <w:szCs w:val="44"/>
    </w:rPr>
  </w:style>
  <w:style w:type="character" w:styleId="SubtitleChar" w:customStyle="1">
    <w:name w:val="Subtitle Char"/>
    <w:basedOn w:val="DefaultParagraphFont"/>
    <w:link w:val="Subtitle"/>
    <w:uiPriority w:val="11"/>
    <w:rsid w:val="00F02F08"/>
    <w:rPr>
      <w:rFonts w:ascii="Calibri Light" w:hAnsi="Calibri Light" w:eastAsiaTheme="majorEastAsia" w:cstheme="majorBidi"/>
      <w:iCs/>
      <w:color w:val="EEEEEE"/>
      <w:sz w:val="44"/>
      <w:szCs w:val="44"/>
      <w:lang w:eastAsia="en-AU"/>
    </w:rPr>
  </w:style>
  <w:style w:type="paragraph" w:styleId="TOC2">
    <w:name w:val="toc 2"/>
    <w:basedOn w:val="Normal"/>
    <w:next w:val="Normal"/>
    <w:uiPriority w:val="39"/>
    <w:rsid w:val="00F02F08"/>
    <w:pPr>
      <w:keepNext/>
      <w:tabs>
        <w:tab w:val="right" w:leader="dot" w:pos="9072"/>
      </w:tabs>
      <w:spacing w:before="40" w:after="20"/>
      <w:ind w:right="-2"/>
    </w:pPr>
    <w:rPr>
      <w:noProof/>
      <w:color w:val="5D779D" w:themeColor="accent3"/>
    </w:rPr>
  </w:style>
  <w:style w:type="paragraph" w:styleId="AlphaParagraph" w:customStyle="1">
    <w:name w:val="Alpha Paragraph"/>
    <w:basedOn w:val="Normal"/>
    <w:qFormat/>
    <w:rsid w:val="00F02F08"/>
    <w:pPr>
      <w:spacing w:before="0"/>
      <w:ind w:left="720" w:hanging="360"/>
    </w:pPr>
  </w:style>
  <w:style w:type="paragraph" w:styleId="HeadingBase" w:customStyle="1">
    <w:name w:val="Heading Base"/>
    <w:rsid w:val="00F02F08"/>
    <w:pPr>
      <w:keepNext/>
      <w:spacing w:after="120" w:line="240" w:lineRule="auto"/>
    </w:pPr>
    <w:rPr>
      <w:rFonts w:ascii="Calibri" w:hAnsi="Calibri" w:eastAsia="Times New Roman" w:cs="Arial"/>
      <w:bCs/>
      <w:color w:val="002C4A"/>
      <w:kern w:val="32"/>
      <w:sz w:val="48"/>
      <w:szCs w:val="36"/>
      <w:lang w:eastAsia="en-AU"/>
    </w:rPr>
  </w:style>
  <w:style w:type="paragraph" w:styleId="AppendixHeading" w:customStyle="1">
    <w:name w:val="Appendix Heading"/>
    <w:basedOn w:val="Heading1"/>
    <w:next w:val="Normal"/>
    <w:rsid w:val="00F02F08"/>
  </w:style>
  <w:style w:type="paragraph" w:styleId="Boxbullet" w:customStyle="1">
    <w:name w:val="Box bullet"/>
    <w:basedOn w:val="Bullet"/>
    <w:rsid w:val="00F02F08"/>
    <w:pPr>
      <w:spacing w:before="60"/>
      <w:ind w:left="170" w:hanging="170"/>
    </w:pPr>
    <w:rPr>
      <w:color w:val="0D0D0D" w:themeColor="text1" w:themeTint="F2"/>
    </w:rPr>
  </w:style>
  <w:style w:type="numbering" w:styleId="BoxBulletedList" w:customStyle="1">
    <w:name w:val="Box Bulleted List"/>
    <w:uiPriority w:val="99"/>
    <w:rsid w:val="00F02F08"/>
    <w:pPr>
      <w:numPr>
        <w:numId w:val="14"/>
      </w:numPr>
    </w:pPr>
  </w:style>
  <w:style w:type="paragraph" w:styleId="Boxdash" w:customStyle="1">
    <w:name w:val="Box dash"/>
    <w:basedOn w:val="Dash"/>
    <w:rsid w:val="00F02F08"/>
    <w:pPr>
      <w:spacing w:before="60" w:after="0" w:line="276" w:lineRule="auto"/>
      <w:ind w:left="454" w:hanging="170"/>
    </w:pPr>
    <w:rPr>
      <w:rFonts w:eastAsiaTheme="minorHAnsi"/>
      <w:color w:val="0D0D0D" w:themeColor="text1" w:themeTint="F2"/>
      <w:lang w:eastAsia="en-US"/>
    </w:rPr>
  </w:style>
  <w:style w:type="paragraph" w:styleId="Boxdoubledot" w:customStyle="1">
    <w:name w:val="Box double dot"/>
    <w:basedOn w:val="DoubleDot"/>
    <w:rsid w:val="00F02F08"/>
    <w:pPr>
      <w:tabs>
        <w:tab w:val="left" w:pos="567"/>
      </w:tabs>
      <w:spacing w:before="60" w:after="0" w:line="276" w:lineRule="auto"/>
      <w:ind w:left="567" w:hanging="142"/>
    </w:pPr>
    <w:rPr>
      <w:rFonts w:eastAsiaTheme="minorHAnsi"/>
      <w:color w:val="0D0D0D" w:themeColor="text1" w:themeTint="F2"/>
      <w:lang w:eastAsia="en-US"/>
    </w:rPr>
  </w:style>
  <w:style w:type="paragraph" w:styleId="BoxHeading" w:customStyle="1">
    <w:name w:val="Box Heading"/>
    <w:basedOn w:val="Normal"/>
    <w:next w:val="Normal"/>
    <w:rsid w:val="00F02F08"/>
    <w:pPr>
      <w:keepNext/>
      <w:spacing w:before="240"/>
    </w:pPr>
    <w:rPr>
      <w:b/>
      <w:color w:val="2C384A" w:themeColor="accent1"/>
      <w:sz w:val="26"/>
      <w:szCs w:val="26"/>
    </w:rPr>
  </w:style>
  <w:style w:type="paragraph" w:styleId="BoxText" w:customStyle="1">
    <w:name w:val="Box Text"/>
    <w:basedOn w:val="Normal"/>
    <w:link w:val="BoxTextChar"/>
    <w:rsid w:val="00F02F08"/>
  </w:style>
  <w:style w:type="character" w:styleId="BoxTextChar" w:customStyle="1">
    <w:name w:val="Box Text Char"/>
    <w:basedOn w:val="DefaultParagraphFont"/>
    <w:link w:val="BoxText"/>
    <w:locked/>
    <w:rsid w:val="00F02F08"/>
    <w:rPr>
      <w:rFonts w:ascii="Calibri Light" w:hAnsi="Calibri Light" w:eastAsia="Times New Roman" w:cs="Times New Roman"/>
      <w:szCs w:val="20"/>
      <w:lang w:eastAsia="en-AU"/>
    </w:rPr>
  </w:style>
  <w:style w:type="numbering" w:styleId="BulletedList" w:customStyle="1">
    <w:name w:val="Bulleted List"/>
    <w:uiPriority w:val="99"/>
    <w:rsid w:val="00F02F08"/>
    <w:pPr>
      <w:numPr>
        <w:numId w:val="3"/>
      </w:numPr>
    </w:pPr>
  </w:style>
  <w:style w:type="paragraph" w:styleId="ChartandTableFootnoteAlpha" w:customStyle="1">
    <w:name w:val="Chart and Table Footnote Alpha"/>
    <w:rsid w:val="00F02F08"/>
    <w:pPr>
      <w:numPr>
        <w:numId w:val="4"/>
      </w:numPr>
      <w:spacing w:after="0" w:line="240" w:lineRule="auto"/>
      <w:jc w:val="both"/>
    </w:pPr>
    <w:rPr>
      <w:rFonts w:ascii="Calibri" w:hAnsi="Calibri" w:eastAsia="Times New Roman" w:cs="Times New Roman"/>
      <w:color w:val="000000"/>
      <w:sz w:val="18"/>
      <w:szCs w:val="16"/>
      <w:lang w:eastAsia="en-AU"/>
    </w:rPr>
  </w:style>
  <w:style w:type="paragraph" w:styleId="ChartGraphic" w:customStyle="1">
    <w:name w:val="Chart Graphic"/>
    <w:basedOn w:val="Normal"/>
    <w:next w:val="Normal"/>
    <w:rsid w:val="00F02F08"/>
    <w:pPr>
      <w:keepNext/>
      <w:spacing w:before="0" w:after="0"/>
      <w:jc w:val="center"/>
    </w:pPr>
    <w:rPr>
      <w:color w:val="004A7F"/>
      <w:sz w:val="20"/>
    </w:rPr>
  </w:style>
  <w:style w:type="paragraph" w:styleId="TableMainHeading" w:customStyle="1">
    <w:name w:val="Table Main Heading"/>
    <w:basedOn w:val="Heading3"/>
    <w:next w:val="Normal"/>
    <w:rsid w:val="00F02F08"/>
    <w:pPr>
      <w:spacing w:before="120"/>
    </w:pPr>
    <w:rPr>
      <w:b w:val="0"/>
      <w:sz w:val="26"/>
    </w:rPr>
  </w:style>
  <w:style w:type="paragraph" w:styleId="ChartMainHeading" w:customStyle="1">
    <w:name w:val="Chart Main Heading"/>
    <w:basedOn w:val="TableMainHeading"/>
    <w:next w:val="ChartGraphic"/>
    <w:rsid w:val="00F02F08"/>
    <w:pPr>
      <w:jc w:val="center"/>
    </w:pPr>
  </w:style>
  <w:style w:type="paragraph" w:styleId="ChartorTableNote" w:customStyle="1">
    <w:name w:val="Chart or Table Note"/>
    <w:next w:val="Normal"/>
    <w:rsid w:val="00F02F08"/>
    <w:pPr>
      <w:spacing w:after="0" w:line="240" w:lineRule="auto"/>
      <w:jc w:val="both"/>
    </w:pPr>
    <w:rPr>
      <w:rFonts w:ascii="Calibri" w:hAnsi="Calibri" w:eastAsia="Times New Roman" w:cs="Times New Roman"/>
      <w:color w:val="000000"/>
      <w:sz w:val="18"/>
      <w:szCs w:val="20"/>
      <w:lang w:eastAsia="en-AU"/>
    </w:rPr>
  </w:style>
  <w:style w:type="paragraph" w:styleId="TableSecondHeading" w:customStyle="1">
    <w:name w:val="Table Second Heading"/>
    <w:basedOn w:val="Normal"/>
    <w:next w:val="Normal"/>
    <w:rsid w:val="00F02F08"/>
    <w:pPr>
      <w:keepNext/>
      <w:spacing w:before="0" w:after="20"/>
    </w:pPr>
    <w:rPr>
      <w:b/>
      <w:color w:val="004A7F"/>
    </w:rPr>
  </w:style>
  <w:style w:type="paragraph" w:styleId="ChartSecondHeading" w:customStyle="1">
    <w:name w:val="Chart Second Heading"/>
    <w:basedOn w:val="TableSecondHeading"/>
    <w:next w:val="ChartGraphic"/>
    <w:rsid w:val="00F02F08"/>
    <w:pPr>
      <w:jc w:val="center"/>
    </w:pPr>
    <w:rPr>
      <w:b w:val="0"/>
      <w:bCs/>
    </w:rPr>
  </w:style>
  <w:style w:type="numbering" w:styleId="ChartandTableFootnoteAlphaList" w:customStyle="1">
    <w:name w:val="ChartandTableFootnoteAlphaList"/>
    <w:uiPriority w:val="99"/>
    <w:rsid w:val="00F02F08"/>
    <w:pPr>
      <w:numPr>
        <w:numId w:val="4"/>
      </w:numPr>
    </w:pPr>
  </w:style>
  <w:style w:type="character" w:styleId="CommentReference">
    <w:name w:val="annotation reference"/>
    <w:basedOn w:val="DefaultParagraphFont"/>
    <w:uiPriority w:val="99"/>
    <w:semiHidden/>
    <w:unhideWhenUsed/>
    <w:rsid w:val="00F02F08"/>
    <w:rPr>
      <w:sz w:val="16"/>
      <w:szCs w:val="16"/>
    </w:rPr>
  </w:style>
  <w:style w:type="paragraph" w:styleId="CommentText">
    <w:name w:val="annotation text"/>
    <w:basedOn w:val="Normal"/>
    <w:link w:val="CommentTextChar"/>
    <w:uiPriority w:val="99"/>
    <w:semiHidden/>
    <w:unhideWhenUsed/>
    <w:rsid w:val="00F02F08"/>
    <w:rPr>
      <w:rFonts w:ascii="Calibri" w:hAnsi="Calibri"/>
      <w:sz w:val="20"/>
    </w:rPr>
  </w:style>
  <w:style w:type="character" w:styleId="CommentTextChar" w:customStyle="1">
    <w:name w:val="Comment Text Char"/>
    <w:basedOn w:val="DefaultParagraphFont"/>
    <w:link w:val="CommentText"/>
    <w:uiPriority w:val="99"/>
    <w:semiHidden/>
    <w:rsid w:val="00F02F08"/>
    <w:rPr>
      <w:rFonts w:ascii="Calibri" w:hAnsi="Calibri" w:eastAsia="Times New Roman" w:cs="Times New Roman"/>
      <w:sz w:val="20"/>
      <w:szCs w:val="20"/>
      <w:lang w:eastAsia="en-AU"/>
    </w:rPr>
  </w:style>
  <w:style w:type="paragraph" w:styleId="FooterEven" w:customStyle="1">
    <w:name w:val="Footer Even"/>
    <w:basedOn w:val="Footer"/>
    <w:rsid w:val="00F02F08"/>
    <w:pPr>
      <w:keepNext/>
      <w:tabs>
        <w:tab w:val="clear" w:pos="4513"/>
        <w:tab w:val="clear" w:pos="9026"/>
      </w:tabs>
      <w:jc w:val="left"/>
    </w:pPr>
    <w:rPr>
      <w:noProof/>
      <w:color w:val="2C384A" w:themeColor="accent1"/>
    </w:rPr>
  </w:style>
  <w:style w:type="paragraph" w:styleId="FooterOdd" w:customStyle="1">
    <w:name w:val="Footer Odd"/>
    <w:basedOn w:val="Footer"/>
    <w:rsid w:val="00F02F08"/>
    <w:pPr>
      <w:keepNext/>
      <w:tabs>
        <w:tab w:val="clear" w:pos="4513"/>
        <w:tab w:val="clear" w:pos="9026"/>
      </w:tabs>
      <w:jc w:val="right"/>
    </w:pPr>
    <w:rPr>
      <w:color w:val="2C384A" w:themeColor="accent1"/>
    </w:rPr>
  </w:style>
  <w:style w:type="character" w:styleId="FootnoteReference">
    <w:name w:val="footnote reference"/>
    <w:basedOn w:val="DefaultParagraphFont"/>
    <w:uiPriority w:val="99"/>
    <w:rsid w:val="00F02F08"/>
    <w:rPr>
      <w:sz w:val="18"/>
    </w:rPr>
  </w:style>
  <w:style w:type="paragraph" w:styleId="HeaderEven" w:customStyle="1">
    <w:name w:val="Header Even"/>
    <w:basedOn w:val="Header"/>
    <w:qFormat/>
    <w:rsid w:val="00F02F08"/>
    <w:pPr>
      <w:jc w:val="left"/>
    </w:pPr>
    <w:rPr>
      <w:color w:val="002C47"/>
    </w:rPr>
  </w:style>
  <w:style w:type="paragraph" w:styleId="HeaderOdd" w:customStyle="1">
    <w:name w:val="Header Odd"/>
    <w:basedOn w:val="Header"/>
    <w:qFormat/>
    <w:rsid w:val="00F02F08"/>
    <w:rPr>
      <w:color w:val="002C47"/>
    </w:rPr>
  </w:style>
  <w:style w:type="paragraph" w:styleId="Heading1Numbered" w:customStyle="1">
    <w:name w:val="Heading 1 Numbered"/>
    <w:basedOn w:val="Heading1"/>
    <w:next w:val="Normal"/>
    <w:rsid w:val="00F02F08"/>
    <w:pPr>
      <w:numPr>
        <w:numId w:val="8"/>
      </w:numPr>
    </w:pPr>
  </w:style>
  <w:style w:type="paragraph" w:styleId="Heading2Numbered" w:customStyle="1">
    <w:name w:val="Heading 2 Numbered"/>
    <w:basedOn w:val="Heading2"/>
    <w:next w:val="Normal"/>
    <w:rsid w:val="00F02F08"/>
    <w:pPr>
      <w:numPr>
        <w:ilvl w:val="1"/>
        <w:numId w:val="8"/>
      </w:numPr>
    </w:pPr>
  </w:style>
  <w:style w:type="paragraph" w:styleId="Heading3Numbered" w:customStyle="1">
    <w:name w:val="Heading 3 Numbered"/>
    <w:basedOn w:val="Heading3"/>
    <w:rsid w:val="00F02F08"/>
    <w:pPr>
      <w:numPr>
        <w:ilvl w:val="2"/>
        <w:numId w:val="8"/>
      </w:numPr>
    </w:pPr>
  </w:style>
  <w:style w:type="character" w:styleId="Heading4Char" w:customStyle="1">
    <w:name w:val="Heading 4 Char"/>
    <w:basedOn w:val="DefaultParagraphFont"/>
    <w:link w:val="Heading4"/>
    <w:rsid w:val="00F02F08"/>
    <w:rPr>
      <w:rFonts w:ascii="Calibri Light" w:hAnsi="Calibri Light" w:eastAsia="Times New Roman" w:cs="Arial"/>
      <w:color w:val="4D7861" w:themeColor="accent2"/>
      <w:kern w:val="32"/>
      <w:sz w:val="24"/>
      <w:szCs w:val="26"/>
      <w:lang w:eastAsia="en-AU"/>
    </w:rPr>
  </w:style>
  <w:style w:type="character" w:styleId="Heading5Char" w:customStyle="1">
    <w:name w:val="Heading 5 Char"/>
    <w:basedOn w:val="DefaultParagraphFont"/>
    <w:link w:val="Heading5"/>
    <w:rsid w:val="00F02F08"/>
    <w:rPr>
      <w:rFonts w:eastAsia="Times New Roman" w:cs="Arial" w:asciiTheme="majorHAnsi" w:hAnsiTheme="majorHAnsi"/>
      <w:b/>
      <w:iCs/>
      <w:color w:val="000000" w:themeColor="text1"/>
      <w:kern w:val="32"/>
      <w:szCs w:val="36"/>
      <w:lang w:eastAsia="en-AU"/>
    </w:rPr>
  </w:style>
  <w:style w:type="character" w:styleId="Heading6Char" w:customStyle="1">
    <w:name w:val="Heading 6 Char"/>
    <w:basedOn w:val="DefaultParagraphFont"/>
    <w:link w:val="Heading6"/>
    <w:rsid w:val="00F02F08"/>
    <w:rPr>
      <w:rFonts w:ascii="Calibri Light" w:hAnsi="Calibri Light" w:eastAsia="Times New Roman" w:cs="Arial"/>
      <w:color w:val="000000" w:themeColor="text1"/>
      <w:kern w:val="32"/>
      <w:lang w:eastAsia="en-AU"/>
    </w:rPr>
  </w:style>
  <w:style w:type="paragraph" w:styleId="Instructions" w:customStyle="1">
    <w:name w:val="Instructions"/>
    <w:basedOn w:val="Normal"/>
    <w:uiPriority w:val="1"/>
    <w:qFormat/>
    <w:rsid w:val="00F02F08"/>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F02F08"/>
    <w:pPr>
      <w:ind w:left="720"/>
      <w:contextualSpacing/>
    </w:pPr>
  </w:style>
  <w:style w:type="paragraph" w:styleId="NotesHeading" w:customStyle="1">
    <w:name w:val="Notes Heading"/>
    <w:basedOn w:val="Normal"/>
    <w:rsid w:val="00F02F08"/>
    <w:pPr>
      <w:keepNext/>
      <w:spacing w:before="240" w:after="360"/>
      <w:jc w:val="center"/>
    </w:pPr>
    <w:rPr>
      <w:rFonts w:ascii="Century Gothic" w:hAnsi="Century Gothic"/>
      <w:smallCaps/>
      <w:color w:val="5F5F5F" w:themeColor="text2"/>
      <w:sz w:val="36"/>
      <w:szCs w:val="36"/>
    </w:rPr>
  </w:style>
  <w:style w:type="numbering" w:styleId="OneLevelList" w:customStyle="1">
    <w:name w:val="OneLevelList"/>
    <w:uiPriority w:val="99"/>
    <w:rsid w:val="00F02F08"/>
    <w:pPr>
      <w:numPr>
        <w:numId w:val="9"/>
      </w:numPr>
    </w:pPr>
  </w:style>
  <w:style w:type="paragraph" w:styleId="OutlineNumbered1" w:customStyle="1">
    <w:name w:val="Outline Numbered 1"/>
    <w:basedOn w:val="Normal"/>
    <w:rsid w:val="00F02F08"/>
    <w:pPr>
      <w:numPr>
        <w:numId w:val="6"/>
      </w:numPr>
      <w:spacing w:before="0"/>
    </w:pPr>
  </w:style>
  <w:style w:type="paragraph" w:styleId="OutlineNumbered2" w:customStyle="1">
    <w:name w:val="Outline Numbered 2"/>
    <w:basedOn w:val="Normal"/>
    <w:rsid w:val="00F02F08"/>
    <w:pPr>
      <w:numPr>
        <w:ilvl w:val="1"/>
        <w:numId w:val="6"/>
      </w:numPr>
      <w:spacing w:before="0"/>
    </w:pPr>
  </w:style>
  <w:style w:type="paragraph" w:styleId="OutlineNumbered3" w:customStyle="1">
    <w:name w:val="Outline Numbered 3"/>
    <w:basedOn w:val="Normal"/>
    <w:rsid w:val="00F02F08"/>
    <w:pPr>
      <w:numPr>
        <w:ilvl w:val="2"/>
        <w:numId w:val="6"/>
      </w:numPr>
      <w:spacing w:before="0"/>
    </w:pPr>
  </w:style>
  <w:style w:type="numbering" w:styleId="OutlineList" w:customStyle="1">
    <w:name w:val="OutlineList"/>
    <w:uiPriority w:val="99"/>
    <w:rsid w:val="00F02F08"/>
    <w:pPr>
      <w:numPr>
        <w:numId w:val="6"/>
      </w:numPr>
    </w:pPr>
  </w:style>
  <w:style w:type="character" w:styleId="PlaceholderText">
    <w:name w:val="Placeholder Text"/>
    <w:basedOn w:val="DefaultParagraphFont"/>
    <w:uiPriority w:val="99"/>
    <w:semiHidden/>
    <w:rsid w:val="00F02F08"/>
    <w:rPr>
      <w:color w:val="808080"/>
    </w:rPr>
  </w:style>
  <w:style w:type="paragraph" w:styleId="ReportDate" w:customStyle="1">
    <w:name w:val="Report Date"/>
    <w:basedOn w:val="Normal"/>
    <w:link w:val="ReportDateChar"/>
    <w:rsid w:val="00AA5110"/>
    <w:pPr>
      <w:keepNext/>
      <w:spacing w:before="0" w:after="360"/>
    </w:pPr>
    <w:rPr>
      <w:color w:val="2C384A" w:themeColor="accent1"/>
      <w:sz w:val="32"/>
    </w:rPr>
  </w:style>
  <w:style w:type="character" w:styleId="ReportDateChar" w:customStyle="1">
    <w:name w:val="Report Date Char"/>
    <w:basedOn w:val="DefaultParagraphFont"/>
    <w:link w:val="ReportDate"/>
    <w:rsid w:val="00AA5110"/>
    <w:rPr>
      <w:rFonts w:ascii="Calibri Light" w:hAnsi="Calibri Light" w:eastAsia="Times New Roman" w:cs="Times New Roman"/>
      <w:color w:val="2C384A" w:themeColor="accent1"/>
      <w:sz w:val="32"/>
      <w:szCs w:val="20"/>
      <w:lang w:eastAsia="en-AU"/>
    </w:rPr>
  </w:style>
  <w:style w:type="paragraph" w:styleId="SingleParagraph0" w:customStyle="1">
    <w:name w:val="Single Paragraph"/>
    <w:basedOn w:val="Normal"/>
    <w:link w:val="SingleParagraphChar"/>
    <w:rsid w:val="00F02F08"/>
    <w:pPr>
      <w:spacing w:before="0" w:after="0"/>
    </w:pPr>
  </w:style>
  <w:style w:type="character" w:styleId="SingleParagraphChar" w:customStyle="1">
    <w:name w:val="Single Paragraph Char"/>
    <w:basedOn w:val="DefaultParagraphFont"/>
    <w:link w:val="SingleParagraph0"/>
    <w:rsid w:val="00F02F08"/>
    <w:rPr>
      <w:rFonts w:ascii="Calibri Light" w:hAnsi="Calibri Light" w:eastAsia="Times New Roman" w:cs="Times New Roman"/>
      <w:szCs w:val="20"/>
      <w:lang w:eastAsia="en-AU"/>
    </w:rPr>
  </w:style>
  <w:style w:type="paragraph" w:styleId="TableTextRight" w:customStyle="1">
    <w:name w:val="Table Text Right"/>
    <w:basedOn w:val="Normal"/>
    <w:rsid w:val="00F02F08"/>
    <w:pPr>
      <w:spacing w:before="40" w:after="40"/>
      <w:jc w:val="right"/>
    </w:pPr>
    <w:rPr>
      <w:color w:val="000000"/>
      <w:sz w:val="18"/>
    </w:rPr>
  </w:style>
  <w:style w:type="paragraph" w:styleId="TableTextLeft" w:customStyle="1">
    <w:name w:val="Table Text Left"/>
    <w:basedOn w:val="TableTextRight"/>
    <w:rsid w:val="00F02F08"/>
    <w:pPr>
      <w:jc w:val="left"/>
    </w:pPr>
  </w:style>
  <w:style w:type="paragraph" w:styleId="TableColumnHeadingCentred" w:customStyle="1">
    <w:name w:val="Table Column Heading Centred"/>
    <w:basedOn w:val="TableTextLeft"/>
    <w:rsid w:val="00F02F08"/>
    <w:pPr>
      <w:jc w:val="center"/>
    </w:pPr>
    <w:rPr>
      <w:b/>
      <w:color w:val="2C384A" w:themeColor="accent1"/>
      <w:sz w:val="20"/>
    </w:rPr>
  </w:style>
  <w:style w:type="paragraph" w:styleId="TableColumnHeadingLeft" w:customStyle="1">
    <w:name w:val="Table Column Heading Left"/>
    <w:basedOn w:val="TableTextLeft"/>
    <w:rsid w:val="00F02F08"/>
    <w:rPr>
      <w:b/>
      <w:color w:val="2C384A" w:themeColor="accent1"/>
      <w:sz w:val="20"/>
    </w:rPr>
  </w:style>
  <w:style w:type="paragraph" w:styleId="TableColumnHeadingRight" w:customStyle="1">
    <w:name w:val="Table Column Heading Right"/>
    <w:basedOn w:val="TableTextLeft"/>
    <w:rsid w:val="00F02F08"/>
    <w:pPr>
      <w:jc w:val="right"/>
    </w:pPr>
    <w:rPr>
      <w:b/>
      <w:color w:val="2C384A" w:themeColor="accent1"/>
      <w:sz w:val="20"/>
    </w:rPr>
  </w:style>
  <w:style w:type="paragraph" w:styleId="TableGraphic" w:customStyle="1">
    <w:name w:val="Table Graphic"/>
    <w:basedOn w:val="HeadingBase"/>
    <w:next w:val="Normal"/>
    <w:rsid w:val="00F02F08"/>
    <w:pPr>
      <w:spacing w:after="0"/>
    </w:pPr>
  </w:style>
  <w:style w:type="table" w:styleId="TableGrid">
    <w:name w:val="Table Grid"/>
    <w:basedOn w:val="TableNormal"/>
    <w:rsid w:val="00F02F08"/>
    <w:pPr>
      <w:spacing w:before="40" w:after="40" w:line="240" w:lineRule="auto"/>
    </w:pPr>
    <w:rPr>
      <w:rFonts w:ascii="Calibri Light" w:hAnsi="Calibri Light" w:eastAsia="Times New Roman" w:cs="Times New Roman"/>
      <w:sz w:val="18"/>
      <w:szCs w:val="20"/>
      <w:lang w:eastAsia="en-AU"/>
    </w:rPr>
    <w:tblPr/>
    <w:tcPr>
      <w:shd w:val="clear" w:color="auto" w:fill="auto"/>
    </w:tcPr>
    <w:tblStylePr w:type="firstRow">
      <w:pPr>
        <w:wordWrap/>
        <w:spacing w:before="40" w:beforeLines="0" w:beforeAutospacing="0" w:after="40" w:afterLines="0" w:afterAutospacing="0"/>
        <w:jc w:val="left"/>
      </w:pPr>
      <w:rPr>
        <w:rFonts w:ascii="Calibri Light" w:hAnsi="Calibri Light"/>
        <w:b/>
        <w:color w:val="2C384A" w:themeColor="accent1"/>
        <w:sz w:val="20"/>
      </w:rPr>
      <w:tblPr/>
      <w:tcPr>
        <w:shd w:val="clear" w:color="auto" w:fill="EEEEEE" w:themeFill="background2"/>
      </w:tcPr>
    </w:tblStylePr>
  </w:style>
  <w:style w:type="paragraph" w:styleId="TableHeadingContinued" w:customStyle="1">
    <w:name w:val="Table Heading Continued"/>
    <w:basedOn w:val="TableMainHeading"/>
    <w:next w:val="TableGraphic"/>
    <w:rsid w:val="00F02F08"/>
  </w:style>
  <w:style w:type="paragraph" w:styleId="TableTextCentered" w:customStyle="1">
    <w:name w:val="Table Text Centered"/>
    <w:basedOn w:val="TableTextRight"/>
    <w:rsid w:val="00F02F08"/>
    <w:pPr>
      <w:jc w:val="center"/>
    </w:pPr>
  </w:style>
  <w:style w:type="paragraph" w:styleId="TableTextIndented" w:customStyle="1">
    <w:name w:val="Table Text Indented"/>
    <w:basedOn w:val="TableTextLeft"/>
    <w:rsid w:val="00F02F08"/>
    <w:pPr>
      <w:ind w:left="284"/>
    </w:pPr>
  </w:style>
  <w:style w:type="paragraph" w:styleId="TOC3">
    <w:name w:val="toc 3"/>
    <w:basedOn w:val="Normal"/>
    <w:next w:val="Normal"/>
    <w:uiPriority w:val="39"/>
    <w:rsid w:val="00F02F08"/>
    <w:pPr>
      <w:tabs>
        <w:tab w:val="right" w:leader="dot" w:pos="9072"/>
      </w:tabs>
      <w:spacing w:before="20" w:after="0"/>
      <w:ind w:left="284" w:right="-2"/>
    </w:pPr>
    <w:rPr>
      <w:rFonts w:cs="Calibri"/>
      <w:noProof/>
    </w:rPr>
  </w:style>
  <w:style w:type="paragraph" w:styleId="CoverDate" w:customStyle="1">
    <w:name w:val="Cover Date"/>
    <w:basedOn w:val="Normal"/>
    <w:rsid w:val="00C725DE"/>
    <w:pPr>
      <w:keepNext/>
      <w:spacing w:before="840" w:after="0"/>
      <w:jc w:val="right"/>
    </w:pPr>
    <w:rPr>
      <w:color w:val="2C384A" w:themeColor="accent1"/>
      <w:sz w:val="28"/>
    </w:rPr>
  </w:style>
  <w:style w:type="paragraph" w:styleId="CoverTitleMain" w:customStyle="1">
    <w:name w:val="Cover Title Main"/>
    <w:basedOn w:val="Normal"/>
    <w:next w:val="Normal"/>
    <w:autoRedefine/>
    <w:qFormat/>
    <w:rsid w:val="000A07E2"/>
    <w:pPr>
      <w:keepNext/>
      <w:spacing w:before="3360" w:after="720" w:line="300" w:lineRule="auto"/>
      <w:jc w:val="right"/>
    </w:pPr>
    <w:rPr>
      <w:rFonts w:ascii="Calibri" w:hAnsi="Calibri"/>
      <w:color w:val="2C384A" w:themeColor="accent1"/>
      <w:sz w:val="56"/>
      <w:szCs w:val="40"/>
    </w:rPr>
  </w:style>
  <w:style w:type="paragraph" w:styleId="CoverTitleSub" w:customStyle="1">
    <w:name w:val="Cover Title Sub"/>
    <w:basedOn w:val="Normal"/>
    <w:rsid w:val="00647528"/>
    <w:pPr>
      <w:keepNext/>
      <w:jc w:val="right"/>
    </w:pPr>
    <w:rPr>
      <w:rFonts w:ascii="Calibri" w:hAnsi="Calibri"/>
      <w:color w:val="2C384A" w:themeColor="accent1"/>
      <w:sz w:val="40"/>
    </w:rPr>
  </w:style>
  <w:style w:type="character" w:styleId="FollowedHyperlink">
    <w:name w:val="FollowedHyperlink"/>
    <w:basedOn w:val="DefaultParagraphFont"/>
    <w:uiPriority w:val="99"/>
    <w:semiHidden/>
    <w:unhideWhenUsed/>
    <w:rsid w:val="00E02B6D"/>
    <w:rPr>
      <w:color w:val="844D9E" w:themeColor="followedHyperlink"/>
      <w:u w:val="single"/>
    </w:rPr>
  </w:style>
  <w:style w:type="character" w:styleId="UnresolvedMention1" w:customStyle="1">
    <w:name w:val="Unresolved Mention1"/>
    <w:basedOn w:val="DefaultParagraphFont"/>
    <w:uiPriority w:val="99"/>
    <w:semiHidden/>
    <w:unhideWhenUsed/>
    <w:rsid w:val="006351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02F1"/>
    <w:rPr>
      <w:rFonts w:ascii="Calibri Light" w:hAnsi="Calibri Light"/>
      <w:b/>
      <w:bCs/>
    </w:rPr>
  </w:style>
  <w:style w:type="character" w:styleId="CommentSubjectChar" w:customStyle="1">
    <w:name w:val="Comment Subject Char"/>
    <w:basedOn w:val="CommentTextChar"/>
    <w:link w:val="CommentSubject"/>
    <w:uiPriority w:val="99"/>
    <w:semiHidden/>
    <w:rsid w:val="00C102F1"/>
    <w:rPr>
      <w:rFonts w:ascii="Calibri Light" w:hAnsi="Calibri Light" w:eastAsia="Times New Roman" w:cs="Times New Roman"/>
      <w:b/>
      <w:bCs/>
      <w:sz w:val="20"/>
      <w:szCs w:val="20"/>
      <w:lang w:eastAsia="en-AU"/>
    </w:rPr>
  </w:style>
  <w:style w:type="paragraph" w:styleId="Bullets" w:customStyle="1">
    <w:name w:val="Bullets"/>
    <w:basedOn w:val="ListParagraph"/>
    <w:link w:val="BulletsChar"/>
    <w:qFormat/>
    <w:rsid w:val="00F22CA6"/>
    <w:pPr>
      <w:numPr>
        <w:numId w:val="10"/>
      </w:numPr>
      <w:tabs>
        <w:tab w:val="left" w:pos="426"/>
      </w:tabs>
      <w:spacing w:before="0"/>
      <w:contextualSpacing w:val="0"/>
    </w:pPr>
    <w:rPr>
      <w:color w:val="000000" w:themeColor="text1"/>
    </w:rPr>
  </w:style>
  <w:style w:type="character" w:styleId="BulletsChar" w:customStyle="1">
    <w:name w:val="Bullets Char"/>
    <w:basedOn w:val="DefaultParagraphFont"/>
    <w:link w:val="Bullets"/>
    <w:rsid w:val="00DE1399"/>
    <w:rPr>
      <w:rFonts w:ascii="Calibri Light" w:hAnsi="Calibri Light" w:eastAsia="Times New Roman" w:cs="Times New Roman"/>
      <w:color w:val="000000" w:themeColor="text1"/>
      <w:szCs w:val="20"/>
      <w:lang w:eastAsia="en-AU"/>
    </w:rPr>
  </w:style>
  <w:style w:type="table" w:styleId="PlainTable3">
    <w:name w:val="Plain Table 3"/>
    <w:basedOn w:val="TableNormal"/>
    <w:uiPriority w:val="43"/>
    <w:rsid w:val="00420C32"/>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20C32"/>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74FA7"/>
    <w:pPr>
      <w:spacing w:after="0" w:line="240" w:lineRule="auto"/>
    </w:pPr>
    <w:rPr>
      <w:rFonts w:ascii="Calibri Light" w:hAnsi="Calibri Light" w:eastAsia="Times New Roman" w:cs="Times New Roman"/>
      <w:szCs w:val="20"/>
      <w:lang w:eastAsia="en-AU"/>
    </w:rPr>
  </w:style>
  <w:style w:type="table" w:styleId="TableGrid1" w:customStyle="1">
    <w:name w:val="Table Grid1"/>
    <w:basedOn w:val="TableNormal"/>
    <w:next w:val="TableGrid"/>
    <w:uiPriority w:val="39"/>
    <w:rsid w:val="00152C66"/>
    <w:pPr>
      <w:spacing w:after="0" w:line="240" w:lineRule="auto"/>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F533AC"/>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LatinArialNarrow" w:customStyle="1">
    <w:name w:val="Normal + (Latin) Arial Narrow"/>
    <w:aliases w:val="(Complex) Arial,14 pt,(Latin) Bold + Arial Narr..."/>
    <w:basedOn w:val="Normal"/>
    <w:rsid w:val="00A17C4E"/>
    <w:pPr>
      <w:spacing w:before="0" w:after="0"/>
    </w:pPr>
    <w:rPr>
      <w:rFonts w:ascii="Arial" w:hAnsi="Arial"/>
      <w:sz w:val="18"/>
      <w:szCs w:val="18"/>
    </w:rPr>
  </w:style>
  <w:style w:type="paragraph" w:styleId="CABBulletList" w:customStyle="1">
    <w:name w:val="CAB Bullet List"/>
    <w:basedOn w:val="ListParagraph"/>
    <w:uiPriority w:val="98"/>
    <w:qFormat/>
    <w:rsid w:val="00A243D4"/>
    <w:pPr>
      <w:numPr>
        <w:numId w:val="21"/>
      </w:numPr>
      <w:tabs>
        <w:tab w:val="num" w:pos="360"/>
        <w:tab w:val="left" w:pos="851"/>
      </w:tabs>
      <w:spacing w:before="60" w:after="60"/>
    </w:pPr>
    <w:rPr>
      <w:rFonts w:ascii="Arial" w:hAnsi="Arial" w:eastAsiaTheme="minorHAnsi" w:cstheme="minorBidi"/>
      <w:szCs w:val="22"/>
      <w:lang w:eastAsia="en-US"/>
    </w:rPr>
  </w:style>
  <w:style w:type="table" w:styleId="TableGrid3" w:customStyle="1">
    <w:name w:val="Table Grid3"/>
    <w:basedOn w:val="TableNormal"/>
    <w:next w:val="TableGrid"/>
    <w:uiPriority w:val="39"/>
    <w:rsid w:val="008A2801"/>
    <w:pPr>
      <w:spacing w:after="0" w:line="240" w:lineRule="auto"/>
    </w:pPr>
    <w:rPr>
      <w:rFonts w:ascii="Times New Roman" w:hAnsi="Times New Roman" w:eastAsia="Times New Roman" w:cs="Times New Roman"/>
      <w:sz w:val="20"/>
      <w:szCs w:val="20"/>
      <w:lang w:eastAsia="en-A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241C0F"/>
  </w:style>
  <w:style w:type="character" w:styleId="eop" w:customStyle="1">
    <w:name w:val="eop"/>
    <w:basedOn w:val="DefaultParagraphFont"/>
    <w:rsid w:val="00241C0F"/>
  </w:style>
  <w:style w:type="paragraph" w:styleId="paragraph" w:customStyle="1">
    <w:name w:val="paragraph"/>
    <w:basedOn w:val="Normal"/>
    <w:rsid w:val="003D2F05"/>
    <w:pPr>
      <w:spacing w:before="100" w:beforeAutospacing="1" w:after="100" w:afterAutospacing="1"/>
    </w:pPr>
    <w:rPr>
      <w:rFonts w:ascii="Times New Roman" w:hAnsi="Times New Roman"/>
      <w:sz w:val="24"/>
      <w:szCs w:val="24"/>
    </w:rPr>
  </w:style>
  <w:style w:type="character" w:styleId="superscript" w:customStyle="1">
    <w:name w:val="superscript"/>
    <w:basedOn w:val="DefaultParagraphFont"/>
    <w:rsid w:val="003D2F05"/>
  </w:style>
  <w:style w:type="paragraph" w:styleId="NormalWeb">
    <w:name w:val="Normal (Web)"/>
    <w:basedOn w:val="Normal"/>
    <w:uiPriority w:val="99"/>
    <w:unhideWhenUsed/>
    <w:rsid w:val="00933F5C"/>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F42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4492">
      <w:bodyDiv w:val="1"/>
      <w:marLeft w:val="0"/>
      <w:marRight w:val="0"/>
      <w:marTop w:val="0"/>
      <w:marBottom w:val="0"/>
      <w:divBdr>
        <w:top w:val="none" w:sz="0" w:space="0" w:color="auto"/>
        <w:left w:val="none" w:sz="0" w:space="0" w:color="auto"/>
        <w:bottom w:val="none" w:sz="0" w:space="0" w:color="auto"/>
        <w:right w:val="none" w:sz="0" w:space="0" w:color="auto"/>
      </w:divBdr>
    </w:div>
    <w:div w:id="130514575">
      <w:bodyDiv w:val="1"/>
      <w:marLeft w:val="0"/>
      <w:marRight w:val="0"/>
      <w:marTop w:val="0"/>
      <w:marBottom w:val="0"/>
      <w:divBdr>
        <w:top w:val="none" w:sz="0" w:space="0" w:color="auto"/>
        <w:left w:val="none" w:sz="0" w:space="0" w:color="auto"/>
        <w:bottom w:val="none" w:sz="0" w:space="0" w:color="auto"/>
        <w:right w:val="none" w:sz="0" w:space="0" w:color="auto"/>
      </w:divBdr>
    </w:div>
    <w:div w:id="147209175">
      <w:bodyDiv w:val="1"/>
      <w:marLeft w:val="0"/>
      <w:marRight w:val="0"/>
      <w:marTop w:val="0"/>
      <w:marBottom w:val="0"/>
      <w:divBdr>
        <w:top w:val="none" w:sz="0" w:space="0" w:color="auto"/>
        <w:left w:val="none" w:sz="0" w:space="0" w:color="auto"/>
        <w:bottom w:val="none" w:sz="0" w:space="0" w:color="auto"/>
        <w:right w:val="none" w:sz="0" w:space="0" w:color="auto"/>
      </w:divBdr>
    </w:div>
    <w:div w:id="173956635">
      <w:bodyDiv w:val="1"/>
      <w:marLeft w:val="0"/>
      <w:marRight w:val="0"/>
      <w:marTop w:val="0"/>
      <w:marBottom w:val="0"/>
      <w:divBdr>
        <w:top w:val="none" w:sz="0" w:space="0" w:color="auto"/>
        <w:left w:val="none" w:sz="0" w:space="0" w:color="auto"/>
        <w:bottom w:val="none" w:sz="0" w:space="0" w:color="auto"/>
        <w:right w:val="none" w:sz="0" w:space="0" w:color="auto"/>
      </w:divBdr>
    </w:div>
    <w:div w:id="175771152">
      <w:bodyDiv w:val="1"/>
      <w:marLeft w:val="0"/>
      <w:marRight w:val="0"/>
      <w:marTop w:val="0"/>
      <w:marBottom w:val="0"/>
      <w:divBdr>
        <w:top w:val="none" w:sz="0" w:space="0" w:color="auto"/>
        <w:left w:val="none" w:sz="0" w:space="0" w:color="auto"/>
        <w:bottom w:val="none" w:sz="0" w:space="0" w:color="auto"/>
        <w:right w:val="none" w:sz="0" w:space="0" w:color="auto"/>
      </w:divBdr>
    </w:div>
    <w:div w:id="177621208">
      <w:bodyDiv w:val="1"/>
      <w:marLeft w:val="0"/>
      <w:marRight w:val="0"/>
      <w:marTop w:val="0"/>
      <w:marBottom w:val="0"/>
      <w:divBdr>
        <w:top w:val="none" w:sz="0" w:space="0" w:color="auto"/>
        <w:left w:val="none" w:sz="0" w:space="0" w:color="auto"/>
        <w:bottom w:val="none" w:sz="0" w:space="0" w:color="auto"/>
        <w:right w:val="none" w:sz="0" w:space="0" w:color="auto"/>
      </w:divBdr>
    </w:div>
    <w:div w:id="283775046">
      <w:bodyDiv w:val="1"/>
      <w:marLeft w:val="0"/>
      <w:marRight w:val="0"/>
      <w:marTop w:val="0"/>
      <w:marBottom w:val="0"/>
      <w:divBdr>
        <w:top w:val="none" w:sz="0" w:space="0" w:color="auto"/>
        <w:left w:val="none" w:sz="0" w:space="0" w:color="auto"/>
        <w:bottom w:val="none" w:sz="0" w:space="0" w:color="auto"/>
        <w:right w:val="none" w:sz="0" w:space="0" w:color="auto"/>
      </w:divBdr>
    </w:div>
    <w:div w:id="323433147">
      <w:bodyDiv w:val="1"/>
      <w:marLeft w:val="0"/>
      <w:marRight w:val="0"/>
      <w:marTop w:val="0"/>
      <w:marBottom w:val="0"/>
      <w:divBdr>
        <w:top w:val="none" w:sz="0" w:space="0" w:color="auto"/>
        <w:left w:val="none" w:sz="0" w:space="0" w:color="auto"/>
        <w:bottom w:val="none" w:sz="0" w:space="0" w:color="auto"/>
        <w:right w:val="none" w:sz="0" w:space="0" w:color="auto"/>
      </w:divBdr>
    </w:div>
    <w:div w:id="366563415">
      <w:bodyDiv w:val="1"/>
      <w:marLeft w:val="0"/>
      <w:marRight w:val="0"/>
      <w:marTop w:val="0"/>
      <w:marBottom w:val="0"/>
      <w:divBdr>
        <w:top w:val="none" w:sz="0" w:space="0" w:color="auto"/>
        <w:left w:val="none" w:sz="0" w:space="0" w:color="auto"/>
        <w:bottom w:val="none" w:sz="0" w:space="0" w:color="auto"/>
        <w:right w:val="none" w:sz="0" w:space="0" w:color="auto"/>
      </w:divBdr>
    </w:div>
    <w:div w:id="383411515">
      <w:bodyDiv w:val="1"/>
      <w:marLeft w:val="0"/>
      <w:marRight w:val="0"/>
      <w:marTop w:val="0"/>
      <w:marBottom w:val="0"/>
      <w:divBdr>
        <w:top w:val="none" w:sz="0" w:space="0" w:color="auto"/>
        <w:left w:val="none" w:sz="0" w:space="0" w:color="auto"/>
        <w:bottom w:val="none" w:sz="0" w:space="0" w:color="auto"/>
        <w:right w:val="none" w:sz="0" w:space="0" w:color="auto"/>
      </w:divBdr>
    </w:div>
    <w:div w:id="655492417">
      <w:bodyDiv w:val="1"/>
      <w:marLeft w:val="0"/>
      <w:marRight w:val="0"/>
      <w:marTop w:val="0"/>
      <w:marBottom w:val="0"/>
      <w:divBdr>
        <w:top w:val="none" w:sz="0" w:space="0" w:color="auto"/>
        <w:left w:val="none" w:sz="0" w:space="0" w:color="auto"/>
        <w:bottom w:val="none" w:sz="0" w:space="0" w:color="auto"/>
        <w:right w:val="none" w:sz="0" w:space="0" w:color="auto"/>
      </w:divBdr>
    </w:div>
    <w:div w:id="660932322">
      <w:bodyDiv w:val="1"/>
      <w:marLeft w:val="0"/>
      <w:marRight w:val="0"/>
      <w:marTop w:val="0"/>
      <w:marBottom w:val="0"/>
      <w:divBdr>
        <w:top w:val="none" w:sz="0" w:space="0" w:color="auto"/>
        <w:left w:val="none" w:sz="0" w:space="0" w:color="auto"/>
        <w:bottom w:val="none" w:sz="0" w:space="0" w:color="auto"/>
        <w:right w:val="none" w:sz="0" w:space="0" w:color="auto"/>
      </w:divBdr>
    </w:div>
    <w:div w:id="681203329">
      <w:bodyDiv w:val="1"/>
      <w:marLeft w:val="0"/>
      <w:marRight w:val="0"/>
      <w:marTop w:val="0"/>
      <w:marBottom w:val="0"/>
      <w:divBdr>
        <w:top w:val="none" w:sz="0" w:space="0" w:color="auto"/>
        <w:left w:val="none" w:sz="0" w:space="0" w:color="auto"/>
        <w:bottom w:val="none" w:sz="0" w:space="0" w:color="auto"/>
        <w:right w:val="none" w:sz="0" w:space="0" w:color="auto"/>
      </w:divBdr>
    </w:div>
    <w:div w:id="719716872">
      <w:bodyDiv w:val="1"/>
      <w:marLeft w:val="0"/>
      <w:marRight w:val="0"/>
      <w:marTop w:val="0"/>
      <w:marBottom w:val="0"/>
      <w:divBdr>
        <w:top w:val="none" w:sz="0" w:space="0" w:color="auto"/>
        <w:left w:val="none" w:sz="0" w:space="0" w:color="auto"/>
        <w:bottom w:val="none" w:sz="0" w:space="0" w:color="auto"/>
        <w:right w:val="none" w:sz="0" w:space="0" w:color="auto"/>
      </w:divBdr>
    </w:div>
    <w:div w:id="891043853">
      <w:bodyDiv w:val="1"/>
      <w:marLeft w:val="0"/>
      <w:marRight w:val="0"/>
      <w:marTop w:val="0"/>
      <w:marBottom w:val="0"/>
      <w:divBdr>
        <w:top w:val="none" w:sz="0" w:space="0" w:color="auto"/>
        <w:left w:val="none" w:sz="0" w:space="0" w:color="auto"/>
        <w:bottom w:val="none" w:sz="0" w:space="0" w:color="auto"/>
        <w:right w:val="none" w:sz="0" w:space="0" w:color="auto"/>
      </w:divBdr>
      <w:divsChild>
        <w:div w:id="99838084">
          <w:marLeft w:val="547"/>
          <w:marRight w:val="0"/>
          <w:marTop w:val="0"/>
          <w:marBottom w:val="0"/>
          <w:divBdr>
            <w:top w:val="none" w:sz="0" w:space="0" w:color="auto"/>
            <w:left w:val="none" w:sz="0" w:space="0" w:color="auto"/>
            <w:bottom w:val="none" w:sz="0" w:space="0" w:color="auto"/>
            <w:right w:val="none" w:sz="0" w:space="0" w:color="auto"/>
          </w:divBdr>
        </w:div>
      </w:divsChild>
    </w:div>
    <w:div w:id="943537133">
      <w:bodyDiv w:val="1"/>
      <w:marLeft w:val="0"/>
      <w:marRight w:val="0"/>
      <w:marTop w:val="0"/>
      <w:marBottom w:val="0"/>
      <w:divBdr>
        <w:top w:val="none" w:sz="0" w:space="0" w:color="auto"/>
        <w:left w:val="none" w:sz="0" w:space="0" w:color="auto"/>
        <w:bottom w:val="none" w:sz="0" w:space="0" w:color="auto"/>
        <w:right w:val="none" w:sz="0" w:space="0" w:color="auto"/>
      </w:divBdr>
    </w:div>
    <w:div w:id="972055671">
      <w:bodyDiv w:val="1"/>
      <w:marLeft w:val="0"/>
      <w:marRight w:val="0"/>
      <w:marTop w:val="0"/>
      <w:marBottom w:val="0"/>
      <w:divBdr>
        <w:top w:val="none" w:sz="0" w:space="0" w:color="auto"/>
        <w:left w:val="none" w:sz="0" w:space="0" w:color="auto"/>
        <w:bottom w:val="none" w:sz="0" w:space="0" w:color="auto"/>
        <w:right w:val="none" w:sz="0" w:space="0" w:color="auto"/>
      </w:divBdr>
    </w:div>
    <w:div w:id="1104958475">
      <w:bodyDiv w:val="1"/>
      <w:marLeft w:val="0"/>
      <w:marRight w:val="0"/>
      <w:marTop w:val="0"/>
      <w:marBottom w:val="0"/>
      <w:divBdr>
        <w:top w:val="none" w:sz="0" w:space="0" w:color="auto"/>
        <w:left w:val="none" w:sz="0" w:space="0" w:color="auto"/>
        <w:bottom w:val="none" w:sz="0" w:space="0" w:color="auto"/>
        <w:right w:val="none" w:sz="0" w:space="0" w:color="auto"/>
      </w:divBdr>
    </w:div>
    <w:div w:id="1252348851">
      <w:bodyDiv w:val="1"/>
      <w:marLeft w:val="0"/>
      <w:marRight w:val="0"/>
      <w:marTop w:val="0"/>
      <w:marBottom w:val="0"/>
      <w:divBdr>
        <w:top w:val="none" w:sz="0" w:space="0" w:color="auto"/>
        <w:left w:val="none" w:sz="0" w:space="0" w:color="auto"/>
        <w:bottom w:val="none" w:sz="0" w:space="0" w:color="auto"/>
        <w:right w:val="none" w:sz="0" w:space="0" w:color="auto"/>
      </w:divBdr>
      <w:divsChild>
        <w:div w:id="323706165">
          <w:marLeft w:val="0"/>
          <w:marRight w:val="0"/>
          <w:marTop w:val="0"/>
          <w:marBottom w:val="0"/>
          <w:divBdr>
            <w:top w:val="none" w:sz="0" w:space="0" w:color="auto"/>
            <w:left w:val="none" w:sz="0" w:space="0" w:color="auto"/>
            <w:bottom w:val="none" w:sz="0" w:space="0" w:color="auto"/>
            <w:right w:val="none" w:sz="0" w:space="0" w:color="auto"/>
          </w:divBdr>
        </w:div>
        <w:div w:id="508449344">
          <w:marLeft w:val="0"/>
          <w:marRight w:val="0"/>
          <w:marTop w:val="0"/>
          <w:marBottom w:val="0"/>
          <w:divBdr>
            <w:top w:val="none" w:sz="0" w:space="0" w:color="auto"/>
            <w:left w:val="none" w:sz="0" w:space="0" w:color="auto"/>
            <w:bottom w:val="none" w:sz="0" w:space="0" w:color="auto"/>
            <w:right w:val="none" w:sz="0" w:space="0" w:color="auto"/>
          </w:divBdr>
        </w:div>
        <w:div w:id="1871141002">
          <w:marLeft w:val="0"/>
          <w:marRight w:val="0"/>
          <w:marTop w:val="0"/>
          <w:marBottom w:val="0"/>
          <w:divBdr>
            <w:top w:val="none" w:sz="0" w:space="0" w:color="auto"/>
            <w:left w:val="none" w:sz="0" w:space="0" w:color="auto"/>
            <w:bottom w:val="none" w:sz="0" w:space="0" w:color="auto"/>
            <w:right w:val="none" w:sz="0" w:space="0" w:color="auto"/>
          </w:divBdr>
        </w:div>
        <w:div w:id="2056812083">
          <w:marLeft w:val="0"/>
          <w:marRight w:val="0"/>
          <w:marTop w:val="0"/>
          <w:marBottom w:val="0"/>
          <w:divBdr>
            <w:top w:val="none" w:sz="0" w:space="0" w:color="auto"/>
            <w:left w:val="none" w:sz="0" w:space="0" w:color="auto"/>
            <w:bottom w:val="none" w:sz="0" w:space="0" w:color="auto"/>
            <w:right w:val="none" w:sz="0" w:space="0" w:color="auto"/>
          </w:divBdr>
        </w:div>
      </w:divsChild>
    </w:div>
    <w:div w:id="1297637345">
      <w:bodyDiv w:val="1"/>
      <w:marLeft w:val="0"/>
      <w:marRight w:val="0"/>
      <w:marTop w:val="0"/>
      <w:marBottom w:val="0"/>
      <w:divBdr>
        <w:top w:val="none" w:sz="0" w:space="0" w:color="auto"/>
        <w:left w:val="none" w:sz="0" w:space="0" w:color="auto"/>
        <w:bottom w:val="none" w:sz="0" w:space="0" w:color="auto"/>
        <w:right w:val="none" w:sz="0" w:space="0" w:color="auto"/>
      </w:divBdr>
    </w:div>
    <w:div w:id="1321498201">
      <w:bodyDiv w:val="1"/>
      <w:marLeft w:val="0"/>
      <w:marRight w:val="0"/>
      <w:marTop w:val="0"/>
      <w:marBottom w:val="0"/>
      <w:divBdr>
        <w:top w:val="none" w:sz="0" w:space="0" w:color="auto"/>
        <w:left w:val="none" w:sz="0" w:space="0" w:color="auto"/>
        <w:bottom w:val="none" w:sz="0" w:space="0" w:color="auto"/>
        <w:right w:val="none" w:sz="0" w:space="0" w:color="auto"/>
      </w:divBdr>
    </w:div>
    <w:div w:id="1366100282">
      <w:bodyDiv w:val="1"/>
      <w:marLeft w:val="0"/>
      <w:marRight w:val="0"/>
      <w:marTop w:val="0"/>
      <w:marBottom w:val="0"/>
      <w:divBdr>
        <w:top w:val="none" w:sz="0" w:space="0" w:color="auto"/>
        <w:left w:val="none" w:sz="0" w:space="0" w:color="auto"/>
        <w:bottom w:val="none" w:sz="0" w:space="0" w:color="auto"/>
        <w:right w:val="none" w:sz="0" w:space="0" w:color="auto"/>
      </w:divBdr>
      <w:divsChild>
        <w:div w:id="1049694675">
          <w:marLeft w:val="547"/>
          <w:marRight w:val="0"/>
          <w:marTop w:val="0"/>
          <w:marBottom w:val="0"/>
          <w:divBdr>
            <w:top w:val="none" w:sz="0" w:space="0" w:color="auto"/>
            <w:left w:val="none" w:sz="0" w:space="0" w:color="auto"/>
            <w:bottom w:val="none" w:sz="0" w:space="0" w:color="auto"/>
            <w:right w:val="none" w:sz="0" w:space="0" w:color="auto"/>
          </w:divBdr>
        </w:div>
      </w:divsChild>
    </w:div>
    <w:div w:id="1445267751">
      <w:bodyDiv w:val="1"/>
      <w:marLeft w:val="0"/>
      <w:marRight w:val="0"/>
      <w:marTop w:val="0"/>
      <w:marBottom w:val="0"/>
      <w:divBdr>
        <w:top w:val="none" w:sz="0" w:space="0" w:color="auto"/>
        <w:left w:val="none" w:sz="0" w:space="0" w:color="auto"/>
        <w:bottom w:val="none" w:sz="0" w:space="0" w:color="auto"/>
        <w:right w:val="none" w:sz="0" w:space="0" w:color="auto"/>
      </w:divBdr>
    </w:div>
    <w:div w:id="1508716417">
      <w:bodyDiv w:val="1"/>
      <w:marLeft w:val="0"/>
      <w:marRight w:val="0"/>
      <w:marTop w:val="0"/>
      <w:marBottom w:val="0"/>
      <w:divBdr>
        <w:top w:val="none" w:sz="0" w:space="0" w:color="auto"/>
        <w:left w:val="none" w:sz="0" w:space="0" w:color="auto"/>
        <w:bottom w:val="none" w:sz="0" w:space="0" w:color="auto"/>
        <w:right w:val="none" w:sz="0" w:space="0" w:color="auto"/>
      </w:divBdr>
    </w:div>
    <w:div w:id="1665471965">
      <w:bodyDiv w:val="1"/>
      <w:marLeft w:val="0"/>
      <w:marRight w:val="0"/>
      <w:marTop w:val="0"/>
      <w:marBottom w:val="0"/>
      <w:divBdr>
        <w:top w:val="none" w:sz="0" w:space="0" w:color="auto"/>
        <w:left w:val="none" w:sz="0" w:space="0" w:color="auto"/>
        <w:bottom w:val="none" w:sz="0" w:space="0" w:color="auto"/>
        <w:right w:val="none" w:sz="0" w:space="0" w:color="auto"/>
      </w:divBdr>
      <w:divsChild>
        <w:div w:id="2076782398">
          <w:marLeft w:val="547"/>
          <w:marRight w:val="0"/>
          <w:marTop w:val="0"/>
          <w:marBottom w:val="0"/>
          <w:divBdr>
            <w:top w:val="none" w:sz="0" w:space="0" w:color="auto"/>
            <w:left w:val="none" w:sz="0" w:space="0" w:color="auto"/>
            <w:bottom w:val="none" w:sz="0" w:space="0" w:color="auto"/>
            <w:right w:val="none" w:sz="0" w:space="0" w:color="auto"/>
          </w:divBdr>
        </w:div>
      </w:divsChild>
    </w:div>
    <w:div w:id="1702390196">
      <w:bodyDiv w:val="1"/>
      <w:marLeft w:val="0"/>
      <w:marRight w:val="0"/>
      <w:marTop w:val="0"/>
      <w:marBottom w:val="0"/>
      <w:divBdr>
        <w:top w:val="none" w:sz="0" w:space="0" w:color="auto"/>
        <w:left w:val="none" w:sz="0" w:space="0" w:color="auto"/>
        <w:bottom w:val="none" w:sz="0" w:space="0" w:color="auto"/>
        <w:right w:val="none" w:sz="0" w:space="0" w:color="auto"/>
      </w:divBdr>
    </w:div>
    <w:div w:id="1800799357">
      <w:bodyDiv w:val="1"/>
      <w:marLeft w:val="0"/>
      <w:marRight w:val="0"/>
      <w:marTop w:val="0"/>
      <w:marBottom w:val="0"/>
      <w:divBdr>
        <w:top w:val="none" w:sz="0" w:space="0" w:color="auto"/>
        <w:left w:val="none" w:sz="0" w:space="0" w:color="auto"/>
        <w:bottom w:val="none" w:sz="0" w:space="0" w:color="auto"/>
        <w:right w:val="none" w:sz="0" w:space="0" w:color="auto"/>
      </w:divBdr>
      <w:divsChild>
        <w:div w:id="547686670">
          <w:marLeft w:val="547"/>
          <w:marRight w:val="0"/>
          <w:marTop w:val="0"/>
          <w:marBottom w:val="0"/>
          <w:divBdr>
            <w:top w:val="none" w:sz="0" w:space="0" w:color="auto"/>
            <w:left w:val="none" w:sz="0" w:space="0" w:color="auto"/>
            <w:bottom w:val="none" w:sz="0" w:space="0" w:color="auto"/>
            <w:right w:val="none" w:sz="0" w:space="0" w:color="auto"/>
          </w:divBdr>
        </w:div>
      </w:divsChild>
    </w:div>
    <w:div w:id="1916161707">
      <w:bodyDiv w:val="1"/>
      <w:marLeft w:val="0"/>
      <w:marRight w:val="0"/>
      <w:marTop w:val="0"/>
      <w:marBottom w:val="0"/>
      <w:divBdr>
        <w:top w:val="none" w:sz="0" w:space="0" w:color="auto"/>
        <w:left w:val="none" w:sz="0" w:space="0" w:color="auto"/>
        <w:bottom w:val="none" w:sz="0" w:space="0" w:color="auto"/>
        <w:right w:val="none" w:sz="0" w:space="0" w:color="auto"/>
      </w:divBdr>
    </w:div>
    <w:div w:id="1968273763">
      <w:bodyDiv w:val="1"/>
      <w:marLeft w:val="0"/>
      <w:marRight w:val="0"/>
      <w:marTop w:val="0"/>
      <w:marBottom w:val="0"/>
      <w:divBdr>
        <w:top w:val="none" w:sz="0" w:space="0" w:color="auto"/>
        <w:left w:val="none" w:sz="0" w:space="0" w:color="auto"/>
        <w:bottom w:val="none" w:sz="0" w:space="0" w:color="auto"/>
        <w:right w:val="none" w:sz="0" w:space="0" w:color="auto"/>
      </w:divBdr>
      <w:divsChild>
        <w:div w:id="1135680830">
          <w:marLeft w:val="547"/>
          <w:marRight w:val="0"/>
          <w:marTop w:val="0"/>
          <w:marBottom w:val="0"/>
          <w:divBdr>
            <w:top w:val="none" w:sz="0" w:space="0" w:color="auto"/>
            <w:left w:val="none" w:sz="0" w:space="0" w:color="auto"/>
            <w:bottom w:val="none" w:sz="0" w:space="0" w:color="auto"/>
            <w:right w:val="none" w:sz="0" w:space="0" w:color="auto"/>
          </w:divBdr>
        </w:div>
      </w:divsChild>
    </w:div>
    <w:div w:id="2023585594">
      <w:bodyDiv w:val="1"/>
      <w:marLeft w:val="0"/>
      <w:marRight w:val="0"/>
      <w:marTop w:val="0"/>
      <w:marBottom w:val="0"/>
      <w:divBdr>
        <w:top w:val="none" w:sz="0" w:space="0" w:color="auto"/>
        <w:left w:val="none" w:sz="0" w:space="0" w:color="auto"/>
        <w:bottom w:val="none" w:sz="0" w:space="0" w:color="auto"/>
        <w:right w:val="none" w:sz="0" w:space="0" w:color="auto"/>
      </w:divBdr>
    </w:div>
    <w:div w:id="2024936360">
      <w:bodyDiv w:val="1"/>
      <w:marLeft w:val="0"/>
      <w:marRight w:val="0"/>
      <w:marTop w:val="0"/>
      <w:marBottom w:val="0"/>
      <w:divBdr>
        <w:top w:val="none" w:sz="0" w:space="0" w:color="auto"/>
        <w:left w:val="none" w:sz="0" w:space="0" w:color="auto"/>
        <w:bottom w:val="none" w:sz="0" w:space="0" w:color="auto"/>
        <w:right w:val="none" w:sz="0" w:space="0" w:color="auto"/>
      </w:divBdr>
    </w:div>
    <w:div w:id="2122524961">
      <w:bodyDiv w:val="1"/>
      <w:marLeft w:val="0"/>
      <w:marRight w:val="0"/>
      <w:marTop w:val="0"/>
      <w:marBottom w:val="0"/>
      <w:divBdr>
        <w:top w:val="none" w:sz="0" w:space="0" w:color="auto"/>
        <w:left w:val="none" w:sz="0" w:space="0" w:color="auto"/>
        <w:bottom w:val="none" w:sz="0" w:space="0" w:color="auto"/>
        <w:right w:val="none" w:sz="0" w:space="0" w:color="auto"/>
      </w:divBdr>
      <w:divsChild>
        <w:div w:id="425200874">
          <w:marLeft w:val="547"/>
          <w:marRight w:val="0"/>
          <w:marTop w:val="0"/>
          <w:marBottom w:val="0"/>
          <w:divBdr>
            <w:top w:val="none" w:sz="0" w:space="0" w:color="auto"/>
            <w:left w:val="none" w:sz="0" w:space="0" w:color="auto"/>
            <w:bottom w:val="none" w:sz="0" w:space="0" w:color="auto"/>
            <w:right w:val="none" w:sz="0" w:space="0" w:color="auto"/>
          </w:divBdr>
        </w:div>
        <w:div w:id="15880796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www.pmc.gov.au/government/commonwealth-coat-arms" TargetMode="External"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creativecommons.org/licenses/by/3.0/au/deed.en" TargetMode="Externa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image" Target="media/image2.wmf" Id="rId16" /><Relationship Type="http://schemas.openxmlformats.org/officeDocument/2006/relationships/header" Target="header2.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hyperlink" Target="http://creativecommons.org/licenses/by/3.0/au/legalcode" TargetMode="External" Id="rId15" /><Relationship Type="http://schemas.openxmlformats.org/officeDocument/2006/relationships/hyperlink" Target="https://treasury.gov.au/consultation/c2022-297736"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mailto:medialiaison@treasury.gov.au"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creativecommons.org/licenses/by/3.0/au/deed.en" TargetMode="External" Id="rId14" /><Relationship Type="http://schemas.openxmlformats.org/officeDocument/2006/relationships/footer" Target="footer3.xml" Id="rId22" /><Relationship Type="http://schemas.openxmlformats.org/officeDocument/2006/relationships/footer" Target="footer5.xml" Id="rId27"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oecd.org/tax/beps/common-errors-mnes-cbc-reports.pdf" TargetMode="External"/><Relationship Id="rId13" Type="http://schemas.openxmlformats.org/officeDocument/2006/relationships/hyperlink" Target="https://www.transparency.gov.au/annual-reports/australian-taxation-office/reporting-year/2021-22" TargetMode="External"/><Relationship Id="rId18" Type="http://schemas.openxmlformats.org/officeDocument/2006/relationships/hyperlink" Target="https://www.ato.gov.au/General/Tax-and-Corporate-Australia/In-detail/Demographics-of-large-corporate-groups/" TargetMode="External"/><Relationship Id="rId3" Type="http://schemas.openxmlformats.org/officeDocument/2006/relationships/hyperlink" Target="https://www.ato.gov.au/business/large-business/corporate-tax-transparency/" TargetMode="External"/><Relationship Id="rId7" Type="http://schemas.openxmlformats.org/officeDocument/2006/relationships/hyperlink" Target="https://www.oecd.org/tax/tax-policy/corporate-tax-statistics-country-by-country-reporting-FAQs.pdf" TargetMode="External"/><Relationship Id="rId12" Type="http://schemas.openxmlformats.org/officeDocument/2006/relationships/hyperlink" Target="http://www.ato.gov.au/business/international-tax-for-business/in-detail/transfer-pricing/country-by-country-reporting/" TargetMode="External"/><Relationship Id="rId17" Type="http://schemas.openxmlformats.org/officeDocument/2006/relationships/hyperlink" Target="https://www.nsx.com.au/marketdata/directory/" TargetMode="External"/><Relationship Id="rId2" Type="http://schemas.openxmlformats.org/officeDocument/2006/relationships/hyperlink" Target="https://blog-pfm.imf.org/en/pfmblog/2022/10/developing-and-using-global-tax-transparency-principles" TargetMode="External"/><Relationship Id="rId16" Type="http://schemas.openxmlformats.org/officeDocument/2006/relationships/hyperlink" Target="https://stats.oecd.org/Index.aspx?DataSetCode=CBCR_TABLEI" TargetMode="External"/><Relationship Id="rId20" Type="http://schemas.openxmlformats.org/officeDocument/2006/relationships/hyperlink" Target="https://assets.kpmg.com/content/dam/kpmg/se/pdf/komm/2022/Global-Survey-of-Sustainability-Reporting-2022.pdf" TargetMode="External"/><Relationship Id="rId1" Type="http://schemas.openxmlformats.org/officeDocument/2006/relationships/hyperlink" Target="https://www.oecd.org/tax/beps/" TargetMode="External"/><Relationship Id="rId6" Type="http://schemas.openxmlformats.org/officeDocument/2006/relationships/hyperlink" Target="https://taxboard.gov.au/sites/taxboard.gov.au/files/migrated/TTC-Consultation-Paper-final.pdf" TargetMode="External"/><Relationship Id="rId11" Type="http://schemas.openxmlformats.org/officeDocument/2006/relationships/hyperlink" Target="https://www.ato.gov.au/About-ATO/Research-and-statistics/In-detail/Tax-gap/Large-corporate-groups-income-tax-gap/" TargetMode="External"/><Relationship Id="rId5" Type="http://schemas.openxmlformats.org/officeDocument/2006/relationships/hyperlink" Target="https://taxboard.gov.au/current-activities/corporate-tax-transparency-code-and-register" TargetMode="External"/><Relationship Id="rId15" Type="http://schemas.openxmlformats.org/officeDocument/2006/relationships/hyperlink" Target="https://assets.kpmg.com/content/dam/kpmg/se/pdf/komm/2022/Global-Survey-of-Sustainability-Reporting-2022.pdf" TargetMode="External"/><Relationship Id="rId10" Type="http://schemas.openxmlformats.org/officeDocument/2006/relationships/hyperlink" Target="https://kpmg.com/xx/en/blogs/home/posts/2022/11/esg-scrutiny-shines-spotlight-on-tax-transparency.html" TargetMode="External"/><Relationship Id="rId19" Type="http://schemas.openxmlformats.org/officeDocument/2006/relationships/hyperlink" Target="https://assets.kpmg.com/content/dam/kpmg/xx/pdf/2023/04/eu-public-country-by-country-reporting-latest.pdf" TargetMode="External"/><Relationship Id="rId4" Type="http://schemas.openxmlformats.org/officeDocument/2006/relationships/hyperlink" Target="https://openknowledge.worldbank.org/server/api/core/bitstreams/7225ce2e-99d7-50b7-9ae7-a640a95ae2c0/content" TargetMode="External"/><Relationship Id="rId9" Type="http://schemas.openxmlformats.org/officeDocument/2006/relationships/hyperlink" Target="https://eur-lex.europa.eu/legal-content/EN/TXT/PDF/?uri=CELEX:32021L2101" TargetMode="External"/><Relationship Id="rId14" Type="http://schemas.openxmlformats.org/officeDocument/2006/relationships/hyperlink" Target="https://eur-lex.europa.eu/legal-content/EN/TXT/PDF/?uri=CELEX:32021L21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Reg%20Impact%20Statement.dotx" TargetMode="External"/></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DOCID-322795542-34868</_dlc_DocId>
    <_dlc_DocIdUrl xmlns="4195ad5f-cdf2-4c4a-8d9b-b7944a108e98">
      <Url>https://pmc01.sharepoint.com/sites/CRMOBPR/_layouts/15/DocIdRedir.aspx?ID=DOCID-322795542-34868</Url>
      <Description>DOCID-322795542-34868</Description>
    </_dlc_DocIdUrl>
    <TaxCatchAll xmlns="4195ad5f-cdf2-4c4a-8d9b-b7944a108e98" xsi:nil="true"/>
    <_ip_UnifiedCompliancePolicyUIAction xmlns="http://schemas.microsoft.com/sharepoint/v3" xsi:nil="true"/>
    <_ip_UnifiedCompliancePolicyProperties xmlns="http://schemas.microsoft.com/sharepoint/v3" xsi:nil="true"/>
    <lcf76f155ced4ddcb4097134ff3c332f xmlns="26285671-540d-468b-b7a1-f3e0438dd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B9A138-FEB4-4017-9646-21CD9E38585E}"/>
</file>

<file path=customXml/itemProps2.xml><?xml version="1.0" encoding="utf-8"?>
<ds:datastoreItem xmlns:ds="http://schemas.openxmlformats.org/officeDocument/2006/customXml" ds:itemID="{3C943C5B-8D35-4D2B-8F3F-C225E33397BA}">
  <ds:schemaRefs>
    <ds:schemaRef ds:uri="http://schemas.microsoft.com/sharepoint/events"/>
  </ds:schemaRefs>
</ds:datastoreItem>
</file>

<file path=customXml/itemProps3.xml><?xml version="1.0" encoding="utf-8"?>
<ds:datastoreItem xmlns:ds="http://schemas.openxmlformats.org/officeDocument/2006/customXml" ds:itemID="{83644A9B-3CE7-4340-856F-622A69BAD175}">
  <ds:schemaRefs>
    <ds:schemaRef ds:uri="http://schemas.openxmlformats.org/officeDocument/2006/bibliography"/>
  </ds:schemaRefs>
</ds:datastoreItem>
</file>

<file path=customXml/itemProps4.xml><?xml version="1.0" encoding="utf-8"?>
<ds:datastoreItem xmlns:ds="http://schemas.openxmlformats.org/officeDocument/2006/customXml" ds:itemID="{A99ECAC9-780F-4FDE-8AAE-CFDC9301C3C6}">
  <ds:schemaRefs>
    <ds:schemaRef ds:uri="http://schemas.microsoft.com/sharepoint/v3/contenttype/forms"/>
  </ds:schemaRefs>
</ds:datastoreItem>
</file>

<file path=customXml/itemProps5.xml><?xml version="1.0" encoding="utf-8"?>
<ds:datastoreItem xmlns:ds="http://schemas.openxmlformats.org/officeDocument/2006/customXml" ds:itemID="{26FB62F2-EC4B-4539-BB25-DA0017EBD204}">
  <ds:schemaRefs>
    <ds:schemaRef ds:uri="http://schemas.microsoft.com/office/2006/metadata/properties"/>
    <ds:schemaRef ds:uri="http://schemas.microsoft.com/office/infopath/2007/PartnerControls"/>
    <ds:schemaRef ds:uri="fe39d773-a83d-4623-ae74-f25711a76616"/>
    <ds:schemaRef ds:uri="ef209f3f-5c93-47d0-a846-df4853a4fc2c"/>
  </ds:schemaRefs>
</ds:datastoreItem>
</file>

<file path=docProps/app.xml><?xml version="1.0" encoding="utf-8"?>
<Properties xmlns="http://schemas.openxmlformats.org/officeDocument/2006/extended-properties" xmlns:vt="http://schemas.openxmlformats.org/officeDocument/2006/docPropsVTypes">
  <Template>TSY Reg Impact Statement.dotx</Template>
  <TotalTime>276</TotalTime>
  <Pages>1</Pages>
  <Words>7627</Words>
  <Characters>43480</Characters>
  <Application>Microsoft Office Word</Application>
  <DocSecurity>4</DocSecurity>
  <Lines>362</Lines>
  <Paragraphs>102</Paragraphs>
  <ScaleCrop>false</ScaleCrop>
  <HeadingPairs>
    <vt:vector size="2" baseType="variant">
      <vt:variant>
        <vt:lpstr>Title</vt:lpstr>
      </vt:variant>
      <vt:variant>
        <vt:i4>1</vt:i4>
      </vt:variant>
    </vt:vector>
  </HeadingPairs>
  <TitlesOfParts>
    <vt:vector size="1" baseType="lpstr">
      <vt:lpstr>Regulation impact statement</vt:lpstr>
    </vt:vector>
  </TitlesOfParts>
  <Company>Australian Government - The Treasury</Company>
  <LinksUpToDate>false</LinksUpToDate>
  <CharactersWithSpaces>51005</CharactersWithSpaces>
  <SharedDoc>false</SharedDoc>
  <HLinks>
    <vt:vector size="282" baseType="variant">
      <vt:variant>
        <vt:i4>1048657</vt:i4>
      </vt:variant>
      <vt:variant>
        <vt:i4>144</vt:i4>
      </vt:variant>
      <vt:variant>
        <vt:i4>0</vt:i4>
      </vt:variant>
      <vt:variant>
        <vt:i4>5</vt:i4>
      </vt:variant>
      <vt:variant>
        <vt:lpwstr>https://treasury.gov.au/consultation/c2022-297736</vt:lpwstr>
      </vt:variant>
      <vt:variant>
        <vt:lpwstr/>
      </vt:variant>
      <vt:variant>
        <vt:i4>1507385</vt:i4>
      </vt:variant>
      <vt:variant>
        <vt:i4>137</vt:i4>
      </vt:variant>
      <vt:variant>
        <vt:i4>0</vt:i4>
      </vt:variant>
      <vt:variant>
        <vt:i4>5</vt:i4>
      </vt:variant>
      <vt:variant>
        <vt:lpwstr/>
      </vt:variant>
      <vt:variant>
        <vt:lpwstr>_Toc138754509</vt:lpwstr>
      </vt:variant>
      <vt:variant>
        <vt:i4>1507385</vt:i4>
      </vt:variant>
      <vt:variant>
        <vt:i4>131</vt:i4>
      </vt:variant>
      <vt:variant>
        <vt:i4>0</vt:i4>
      </vt:variant>
      <vt:variant>
        <vt:i4>5</vt:i4>
      </vt:variant>
      <vt:variant>
        <vt:lpwstr/>
      </vt:variant>
      <vt:variant>
        <vt:lpwstr>_Toc138754508</vt:lpwstr>
      </vt:variant>
      <vt:variant>
        <vt:i4>1507385</vt:i4>
      </vt:variant>
      <vt:variant>
        <vt:i4>125</vt:i4>
      </vt:variant>
      <vt:variant>
        <vt:i4>0</vt:i4>
      </vt:variant>
      <vt:variant>
        <vt:i4>5</vt:i4>
      </vt:variant>
      <vt:variant>
        <vt:lpwstr/>
      </vt:variant>
      <vt:variant>
        <vt:lpwstr>_Toc138754507</vt:lpwstr>
      </vt:variant>
      <vt:variant>
        <vt:i4>1507385</vt:i4>
      </vt:variant>
      <vt:variant>
        <vt:i4>119</vt:i4>
      </vt:variant>
      <vt:variant>
        <vt:i4>0</vt:i4>
      </vt:variant>
      <vt:variant>
        <vt:i4>5</vt:i4>
      </vt:variant>
      <vt:variant>
        <vt:lpwstr/>
      </vt:variant>
      <vt:variant>
        <vt:lpwstr>_Toc138754506</vt:lpwstr>
      </vt:variant>
      <vt:variant>
        <vt:i4>1507385</vt:i4>
      </vt:variant>
      <vt:variant>
        <vt:i4>113</vt:i4>
      </vt:variant>
      <vt:variant>
        <vt:i4>0</vt:i4>
      </vt:variant>
      <vt:variant>
        <vt:i4>5</vt:i4>
      </vt:variant>
      <vt:variant>
        <vt:lpwstr/>
      </vt:variant>
      <vt:variant>
        <vt:lpwstr>_Toc138754505</vt:lpwstr>
      </vt:variant>
      <vt:variant>
        <vt:i4>1507385</vt:i4>
      </vt:variant>
      <vt:variant>
        <vt:i4>107</vt:i4>
      </vt:variant>
      <vt:variant>
        <vt:i4>0</vt:i4>
      </vt:variant>
      <vt:variant>
        <vt:i4>5</vt:i4>
      </vt:variant>
      <vt:variant>
        <vt:lpwstr/>
      </vt:variant>
      <vt:variant>
        <vt:lpwstr>_Toc138754504</vt:lpwstr>
      </vt:variant>
      <vt:variant>
        <vt:i4>1507385</vt:i4>
      </vt:variant>
      <vt:variant>
        <vt:i4>101</vt:i4>
      </vt:variant>
      <vt:variant>
        <vt:i4>0</vt:i4>
      </vt:variant>
      <vt:variant>
        <vt:i4>5</vt:i4>
      </vt:variant>
      <vt:variant>
        <vt:lpwstr/>
      </vt:variant>
      <vt:variant>
        <vt:lpwstr>_Toc138754503</vt:lpwstr>
      </vt:variant>
      <vt:variant>
        <vt:i4>1507385</vt:i4>
      </vt:variant>
      <vt:variant>
        <vt:i4>95</vt:i4>
      </vt:variant>
      <vt:variant>
        <vt:i4>0</vt:i4>
      </vt:variant>
      <vt:variant>
        <vt:i4>5</vt:i4>
      </vt:variant>
      <vt:variant>
        <vt:lpwstr/>
      </vt:variant>
      <vt:variant>
        <vt:lpwstr>_Toc138754502</vt:lpwstr>
      </vt:variant>
      <vt:variant>
        <vt:i4>1507385</vt:i4>
      </vt:variant>
      <vt:variant>
        <vt:i4>89</vt:i4>
      </vt:variant>
      <vt:variant>
        <vt:i4>0</vt:i4>
      </vt:variant>
      <vt:variant>
        <vt:i4>5</vt:i4>
      </vt:variant>
      <vt:variant>
        <vt:lpwstr/>
      </vt:variant>
      <vt:variant>
        <vt:lpwstr>_Toc138754501</vt:lpwstr>
      </vt:variant>
      <vt:variant>
        <vt:i4>1507385</vt:i4>
      </vt:variant>
      <vt:variant>
        <vt:i4>83</vt:i4>
      </vt:variant>
      <vt:variant>
        <vt:i4>0</vt:i4>
      </vt:variant>
      <vt:variant>
        <vt:i4>5</vt:i4>
      </vt:variant>
      <vt:variant>
        <vt:lpwstr/>
      </vt:variant>
      <vt:variant>
        <vt:lpwstr>_Toc138754500</vt:lpwstr>
      </vt:variant>
      <vt:variant>
        <vt:i4>1966136</vt:i4>
      </vt:variant>
      <vt:variant>
        <vt:i4>77</vt:i4>
      </vt:variant>
      <vt:variant>
        <vt:i4>0</vt:i4>
      </vt:variant>
      <vt:variant>
        <vt:i4>5</vt:i4>
      </vt:variant>
      <vt:variant>
        <vt:lpwstr/>
      </vt:variant>
      <vt:variant>
        <vt:lpwstr>_Toc138754499</vt:lpwstr>
      </vt:variant>
      <vt:variant>
        <vt:i4>1966136</vt:i4>
      </vt:variant>
      <vt:variant>
        <vt:i4>71</vt:i4>
      </vt:variant>
      <vt:variant>
        <vt:i4>0</vt:i4>
      </vt:variant>
      <vt:variant>
        <vt:i4>5</vt:i4>
      </vt:variant>
      <vt:variant>
        <vt:lpwstr/>
      </vt:variant>
      <vt:variant>
        <vt:lpwstr>_Toc138754498</vt:lpwstr>
      </vt:variant>
      <vt:variant>
        <vt:i4>1966136</vt:i4>
      </vt:variant>
      <vt:variant>
        <vt:i4>65</vt:i4>
      </vt:variant>
      <vt:variant>
        <vt:i4>0</vt:i4>
      </vt:variant>
      <vt:variant>
        <vt:i4>5</vt:i4>
      </vt:variant>
      <vt:variant>
        <vt:lpwstr/>
      </vt:variant>
      <vt:variant>
        <vt:lpwstr>_Toc138754497</vt:lpwstr>
      </vt:variant>
      <vt:variant>
        <vt:i4>1966136</vt:i4>
      </vt:variant>
      <vt:variant>
        <vt:i4>59</vt:i4>
      </vt:variant>
      <vt:variant>
        <vt:i4>0</vt:i4>
      </vt:variant>
      <vt:variant>
        <vt:i4>5</vt:i4>
      </vt:variant>
      <vt:variant>
        <vt:lpwstr/>
      </vt:variant>
      <vt:variant>
        <vt:lpwstr>_Toc138754496</vt:lpwstr>
      </vt:variant>
      <vt:variant>
        <vt:i4>1966136</vt:i4>
      </vt:variant>
      <vt:variant>
        <vt:i4>53</vt:i4>
      </vt:variant>
      <vt:variant>
        <vt:i4>0</vt:i4>
      </vt:variant>
      <vt:variant>
        <vt:i4>5</vt:i4>
      </vt:variant>
      <vt:variant>
        <vt:lpwstr/>
      </vt:variant>
      <vt:variant>
        <vt:lpwstr>_Toc138754495</vt:lpwstr>
      </vt:variant>
      <vt:variant>
        <vt:i4>1966136</vt:i4>
      </vt:variant>
      <vt:variant>
        <vt:i4>47</vt:i4>
      </vt:variant>
      <vt:variant>
        <vt:i4>0</vt:i4>
      </vt:variant>
      <vt:variant>
        <vt:i4>5</vt:i4>
      </vt:variant>
      <vt:variant>
        <vt:lpwstr/>
      </vt:variant>
      <vt:variant>
        <vt:lpwstr>_Toc138754494</vt:lpwstr>
      </vt:variant>
      <vt:variant>
        <vt:i4>1966136</vt:i4>
      </vt:variant>
      <vt:variant>
        <vt:i4>41</vt:i4>
      </vt:variant>
      <vt:variant>
        <vt:i4>0</vt:i4>
      </vt:variant>
      <vt:variant>
        <vt:i4>5</vt:i4>
      </vt:variant>
      <vt:variant>
        <vt:lpwstr/>
      </vt:variant>
      <vt:variant>
        <vt:lpwstr>_Toc138754493</vt:lpwstr>
      </vt:variant>
      <vt:variant>
        <vt:i4>1966136</vt:i4>
      </vt:variant>
      <vt:variant>
        <vt:i4>35</vt:i4>
      </vt:variant>
      <vt:variant>
        <vt:i4>0</vt:i4>
      </vt:variant>
      <vt:variant>
        <vt:i4>5</vt:i4>
      </vt:variant>
      <vt:variant>
        <vt:lpwstr/>
      </vt:variant>
      <vt:variant>
        <vt:lpwstr>_Toc138754492</vt:lpwstr>
      </vt:variant>
      <vt:variant>
        <vt:i4>1966136</vt:i4>
      </vt:variant>
      <vt:variant>
        <vt:i4>29</vt:i4>
      </vt:variant>
      <vt:variant>
        <vt:i4>0</vt:i4>
      </vt:variant>
      <vt:variant>
        <vt:i4>5</vt:i4>
      </vt:variant>
      <vt:variant>
        <vt:lpwstr/>
      </vt:variant>
      <vt:variant>
        <vt:lpwstr>_Toc138754491</vt:lpwstr>
      </vt:variant>
      <vt:variant>
        <vt:i4>1966136</vt:i4>
      </vt:variant>
      <vt:variant>
        <vt:i4>23</vt:i4>
      </vt:variant>
      <vt:variant>
        <vt:i4>0</vt:i4>
      </vt:variant>
      <vt:variant>
        <vt:i4>5</vt:i4>
      </vt:variant>
      <vt:variant>
        <vt:lpwstr/>
      </vt:variant>
      <vt:variant>
        <vt:lpwstr>_Toc138754490</vt:lpwstr>
      </vt:variant>
      <vt:variant>
        <vt:i4>2031672</vt:i4>
      </vt:variant>
      <vt:variant>
        <vt:i4>17</vt:i4>
      </vt:variant>
      <vt:variant>
        <vt:i4>0</vt:i4>
      </vt:variant>
      <vt:variant>
        <vt:i4>5</vt:i4>
      </vt:variant>
      <vt:variant>
        <vt:lpwstr/>
      </vt:variant>
      <vt:variant>
        <vt:lpwstr>_Toc138754489</vt:lpwstr>
      </vt:variant>
      <vt:variant>
        <vt:i4>4849705</vt:i4>
      </vt:variant>
      <vt:variant>
        <vt:i4>12</vt:i4>
      </vt:variant>
      <vt:variant>
        <vt:i4>0</vt:i4>
      </vt:variant>
      <vt:variant>
        <vt:i4>5</vt:i4>
      </vt:variant>
      <vt:variant>
        <vt:lpwstr>mailto:medialiaison@treasury.gov.au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1638477</vt:i4>
      </vt:variant>
      <vt:variant>
        <vt:i4>57</vt:i4>
      </vt:variant>
      <vt:variant>
        <vt:i4>0</vt:i4>
      </vt:variant>
      <vt:variant>
        <vt:i4>5</vt:i4>
      </vt:variant>
      <vt:variant>
        <vt:lpwstr>https://assets.kpmg.com/content/dam/kpmg/se/pdf/komm/2022/Global-Survey-of-Sustainability-Reporting-2022.pdf</vt:lpwstr>
      </vt:variant>
      <vt:variant>
        <vt:lpwstr/>
      </vt:variant>
      <vt:variant>
        <vt:i4>6226013</vt:i4>
      </vt:variant>
      <vt:variant>
        <vt:i4>54</vt:i4>
      </vt:variant>
      <vt:variant>
        <vt:i4>0</vt:i4>
      </vt:variant>
      <vt:variant>
        <vt:i4>5</vt:i4>
      </vt:variant>
      <vt:variant>
        <vt:lpwstr>https://assets.kpmg.com/content/dam/kpmg/xx/pdf/2023/04/eu-public-country-by-country-reporting-latest.pdf</vt:lpwstr>
      </vt:variant>
      <vt:variant>
        <vt:lpwstr/>
      </vt:variant>
      <vt:variant>
        <vt:i4>1704001</vt:i4>
      </vt:variant>
      <vt:variant>
        <vt:i4>51</vt:i4>
      </vt:variant>
      <vt:variant>
        <vt:i4>0</vt:i4>
      </vt:variant>
      <vt:variant>
        <vt:i4>5</vt:i4>
      </vt:variant>
      <vt:variant>
        <vt:lpwstr>https://www.ato.gov.au/General/Tax-and-Corporate-Australia/In-detail/Demographics-of-large-corporate-groups/</vt:lpwstr>
      </vt:variant>
      <vt:variant>
        <vt:lpwstr/>
      </vt:variant>
      <vt:variant>
        <vt:i4>4259851</vt:i4>
      </vt:variant>
      <vt:variant>
        <vt:i4>48</vt:i4>
      </vt:variant>
      <vt:variant>
        <vt:i4>0</vt:i4>
      </vt:variant>
      <vt:variant>
        <vt:i4>5</vt:i4>
      </vt:variant>
      <vt:variant>
        <vt:lpwstr>https://www.nsx.com.au/marketdata/directory/</vt:lpwstr>
      </vt:variant>
      <vt:variant>
        <vt:lpwstr/>
      </vt:variant>
      <vt:variant>
        <vt:i4>5308479</vt:i4>
      </vt:variant>
      <vt:variant>
        <vt:i4>45</vt:i4>
      </vt:variant>
      <vt:variant>
        <vt:i4>0</vt:i4>
      </vt:variant>
      <vt:variant>
        <vt:i4>5</vt:i4>
      </vt:variant>
      <vt:variant>
        <vt:lpwstr>https://stats.oecd.org/Index.aspx?DataSetCode=CBCR_TABLEI</vt:lpwstr>
      </vt:variant>
      <vt:variant>
        <vt:lpwstr/>
      </vt:variant>
      <vt:variant>
        <vt:i4>1638477</vt:i4>
      </vt:variant>
      <vt:variant>
        <vt:i4>42</vt:i4>
      </vt:variant>
      <vt:variant>
        <vt:i4>0</vt:i4>
      </vt:variant>
      <vt:variant>
        <vt:i4>5</vt:i4>
      </vt:variant>
      <vt:variant>
        <vt:lpwstr>https://assets.kpmg.com/content/dam/kpmg/se/pdf/komm/2022/Global-Survey-of-Sustainability-Reporting-2022.pdf</vt:lpwstr>
      </vt:variant>
      <vt:variant>
        <vt:lpwstr/>
      </vt:variant>
      <vt:variant>
        <vt:i4>1966089</vt:i4>
      </vt:variant>
      <vt:variant>
        <vt:i4>39</vt:i4>
      </vt:variant>
      <vt:variant>
        <vt:i4>0</vt:i4>
      </vt:variant>
      <vt:variant>
        <vt:i4>5</vt:i4>
      </vt:variant>
      <vt:variant>
        <vt:lpwstr>https://eur-lex.europa.eu/legal-content/EN/TXT/PDF/?uri=CELEX:32021L2101</vt:lpwstr>
      </vt:variant>
      <vt:variant>
        <vt:lpwstr/>
      </vt:variant>
      <vt:variant>
        <vt:i4>6094852</vt:i4>
      </vt:variant>
      <vt:variant>
        <vt:i4>36</vt:i4>
      </vt:variant>
      <vt:variant>
        <vt:i4>0</vt:i4>
      </vt:variant>
      <vt:variant>
        <vt:i4>5</vt:i4>
      </vt:variant>
      <vt:variant>
        <vt:lpwstr>https://www.transparency.gov.au/annual-reports/australian-taxation-office/reporting-year/2021-22</vt:lpwstr>
      </vt:variant>
      <vt:variant>
        <vt:lpwstr/>
      </vt:variant>
      <vt:variant>
        <vt:i4>3932219</vt:i4>
      </vt:variant>
      <vt:variant>
        <vt:i4>33</vt:i4>
      </vt:variant>
      <vt:variant>
        <vt:i4>0</vt:i4>
      </vt:variant>
      <vt:variant>
        <vt:i4>5</vt:i4>
      </vt:variant>
      <vt:variant>
        <vt:lpwstr>http://www.ato.gov.au/business/international-tax-for-business/in-detail/transfer-pricing/country-by-country-reporting/</vt:lpwstr>
      </vt:variant>
      <vt:variant>
        <vt:lpwstr/>
      </vt:variant>
      <vt:variant>
        <vt:i4>4849690</vt:i4>
      </vt:variant>
      <vt:variant>
        <vt:i4>30</vt:i4>
      </vt:variant>
      <vt:variant>
        <vt:i4>0</vt:i4>
      </vt:variant>
      <vt:variant>
        <vt:i4>5</vt:i4>
      </vt:variant>
      <vt:variant>
        <vt:lpwstr>https://www.ato.gov.au/About-ATO/Research-and-statistics/In-detail/Tax-gap/Large-corporate-groups-income-tax-gap/</vt:lpwstr>
      </vt:variant>
      <vt:variant>
        <vt:lpwstr/>
      </vt:variant>
      <vt:variant>
        <vt:i4>3801210</vt:i4>
      </vt:variant>
      <vt:variant>
        <vt:i4>27</vt:i4>
      </vt:variant>
      <vt:variant>
        <vt:i4>0</vt:i4>
      </vt:variant>
      <vt:variant>
        <vt:i4>5</vt:i4>
      </vt:variant>
      <vt:variant>
        <vt:lpwstr>https://kpmg.com/xx/en/blogs/home/posts/2022/11/esg-scrutiny-shines-spotlight-on-tax-transparency.html</vt:lpwstr>
      </vt:variant>
      <vt:variant>
        <vt:lpwstr/>
      </vt:variant>
      <vt:variant>
        <vt:i4>1966089</vt:i4>
      </vt:variant>
      <vt:variant>
        <vt:i4>24</vt:i4>
      </vt:variant>
      <vt:variant>
        <vt:i4>0</vt:i4>
      </vt:variant>
      <vt:variant>
        <vt:i4>5</vt:i4>
      </vt:variant>
      <vt:variant>
        <vt:lpwstr>https://eur-lex.europa.eu/legal-content/EN/TXT/PDF/?uri=CELEX:32021L2101</vt:lpwstr>
      </vt:variant>
      <vt:variant>
        <vt:lpwstr/>
      </vt:variant>
      <vt:variant>
        <vt:i4>6029339</vt:i4>
      </vt:variant>
      <vt:variant>
        <vt:i4>21</vt:i4>
      </vt:variant>
      <vt:variant>
        <vt:i4>0</vt:i4>
      </vt:variant>
      <vt:variant>
        <vt:i4>5</vt:i4>
      </vt:variant>
      <vt:variant>
        <vt:lpwstr>https://www.oecd.org/tax/beps/common-errors-mnes-cbc-reports.pdf</vt:lpwstr>
      </vt:variant>
      <vt:variant>
        <vt:lpwstr/>
      </vt:variant>
      <vt:variant>
        <vt:i4>3342442</vt:i4>
      </vt:variant>
      <vt:variant>
        <vt:i4>18</vt:i4>
      </vt:variant>
      <vt:variant>
        <vt:i4>0</vt:i4>
      </vt:variant>
      <vt:variant>
        <vt:i4>5</vt:i4>
      </vt:variant>
      <vt:variant>
        <vt:lpwstr>https://www.oecd.org/tax/tax-policy/corporate-tax-statistics-country-by-country-reporting-FAQs.pdf</vt:lpwstr>
      </vt:variant>
      <vt:variant>
        <vt:lpwstr/>
      </vt:variant>
      <vt:variant>
        <vt:i4>6029381</vt:i4>
      </vt:variant>
      <vt:variant>
        <vt:i4>15</vt:i4>
      </vt:variant>
      <vt:variant>
        <vt:i4>0</vt:i4>
      </vt:variant>
      <vt:variant>
        <vt:i4>5</vt:i4>
      </vt:variant>
      <vt:variant>
        <vt:lpwstr>https://taxboard.gov.au/sites/taxboard.gov.au/files/migrated/TTC-Consultation-Paper-final.pdf</vt:lpwstr>
      </vt:variant>
      <vt:variant>
        <vt:lpwstr/>
      </vt:variant>
      <vt:variant>
        <vt:i4>2293878</vt:i4>
      </vt:variant>
      <vt:variant>
        <vt:i4>12</vt:i4>
      </vt:variant>
      <vt:variant>
        <vt:i4>0</vt:i4>
      </vt:variant>
      <vt:variant>
        <vt:i4>5</vt:i4>
      </vt:variant>
      <vt:variant>
        <vt:lpwstr>https://taxboard.gov.au/current-activities/corporate-tax-transparency-code-and-register</vt:lpwstr>
      </vt:variant>
      <vt:variant>
        <vt:lpwstr/>
      </vt:variant>
      <vt:variant>
        <vt:i4>7143470</vt:i4>
      </vt:variant>
      <vt:variant>
        <vt:i4>9</vt:i4>
      </vt:variant>
      <vt:variant>
        <vt:i4>0</vt:i4>
      </vt:variant>
      <vt:variant>
        <vt:i4>5</vt:i4>
      </vt:variant>
      <vt:variant>
        <vt:lpwstr>https://openknowledge.worldbank.org/server/api/core/bitstreams/7225ce2e-99d7-50b7-9ae7-a640a95ae2c0/content</vt:lpwstr>
      </vt:variant>
      <vt:variant>
        <vt:lpwstr/>
      </vt:variant>
      <vt:variant>
        <vt:i4>8126514</vt:i4>
      </vt:variant>
      <vt:variant>
        <vt:i4>6</vt:i4>
      </vt:variant>
      <vt:variant>
        <vt:i4>0</vt:i4>
      </vt:variant>
      <vt:variant>
        <vt:i4>5</vt:i4>
      </vt:variant>
      <vt:variant>
        <vt:lpwstr>https://www.ato.gov.au/business/large-business/corporate-tax-transparency/</vt:lpwstr>
      </vt:variant>
      <vt:variant>
        <vt:lpwstr/>
      </vt:variant>
      <vt:variant>
        <vt:i4>6488116</vt:i4>
      </vt:variant>
      <vt:variant>
        <vt:i4>3</vt:i4>
      </vt:variant>
      <vt:variant>
        <vt:i4>0</vt:i4>
      </vt:variant>
      <vt:variant>
        <vt:i4>5</vt:i4>
      </vt:variant>
      <vt:variant>
        <vt:lpwstr>https://blog-pfm.imf.org/en/pfmblog/2022/10/developing-and-using-global-tax-transparency-principles</vt:lpwstr>
      </vt:variant>
      <vt:variant>
        <vt:lpwstr/>
      </vt:variant>
      <vt:variant>
        <vt:i4>7340135</vt:i4>
      </vt:variant>
      <vt:variant>
        <vt:i4>0</vt:i4>
      </vt:variant>
      <vt:variant>
        <vt:i4>0</vt:i4>
      </vt:variant>
      <vt:variant>
        <vt:i4>5</vt:i4>
      </vt:variant>
      <vt:variant>
        <vt:lpwstr>https://www.oecd.org/tax/beps/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impact statement</dc:title>
  <dc:subject/>
  <dc:creator>Denness, Bonnie</dc:creator>
  <cp:keywords/>
  <cp:lastModifiedBy>Mispelhorn, Oliver</cp:lastModifiedBy>
  <cp:revision>200</cp:revision>
  <cp:lastPrinted>2023-06-28T09:23:00Z</cp:lastPrinted>
  <dcterms:created xsi:type="dcterms:W3CDTF">2023-05-25T12:28:00Z</dcterms:created>
  <dcterms:modified xsi:type="dcterms:W3CDTF">2023-07-10T20:10:00Z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aa438600-d9b9-414b-a6b4-f900a5237ec3</vt:lpwstr>
  </property>
  <property fmtid="{D5CDD505-2E9C-101B-9397-08002B2CF9AE}" pid="4" name="_NewReviewCycle">
    <vt:lpwstr/>
  </property>
  <property fmtid="{D5CDD505-2E9C-101B-9397-08002B2CF9AE}" pid="5" name="Language">
    <vt:lpwstr>English</vt:lpwstr>
  </property>
  <property fmtid="{D5CDD505-2E9C-101B-9397-08002B2CF9AE}" pid="6" name="International Agreements">
    <vt:lpwstr/>
  </property>
  <property fmtid="{D5CDD505-2E9C-101B-9397-08002B2CF9AE}" pid="7" name="eDocument_x0020_Type">
    <vt:lpwstr>181;#Regulation Impact Statement|3aebfa41-609f-4053-89bf-d50c80b1e781</vt:lpwstr>
  </property>
  <property fmtid="{D5CDD505-2E9C-101B-9397-08002B2CF9AE}" pid="8" name="Tax Integrity">
    <vt:lpwstr/>
  </property>
  <property fmtid="{D5CDD505-2E9C-101B-9397-08002B2CF9AE}" pid="9" name="eTheme/Activity/Document Type">
    <vt:lpwstr>1283;#Regulation Impact Statement|3eb13bc9-8cf4-4ba9-be1e-f8b8f41be17c</vt:lpwstr>
  </property>
  <property fmtid="{D5CDD505-2E9C-101B-9397-08002B2CF9AE}" pid="10" name="Input">
    <vt:lpwstr/>
  </property>
  <property fmtid="{D5CDD505-2E9C-101B-9397-08002B2CF9AE}" pid="11" name="Stakeholders">
    <vt:lpwstr/>
  </property>
  <property fmtid="{D5CDD505-2E9C-101B-9397-08002B2CF9AE}" pid="12" name="Tax Policy Principles">
    <vt:lpwstr/>
  </property>
  <property fmtid="{D5CDD505-2E9C-101B-9397-08002B2CF9AE}" pid="13" name="eTheme">
    <vt:lpwstr>1;#Taxation|e53aff8a-4a1a-4486-a4fc-f40489d68897</vt:lpwstr>
  </property>
  <property fmtid="{D5CDD505-2E9C-101B-9397-08002B2CF9AE}" pid="14" name="Other international agreements (not DTAs)">
    <vt:lpwstr/>
  </property>
  <property fmtid="{D5CDD505-2E9C-101B-9397-08002B2CF9AE}" pid="15" name="International Forum">
    <vt:lpwstr/>
  </property>
  <property fmtid="{D5CDD505-2E9C-101B-9397-08002B2CF9AE}" pid="16" name="eTheme/Topic">
    <vt:lpwstr>1134;#Tax Transparency|de6caf92-2e33-4bc5-80e4-e1776a864fec</vt:lpwstr>
  </property>
  <property fmtid="{D5CDD505-2E9C-101B-9397-08002B2CF9AE}" pid="17" name="n0adeebb38644e3a8c7de3f8fea0418e">
    <vt:lpwstr>Regulation Impact Statement|3aebfa41-609f-4053-89bf-d50c80b1e781</vt:lpwstr>
  </property>
  <property fmtid="{D5CDD505-2E9C-101B-9397-08002B2CF9AE}" pid="18" name="eTopic">
    <vt:lpwstr>207;#Tax Transparency|5cc01047-9c20-43c9-ac2e-954a066e5ce6;#218;#Procurement tax reporting|eb29065c-c462-48b4-a5bd-26785e580382;#205;#Public CbC|2dfeae7b-6df7-4f92-9aee-f711092db06d;#231;#Subsidiary disclosures|288f6eb7-ecb6-44b0-9627-5d1414fa02c5</vt:lpwstr>
  </property>
  <property fmtid="{D5CDD505-2E9C-101B-9397-08002B2CF9AE}" pid="19" name="Exchange of Information">
    <vt:lpwstr/>
  </property>
  <property fmtid="{D5CDD505-2E9C-101B-9397-08002B2CF9AE}" pid="20" name="eActivity">
    <vt:lpwstr>266;#Budget development|7ae33744-a841-4587-b256-5c3a31a97b54</vt:lpwstr>
  </property>
  <property fmtid="{D5CDD505-2E9C-101B-9397-08002B2CF9AE}" pid="21" name="eDocument Type">
    <vt:lpwstr>181;#Regulation Impact Statement|3aebfa41-609f-4053-89bf-d50c80b1e781</vt:lpwstr>
  </property>
  <property fmtid="{D5CDD505-2E9C-101B-9397-08002B2CF9AE}" pid="22" name="Sector">
    <vt:lpwstr/>
  </property>
  <property fmtid="{D5CDD505-2E9C-101B-9397-08002B2CF9AE}" pid="23" name="ceb8c4f4647046198a38a633d14483c1">
    <vt:lpwstr>Taxation|e53aff8a-4a1a-4486-a4fc-f40489d68897</vt:lpwstr>
  </property>
  <property fmtid="{D5CDD505-2E9C-101B-9397-08002B2CF9AE}" pid="24" name="aec7340661804c61a5c6d3d18e9a3b44">
    <vt:lpwstr>Tax Transparency|5cc01047-9c20-43c9-ac2e-954a066e5ce6</vt:lpwstr>
  </property>
  <property fmtid="{D5CDD505-2E9C-101B-9397-08002B2CF9AE}" pid="25" name="n5b5f1cefb2e4f15823921d1c3115a95">
    <vt:lpwstr>Budget|7ae33744-a841-4587-b256-5c3a31a97b54</vt:lpwstr>
  </property>
  <property fmtid="{D5CDD505-2E9C-101B-9397-08002B2CF9AE}" pid="26" name="Order">
    <vt:r8>11100</vt:r8>
  </property>
  <property fmtid="{D5CDD505-2E9C-101B-9397-08002B2CF9AE}" pid="27" name="TSYStatus">
    <vt:lpwstr/>
  </property>
  <property fmtid="{D5CDD505-2E9C-101B-9397-08002B2CF9AE}" pid="28" name="eDocumentType">
    <vt:lpwstr>267;#Policy Impact Analysis|3aebfa41-609f-4053-89bf-d50c80b1e781</vt:lpwstr>
  </property>
  <property fmtid="{D5CDD505-2E9C-101B-9397-08002B2CF9AE}" pid="29" name="MediaServiceImageTags">
    <vt:lpwstr/>
  </property>
</Properties>
</file>