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96E4C" w14:textId="77777777" w:rsidR="00C47C54" w:rsidRDefault="00C47C54" w:rsidP="00ED3CD3"/>
    <w:p w14:paraId="2D893493" w14:textId="5DAAE24C" w:rsidR="00C47C54" w:rsidRPr="00694C76" w:rsidRDefault="00B6214D" w:rsidP="00694C76">
      <w:pPr>
        <w:pStyle w:val="CoverLine"/>
      </w:pPr>
      <w:r w:rsidRPr="008A3584">
        <w:rPr>
          <w:noProof/>
          <w:lang w:eastAsia="en-AU"/>
        </w:rPr>
        <mc:AlternateContent>
          <mc:Choice Requires="wps">
            <w:drawing>
              <wp:anchor distT="0" distB="0" distL="114300" distR="114300" simplePos="0" relativeHeight="251658244" behindDoc="0" locked="0" layoutInCell="1" allowOverlap="1" wp14:anchorId="7A3B7040" wp14:editId="7BD4C937">
                <wp:simplePos x="0" y="0"/>
                <wp:positionH relativeFrom="page">
                  <wp:posOffset>648335</wp:posOffset>
                </wp:positionH>
                <wp:positionV relativeFrom="paragraph">
                  <wp:posOffset>1223645</wp:posOffset>
                </wp:positionV>
                <wp:extent cx="2383200" cy="691200"/>
                <wp:effectExtent l="0" t="0" r="16510" b="13970"/>
                <wp:wrapNone/>
                <wp:docPr id="12" name="Rectangle 12" descr="Background shape" title="Background shape"/>
                <wp:cNvGraphicFramePr/>
                <a:graphic xmlns:a="http://schemas.openxmlformats.org/drawingml/2006/main">
                  <a:graphicData uri="http://schemas.microsoft.com/office/word/2010/wordprocessingShape">
                    <wps:wsp>
                      <wps:cNvSpPr/>
                      <wps:spPr>
                        <a:xfrm>
                          <a:off x="0" y="0"/>
                          <a:ext cx="2383200" cy="69120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573332" w14:textId="62D3B0D6" w:rsidR="00C3122D" w:rsidRPr="00694C76" w:rsidRDefault="00C3122D" w:rsidP="00B6214D">
                            <w:pPr>
                              <w:pStyle w:val="Title"/>
                            </w:pPr>
                            <w:r>
                              <w:t>Discussion paper</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A3B7040" id="Rectangle 12" o:spid="_x0000_s1026" alt="Title: Background shape - Description: Background shape" style="position:absolute;left:0;text-align:left;margin-left:51.05pt;margin-top:96.35pt;width:187.65pt;height:54.45pt;z-index:25165824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" filled="f" stroked="f" strokeweight=".25pt">
                <v:textbox style="mso-fit-shape-to-text:t" inset="0,0,0,0">
                  <w:txbxContent>
                    <w:p w14:paraId="54573332" w14:textId="62D3B0D6" w:rsidR="00C3122D" w:rsidRPr="00694C76" w:rsidRDefault="00C3122D" w:rsidP="00B6214D">
                      <w:pPr>
                        <w:pStyle w:val="Title"/>
                      </w:pPr>
                      <w:r>
                        <w:t>Discussion paper</w:t>
                      </w:r>
                    </w:p>
                  </w:txbxContent>
                </v:textbox>
                <w10:wrap anchorx="page"/>
              </v:rect>
            </w:pict>
          </mc:Fallback>
        </mc:AlternateContent>
      </w:r>
      <w:r w:rsidR="008060EA">
        <w:t>Discussion paper</w:t>
      </w:r>
      <w:r w:rsidR="00FE110C" w:rsidRPr="008A3584">
        <w:rPr>
          <w:noProof/>
          <w:lang w:eastAsia="en-AU"/>
        </w:rPr>
        <mc:AlternateContent>
          <mc:Choice Requires="wps">
            <w:drawing>
              <wp:anchor distT="0" distB="0" distL="114300" distR="114300" simplePos="0" relativeHeight="251658240" behindDoc="1" locked="0" layoutInCell="1" allowOverlap="1" wp14:anchorId="7A3B7042" wp14:editId="2D384283">
                <wp:simplePos x="0" y="0"/>
                <wp:positionH relativeFrom="margin">
                  <wp:posOffset>-914400</wp:posOffset>
                </wp:positionH>
                <wp:positionV relativeFrom="margin">
                  <wp:posOffset>1019175</wp:posOffset>
                </wp:positionV>
                <wp:extent cx="6674400" cy="3045600"/>
                <wp:effectExtent l="0" t="0" r="0" b="3175"/>
                <wp:wrapNone/>
                <wp:docPr id="6" name="Rectangle 6" descr="Background shape" title="Background shape"/>
                <wp:cNvGraphicFramePr/>
                <a:graphic xmlns:a="http://schemas.openxmlformats.org/drawingml/2006/main">
                  <a:graphicData uri="http://schemas.microsoft.com/office/word/2010/wordprocessingShape">
                    <wps:wsp>
                      <wps:cNvSpPr/>
                      <wps:spPr>
                        <a:xfrm>
                          <a:off x="0" y="0"/>
                          <a:ext cx="6674400" cy="304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C954E3" w14:textId="337023CF" w:rsidR="00C3122D" w:rsidRDefault="00A4440D" w:rsidP="00FE110C">
                            <w:pPr>
                              <w:pStyle w:val="PaperTitle"/>
                            </w:pPr>
                            <w:r>
                              <w:t>Strengthening o</w:t>
                            </w:r>
                            <w:r w:rsidR="00C3122D">
                              <w:t xml:space="preserve">perational </w:t>
                            </w:r>
                            <w:r>
                              <w:t>r</w:t>
                            </w:r>
                            <w:r w:rsidR="00C3122D">
                              <w:t xml:space="preserve">isk </w:t>
                            </w:r>
                            <w:r>
                              <w:t>m</w:t>
                            </w:r>
                            <w:r w:rsidR="00C3122D">
                              <w:t>anagement</w:t>
                            </w:r>
                          </w:p>
                          <w:p w14:paraId="18CA7616" w14:textId="459F7137" w:rsidR="00C3122D" w:rsidRPr="00FE110C" w:rsidRDefault="00A4440D" w:rsidP="00FE110C">
                            <w:pPr>
                              <w:pStyle w:val="CoverDate"/>
                            </w:pPr>
                            <w:r w:rsidRPr="00C81670">
                              <w:t>July</w:t>
                            </w:r>
                            <w:r>
                              <w:t xml:space="preserve"> </w:t>
                            </w:r>
                            <w:r w:rsidR="00C3122D">
                              <w:t>2022</w:t>
                            </w:r>
                          </w:p>
                        </w:txbxContent>
                      </wps:txbx>
                      <wps:bodyPr rot="0" spcFirstLastPara="0" vertOverflow="overflow" horzOverflow="overflow" vert="horz" wrap="square" lIns="648000" tIns="45720" rIns="288000" bIns="3600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A3B7042" id="Rectangle 6" o:spid="_x0000_s1027" alt="Title: Background shape - Description: Background shape" style="position:absolute;left:0;text-align:left;margin-left:-1in;margin-top:80.25pt;width:525.55pt;height:239.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" fillcolor="white [3212]" stroked="f" strokeweight="2pt">
                <v:textbox style="mso-fit-shape-to-text:t" inset="18mm,,8mm,10mm">
                  <w:txbxContent>
                    <w:p w14:paraId="7AC954E3" w14:textId="337023CF" w:rsidR="00C3122D" w:rsidRDefault="00A4440D" w:rsidP="00FE110C">
                      <w:pPr>
                        <w:pStyle w:val="PaperTitle"/>
                      </w:pPr>
                      <w:r>
                        <w:t>Strengthening o</w:t>
                      </w:r>
                      <w:r w:rsidR="00C3122D">
                        <w:t xml:space="preserve">perational </w:t>
                      </w:r>
                      <w:r>
                        <w:t>r</w:t>
                      </w:r>
                      <w:r w:rsidR="00C3122D">
                        <w:t xml:space="preserve">isk </w:t>
                      </w:r>
                      <w:r>
                        <w:t>m</w:t>
                      </w:r>
                      <w:r w:rsidR="00C3122D">
                        <w:t>anagement</w:t>
                      </w:r>
                    </w:p>
                    <w:p w14:paraId="18CA7616" w14:textId="459F7137" w:rsidR="00C3122D" w:rsidRPr="00FE110C" w:rsidRDefault="00A4440D" w:rsidP="00FE110C">
                      <w:pPr>
                        <w:pStyle w:val="CoverDate"/>
                      </w:pPr>
                      <w:r w:rsidRPr="00C81670">
                        <w:t>July</w:t>
                      </w:r>
                      <w:r>
                        <w:t xml:space="preserve"> </w:t>
                      </w:r>
                      <w:r w:rsidR="00C3122D">
                        <w:t>2022</w:t>
                      </w:r>
                    </w:p>
                  </w:txbxContent>
                </v:textbox>
                <w10:wrap anchorx="margin" anchory="margin"/>
              </v:rect>
            </w:pict>
          </mc:Fallback>
        </mc:AlternateContent>
      </w:r>
    </w:p>
    <w:p w14:paraId="2A20F9F1" w14:textId="77777777" w:rsidR="003B51A4" w:rsidRDefault="003B51A4" w:rsidP="00C47C54">
      <w:r>
        <w:br w:type="page"/>
      </w:r>
    </w:p>
    <w:p w14:paraId="4E21651F" w14:textId="77777777" w:rsidR="003B51A4" w:rsidRPr="003B51A4" w:rsidRDefault="003B51A4" w:rsidP="00460E6B">
      <w:pPr>
        <w:pStyle w:val="DisclaimerHeading"/>
        <w:framePr w:wrap="around"/>
      </w:pPr>
      <w:r w:rsidRPr="008F1B07">
        <w:lastRenderedPageBreak/>
        <w:t>Disclaimer Text</w:t>
      </w:r>
    </w:p>
    <w:p w14:paraId="7231368B" w14:textId="77777777" w:rsidR="009A4242" w:rsidRDefault="009A4242" w:rsidP="009A4242">
      <w:pPr>
        <w:pStyle w:val="DisclaimerText"/>
        <w:framePr w:wrap="around"/>
      </w:pPr>
      <w:r>
        <w:t>While APRA endeavours to ensure the quality of this publication, it does not accept any responsibility for the accuracy, completeness or currency of the material included in this publication and will not be liable for any loss or damage arising out of any use of, or reliance on, this publication.</w:t>
      </w:r>
    </w:p>
    <w:p w14:paraId="65065BFE" w14:textId="77777777" w:rsidR="009A4242" w:rsidRPr="009A4242" w:rsidRDefault="009A4242" w:rsidP="009A4242">
      <w:pPr>
        <w:pStyle w:val="DisclaimerText"/>
        <w:framePr w:wrap="around"/>
        <w:rPr>
          <w:b/>
        </w:rPr>
      </w:pPr>
      <w:r w:rsidRPr="009A4242">
        <w:rPr>
          <w:b/>
        </w:rPr>
        <w:t>© Australian Prudential Regulation Authority (APRA)</w:t>
      </w:r>
    </w:p>
    <w:p w14:paraId="400415E3" w14:textId="77777777" w:rsidR="009A4242" w:rsidRDefault="009A4242" w:rsidP="009A4242">
      <w:pPr>
        <w:pStyle w:val="DisclaimerText"/>
        <w:framePr w:wrap="around"/>
      </w:pPr>
      <w:r>
        <w:t xml:space="preserve">This work is licensed under the Creative Commons Attribution 3.0 Australia Licence (CCBY 3.0). This licence allows you to copy, distribute and adapt this work, provided you attribute the work and do not suggest that APRA endorses you or your work. To view a full copy of the terms of this licence, visit </w:t>
      </w:r>
      <w:hyperlink r:id="rId9" w:history="1">
        <w:r w:rsidRPr="00A43B0B">
          <w:rPr>
            <w:rStyle w:val="Hyperlink"/>
            <w:color w:val="000000" w:themeColor="text1"/>
          </w:rPr>
          <w:t>https://creativecommons.org/licenses/by/3.0/au/</w:t>
        </w:r>
      </w:hyperlink>
    </w:p>
    <w:p w14:paraId="77C86D8B" w14:textId="77777777" w:rsidR="003B51A4" w:rsidRDefault="003B51A4" w:rsidP="003B51A4">
      <w:pPr>
        <w:numPr>
          <w:ilvl w:val="0"/>
          <w:numId w:val="0"/>
        </w:numPr>
        <w:rPr>
          <w:rFonts w:ascii="DIN Offc Medium" w:eastAsiaTheme="majorEastAsia" w:hAnsi="DIN Offc Medium" w:cstheme="majorBidi"/>
          <w:color w:val="012169" w:themeColor="text2"/>
          <w:sz w:val="90"/>
          <w:szCs w:val="52"/>
        </w:rPr>
      </w:pPr>
      <w:r>
        <w:br w:type="page"/>
      </w:r>
    </w:p>
    <w:p w14:paraId="5F1F63A8" w14:textId="4450BA2F" w:rsidR="00C636DA" w:rsidRDefault="00C636DA" w:rsidP="00BD7B83">
      <w:pPr>
        <w:pStyle w:val="TOCHeading"/>
      </w:pPr>
      <w:r w:rsidRPr="00BD7B83">
        <w:lastRenderedPageBreak/>
        <w:t>Contents</w:t>
      </w:r>
    </w:p>
    <w:p w14:paraId="3DB830B0" w14:textId="69A81FD3" w:rsidR="00C3696C" w:rsidRDefault="00756423">
      <w:pPr>
        <w:pStyle w:val="TOC1"/>
        <w:rPr>
          <w:rFonts w:asciiTheme="minorHAnsi" w:eastAsiaTheme="minorEastAsia" w:hAnsiTheme="minorHAnsi"/>
          <w:noProof/>
          <w:color w:val="auto"/>
          <w:lang w:eastAsia="en-AU"/>
        </w:rPr>
      </w:pPr>
      <w:r>
        <w:rPr>
          <w:noProof/>
          <w:lang w:val="en-US"/>
        </w:rPr>
        <w:fldChar w:fldCharType="begin"/>
      </w:r>
      <w:r>
        <w:rPr>
          <w:noProof/>
          <w:lang w:val="en-US"/>
        </w:rPr>
        <w:instrText xml:space="preserve"> TOC \o "1-1" \h \z \u </w:instrText>
      </w:r>
      <w:r>
        <w:rPr>
          <w:noProof/>
          <w:lang w:val="en-US"/>
        </w:rPr>
        <w:fldChar w:fldCharType="separate"/>
      </w:r>
      <w:hyperlink w:anchor="_Toc109287987" w:history="1">
        <w:r w:rsidR="00C3696C" w:rsidRPr="0014709B">
          <w:rPr>
            <w:rStyle w:val="Hyperlink"/>
            <w:noProof/>
          </w:rPr>
          <w:t>Executive summary</w:t>
        </w:r>
        <w:r w:rsidR="00C3696C">
          <w:rPr>
            <w:noProof/>
            <w:webHidden/>
          </w:rPr>
          <w:tab/>
        </w:r>
        <w:r w:rsidR="00C3696C">
          <w:rPr>
            <w:noProof/>
            <w:webHidden/>
          </w:rPr>
          <w:fldChar w:fldCharType="begin"/>
        </w:r>
        <w:r w:rsidR="00C3696C">
          <w:rPr>
            <w:noProof/>
            <w:webHidden/>
          </w:rPr>
          <w:instrText xml:space="preserve"> PAGEREF _Toc109287987 \h </w:instrText>
        </w:r>
        <w:r w:rsidR="00C3696C">
          <w:rPr>
            <w:noProof/>
            <w:webHidden/>
          </w:rPr>
        </w:r>
        <w:r w:rsidR="00C3696C">
          <w:rPr>
            <w:noProof/>
            <w:webHidden/>
          </w:rPr>
          <w:fldChar w:fldCharType="separate"/>
        </w:r>
        <w:r w:rsidR="00C6127A">
          <w:rPr>
            <w:noProof/>
            <w:webHidden/>
          </w:rPr>
          <w:t>4</w:t>
        </w:r>
        <w:r w:rsidR="00C3696C">
          <w:rPr>
            <w:noProof/>
            <w:webHidden/>
          </w:rPr>
          <w:fldChar w:fldCharType="end"/>
        </w:r>
      </w:hyperlink>
    </w:p>
    <w:p w14:paraId="5E30B829" w14:textId="4A1EC445" w:rsidR="00C3696C" w:rsidRDefault="003B171E">
      <w:pPr>
        <w:pStyle w:val="TOC1"/>
        <w:rPr>
          <w:rFonts w:asciiTheme="minorHAnsi" w:eastAsiaTheme="minorEastAsia" w:hAnsiTheme="minorHAnsi"/>
          <w:noProof/>
          <w:color w:val="auto"/>
          <w:lang w:eastAsia="en-AU"/>
        </w:rPr>
      </w:pPr>
      <w:hyperlink w:anchor="_Toc109287988" w:history="1">
        <w:r w:rsidR="00C3696C" w:rsidRPr="0014709B">
          <w:rPr>
            <w:rStyle w:val="Hyperlink"/>
            <w:noProof/>
          </w:rPr>
          <w:t>Glossary</w:t>
        </w:r>
        <w:r w:rsidR="00C3696C">
          <w:rPr>
            <w:noProof/>
            <w:webHidden/>
          </w:rPr>
          <w:tab/>
        </w:r>
        <w:r w:rsidR="00C3696C">
          <w:rPr>
            <w:noProof/>
            <w:webHidden/>
          </w:rPr>
          <w:fldChar w:fldCharType="begin"/>
        </w:r>
        <w:r w:rsidR="00C3696C">
          <w:rPr>
            <w:noProof/>
            <w:webHidden/>
          </w:rPr>
          <w:instrText xml:space="preserve"> PAGEREF _Toc109287988 \h </w:instrText>
        </w:r>
        <w:r w:rsidR="00C3696C">
          <w:rPr>
            <w:noProof/>
            <w:webHidden/>
          </w:rPr>
        </w:r>
        <w:r w:rsidR="00C3696C">
          <w:rPr>
            <w:noProof/>
            <w:webHidden/>
          </w:rPr>
          <w:fldChar w:fldCharType="separate"/>
        </w:r>
        <w:r w:rsidR="00C6127A">
          <w:rPr>
            <w:noProof/>
            <w:webHidden/>
          </w:rPr>
          <w:t>8</w:t>
        </w:r>
        <w:r w:rsidR="00C3696C">
          <w:rPr>
            <w:noProof/>
            <w:webHidden/>
          </w:rPr>
          <w:fldChar w:fldCharType="end"/>
        </w:r>
      </w:hyperlink>
    </w:p>
    <w:p w14:paraId="0E15F023" w14:textId="6C320234" w:rsidR="00C3696C" w:rsidRDefault="003B171E">
      <w:pPr>
        <w:pStyle w:val="TOC1"/>
        <w:rPr>
          <w:rFonts w:asciiTheme="minorHAnsi" w:eastAsiaTheme="minorEastAsia" w:hAnsiTheme="minorHAnsi"/>
          <w:noProof/>
          <w:color w:val="auto"/>
          <w:lang w:eastAsia="en-AU"/>
        </w:rPr>
      </w:pPr>
      <w:hyperlink w:anchor="_Toc109287989" w:history="1">
        <w:r w:rsidR="00C3696C" w:rsidRPr="0014709B">
          <w:rPr>
            <w:rStyle w:val="Hyperlink"/>
            <w:noProof/>
          </w:rPr>
          <w:t>Chapter 1 - Strengthening operational risk management</w:t>
        </w:r>
        <w:r w:rsidR="00C3696C">
          <w:rPr>
            <w:noProof/>
            <w:webHidden/>
          </w:rPr>
          <w:tab/>
        </w:r>
        <w:r w:rsidR="00C3696C">
          <w:rPr>
            <w:noProof/>
            <w:webHidden/>
          </w:rPr>
          <w:fldChar w:fldCharType="begin"/>
        </w:r>
        <w:r w:rsidR="00C3696C">
          <w:rPr>
            <w:noProof/>
            <w:webHidden/>
          </w:rPr>
          <w:instrText xml:space="preserve"> PAGEREF _Toc109287989 \h </w:instrText>
        </w:r>
        <w:r w:rsidR="00C3696C">
          <w:rPr>
            <w:noProof/>
            <w:webHidden/>
          </w:rPr>
        </w:r>
        <w:r w:rsidR="00C3696C">
          <w:rPr>
            <w:noProof/>
            <w:webHidden/>
          </w:rPr>
          <w:fldChar w:fldCharType="separate"/>
        </w:r>
        <w:r w:rsidR="00C6127A">
          <w:rPr>
            <w:noProof/>
            <w:webHidden/>
          </w:rPr>
          <w:t>10</w:t>
        </w:r>
        <w:r w:rsidR="00C3696C">
          <w:rPr>
            <w:noProof/>
            <w:webHidden/>
          </w:rPr>
          <w:fldChar w:fldCharType="end"/>
        </w:r>
      </w:hyperlink>
    </w:p>
    <w:p w14:paraId="7AAA3020" w14:textId="2F3E7F65" w:rsidR="00C3696C" w:rsidRDefault="003B171E">
      <w:pPr>
        <w:pStyle w:val="TOC1"/>
        <w:rPr>
          <w:rFonts w:asciiTheme="minorHAnsi" w:eastAsiaTheme="minorEastAsia" w:hAnsiTheme="minorHAnsi"/>
          <w:noProof/>
          <w:color w:val="auto"/>
          <w:lang w:eastAsia="en-AU"/>
        </w:rPr>
      </w:pPr>
      <w:hyperlink w:anchor="_Toc109287990" w:history="1">
        <w:r w:rsidR="00C3696C" w:rsidRPr="0014709B">
          <w:rPr>
            <w:rStyle w:val="Hyperlink"/>
            <w:noProof/>
          </w:rPr>
          <w:t>Chapter 2 - Operational risk</w:t>
        </w:r>
        <w:r w:rsidR="00C3696C">
          <w:rPr>
            <w:noProof/>
            <w:webHidden/>
          </w:rPr>
          <w:tab/>
        </w:r>
        <w:r w:rsidR="00C3696C">
          <w:rPr>
            <w:noProof/>
            <w:webHidden/>
          </w:rPr>
          <w:fldChar w:fldCharType="begin"/>
        </w:r>
        <w:r w:rsidR="00C3696C">
          <w:rPr>
            <w:noProof/>
            <w:webHidden/>
          </w:rPr>
          <w:instrText xml:space="preserve"> PAGEREF _Toc109287990 \h </w:instrText>
        </w:r>
        <w:r w:rsidR="00C3696C">
          <w:rPr>
            <w:noProof/>
            <w:webHidden/>
          </w:rPr>
        </w:r>
        <w:r w:rsidR="00C3696C">
          <w:rPr>
            <w:noProof/>
            <w:webHidden/>
          </w:rPr>
          <w:fldChar w:fldCharType="separate"/>
        </w:r>
        <w:r w:rsidR="00C6127A">
          <w:rPr>
            <w:noProof/>
            <w:webHidden/>
          </w:rPr>
          <w:t>18</w:t>
        </w:r>
        <w:r w:rsidR="00C3696C">
          <w:rPr>
            <w:noProof/>
            <w:webHidden/>
          </w:rPr>
          <w:fldChar w:fldCharType="end"/>
        </w:r>
      </w:hyperlink>
    </w:p>
    <w:p w14:paraId="6E052B6A" w14:textId="757FAFAE" w:rsidR="00C3696C" w:rsidRDefault="003B171E">
      <w:pPr>
        <w:pStyle w:val="TOC1"/>
        <w:rPr>
          <w:rFonts w:asciiTheme="minorHAnsi" w:eastAsiaTheme="minorEastAsia" w:hAnsiTheme="minorHAnsi"/>
          <w:noProof/>
          <w:color w:val="auto"/>
          <w:lang w:eastAsia="en-AU"/>
        </w:rPr>
      </w:pPr>
      <w:hyperlink w:anchor="_Toc109287991" w:history="1">
        <w:r w:rsidR="00C3696C" w:rsidRPr="0014709B">
          <w:rPr>
            <w:rStyle w:val="Hyperlink"/>
            <w:noProof/>
          </w:rPr>
          <w:t>Chapter 3 - Business continuity</w:t>
        </w:r>
        <w:r w:rsidR="00C3696C">
          <w:rPr>
            <w:noProof/>
            <w:webHidden/>
          </w:rPr>
          <w:tab/>
        </w:r>
        <w:r w:rsidR="00C3696C">
          <w:rPr>
            <w:noProof/>
            <w:webHidden/>
          </w:rPr>
          <w:fldChar w:fldCharType="begin"/>
        </w:r>
        <w:r w:rsidR="00C3696C">
          <w:rPr>
            <w:noProof/>
            <w:webHidden/>
          </w:rPr>
          <w:instrText xml:space="preserve"> PAGEREF _Toc109287991 \h </w:instrText>
        </w:r>
        <w:r w:rsidR="00C3696C">
          <w:rPr>
            <w:noProof/>
            <w:webHidden/>
          </w:rPr>
        </w:r>
        <w:r w:rsidR="00C3696C">
          <w:rPr>
            <w:noProof/>
            <w:webHidden/>
          </w:rPr>
          <w:fldChar w:fldCharType="separate"/>
        </w:r>
        <w:r w:rsidR="00C6127A">
          <w:rPr>
            <w:noProof/>
            <w:webHidden/>
          </w:rPr>
          <w:t>21</w:t>
        </w:r>
        <w:r w:rsidR="00C3696C">
          <w:rPr>
            <w:noProof/>
            <w:webHidden/>
          </w:rPr>
          <w:fldChar w:fldCharType="end"/>
        </w:r>
      </w:hyperlink>
    </w:p>
    <w:p w14:paraId="575F8202" w14:textId="0D18BFF6" w:rsidR="00C3696C" w:rsidRDefault="003B171E">
      <w:pPr>
        <w:pStyle w:val="TOC1"/>
        <w:rPr>
          <w:rFonts w:asciiTheme="minorHAnsi" w:eastAsiaTheme="minorEastAsia" w:hAnsiTheme="minorHAnsi"/>
          <w:noProof/>
          <w:color w:val="auto"/>
          <w:lang w:eastAsia="en-AU"/>
        </w:rPr>
      </w:pPr>
      <w:hyperlink w:anchor="_Toc109287992" w:history="1">
        <w:r w:rsidR="00C3696C" w:rsidRPr="0014709B">
          <w:rPr>
            <w:rStyle w:val="Hyperlink"/>
            <w:noProof/>
          </w:rPr>
          <w:t>Chapter 4 - Service providers</w:t>
        </w:r>
        <w:r w:rsidR="00C3696C">
          <w:rPr>
            <w:noProof/>
            <w:webHidden/>
          </w:rPr>
          <w:tab/>
        </w:r>
        <w:r w:rsidR="00C3696C">
          <w:rPr>
            <w:noProof/>
            <w:webHidden/>
          </w:rPr>
          <w:fldChar w:fldCharType="begin"/>
        </w:r>
        <w:r w:rsidR="00C3696C">
          <w:rPr>
            <w:noProof/>
            <w:webHidden/>
          </w:rPr>
          <w:instrText xml:space="preserve"> PAGEREF _Toc109287992 \h </w:instrText>
        </w:r>
        <w:r w:rsidR="00C3696C">
          <w:rPr>
            <w:noProof/>
            <w:webHidden/>
          </w:rPr>
        </w:r>
        <w:r w:rsidR="00C3696C">
          <w:rPr>
            <w:noProof/>
            <w:webHidden/>
          </w:rPr>
          <w:fldChar w:fldCharType="separate"/>
        </w:r>
        <w:r w:rsidR="00C6127A">
          <w:rPr>
            <w:noProof/>
            <w:webHidden/>
          </w:rPr>
          <w:t>25</w:t>
        </w:r>
        <w:r w:rsidR="00C3696C">
          <w:rPr>
            <w:noProof/>
            <w:webHidden/>
          </w:rPr>
          <w:fldChar w:fldCharType="end"/>
        </w:r>
      </w:hyperlink>
    </w:p>
    <w:p w14:paraId="060B745A" w14:textId="697BBCFE" w:rsidR="00C3696C" w:rsidRDefault="003B171E">
      <w:pPr>
        <w:pStyle w:val="TOC1"/>
        <w:rPr>
          <w:rFonts w:asciiTheme="minorHAnsi" w:eastAsiaTheme="minorEastAsia" w:hAnsiTheme="minorHAnsi"/>
          <w:noProof/>
          <w:color w:val="auto"/>
          <w:lang w:eastAsia="en-AU"/>
        </w:rPr>
      </w:pPr>
      <w:hyperlink w:anchor="_Toc109287993" w:history="1">
        <w:r w:rsidR="00C3696C" w:rsidRPr="0014709B">
          <w:rPr>
            <w:rStyle w:val="Hyperlink"/>
            <w:noProof/>
          </w:rPr>
          <w:t>Chapter 5 - Consultation and next steps</w:t>
        </w:r>
        <w:r w:rsidR="00C3696C">
          <w:rPr>
            <w:noProof/>
            <w:webHidden/>
          </w:rPr>
          <w:tab/>
        </w:r>
        <w:r w:rsidR="00C3696C">
          <w:rPr>
            <w:noProof/>
            <w:webHidden/>
          </w:rPr>
          <w:fldChar w:fldCharType="begin"/>
        </w:r>
        <w:r w:rsidR="00C3696C">
          <w:rPr>
            <w:noProof/>
            <w:webHidden/>
          </w:rPr>
          <w:instrText xml:space="preserve"> PAGEREF _Toc109287993 \h </w:instrText>
        </w:r>
        <w:r w:rsidR="00C3696C">
          <w:rPr>
            <w:noProof/>
            <w:webHidden/>
          </w:rPr>
        </w:r>
        <w:r w:rsidR="00C3696C">
          <w:rPr>
            <w:noProof/>
            <w:webHidden/>
          </w:rPr>
          <w:fldChar w:fldCharType="separate"/>
        </w:r>
        <w:r w:rsidR="00C6127A">
          <w:rPr>
            <w:noProof/>
            <w:webHidden/>
          </w:rPr>
          <w:t>28</w:t>
        </w:r>
        <w:r w:rsidR="00C3696C">
          <w:rPr>
            <w:noProof/>
            <w:webHidden/>
          </w:rPr>
          <w:fldChar w:fldCharType="end"/>
        </w:r>
      </w:hyperlink>
    </w:p>
    <w:p w14:paraId="007B4A36" w14:textId="304F3743" w:rsidR="00C3696C" w:rsidRDefault="003B171E">
      <w:pPr>
        <w:pStyle w:val="TOC1"/>
        <w:rPr>
          <w:rFonts w:asciiTheme="minorHAnsi" w:eastAsiaTheme="minorEastAsia" w:hAnsiTheme="minorHAnsi"/>
          <w:noProof/>
          <w:color w:val="auto"/>
          <w:lang w:eastAsia="en-AU"/>
        </w:rPr>
      </w:pPr>
      <w:hyperlink w:anchor="_Toc109287994" w:history="1">
        <w:r w:rsidR="00C3696C" w:rsidRPr="0014709B">
          <w:rPr>
            <w:rStyle w:val="Hyperlink"/>
            <w:noProof/>
          </w:rPr>
          <w:t>Attachment A: Policy options</w:t>
        </w:r>
        <w:r w:rsidR="00C3696C">
          <w:rPr>
            <w:noProof/>
            <w:webHidden/>
          </w:rPr>
          <w:tab/>
        </w:r>
        <w:r w:rsidR="00C3696C">
          <w:rPr>
            <w:noProof/>
            <w:webHidden/>
          </w:rPr>
          <w:fldChar w:fldCharType="begin"/>
        </w:r>
        <w:r w:rsidR="00C3696C">
          <w:rPr>
            <w:noProof/>
            <w:webHidden/>
          </w:rPr>
          <w:instrText xml:space="preserve"> PAGEREF _Toc109287994 \h </w:instrText>
        </w:r>
        <w:r w:rsidR="00C3696C">
          <w:rPr>
            <w:noProof/>
            <w:webHidden/>
          </w:rPr>
        </w:r>
        <w:r w:rsidR="00C3696C">
          <w:rPr>
            <w:noProof/>
            <w:webHidden/>
          </w:rPr>
          <w:fldChar w:fldCharType="separate"/>
        </w:r>
        <w:r w:rsidR="00C6127A">
          <w:rPr>
            <w:noProof/>
            <w:webHidden/>
          </w:rPr>
          <w:t>30</w:t>
        </w:r>
        <w:r w:rsidR="00C3696C">
          <w:rPr>
            <w:noProof/>
            <w:webHidden/>
          </w:rPr>
          <w:fldChar w:fldCharType="end"/>
        </w:r>
      </w:hyperlink>
    </w:p>
    <w:p w14:paraId="74DCEB0A" w14:textId="4443E456" w:rsidR="0016272E" w:rsidRPr="0016272E" w:rsidRDefault="00756423" w:rsidP="0016272E">
      <w:r>
        <w:rPr>
          <w:rFonts w:ascii="DIN OT Medium" w:hAnsi="DIN OT Medium"/>
          <w:noProof/>
          <w:lang w:val="en-US"/>
        </w:rPr>
        <w:fldChar w:fldCharType="end"/>
      </w:r>
    </w:p>
    <w:p w14:paraId="5A31D1CC" w14:textId="77777777" w:rsidR="00AC1C12" w:rsidRDefault="00AC1C12" w:rsidP="00AC1C12">
      <w:pPr>
        <w:pStyle w:val="Heading1"/>
      </w:pPr>
      <w:bookmarkStart w:id="0" w:name="_Toc109287987"/>
      <w:r>
        <w:t>Executive summary</w:t>
      </w:r>
      <w:bookmarkEnd w:id="0"/>
      <w:r>
        <w:t xml:space="preserve"> </w:t>
      </w:r>
    </w:p>
    <w:p w14:paraId="773EB06D" w14:textId="41D43650" w:rsidR="00D00B9B" w:rsidRDefault="00C725D4" w:rsidP="00D43494">
      <w:r>
        <w:t xml:space="preserve">Events of recent years have demonstrated the critical importance of </w:t>
      </w:r>
      <w:r w:rsidR="00764632">
        <w:t xml:space="preserve">financial institutions </w:t>
      </w:r>
      <w:r>
        <w:t>being able to manage and respond to operational risks</w:t>
      </w:r>
      <w:r w:rsidR="00186872">
        <w:t>, evident for example in the challenges of</w:t>
      </w:r>
      <w:r w:rsidR="00A11D38">
        <w:t xml:space="preserve"> the COVID-19 </w:t>
      </w:r>
      <w:r>
        <w:t xml:space="preserve">pandemic, technology </w:t>
      </w:r>
      <w:r w:rsidR="00A11D38">
        <w:t>risks</w:t>
      </w:r>
      <w:r w:rsidR="003468FD">
        <w:t xml:space="preserve"> and</w:t>
      </w:r>
      <w:r w:rsidR="00A11D38">
        <w:t xml:space="preserve"> n</w:t>
      </w:r>
      <w:r>
        <w:t xml:space="preserve">atural disasters. </w:t>
      </w:r>
      <w:r w:rsidR="00A11D38" w:rsidRPr="00083B50">
        <w:t xml:space="preserve">Sound operational risk management is fundamental </w:t>
      </w:r>
      <w:r w:rsidR="00A11D38">
        <w:t>to financial safety and system stability</w:t>
      </w:r>
      <w:r w:rsidR="00A11D38" w:rsidRPr="00EB7CEC">
        <w:t>.</w:t>
      </w:r>
    </w:p>
    <w:p w14:paraId="4C9AE82C" w14:textId="6371ED42" w:rsidR="00C725D4" w:rsidRDefault="00C725D4" w:rsidP="00585E90">
      <w:pPr>
        <w:rPr>
          <w:rStyle w:val="APRANORMALChar"/>
        </w:rPr>
      </w:pPr>
      <w:r>
        <w:rPr>
          <w:rStyle w:val="APRANORMALChar"/>
        </w:rPr>
        <w:t xml:space="preserve">To ensure that all </w:t>
      </w:r>
      <w:r w:rsidR="00444180">
        <w:rPr>
          <w:rStyle w:val="APRANORMALChar"/>
        </w:rPr>
        <w:t>APRA-</w:t>
      </w:r>
      <w:r>
        <w:rPr>
          <w:rStyle w:val="APRANORMALChar"/>
        </w:rPr>
        <w:t>regulated entities in Australia are well placed to manage operational risk and respond to business disruptions when they inevitably occur, APRA is consulting on a new prudential standard for operational risk</w:t>
      </w:r>
      <w:r w:rsidR="00194A13">
        <w:rPr>
          <w:rStyle w:val="APRANORMALChar"/>
        </w:rPr>
        <w:t xml:space="preserve"> management</w:t>
      </w:r>
      <w:r w:rsidR="004233F0">
        <w:rPr>
          <w:rStyle w:val="APRANORMALChar"/>
        </w:rPr>
        <w:t>.</w:t>
      </w:r>
    </w:p>
    <w:p w14:paraId="4FD50BEF" w14:textId="45E17301" w:rsidR="00A61084" w:rsidRPr="00A61084" w:rsidRDefault="00A61084" w:rsidP="00A61084">
      <w:pPr>
        <w:pStyle w:val="SubHeadingNoTOC"/>
      </w:pPr>
      <w:r>
        <w:t>Objectives</w:t>
      </w:r>
    </w:p>
    <w:p w14:paraId="6EE72BFE" w14:textId="6B0717E5" w:rsidR="001F0EFC" w:rsidRDefault="00C725D4" w:rsidP="00585E90">
      <w:pPr>
        <w:rPr>
          <w:rStyle w:val="APRANORMALChar"/>
        </w:rPr>
      </w:pPr>
      <w:r>
        <w:rPr>
          <w:rStyle w:val="APRANORMALChar"/>
        </w:rPr>
        <w:t xml:space="preserve">The </w:t>
      </w:r>
      <w:r w:rsidR="00D3320F">
        <w:rPr>
          <w:rStyle w:val="APRANORMALChar"/>
        </w:rPr>
        <w:t xml:space="preserve">proposed </w:t>
      </w:r>
      <w:r>
        <w:rPr>
          <w:rStyle w:val="APRANORMALChar"/>
        </w:rPr>
        <w:t>new standard</w:t>
      </w:r>
      <w:r w:rsidR="00D3320F">
        <w:rPr>
          <w:rStyle w:val="APRANORMALChar"/>
        </w:rPr>
        <w:t xml:space="preserve"> for operational risk management</w:t>
      </w:r>
      <w:r>
        <w:rPr>
          <w:rStyle w:val="APRANORMALChar"/>
        </w:rPr>
        <w:t>, which will replace and supersede</w:t>
      </w:r>
      <w:r w:rsidR="00764632">
        <w:rPr>
          <w:rStyle w:val="APRANORMALChar"/>
        </w:rPr>
        <w:t xml:space="preserve"> </w:t>
      </w:r>
      <w:proofErr w:type="gramStart"/>
      <w:r w:rsidR="00764632">
        <w:rPr>
          <w:rStyle w:val="APRANORMALChar"/>
        </w:rPr>
        <w:t>a number of</w:t>
      </w:r>
      <w:proofErr w:type="gramEnd"/>
      <w:r>
        <w:rPr>
          <w:rStyle w:val="APRANORMALChar"/>
        </w:rPr>
        <w:t xml:space="preserve"> existing standards </w:t>
      </w:r>
      <w:r w:rsidR="001F0EFC">
        <w:rPr>
          <w:rStyle w:val="APRANORMALChar"/>
        </w:rPr>
        <w:t>in this area</w:t>
      </w:r>
      <w:r>
        <w:rPr>
          <w:rStyle w:val="APRANORMALChar"/>
        </w:rPr>
        <w:t xml:space="preserve">, </w:t>
      </w:r>
      <w:r w:rsidR="001F0EFC">
        <w:rPr>
          <w:rStyle w:val="APRANORMALChar"/>
        </w:rPr>
        <w:t xml:space="preserve">encompasses operational risk </w:t>
      </w:r>
      <w:r w:rsidR="00D3320F">
        <w:rPr>
          <w:rStyle w:val="APRANORMALChar"/>
        </w:rPr>
        <w:t>controls and monitoring</w:t>
      </w:r>
      <w:r w:rsidR="001F0EFC">
        <w:rPr>
          <w:rStyle w:val="APRANORMALChar"/>
        </w:rPr>
        <w:t>, business continuity planning and the management of third-party service providers.</w:t>
      </w:r>
    </w:p>
    <w:p w14:paraId="67F53412" w14:textId="69D97181" w:rsidR="001F0EFC" w:rsidRDefault="001F0EFC" w:rsidP="00585E90">
      <w:pPr>
        <w:rPr>
          <w:rStyle w:val="APRANORMALChar"/>
        </w:rPr>
      </w:pPr>
      <w:r>
        <w:rPr>
          <w:rStyle w:val="APRANORMALChar"/>
        </w:rPr>
        <w:t>The aim of the standard is to:</w:t>
      </w:r>
    </w:p>
    <w:p w14:paraId="1A239928" w14:textId="72166B68" w:rsidR="00BE73F6" w:rsidRDefault="00A11D38" w:rsidP="00BE73F6">
      <w:pPr>
        <w:pStyle w:val="ListBullet"/>
      </w:pPr>
      <w:r>
        <w:rPr>
          <w:rStyle w:val="APRANORMALChar"/>
          <w:b/>
          <w:i/>
        </w:rPr>
        <w:t>strengthen</w:t>
      </w:r>
      <w:r w:rsidRPr="001F0EFC">
        <w:rPr>
          <w:b/>
          <w:i/>
        </w:rPr>
        <w:t xml:space="preserve"> operational risk management</w:t>
      </w:r>
      <w:r w:rsidRPr="001F0EFC">
        <w:t xml:space="preserve"> </w:t>
      </w:r>
      <w:r w:rsidRPr="00A11D38">
        <w:t xml:space="preserve">with new requirements to address weaknesses that have been identified in existing practices of </w:t>
      </w:r>
      <w:r w:rsidR="008F712A">
        <w:t>APRA-</w:t>
      </w:r>
      <w:r w:rsidRPr="00A11D38">
        <w:t xml:space="preserve">regulated entities. </w:t>
      </w:r>
      <w:r w:rsidR="00BE73F6">
        <w:t>This includes requirements to maintain and test internal controls to ensure they are effective in managing key operational risks</w:t>
      </w:r>
      <w:r w:rsidR="00346C37">
        <w:t>.</w:t>
      </w:r>
    </w:p>
    <w:p w14:paraId="5BDCC6AA" w14:textId="66341C35" w:rsidR="001D4C45" w:rsidRDefault="00651A06" w:rsidP="00A11D38">
      <w:pPr>
        <w:pStyle w:val="ListBullet"/>
      </w:pPr>
      <w:r>
        <w:rPr>
          <w:b/>
          <w:i/>
        </w:rPr>
        <w:t xml:space="preserve">improve business continuity planning </w:t>
      </w:r>
      <w:r w:rsidR="001F0EFC" w:rsidRPr="00A11D38">
        <w:t xml:space="preserve">to ensure that </w:t>
      </w:r>
      <w:r w:rsidR="00C207E7">
        <w:t xml:space="preserve">APRA-regulated </w:t>
      </w:r>
      <w:r w:rsidR="001F0EFC" w:rsidRPr="00A11D38">
        <w:t xml:space="preserve">entities are </w:t>
      </w:r>
      <w:r w:rsidR="00BB58BA">
        <w:t>ready to respond to severe business disruptions</w:t>
      </w:r>
      <w:r w:rsidR="001D4C45">
        <w:t xml:space="preserve">, </w:t>
      </w:r>
      <w:r w:rsidR="00186872">
        <w:t>and maintain</w:t>
      </w:r>
      <w:r w:rsidR="001D4C45">
        <w:t xml:space="preserve"> critical operations such as payments, settlements, fund administration and claims processing. It is important that all </w:t>
      </w:r>
      <w:r w:rsidR="00C207E7">
        <w:t>APRA-</w:t>
      </w:r>
      <w:r w:rsidR="001D4C45">
        <w:t xml:space="preserve">regulated entities </w:t>
      </w:r>
      <w:proofErr w:type="gramStart"/>
      <w:r w:rsidR="001D4C45">
        <w:t>are able to</w:t>
      </w:r>
      <w:proofErr w:type="gramEnd"/>
      <w:r w:rsidR="001D4C45">
        <w:t xml:space="preserve"> adapt processes and systems to continue to operate in the event of a </w:t>
      </w:r>
      <w:r w:rsidR="00346C37">
        <w:t>disruption and</w:t>
      </w:r>
      <w:r w:rsidR="001D4C45">
        <w:t xml:space="preserve"> set</w:t>
      </w:r>
      <w:r w:rsidR="00BB58BA">
        <w:t xml:space="preserve"> clear tolerances for the</w:t>
      </w:r>
      <w:r w:rsidR="001D4C45">
        <w:t xml:space="preserve"> maximum level of</w:t>
      </w:r>
      <w:r w:rsidR="00BB58BA">
        <w:t xml:space="preserve"> disruption</w:t>
      </w:r>
      <w:r w:rsidR="001D4C45">
        <w:t xml:space="preserve"> they are willing to accept for critical operations.</w:t>
      </w:r>
    </w:p>
    <w:p w14:paraId="0872EE9B" w14:textId="5D6B31F2" w:rsidR="001D4C45" w:rsidRDefault="00FC5F8E" w:rsidP="001D4C45">
      <w:pPr>
        <w:pStyle w:val="ListBullet"/>
      </w:pPr>
      <w:r>
        <w:rPr>
          <w:b/>
          <w:i/>
        </w:rPr>
        <w:t>enhance</w:t>
      </w:r>
      <w:r w:rsidR="001D4C45">
        <w:rPr>
          <w:b/>
          <w:i/>
        </w:rPr>
        <w:t xml:space="preserve"> third-party risk management</w:t>
      </w:r>
      <w:r w:rsidR="001D4C45">
        <w:t xml:space="preserve"> </w:t>
      </w:r>
      <w:r w:rsidR="00366A88">
        <w:t xml:space="preserve">by extending </w:t>
      </w:r>
      <w:r w:rsidR="00984D53">
        <w:t xml:space="preserve">requirements </w:t>
      </w:r>
      <w:r w:rsidR="00366A88">
        <w:t>to</w:t>
      </w:r>
      <w:r w:rsidR="001D4C45">
        <w:t xml:space="preserve"> </w:t>
      </w:r>
      <w:r w:rsidR="00127267">
        <w:t xml:space="preserve">cover </w:t>
      </w:r>
      <w:r w:rsidR="001D4C45">
        <w:t xml:space="preserve">all material service providers that </w:t>
      </w:r>
      <w:r w:rsidR="00C207E7">
        <w:t xml:space="preserve">APRA-regulated </w:t>
      </w:r>
      <w:r w:rsidR="001D4C45">
        <w:t>entities rely upon for critical operations or that expose them to material operational risk, rather than just those that have been outsourced.</w:t>
      </w:r>
    </w:p>
    <w:p w14:paraId="47294FCA" w14:textId="6123756E" w:rsidR="001F0EFC" w:rsidRPr="00A11D38" w:rsidRDefault="00366A88" w:rsidP="001D4C45">
      <w:pPr>
        <w:pStyle w:val="ListBullet"/>
        <w:numPr>
          <w:ilvl w:val="0"/>
          <w:numId w:val="0"/>
        </w:numPr>
      </w:pPr>
      <w:r>
        <w:t>T</w:t>
      </w:r>
      <w:r w:rsidR="001D4C45">
        <w:t xml:space="preserve">he new standard is </w:t>
      </w:r>
      <w:r w:rsidR="00186872">
        <w:t xml:space="preserve">intended </w:t>
      </w:r>
      <w:r w:rsidR="001D4C45">
        <w:t xml:space="preserve">to ensure that </w:t>
      </w:r>
      <w:r w:rsidR="00B43038">
        <w:t xml:space="preserve">APRA-regulated </w:t>
      </w:r>
      <w:r w:rsidR="001D4C45">
        <w:t xml:space="preserve">entities are </w:t>
      </w:r>
      <w:r w:rsidR="00585E90">
        <w:t xml:space="preserve">well </w:t>
      </w:r>
      <w:r w:rsidR="001D4C45">
        <w:t>positioned</w:t>
      </w:r>
      <w:r w:rsidR="001F0EFC" w:rsidRPr="00A11D38">
        <w:t xml:space="preserve"> to meet the challenges of rapid change in the industry</w:t>
      </w:r>
      <w:r>
        <w:t xml:space="preserve"> and</w:t>
      </w:r>
      <w:r w:rsidR="001F0EFC" w:rsidRPr="00A11D38">
        <w:t xml:space="preserve"> in technology more generally. </w:t>
      </w:r>
      <w:r w:rsidR="00441384">
        <w:t xml:space="preserve">In proposing a new prudential standard, </w:t>
      </w:r>
      <w:r w:rsidR="001D4C45">
        <w:t xml:space="preserve">APRA has also sought to </w:t>
      </w:r>
      <w:r w:rsidR="001F0EFC" w:rsidRPr="00A11D38">
        <w:rPr>
          <w:rStyle w:val="APRANORMALChar"/>
        </w:rPr>
        <w:t>streamline</w:t>
      </w:r>
      <w:r w:rsidR="001F0EFC" w:rsidRPr="001F0EFC">
        <w:rPr>
          <w:i/>
        </w:rPr>
        <w:t xml:space="preserve"> </w:t>
      </w:r>
      <w:r w:rsidR="001F0EFC" w:rsidRPr="001D4C45">
        <w:t>requirements</w:t>
      </w:r>
      <w:r w:rsidR="001F0EFC" w:rsidRPr="001F0EFC">
        <w:t xml:space="preserve"> </w:t>
      </w:r>
      <w:r>
        <w:t>with</w:t>
      </w:r>
      <w:r w:rsidR="001F0EFC" w:rsidRPr="001F0EFC">
        <w:t xml:space="preserve"> an </w:t>
      </w:r>
      <w:r w:rsidR="001F0EFC" w:rsidRPr="00A11D38">
        <w:t xml:space="preserve">outcomes-focused </w:t>
      </w:r>
      <w:r>
        <w:t>approach that</w:t>
      </w:r>
      <w:r w:rsidR="006C3F16">
        <w:t xml:space="preserve"> brings together</w:t>
      </w:r>
      <w:r w:rsidR="001F0EFC" w:rsidRPr="00A11D38">
        <w:t xml:space="preserve"> related operational risk concepts into a single standard.</w:t>
      </w:r>
    </w:p>
    <w:p w14:paraId="2AD5D79B" w14:textId="77777777" w:rsidR="006C3F16" w:rsidRDefault="006C3F16">
      <w:pPr>
        <w:numPr>
          <w:ilvl w:val="0"/>
          <w:numId w:val="0"/>
        </w:numPr>
        <w:rPr>
          <w:rFonts w:ascii="DIN OT Medium" w:hAnsi="DIN OT Medium"/>
          <w:color w:val="012169" w:themeColor="text2"/>
          <w:sz w:val="26"/>
        </w:rPr>
      </w:pPr>
      <w:r>
        <w:br w:type="page"/>
      </w:r>
    </w:p>
    <w:p w14:paraId="21D719A9" w14:textId="7D389D31" w:rsidR="00A61084" w:rsidRPr="00A61084" w:rsidRDefault="00C97950" w:rsidP="00A61084">
      <w:pPr>
        <w:pStyle w:val="SubHeadingNoTOC"/>
      </w:pPr>
      <w:r>
        <w:t>O</w:t>
      </w:r>
      <w:r w:rsidR="00892E92">
        <w:t xml:space="preserve">perational </w:t>
      </w:r>
      <w:r>
        <w:t>resilience</w:t>
      </w:r>
    </w:p>
    <w:p w14:paraId="7F6701F2" w14:textId="1AA0A943" w:rsidR="003C35CA" w:rsidRDefault="000E7073" w:rsidP="008465DD">
      <w:pPr>
        <w:pStyle w:val="APRANORMAL"/>
        <w:jc w:val="both"/>
      </w:pPr>
      <w:r>
        <w:t xml:space="preserve">The proposed </w:t>
      </w:r>
      <w:r>
        <w:rPr>
          <w:i/>
        </w:rPr>
        <w:t xml:space="preserve">Prudential Standard CPS 230 Operational </w:t>
      </w:r>
      <w:r w:rsidR="00B64824">
        <w:rPr>
          <w:i/>
        </w:rPr>
        <w:t>R</w:t>
      </w:r>
      <w:r>
        <w:rPr>
          <w:i/>
        </w:rPr>
        <w:t>isk</w:t>
      </w:r>
      <w:r w:rsidR="00B64824">
        <w:rPr>
          <w:i/>
        </w:rPr>
        <w:t xml:space="preserve"> Management</w:t>
      </w:r>
      <w:r>
        <w:rPr>
          <w:i/>
        </w:rPr>
        <w:t xml:space="preserve"> </w:t>
      </w:r>
      <w:r>
        <w:t xml:space="preserve">(CPS 230) </w:t>
      </w:r>
      <w:r w:rsidR="006C3F16">
        <w:t>will</w:t>
      </w:r>
      <w:r>
        <w:t xml:space="preserve"> replace </w:t>
      </w:r>
      <w:r w:rsidR="00D67AB5">
        <w:t xml:space="preserve">five </w:t>
      </w:r>
      <w:r w:rsidR="00441384">
        <w:t xml:space="preserve">existing standards: </w:t>
      </w:r>
      <w:r>
        <w:rPr>
          <w:i/>
        </w:rPr>
        <w:t xml:space="preserve">Prudential Standard CPS 231 Outsourcing </w:t>
      </w:r>
      <w:r>
        <w:t xml:space="preserve">(CPS 231) and </w:t>
      </w:r>
      <w:r>
        <w:rPr>
          <w:i/>
        </w:rPr>
        <w:t xml:space="preserve">Prudential Standard CPS 232 Business Continuity Management </w:t>
      </w:r>
      <w:r>
        <w:t>(CPS 232)</w:t>
      </w:r>
      <w:r w:rsidR="0054789F">
        <w:t xml:space="preserve"> that apply to ADIs, life insurers and general insurers</w:t>
      </w:r>
      <w:r>
        <w:t xml:space="preserve">, the equivalent </w:t>
      </w:r>
      <w:r w:rsidR="0054789F">
        <w:t>s</w:t>
      </w:r>
      <w:r>
        <w:t>uperannuation</w:t>
      </w:r>
      <w:r w:rsidR="00545D27">
        <w:t xml:space="preserve"> standards</w:t>
      </w:r>
      <w:r w:rsidR="00040797">
        <w:t xml:space="preserve"> </w:t>
      </w:r>
      <w:r w:rsidR="00040797">
        <w:rPr>
          <w:i/>
        </w:rPr>
        <w:t xml:space="preserve">Prudential Standard SPS 231 Outsourcing </w:t>
      </w:r>
      <w:r w:rsidR="00040797">
        <w:t xml:space="preserve">(SPS 231) and </w:t>
      </w:r>
      <w:r w:rsidR="00040797">
        <w:rPr>
          <w:i/>
        </w:rPr>
        <w:t xml:space="preserve">Prudential Standard SPS 232 Business Continuity Management </w:t>
      </w:r>
      <w:r w:rsidR="00040797">
        <w:t>(SPS 232)</w:t>
      </w:r>
      <w:r w:rsidR="00D67AB5">
        <w:t xml:space="preserve"> and the </w:t>
      </w:r>
      <w:r w:rsidR="0054789F">
        <w:t>p</w:t>
      </w:r>
      <w:r w:rsidR="00D67AB5">
        <w:t xml:space="preserve">rivate </w:t>
      </w:r>
      <w:r w:rsidR="0054789F">
        <w:t>h</w:t>
      </w:r>
      <w:r w:rsidR="00D67AB5">
        <w:t xml:space="preserve">ealth </w:t>
      </w:r>
      <w:r w:rsidR="0054789F">
        <w:t>i</w:t>
      </w:r>
      <w:r w:rsidR="00D67AB5">
        <w:t xml:space="preserve">nsurance standard </w:t>
      </w:r>
      <w:r w:rsidR="00D67AB5">
        <w:rPr>
          <w:i/>
        </w:rPr>
        <w:t>Prudential Standard HPS 231 Outsourcing</w:t>
      </w:r>
      <w:r w:rsidR="00A5671F">
        <w:t xml:space="preserve"> (HPS 231)</w:t>
      </w:r>
      <w:r>
        <w:t>.</w:t>
      </w:r>
      <w:r w:rsidR="006C3F16">
        <w:t xml:space="preserve"> </w:t>
      </w:r>
      <w:r w:rsidR="00585E90">
        <w:t>A summary of the new standard is presented in the graphic below.</w:t>
      </w:r>
      <w:r w:rsidR="003C35CA">
        <w:br w:type="page"/>
      </w:r>
    </w:p>
    <w:p w14:paraId="6ED11C74" w14:textId="3D6EA1C9" w:rsidR="004D22EA" w:rsidRDefault="006B60FD">
      <w:pPr>
        <w:numPr>
          <w:ilvl w:val="0"/>
          <w:numId w:val="0"/>
        </w:numPr>
        <w:rPr>
          <w:rFonts w:ascii="DIN OT Medium" w:hAnsi="DIN OT Medium"/>
          <w:color w:val="012169" w:themeColor="text2"/>
          <w:sz w:val="26"/>
        </w:rPr>
      </w:pPr>
      <w:r>
        <w:t xml:space="preserve">  </w:t>
      </w:r>
      <w:r w:rsidR="00646422" w:rsidRPr="00646422">
        <w:t xml:space="preserve"> </w:t>
      </w:r>
      <w:r w:rsidR="00A4586A">
        <w:rPr>
          <w:noProof/>
        </w:rPr>
        <w:drawing>
          <wp:inline distT="0" distB="0" distL="0" distR="0" wp14:anchorId="58416F7D" wp14:editId="2D889CB0">
            <wp:extent cx="5677200" cy="8035069"/>
            <wp:effectExtent l="0" t="0" r="0" b="444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677200" cy="8035069"/>
                    </a:xfrm>
                    <a:prstGeom prst="rect">
                      <a:avLst/>
                    </a:prstGeom>
                  </pic:spPr>
                </pic:pic>
              </a:graphicData>
            </a:graphic>
          </wp:inline>
        </w:drawing>
      </w:r>
      <w:r w:rsidR="004D22EA">
        <w:br w:type="page"/>
      </w:r>
    </w:p>
    <w:p w14:paraId="4B7C09F8" w14:textId="285CF885" w:rsidR="004D22EA" w:rsidRPr="00A61084" w:rsidRDefault="004D22EA" w:rsidP="004D22EA">
      <w:pPr>
        <w:pStyle w:val="SubHeadingNoTOC"/>
      </w:pPr>
      <w:r w:rsidRPr="00A61084">
        <w:t>Next steps</w:t>
      </w:r>
    </w:p>
    <w:p w14:paraId="2B6D437C" w14:textId="11B6CDF3" w:rsidR="008465DD" w:rsidRDefault="000E7073" w:rsidP="008465DD">
      <w:pPr>
        <w:pStyle w:val="APRANORMAL"/>
        <w:jc w:val="both"/>
        <w:rPr>
          <w:rStyle w:val="APRANORMALChar"/>
        </w:rPr>
      </w:pPr>
      <w:r>
        <w:rPr>
          <w:rStyle w:val="APRANORMALChar"/>
          <w:lang w:val="en-US"/>
        </w:rPr>
        <w:t xml:space="preserve">APRA welcomes responses to this consultation on the </w:t>
      </w:r>
      <w:r w:rsidR="00822F41">
        <w:rPr>
          <w:rStyle w:val="APRANORMALChar"/>
          <w:lang w:val="en-US"/>
        </w:rPr>
        <w:t xml:space="preserve">draft </w:t>
      </w:r>
      <w:r>
        <w:rPr>
          <w:rStyle w:val="APRANORMALChar"/>
          <w:lang w:val="en-US"/>
        </w:rPr>
        <w:t xml:space="preserve">CPS 230 by </w:t>
      </w:r>
      <w:r w:rsidR="00545D27">
        <w:rPr>
          <w:rStyle w:val="APRANORMALChar"/>
          <w:lang w:val="en-US"/>
        </w:rPr>
        <w:t>2</w:t>
      </w:r>
      <w:r w:rsidR="00D34117">
        <w:rPr>
          <w:rStyle w:val="APRANORMALChar"/>
          <w:lang w:val="en-US"/>
        </w:rPr>
        <w:t>1</w:t>
      </w:r>
      <w:r>
        <w:rPr>
          <w:rStyle w:val="APRANORMALChar"/>
          <w:lang w:val="en-US"/>
        </w:rPr>
        <w:t xml:space="preserve"> October 2022.</w:t>
      </w:r>
      <w:r w:rsidR="00456515">
        <w:rPr>
          <w:rStyle w:val="APRANORMALChar"/>
          <w:lang w:val="en-US"/>
        </w:rPr>
        <w:t xml:space="preserve"> </w:t>
      </w:r>
      <w:r w:rsidR="00456515">
        <w:rPr>
          <w:rStyle w:val="APRANORMALChar"/>
        </w:rPr>
        <w:t>Following</w:t>
      </w:r>
      <w:r w:rsidR="00EA7723">
        <w:rPr>
          <w:rStyle w:val="APRANORMALChar"/>
        </w:rPr>
        <w:t xml:space="preserve"> </w:t>
      </w:r>
      <w:r w:rsidR="00456515">
        <w:rPr>
          <w:rStyle w:val="APRANORMALChar"/>
        </w:rPr>
        <w:t xml:space="preserve">review of </w:t>
      </w:r>
      <w:r w:rsidR="004D2B2F">
        <w:rPr>
          <w:rStyle w:val="APRANORMALChar"/>
        </w:rPr>
        <w:t xml:space="preserve">feedback </w:t>
      </w:r>
      <w:r w:rsidR="00456515">
        <w:rPr>
          <w:rStyle w:val="APRANORMALChar"/>
        </w:rPr>
        <w:t>and submissions</w:t>
      </w:r>
      <w:r w:rsidR="004D2B2F">
        <w:rPr>
          <w:rStyle w:val="APRANORMALChar"/>
        </w:rPr>
        <w:t xml:space="preserve">, APRA plans to finalise the standard </w:t>
      </w:r>
      <w:r w:rsidR="00D3320F">
        <w:rPr>
          <w:rStyle w:val="APRANORMALChar"/>
        </w:rPr>
        <w:t xml:space="preserve">in </w:t>
      </w:r>
      <w:r w:rsidR="00456515">
        <w:rPr>
          <w:rStyle w:val="APRANORMALChar"/>
        </w:rPr>
        <w:t>early 2023 and release draft guidance for consultation</w:t>
      </w:r>
      <w:r w:rsidR="004D2B2F">
        <w:rPr>
          <w:rStyle w:val="APRANORMALChar"/>
        </w:rPr>
        <w:t xml:space="preserve">. </w:t>
      </w:r>
      <w:r w:rsidR="006C3F16">
        <w:rPr>
          <w:rStyle w:val="APRANORMALChar"/>
        </w:rPr>
        <w:t xml:space="preserve">As outlined in the intended timeline below, </w:t>
      </w:r>
      <w:r w:rsidR="00456515">
        <w:rPr>
          <w:rStyle w:val="APRANORMALChar"/>
        </w:rPr>
        <w:t xml:space="preserve">CPS 230 would come into effect </w:t>
      </w:r>
      <w:r w:rsidR="006C3F16">
        <w:rPr>
          <w:rStyle w:val="APRANORMALChar"/>
        </w:rPr>
        <w:t>for all APRA-regulate</w:t>
      </w:r>
      <w:r w:rsidR="00137B0F">
        <w:rPr>
          <w:rStyle w:val="APRANORMALChar"/>
        </w:rPr>
        <w:t>d</w:t>
      </w:r>
      <w:r w:rsidR="006C3F16">
        <w:rPr>
          <w:rStyle w:val="APRANORMALChar"/>
        </w:rPr>
        <w:t xml:space="preserve"> entities </w:t>
      </w:r>
      <w:r w:rsidR="00456515">
        <w:rPr>
          <w:rStyle w:val="APRANORMALChar"/>
        </w:rPr>
        <w:t>from 1 January 2024.</w:t>
      </w:r>
    </w:p>
    <w:p w14:paraId="19ABED5C" w14:textId="3DAB08B4" w:rsidR="004758FE" w:rsidRPr="00C6127A" w:rsidRDefault="004758FE" w:rsidP="00764632">
      <w:pPr>
        <w:pStyle w:val="Numberedfigureheading"/>
        <w:ind w:left="357" w:hanging="357"/>
        <w:rPr>
          <w:rStyle w:val="APRANORMALChar"/>
          <w:rFonts w:ascii="DIN OT Medium" w:hAnsi="DIN OT Medium" w:cstheme="majorBidi"/>
          <w:color w:val="012169" w:themeColor="text2"/>
          <w:lang w:val="en-AU"/>
        </w:rPr>
      </w:pPr>
      <w:r w:rsidRPr="004758FE">
        <w:rPr>
          <w:rStyle w:val="APRANORMALChar"/>
          <w:rFonts w:ascii="DIN OT Medium" w:hAnsi="DIN OT Medium" w:cstheme="majorBidi"/>
          <w:color w:val="012169" w:themeColor="text2"/>
          <w:lang w:val="en-AU"/>
        </w:rPr>
        <w:t>Timeline</w:t>
      </w:r>
    </w:p>
    <w:p w14:paraId="031A3CF9" w14:textId="7EE1E52E" w:rsidR="008628BA" w:rsidRDefault="00A4586A" w:rsidP="00425AAB">
      <w:pPr>
        <w:pStyle w:val="APRANORMAL"/>
        <w:jc w:val="both"/>
        <w:rPr>
          <w:rStyle w:val="APRANORMALChar"/>
          <w:noProof/>
        </w:rPr>
      </w:pPr>
      <w:r>
        <w:rPr>
          <w:rStyle w:val="APRANORMALChar"/>
          <w:noProof/>
        </w:rPr>
        <w:drawing>
          <wp:inline distT="0" distB="0" distL="0" distR="0" wp14:anchorId="40C96DE8" wp14:editId="6D58B342">
            <wp:extent cx="5511165" cy="23228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1165" cy="2322830"/>
                    </a:xfrm>
                    <a:prstGeom prst="rect">
                      <a:avLst/>
                    </a:prstGeom>
                    <a:noFill/>
                  </pic:spPr>
                </pic:pic>
              </a:graphicData>
            </a:graphic>
          </wp:inline>
        </w:drawing>
      </w:r>
    </w:p>
    <w:p w14:paraId="2710656D" w14:textId="3B217952" w:rsidR="000B12AF" w:rsidRDefault="000B12AF" w:rsidP="00334B3E">
      <w:pPr>
        <w:pStyle w:val="Heading1"/>
        <w:keepLines w:val="0"/>
      </w:pPr>
      <w:bookmarkStart w:id="1" w:name="_Toc109287988"/>
      <w:r>
        <w:t>Glossary</w:t>
      </w:r>
      <w:bookmarkEnd w:id="1"/>
    </w:p>
    <w:tbl>
      <w:tblPr>
        <w:tblStyle w:val="TableOption22"/>
        <w:tblW w:w="0" w:type="auto"/>
        <w:tblLook w:val="0480" w:firstRow="0" w:lastRow="0" w:firstColumn="1" w:lastColumn="0" w:noHBand="0" w:noVBand="1"/>
      </w:tblPr>
      <w:tblGrid>
        <w:gridCol w:w="2127"/>
        <w:gridCol w:w="6899"/>
      </w:tblGrid>
      <w:tr w:rsidR="003B6CB1" w:rsidRPr="003B6CB1" w14:paraId="0D6D47D2" w14:textId="77777777" w:rsidTr="00BB37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tcPr>
          <w:p w14:paraId="19C6E339" w14:textId="1AE44F8C" w:rsidR="003B6CB1" w:rsidRPr="003B6CB1" w:rsidRDefault="003B6CB1" w:rsidP="00BB373F">
            <w:pPr>
              <w:numPr>
                <w:ilvl w:val="0"/>
                <w:numId w:val="0"/>
              </w:numPr>
              <w:spacing w:before="240" w:after="120"/>
              <w:rPr>
                <w:rFonts w:ascii="DIN OT Medium" w:hAnsi="DIN OT Medium"/>
              </w:rPr>
            </w:pPr>
            <w:r>
              <w:rPr>
                <w:rFonts w:ascii="DIN OT Medium" w:hAnsi="DIN OT Medium"/>
              </w:rPr>
              <w:t>ADI</w:t>
            </w:r>
          </w:p>
        </w:tc>
        <w:tc>
          <w:tcPr>
            <w:tcW w:w="6899" w:type="dxa"/>
          </w:tcPr>
          <w:p w14:paraId="7E07D46D" w14:textId="46F003BE" w:rsidR="003B6CB1" w:rsidRPr="003B6CB1" w:rsidRDefault="003B6CB1" w:rsidP="003B6CB1">
            <w:pPr>
              <w:keepNext/>
              <w:numPr>
                <w:ilvl w:val="0"/>
                <w:numId w:val="0"/>
              </w:numPr>
              <w:spacing w:before="240" w:after="120"/>
              <w:cnfStyle w:val="000000100000" w:firstRow="0" w:lastRow="0" w:firstColumn="0" w:lastColumn="0" w:oddVBand="0" w:evenVBand="0" w:oddHBand="1" w:evenHBand="0" w:firstRowFirstColumn="0" w:firstRowLastColumn="0" w:lastRowFirstColumn="0" w:lastRowLastColumn="0"/>
            </w:pPr>
            <w:r>
              <w:t>Authorised deposit-taking institution</w:t>
            </w:r>
          </w:p>
        </w:tc>
      </w:tr>
      <w:tr w:rsidR="003B6CB1" w:rsidRPr="003B6CB1" w14:paraId="7E2A5DD4" w14:textId="77777777" w:rsidTr="00344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468FE42" w14:textId="478A998B" w:rsidR="003B6CB1" w:rsidRPr="003B6CB1" w:rsidRDefault="003B6CB1" w:rsidP="00E83EB5">
            <w:pPr>
              <w:numPr>
                <w:ilvl w:val="0"/>
                <w:numId w:val="0"/>
              </w:numPr>
              <w:spacing w:before="240" w:after="120"/>
              <w:rPr>
                <w:rFonts w:ascii="DIN OT Medium" w:hAnsi="DIN OT Medium"/>
              </w:rPr>
            </w:pPr>
            <w:r>
              <w:rPr>
                <w:rFonts w:ascii="DIN OT Medium" w:hAnsi="DIN OT Medium"/>
              </w:rPr>
              <w:t>APRA</w:t>
            </w:r>
          </w:p>
        </w:tc>
        <w:tc>
          <w:tcPr>
            <w:tcW w:w="6899" w:type="dxa"/>
          </w:tcPr>
          <w:p w14:paraId="3AEF01F1" w14:textId="365E9202" w:rsidR="003B6CB1" w:rsidRPr="003B6CB1" w:rsidRDefault="003B6CB1" w:rsidP="00E83EB5">
            <w:pPr>
              <w:numPr>
                <w:ilvl w:val="0"/>
                <w:numId w:val="0"/>
              </w:numPr>
              <w:spacing w:before="240" w:after="120"/>
              <w:cnfStyle w:val="000000010000" w:firstRow="0" w:lastRow="0" w:firstColumn="0" w:lastColumn="0" w:oddVBand="0" w:evenVBand="0" w:oddHBand="0" w:evenHBand="1" w:firstRowFirstColumn="0" w:firstRowLastColumn="0" w:lastRowFirstColumn="0" w:lastRowLastColumn="0"/>
            </w:pPr>
            <w:r>
              <w:t>Australian Prudential Regulation Authority</w:t>
            </w:r>
          </w:p>
        </w:tc>
      </w:tr>
      <w:tr w:rsidR="00A5671F" w:rsidRPr="003B6CB1" w14:paraId="0B7658C7" w14:textId="77777777" w:rsidTr="00344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405A88C" w14:textId="4F7F1469" w:rsidR="00A5671F" w:rsidRDefault="00A5671F" w:rsidP="00E83EB5">
            <w:pPr>
              <w:numPr>
                <w:ilvl w:val="0"/>
                <w:numId w:val="0"/>
              </w:numPr>
              <w:spacing w:before="240" w:after="120"/>
              <w:rPr>
                <w:rFonts w:ascii="DIN OT Medium" w:hAnsi="DIN OT Medium"/>
              </w:rPr>
            </w:pPr>
            <w:r>
              <w:rPr>
                <w:rFonts w:ascii="DIN OT Medium" w:hAnsi="DIN OT Medium"/>
              </w:rPr>
              <w:t>BaaS</w:t>
            </w:r>
          </w:p>
        </w:tc>
        <w:tc>
          <w:tcPr>
            <w:tcW w:w="6899" w:type="dxa"/>
          </w:tcPr>
          <w:p w14:paraId="481FEA8F" w14:textId="69DD86CD" w:rsidR="00A5671F" w:rsidRDefault="00A5671F" w:rsidP="00E83EB5">
            <w:pPr>
              <w:numPr>
                <w:ilvl w:val="0"/>
                <w:numId w:val="0"/>
              </w:numPr>
              <w:spacing w:before="240" w:after="120"/>
              <w:cnfStyle w:val="000000100000" w:firstRow="0" w:lastRow="0" w:firstColumn="0" w:lastColumn="0" w:oddVBand="0" w:evenVBand="0" w:oddHBand="1" w:evenHBand="0" w:firstRowFirstColumn="0" w:firstRowLastColumn="0" w:lastRowFirstColumn="0" w:lastRowLastColumn="0"/>
            </w:pPr>
            <w:r>
              <w:t>Banking</w:t>
            </w:r>
            <w:r w:rsidR="002374B3">
              <w:t xml:space="preserve"> </w:t>
            </w:r>
            <w:r>
              <w:t>as</w:t>
            </w:r>
            <w:r w:rsidR="002374B3">
              <w:t xml:space="preserve"> </w:t>
            </w:r>
            <w:r>
              <w:t>a</w:t>
            </w:r>
            <w:r w:rsidR="002374B3">
              <w:t xml:space="preserve"> </w:t>
            </w:r>
            <w:r>
              <w:t>Service</w:t>
            </w:r>
          </w:p>
        </w:tc>
      </w:tr>
      <w:tr w:rsidR="0086098F" w:rsidRPr="003B6CB1" w14:paraId="22427BDF" w14:textId="77777777" w:rsidTr="00344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8A09040" w14:textId="3A0D6AA8" w:rsidR="0086098F" w:rsidRDefault="0086098F" w:rsidP="00E83EB5">
            <w:pPr>
              <w:numPr>
                <w:ilvl w:val="0"/>
                <w:numId w:val="0"/>
              </w:numPr>
              <w:spacing w:before="240" w:after="120"/>
              <w:rPr>
                <w:rFonts w:ascii="DIN OT Medium" w:hAnsi="DIN OT Medium"/>
              </w:rPr>
            </w:pPr>
            <w:r>
              <w:rPr>
                <w:rFonts w:ascii="DIN OT Medium" w:hAnsi="DIN OT Medium"/>
              </w:rPr>
              <w:t>BCP</w:t>
            </w:r>
          </w:p>
        </w:tc>
        <w:tc>
          <w:tcPr>
            <w:tcW w:w="6899" w:type="dxa"/>
          </w:tcPr>
          <w:p w14:paraId="32CA9EFF" w14:textId="40023D2E" w:rsidR="0086098F" w:rsidRDefault="0086098F" w:rsidP="00E83EB5">
            <w:pPr>
              <w:numPr>
                <w:ilvl w:val="0"/>
                <w:numId w:val="0"/>
              </w:numPr>
              <w:spacing w:before="240" w:after="120"/>
              <w:cnfStyle w:val="000000010000" w:firstRow="0" w:lastRow="0" w:firstColumn="0" w:lastColumn="0" w:oddVBand="0" w:evenVBand="0" w:oddHBand="0" w:evenHBand="1" w:firstRowFirstColumn="0" w:firstRowLastColumn="0" w:lastRowFirstColumn="0" w:lastRowLastColumn="0"/>
            </w:pPr>
            <w:r>
              <w:t>Business continuity plan</w:t>
            </w:r>
          </w:p>
        </w:tc>
      </w:tr>
      <w:tr w:rsidR="009B4048" w:rsidRPr="003B6CB1" w14:paraId="50F87F0F" w14:textId="77777777" w:rsidTr="00344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130F96C" w14:textId="10B196AD" w:rsidR="009B4048" w:rsidRDefault="009B4048" w:rsidP="00E83EB5">
            <w:pPr>
              <w:numPr>
                <w:ilvl w:val="0"/>
                <w:numId w:val="0"/>
              </w:numPr>
              <w:spacing w:before="240" w:after="120"/>
              <w:rPr>
                <w:rFonts w:ascii="DIN OT Medium" w:hAnsi="DIN OT Medium"/>
              </w:rPr>
            </w:pPr>
            <w:r>
              <w:rPr>
                <w:rFonts w:ascii="DIN OT Medium" w:hAnsi="DIN OT Medium"/>
              </w:rPr>
              <w:t>Board</w:t>
            </w:r>
          </w:p>
        </w:tc>
        <w:tc>
          <w:tcPr>
            <w:tcW w:w="6899" w:type="dxa"/>
          </w:tcPr>
          <w:p w14:paraId="3EDD75AF" w14:textId="14CB0C52" w:rsidR="009B4048" w:rsidRPr="00880BFA" w:rsidRDefault="00880BFA" w:rsidP="00E83EB5">
            <w:pPr>
              <w:numPr>
                <w:ilvl w:val="0"/>
                <w:numId w:val="0"/>
              </w:numPr>
              <w:spacing w:before="240" w:after="120"/>
              <w:cnfStyle w:val="000000100000" w:firstRow="0" w:lastRow="0" w:firstColumn="0" w:lastColumn="0" w:oddVBand="0" w:evenVBand="0" w:oddHBand="1" w:evenHBand="0" w:firstRowFirstColumn="0" w:firstRowLastColumn="0" w:lastRowFirstColumn="0" w:lastRowLastColumn="0"/>
            </w:pPr>
            <w:r>
              <w:t>Board of directors of an institution or</w:t>
            </w:r>
            <w:r w:rsidR="008C133E">
              <w:t>,</w:t>
            </w:r>
            <w:r>
              <w:t xml:space="preserve"> for an RSE licensee</w:t>
            </w:r>
            <w:r w:rsidR="008C133E">
              <w:t>, the</w:t>
            </w:r>
            <w:r>
              <w:t xml:space="preserve"> Board of directors or group of individual trustees of an RSE licensee, as applicable</w:t>
            </w:r>
          </w:p>
        </w:tc>
      </w:tr>
      <w:tr w:rsidR="001669AD" w:rsidRPr="003B6CB1" w14:paraId="5A95846B" w14:textId="77777777" w:rsidTr="00344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ED4A533" w14:textId="6231AEFC" w:rsidR="001669AD" w:rsidRDefault="001669AD" w:rsidP="00E83EB5">
            <w:pPr>
              <w:numPr>
                <w:ilvl w:val="0"/>
                <w:numId w:val="0"/>
              </w:numPr>
              <w:spacing w:before="240" w:after="120"/>
              <w:rPr>
                <w:rFonts w:ascii="DIN OT Medium" w:hAnsi="DIN OT Medium"/>
              </w:rPr>
            </w:pPr>
            <w:r>
              <w:rPr>
                <w:rFonts w:ascii="DIN OT Medium" w:hAnsi="DIN OT Medium"/>
              </w:rPr>
              <w:t>CPG 231</w:t>
            </w:r>
          </w:p>
        </w:tc>
        <w:tc>
          <w:tcPr>
            <w:tcW w:w="6899" w:type="dxa"/>
          </w:tcPr>
          <w:p w14:paraId="2ED27314" w14:textId="0EA00ADC" w:rsidR="001669AD" w:rsidRDefault="001669AD" w:rsidP="00E83EB5">
            <w:pPr>
              <w:numPr>
                <w:ilvl w:val="0"/>
                <w:numId w:val="0"/>
              </w:numPr>
              <w:spacing w:before="240" w:after="120"/>
              <w:cnfStyle w:val="000000010000" w:firstRow="0" w:lastRow="0" w:firstColumn="0" w:lastColumn="0" w:oddVBand="0" w:evenVBand="0" w:oddHBand="0" w:evenHBand="1" w:firstRowFirstColumn="0" w:firstRowLastColumn="0" w:lastRowFirstColumn="0" w:lastRowLastColumn="0"/>
              <w:rPr>
                <w:i/>
              </w:rPr>
            </w:pPr>
            <w:r>
              <w:rPr>
                <w:i/>
              </w:rPr>
              <w:t>Prudential Practice Guide CPG 231 Outsourcing</w:t>
            </w:r>
          </w:p>
        </w:tc>
      </w:tr>
      <w:tr w:rsidR="001669AD" w:rsidRPr="003B6CB1" w14:paraId="67CD8E31" w14:textId="77777777" w:rsidTr="00344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3AF0F98" w14:textId="46A84202" w:rsidR="001669AD" w:rsidRDefault="001669AD" w:rsidP="00E83EB5">
            <w:pPr>
              <w:numPr>
                <w:ilvl w:val="0"/>
                <w:numId w:val="0"/>
              </w:numPr>
              <w:spacing w:before="240" w:after="120"/>
              <w:rPr>
                <w:rFonts w:ascii="DIN OT Medium" w:hAnsi="DIN OT Medium"/>
              </w:rPr>
            </w:pPr>
            <w:r>
              <w:rPr>
                <w:rFonts w:ascii="DIN OT Medium" w:hAnsi="DIN OT Medium"/>
              </w:rPr>
              <w:t>CPG 233</w:t>
            </w:r>
          </w:p>
        </w:tc>
        <w:tc>
          <w:tcPr>
            <w:tcW w:w="6899" w:type="dxa"/>
          </w:tcPr>
          <w:p w14:paraId="7DF62A9C" w14:textId="6445A58C" w:rsidR="001669AD" w:rsidRDefault="001669AD" w:rsidP="00E83EB5">
            <w:pPr>
              <w:numPr>
                <w:ilvl w:val="0"/>
                <w:numId w:val="0"/>
              </w:numPr>
              <w:spacing w:before="240" w:after="120"/>
              <w:cnfStyle w:val="000000100000" w:firstRow="0" w:lastRow="0" w:firstColumn="0" w:lastColumn="0" w:oddVBand="0" w:evenVBand="0" w:oddHBand="1" w:evenHBand="0" w:firstRowFirstColumn="0" w:firstRowLastColumn="0" w:lastRowFirstColumn="0" w:lastRowLastColumn="0"/>
              <w:rPr>
                <w:i/>
              </w:rPr>
            </w:pPr>
            <w:r>
              <w:rPr>
                <w:i/>
              </w:rPr>
              <w:t>Prudential Practice Guide CPG 233 Pandemic Planning</w:t>
            </w:r>
          </w:p>
        </w:tc>
      </w:tr>
      <w:tr w:rsidR="001669AD" w:rsidRPr="003B6CB1" w14:paraId="1C8D4A7A" w14:textId="77777777" w:rsidTr="00344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B95CDE9" w14:textId="452F4B5E" w:rsidR="001669AD" w:rsidRDefault="001669AD" w:rsidP="00E83EB5">
            <w:pPr>
              <w:numPr>
                <w:ilvl w:val="0"/>
                <w:numId w:val="0"/>
              </w:numPr>
              <w:spacing w:before="240" w:after="120"/>
              <w:rPr>
                <w:rFonts w:ascii="DIN OT Medium" w:hAnsi="DIN OT Medium"/>
              </w:rPr>
            </w:pPr>
            <w:r>
              <w:rPr>
                <w:rFonts w:ascii="DIN OT Medium" w:hAnsi="DIN OT Medium"/>
              </w:rPr>
              <w:t>CPG 234</w:t>
            </w:r>
          </w:p>
        </w:tc>
        <w:tc>
          <w:tcPr>
            <w:tcW w:w="6899" w:type="dxa"/>
          </w:tcPr>
          <w:p w14:paraId="6D0965A5" w14:textId="1722E902" w:rsidR="001669AD" w:rsidRDefault="001669AD" w:rsidP="00E83EB5">
            <w:pPr>
              <w:numPr>
                <w:ilvl w:val="0"/>
                <w:numId w:val="0"/>
              </w:numPr>
              <w:spacing w:before="240" w:after="120"/>
              <w:cnfStyle w:val="000000010000" w:firstRow="0" w:lastRow="0" w:firstColumn="0" w:lastColumn="0" w:oddVBand="0" w:evenVBand="0" w:oddHBand="0" w:evenHBand="1" w:firstRowFirstColumn="0" w:firstRowLastColumn="0" w:lastRowFirstColumn="0" w:lastRowLastColumn="0"/>
              <w:rPr>
                <w:i/>
              </w:rPr>
            </w:pPr>
            <w:r>
              <w:rPr>
                <w:i/>
              </w:rPr>
              <w:t>Prudential Practice Guide CPG 234 Information Security</w:t>
            </w:r>
          </w:p>
        </w:tc>
      </w:tr>
      <w:tr w:rsidR="001669AD" w:rsidRPr="003B6CB1" w14:paraId="1C4070E3" w14:textId="77777777" w:rsidTr="00344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3E451AB" w14:textId="399CA4DF" w:rsidR="001669AD" w:rsidRDefault="001669AD" w:rsidP="00E83EB5">
            <w:pPr>
              <w:numPr>
                <w:ilvl w:val="0"/>
                <w:numId w:val="0"/>
              </w:numPr>
              <w:spacing w:before="240" w:after="120"/>
              <w:rPr>
                <w:rFonts w:ascii="DIN OT Medium" w:hAnsi="DIN OT Medium"/>
              </w:rPr>
            </w:pPr>
            <w:r>
              <w:rPr>
                <w:rFonts w:ascii="DIN OT Medium" w:hAnsi="DIN OT Medium"/>
              </w:rPr>
              <w:t>CPG 235</w:t>
            </w:r>
          </w:p>
        </w:tc>
        <w:tc>
          <w:tcPr>
            <w:tcW w:w="6899" w:type="dxa"/>
          </w:tcPr>
          <w:p w14:paraId="491DEE01" w14:textId="42E538A1" w:rsidR="001669AD" w:rsidRDefault="001669AD" w:rsidP="00E83EB5">
            <w:pPr>
              <w:numPr>
                <w:ilvl w:val="0"/>
                <w:numId w:val="0"/>
              </w:numPr>
              <w:spacing w:before="240" w:after="120"/>
              <w:cnfStyle w:val="000000100000" w:firstRow="0" w:lastRow="0" w:firstColumn="0" w:lastColumn="0" w:oddVBand="0" w:evenVBand="0" w:oddHBand="1" w:evenHBand="0" w:firstRowFirstColumn="0" w:firstRowLastColumn="0" w:lastRowFirstColumn="0" w:lastRowLastColumn="0"/>
              <w:rPr>
                <w:i/>
              </w:rPr>
            </w:pPr>
            <w:r>
              <w:rPr>
                <w:i/>
              </w:rPr>
              <w:t>Prudential Practice Guide CPG 235 Managing Data Risk</w:t>
            </w:r>
          </w:p>
        </w:tc>
      </w:tr>
      <w:tr w:rsidR="00D34B65" w:rsidRPr="003B6CB1" w14:paraId="3D261B61" w14:textId="77777777" w:rsidTr="00344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32100BE" w14:textId="1C875102" w:rsidR="00D34B65" w:rsidRDefault="00D34B65" w:rsidP="00E83EB5">
            <w:pPr>
              <w:numPr>
                <w:ilvl w:val="0"/>
                <w:numId w:val="0"/>
              </w:numPr>
              <w:spacing w:before="240" w:after="120"/>
              <w:rPr>
                <w:rFonts w:ascii="DIN OT Medium" w:hAnsi="DIN OT Medium"/>
              </w:rPr>
            </w:pPr>
            <w:r>
              <w:rPr>
                <w:rFonts w:ascii="DIN OT Medium" w:hAnsi="DIN OT Medium"/>
              </w:rPr>
              <w:t>CPS 220</w:t>
            </w:r>
          </w:p>
        </w:tc>
        <w:tc>
          <w:tcPr>
            <w:tcW w:w="6899" w:type="dxa"/>
          </w:tcPr>
          <w:p w14:paraId="3426520A" w14:textId="3AF48A1A" w:rsidR="00D34B65" w:rsidRDefault="00D34B65" w:rsidP="00E83EB5">
            <w:pPr>
              <w:numPr>
                <w:ilvl w:val="0"/>
                <w:numId w:val="0"/>
              </w:numPr>
              <w:spacing w:before="240" w:after="120"/>
              <w:cnfStyle w:val="000000010000" w:firstRow="0" w:lastRow="0" w:firstColumn="0" w:lastColumn="0" w:oddVBand="0" w:evenVBand="0" w:oddHBand="0" w:evenHBand="1" w:firstRowFirstColumn="0" w:firstRowLastColumn="0" w:lastRowFirstColumn="0" w:lastRowLastColumn="0"/>
              <w:rPr>
                <w:i/>
              </w:rPr>
            </w:pPr>
            <w:r>
              <w:rPr>
                <w:i/>
              </w:rPr>
              <w:t>Prudential Standard CPS 220 Risk Management</w:t>
            </w:r>
          </w:p>
        </w:tc>
      </w:tr>
      <w:tr w:rsidR="000A1649" w:rsidRPr="003B6CB1" w14:paraId="36C6E8ED" w14:textId="77777777" w:rsidTr="00344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B9E6086" w14:textId="1E82D16A" w:rsidR="000A1649" w:rsidRDefault="000A1649" w:rsidP="00E83EB5">
            <w:pPr>
              <w:numPr>
                <w:ilvl w:val="0"/>
                <w:numId w:val="0"/>
              </w:numPr>
              <w:spacing w:before="240" w:after="120"/>
              <w:rPr>
                <w:rFonts w:ascii="DIN OT Medium" w:hAnsi="DIN OT Medium"/>
              </w:rPr>
            </w:pPr>
            <w:r>
              <w:rPr>
                <w:rFonts w:ascii="DIN OT Medium" w:hAnsi="DIN OT Medium"/>
              </w:rPr>
              <w:t>CPS 230</w:t>
            </w:r>
          </w:p>
        </w:tc>
        <w:tc>
          <w:tcPr>
            <w:tcW w:w="6899" w:type="dxa"/>
          </w:tcPr>
          <w:p w14:paraId="45E9D616" w14:textId="4F385BF5" w:rsidR="000A1649" w:rsidRPr="00FE0837" w:rsidRDefault="000A1649" w:rsidP="00E83EB5">
            <w:pPr>
              <w:numPr>
                <w:ilvl w:val="0"/>
                <w:numId w:val="0"/>
              </w:numPr>
              <w:spacing w:before="240" w:after="120"/>
              <w:cnfStyle w:val="000000100000" w:firstRow="0" w:lastRow="0" w:firstColumn="0" w:lastColumn="0" w:oddVBand="0" w:evenVBand="0" w:oddHBand="1" w:evenHBand="0" w:firstRowFirstColumn="0" w:firstRowLastColumn="0" w:lastRowFirstColumn="0" w:lastRowLastColumn="0"/>
              <w:rPr>
                <w:i/>
              </w:rPr>
            </w:pPr>
            <w:r>
              <w:rPr>
                <w:i/>
              </w:rPr>
              <w:t>Prudential Standard CPS 230 Operational Risk Management</w:t>
            </w:r>
          </w:p>
        </w:tc>
      </w:tr>
      <w:tr w:rsidR="000A1649" w:rsidRPr="003B6CB1" w14:paraId="5436C6F7" w14:textId="77777777" w:rsidTr="00344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F209D1D" w14:textId="7D49C6E5" w:rsidR="000A1649" w:rsidRDefault="000A1649" w:rsidP="00E83EB5">
            <w:pPr>
              <w:numPr>
                <w:ilvl w:val="0"/>
                <w:numId w:val="0"/>
              </w:numPr>
              <w:spacing w:before="240" w:after="120"/>
              <w:rPr>
                <w:rFonts w:ascii="DIN OT Medium" w:hAnsi="DIN OT Medium"/>
              </w:rPr>
            </w:pPr>
            <w:r>
              <w:rPr>
                <w:rFonts w:ascii="DIN OT Medium" w:hAnsi="DIN OT Medium"/>
              </w:rPr>
              <w:t>CPS 231</w:t>
            </w:r>
          </w:p>
        </w:tc>
        <w:tc>
          <w:tcPr>
            <w:tcW w:w="6899" w:type="dxa"/>
          </w:tcPr>
          <w:p w14:paraId="3138342F" w14:textId="243C2276" w:rsidR="000A1649" w:rsidRDefault="000A1649" w:rsidP="00E83EB5">
            <w:pPr>
              <w:numPr>
                <w:ilvl w:val="0"/>
                <w:numId w:val="0"/>
              </w:numPr>
              <w:spacing w:before="240" w:after="120"/>
              <w:cnfStyle w:val="000000010000" w:firstRow="0" w:lastRow="0" w:firstColumn="0" w:lastColumn="0" w:oddVBand="0" w:evenVBand="0" w:oddHBand="0" w:evenHBand="1" w:firstRowFirstColumn="0" w:firstRowLastColumn="0" w:lastRowFirstColumn="0" w:lastRowLastColumn="0"/>
              <w:rPr>
                <w:i/>
              </w:rPr>
            </w:pPr>
            <w:r>
              <w:rPr>
                <w:i/>
              </w:rPr>
              <w:t xml:space="preserve">Prudential Standard </w:t>
            </w:r>
            <w:r w:rsidR="004359E6">
              <w:rPr>
                <w:i/>
              </w:rPr>
              <w:t xml:space="preserve">231 </w:t>
            </w:r>
            <w:r>
              <w:rPr>
                <w:i/>
              </w:rPr>
              <w:t>Outsourcing</w:t>
            </w:r>
          </w:p>
        </w:tc>
      </w:tr>
      <w:tr w:rsidR="000A1649" w:rsidRPr="003B6CB1" w14:paraId="0A55242A" w14:textId="77777777" w:rsidTr="00344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87D57D1" w14:textId="59246E5B" w:rsidR="000A1649" w:rsidRDefault="004359E6" w:rsidP="00E83EB5">
            <w:pPr>
              <w:numPr>
                <w:ilvl w:val="0"/>
                <w:numId w:val="0"/>
              </w:numPr>
              <w:spacing w:before="240" w:after="120"/>
              <w:rPr>
                <w:rFonts w:ascii="DIN OT Medium" w:hAnsi="DIN OT Medium"/>
              </w:rPr>
            </w:pPr>
            <w:r>
              <w:rPr>
                <w:rFonts w:ascii="DIN OT Medium" w:hAnsi="DIN OT Medium"/>
              </w:rPr>
              <w:t>CPS 232</w:t>
            </w:r>
          </w:p>
        </w:tc>
        <w:tc>
          <w:tcPr>
            <w:tcW w:w="6899" w:type="dxa"/>
          </w:tcPr>
          <w:p w14:paraId="2B9EE8C9" w14:textId="2F68E4D0" w:rsidR="000A1649" w:rsidRDefault="004359E6" w:rsidP="00E83EB5">
            <w:pPr>
              <w:numPr>
                <w:ilvl w:val="0"/>
                <w:numId w:val="0"/>
              </w:numPr>
              <w:spacing w:before="240" w:after="120"/>
              <w:cnfStyle w:val="000000100000" w:firstRow="0" w:lastRow="0" w:firstColumn="0" w:lastColumn="0" w:oddVBand="0" w:evenVBand="0" w:oddHBand="1" w:evenHBand="0" w:firstRowFirstColumn="0" w:firstRowLastColumn="0" w:lastRowFirstColumn="0" w:lastRowLastColumn="0"/>
              <w:rPr>
                <w:i/>
              </w:rPr>
            </w:pPr>
            <w:r>
              <w:rPr>
                <w:i/>
              </w:rPr>
              <w:t>Prudential Standard CPS 232 Business Continuity Management</w:t>
            </w:r>
          </w:p>
        </w:tc>
      </w:tr>
      <w:tr w:rsidR="000A1649" w:rsidRPr="003B6CB1" w14:paraId="43B7BA47" w14:textId="77777777" w:rsidTr="00344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922B8A9" w14:textId="7CB3470B" w:rsidR="000A1649" w:rsidRDefault="000A1649" w:rsidP="00E83EB5">
            <w:pPr>
              <w:numPr>
                <w:ilvl w:val="0"/>
                <w:numId w:val="0"/>
              </w:numPr>
              <w:spacing w:before="240" w:after="120"/>
              <w:rPr>
                <w:rFonts w:ascii="DIN OT Medium" w:hAnsi="DIN OT Medium"/>
              </w:rPr>
            </w:pPr>
            <w:r>
              <w:rPr>
                <w:rFonts w:ascii="DIN OT Medium" w:hAnsi="DIN OT Medium"/>
              </w:rPr>
              <w:t>CPS 234</w:t>
            </w:r>
          </w:p>
        </w:tc>
        <w:tc>
          <w:tcPr>
            <w:tcW w:w="6899" w:type="dxa"/>
          </w:tcPr>
          <w:p w14:paraId="6412E3BD" w14:textId="2C8A3594" w:rsidR="000A1649" w:rsidRPr="00FE0837" w:rsidRDefault="000A1649" w:rsidP="00E83EB5">
            <w:pPr>
              <w:numPr>
                <w:ilvl w:val="0"/>
                <w:numId w:val="0"/>
              </w:numPr>
              <w:spacing w:before="240" w:after="120"/>
              <w:cnfStyle w:val="000000010000" w:firstRow="0" w:lastRow="0" w:firstColumn="0" w:lastColumn="0" w:oddVBand="0" w:evenVBand="0" w:oddHBand="0" w:evenHBand="1" w:firstRowFirstColumn="0" w:firstRowLastColumn="0" w:lastRowFirstColumn="0" w:lastRowLastColumn="0"/>
              <w:rPr>
                <w:i/>
              </w:rPr>
            </w:pPr>
            <w:r>
              <w:rPr>
                <w:i/>
              </w:rPr>
              <w:t>Prudential Standard</w:t>
            </w:r>
            <w:r w:rsidR="004359E6">
              <w:rPr>
                <w:i/>
              </w:rPr>
              <w:t xml:space="preserve"> 234</w:t>
            </w:r>
            <w:r>
              <w:rPr>
                <w:i/>
              </w:rPr>
              <w:t xml:space="preserve"> Information Security</w:t>
            </w:r>
          </w:p>
        </w:tc>
      </w:tr>
      <w:tr w:rsidR="00FE0837" w:rsidRPr="003B6CB1" w14:paraId="7CF78FAE" w14:textId="77777777" w:rsidTr="00344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8FF6DA6" w14:textId="660068AB" w:rsidR="00FE0837" w:rsidRDefault="00FE0837" w:rsidP="00E83EB5">
            <w:pPr>
              <w:numPr>
                <w:ilvl w:val="0"/>
                <w:numId w:val="0"/>
              </w:numPr>
              <w:spacing w:before="240" w:after="120"/>
              <w:rPr>
                <w:rFonts w:ascii="DIN OT Medium" w:hAnsi="DIN OT Medium"/>
              </w:rPr>
            </w:pPr>
            <w:r>
              <w:rPr>
                <w:rFonts w:ascii="DIN OT Medium" w:hAnsi="DIN OT Medium"/>
              </w:rPr>
              <w:t>HPS 231</w:t>
            </w:r>
          </w:p>
        </w:tc>
        <w:tc>
          <w:tcPr>
            <w:tcW w:w="6899" w:type="dxa"/>
          </w:tcPr>
          <w:p w14:paraId="7A1E7190" w14:textId="112677ED" w:rsidR="00FE0837" w:rsidRPr="00FE0837" w:rsidRDefault="00FE0837" w:rsidP="00E83EB5">
            <w:pPr>
              <w:numPr>
                <w:ilvl w:val="0"/>
                <w:numId w:val="0"/>
              </w:numPr>
              <w:spacing w:before="240" w:after="120"/>
              <w:cnfStyle w:val="000000100000" w:firstRow="0" w:lastRow="0" w:firstColumn="0" w:lastColumn="0" w:oddVBand="0" w:evenVBand="0" w:oddHBand="1" w:evenHBand="0" w:firstRowFirstColumn="0" w:firstRowLastColumn="0" w:lastRowFirstColumn="0" w:lastRowLastColumn="0"/>
              <w:rPr>
                <w:i/>
              </w:rPr>
            </w:pPr>
            <w:r>
              <w:rPr>
                <w:i/>
              </w:rPr>
              <w:t>Prudential Standard HPS 231 Outsourcing</w:t>
            </w:r>
          </w:p>
        </w:tc>
      </w:tr>
      <w:tr w:rsidR="003445BA" w:rsidRPr="003B6CB1" w14:paraId="00D17E06" w14:textId="77777777" w:rsidTr="00344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4C8E7EE" w14:textId="3A67CEA9" w:rsidR="003445BA" w:rsidRDefault="003445BA" w:rsidP="00E83EB5">
            <w:pPr>
              <w:numPr>
                <w:ilvl w:val="0"/>
                <w:numId w:val="0"/>
              </w:numPr>
              <w:spacing w:before="240" w:after="120"/>
              <w:rPr>
                <w:rFonts w:ascii="DIN OT Medium" w:hAnsi="DIN OT Medium"/>
              </w:rPr>
            </w:pPr>
            <w:r>
              <w:rPr>
                <w:rFonts w:ascii="DIN OT Medium" w:hAnsi="DIN OT Medium"/>
              </w:rPr>
              <w:t>Non-SFI</w:t>
            </w:r>
          </w:p>
        </w:tc>
        <w:tc>
          <w:tcPr>
            <w:tcW w:w="6899" w:type="dxa"/>
          </w:tcPr>
          <w:p w14:paraId="0A768B7A" w14:textId="6A070861" w:rsidR="003445BA" w:rsidRDefault="003445BA" w:rsidP="00E83EB5">
            <w:pPr>
              <w:numPr>
                <w:ilvl w:val="0"/>
                <w:numId w:val="0"/>
              </w:numPr>
              <w:spacing w:before="240" w:after="120"/>
              <w:cnfStyle w:val="000000010000" w:firstRow="0" w:lastRow="0" w:firstColumn="0" w:lastColumn="0" w:oddVBand="0" w:evenVBand="0" w:oddHBand="0" w:evenHBand="1" w:firstRowFirstColumn="0" w:firstRowLastColumn="0" w:lastRowFirstColumn="0" w:lastRowLastColumn="0"/>
            </w:pPr>
            <w:r>
              <w:t>Non-significant financial institution</w:t>
            </w:r>
          </w:p>
        </w:tc>
      </w:tr>
      <w:tr w:rsidR="003B6CB1" w:rsidRPr="003B6CB1" w14:paraId="3CEA7B1A" w14:textId="77777777" w:rsidTr="00344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A5E81B5" w14:textId="3A01E106" w:rsidR="003B6CB1" w:rsidRPr="003B6CB1" w:rsidRDefault="003B6CB1" w:rsidP="00E83EB5">
            <w:pPr>
              <w:numPr>
                <w:ilvl w:val="0"/>
                <w:numId w:val="0"/>
              </w:numPr>
              <w:spacing w:before="240" w:after="120"/>
              <w:rPr>
                <w:rFonts w:ascii="DIN OT Medium" w:hAnsi="DIN OT Medium"/>
              </w:rPr>
            </w:pPr>
            <w:r>
              <w:rPr>
                <w:rFonts w:ascii="DIN OT Medium" w:hAnsi="DIN OT Medium"/>
              </w:rPr>
              <w:t>RSE</w:t>
            </w:r>
          </w:p>
        </w:tc>
        <w:tc>
          <w:tcPr>
            <w:tcW w:w="6899" w:type="dxa"/>
          </w:tcPr>
          <w:p w14:paraId="56A2C19D" w14:textId="1A59947D" w:rsidR="003B6CB1" w:rsidRPr="003B6CB1" w:rsidRDefault="003445BA" w:rsidP="00E83EB5">
            <w:pPr>
              <w:numPr>
                <w:ilvl w:val="0"/>
                <w:numId w:val="0"/>
              </w:numPr>
              <w:spacing w:before="240" w:after="120"/>
              <w:cnfStyle w:val="000000100000" w:firstRow="0" w:lastRow="0" w:firstColumn="0" w:lastColumn="0" w:oddVBand="0" w:evenVBand="0" w:oddHBand="1" w:evenHBand="0" w:firstRowFirstColumn="0" w:firstRowLastColumn="0" w:lastRowFirstColumn="0" w:lastRowLastColumn="0"/>
            </w:pPr>
            <w:r>
              <w:t>Registrable superannuation entity</w:t>
            </w:r>
          </w:p>
        </w:tc>
      </w:tr>
      <w:tr w:rsidR="003B6CB1" w:rsidRPr="003B6CB1" w14:paraId="7EB11978" w14:textId="77777777" w:rsidTr="00344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A8170D6" w14:textId="286B827B" w:rsidR="003B6CB1" w:rsidRPr="003B6CB1" w:rsidRDefault="003445BA" w:rsidP="00E83EB5">
            <w:pPr>
              <w:numPr>
                <w:ilvl w:val="0"/>
                <w:numId w:val="0"/>
              </w:numPr>
              <w:spacing w:before="240" w:after="120"/>
              <w:rPr>
                <w:rFonts w:ascii="DIN OT Medium" w:hAnsi="DIN OT Medium"/>
              </w:rPr>
            </w:pPr>
            <w:r>
              <w:rPr>
                <w:rFonts w:ascii="DIN OT Medium" w:hAnsi="DIN OT Medium"/>
              </w:rPr>
              <w:t>RSE licensee</w:t>
            </w:r>
          </w:p>
        </w:tc>
        <w:tc>
          <w:tcPr>
            <w:tcW w:w="6899" w:type="dxa"/>
          </w:tcPr>
          <w:p w14:paraId="22D273CC" w14:textId="49960CBC" w:rsidR="003B6CB1" w:rsidRPr="003B6CB1" w:rsidRDefault="003445BA" w:rsidP="00E83EB5">
            <w:pPr>
              <w:numPr>
                <w:ilvl w:val="0"/>
                <w:numId w:val="0"/>
              </w:numPr>
              <w:spacing w:before="240" w:after="120"/>
              <w:cnfStyle w:val="000000010000" w:firstRow="0" w:lastRow="0" w:firstColumn="0" w:lastColumn="0" w:oddVBand="0" w:evenVBand="0" w:oddHBand="0" w:evenHBand="1" w:firstRowFirstColumn="0" w:firstRowLastColumn="0" w:lastRowFirstColumn="0" w:lastRowLastColumn="0"/>
            </w:pPr>
            <w:r>
              <w:t>Registrable superannuation entity licensee as defined in s</w:t>
            </w:r>
            <w:r w:rsidR="00396C39">
              <w:t>.</w:t>
            </w:r>
            <w:r>
              <w:t xml:space="preserve">10(1) of the </w:t>
            </w:r>
            <w:r w:rsidRPr="003445BA">
              <w:rPr>
                <w:i/>
              </w:rPr>
              <w:t>Superannuation Industry (Supervision) Act 1993</w:t>
            </w:r>
          </w:p>
        </w:tc>
      </w:tr>
      <w:tr w:rsidR="003445BA" w:rsidRPr="003B6CB1" w14:paraId="68B66263" w14:textId="77777777" w:rsidTr="00344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D345768" w14:textId="3CADC2E6" w:rsidR="003445BA" w:rsidRDefault="003445BA" w:rsidP="00E83EB5">
            <w:pPr>
              <w:numPr>
                <w:ilvl w:val="0"/>
                <w:numId w:val="0"/>
              </w:numPr>
              <w:spacing w:before="240" w:after="120"/>
              <w:rPr>
                <w:rFonts w:ascii="DIN OT Medium" w:hAnsi="DIN OT Medium"/>
              </w:rPr>
            </w:pPr>
            <w:r>
              <w:rPr>
                <w:rFonts w:ascii="DIN OT Medium" w:hAnsi="DIN OT Medium"/>
              </w:rPr>
              <w:t>SFI</w:t>
            </w:r>
          </w:p>
        </w:tc>
        <w:tc>
          <w:tcPr>
            <w:tcW w:w="6899" w:type="dxa"/>
          </w:tcPr>
          <w:p w14:paraId="3C0A0D8B" w14:textId="448DC20E" w:rsidR="003445BA" w:rsidRDefault="003445BA" w:rsidP="00E83EB5">
            <w:pPr>
              <w:numPr>
                <w:ilvl w:val="0"/>
                <w:numId w:val="0"/>
              </w:numPr>
              <w:spacing w:before="240" w:after="120"/>
              <w:cnfStyle w:val="000000100000" w:firstRow="0" w:lastRow="0" w:firstColumn="0" w:lastColumn="0" w:oddVBand="0" w:evenVBand="0" w:oddHBand="1" w:evenHBand="0" w:firstRowFirstColumn="0" w:firstRowLastColumn="0" w:lastRowFirstColumn="0" w:lastRowLastColumn="0"/>
            </w:pPr>
            <w:r>
              <w:t>Significant financial institution</w:t>
            </w:r>
          </w:p>
        </w:tc>
      </w:tr>
      <w:tr w:rsidR="005774BE" w:rsidRPr="003B6CB1" w14:paraId="78B328DE" w14:textId="77777777" w:rsidTr="00344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FFBC3AB" w14:textId="2DA7D719" w:rsidR="005774BE" w:rsidRDefault="005774BE" w:rsidP="00E83EB5">
            <w:pPr>
              <w:numPr>
                <w:ilvl w:val="0"/>
                <w:numId w:val="0"/>
              </w:numPr>
              <w:spacing w:before="240" w:after="120"/>
              <w:rPr>
                <w:rFonts w:ascii="DIN OT Medium" w:hAnsi="DIN OT Medium"/>
              </w:rPr>
            </w:pPr>
            <w:r>
              <w:rPr>
                <w:rFonts w:ascii="DIN OT Medium" w:hAnsi="DIN OT Medium"/>
              </w:rPr>
              <w:t>SPG 223</w:t>
            </w:r>
          </w:p>
        </w:tc>
        <w:tc>
          <w:tcPr>
            <w:tcW w:w="6899" w:type="dxa"/>
          </w:tcPr>
          <w:p w14:paraId="288E5DD9" w14:textId="363B4DEB" w:rsidR="005774BE" w:rsidRDefault="005774BE" w:rsidP="00E83EB5">
            <w:pPr>
              <w:numPr>
                <w:ilvl w:val="0"/>
                <w:numId w:val="0"/>
              </w:numPr>
              <w:spacing w:before="240" w:after="120"/>
              <w:cnfStyle w:val="000000010000" w:firstRow="0" w:lastRow="0" w:firstColumn="0" w:lastColumn="0" w:oddVBand="0" w:evenVBand="0" w:oddHBand="0" w:evenHBand="1" w:firstRowFirstColumn="0" w:firstRowLastColumn="0" w:lastRowFirstColumn="0" w:lastRowLastColumn="0"/>
              <w:rPr>
                <w:i/>
              </w:rPr>
            </w:pPr>
            <w:r>
              <w:rPr>
                <w:i/>
              </w:rPr>
              <w:t>Prudential Practice Guide SPG 223 Fraud Risk Management</w:t>
            </w:r>
          </w:p>
        </w:tc>
      </w:tr>
      <w:tr w:rsidR="005774BE" w:rsidRPr="003B6CB1" w14:paraId="3CBD31B6" w14:textId="77777777" w:rsidTr="00344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CC313FB" w14:textId="5205B97A" w:rsidR="005774BE" w:rsidRDefault="005774BE" w:rsidP="00E83EB5">
            <w:pPr>
              <w:numPr>
                <w:ilvl w:val="0"/>
                <w:numId w:val="0"/>
              </w:numPr>
              <w:spacing w:before="240" w:after="120"/>
              <w:rPr>
                <w:rFonts w:ascii="DIN OT Medium" w:hAnsi="DIN OT Medium"/>
              </w:rPr>
            </w:pPr>
            <w:r>
              <w:rPr>
                <w:rFonts w:ascii="DIN OT Medium" w:hAnsi="DIN OT Medium"/>
              </w:rPr>
              <w:t>SPG 231</w:t>
            </w:r>
          </w:p>
        </w:tc>
        <w:tc>
          <w:tcPr>
            <w:tcW w:w="6899" w:type="dxa"/>
          </w:tcPr>
          <w:p w14:paraId="02E23FFB" w14:textId="42EECBF7" w:rsidR="005774BE" w:rsidRPr="00D34B65" w:rsidDel="00DF7AE0" w:rsidRDefault="005774BE" w:rsidP="00E83EB5">
            <w:pPr>
              <w:numPr>
                <w:ilvl w:val="0"/>
                <w:numId w:val="0"/>
              </w:numPr>
              <w:spacing w:before="240" w:after="120"/>
              <w:cnfStyle w:val="000000100000" w:firstRow="0" w:lastRow="0" w:firstColumn="0" w:lastColumn="0" w:oddVBand="0" w:evenVBand="0" w:oddHBand="1" w:evenHBand="0" w:firstRowFirstColumn="0" w:firstRowLastColumn="0" w:lastRowFirstColumn="0" w:lastRowLastColumn="0"/>
              <w:rPr>
                <w:i/>
              </w:rPr>
            </w:pPr>
            <w:r>
              <w:rPr>
                <w:i/>
              </w:rPr>
              <w:t>Prudential Practice Guide SPG 231 Outsourcing</w:t>
            </w:r>
          </w:p>
        </w:tc>
      </w:tr>
      <w:tr w:rsidR="005774BE" w:rsidRPr="003B6CB1" w14:paraId="19AE3D9E" w14:textId="77777777" w:rsidTr="00344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52DFC2F" w14:textId="0734067F" w:rsidR="005774BE" w:rsidRDefault="005774BE" w:rsidP="00E83EB5">
            <w:pPr>
              <w:numPr>
                <w:ilvl w:val="0"/>
                <w:numId w:val="0"/>
              </w:numPr>
              <w:spacing w:before="240" w:after="120"/>
              <w:rPr>
                <w:rFonts w:ascii="DIN OT Medium" w:hAnsi="DIN OT Medium"/>
              </w:rPr>
            </w:pPr>
            <w:r>
              <w:rPr>
                <w:rFonts w:ascii="DIN OT Medium" w:hAnsi="DIN OT Medium"/>
              </w:rPr>
              <w:t>SPG 232</w:t>
            </w:r>
          </w:p>
        </w:tc>
        <w:tc>
          <w:tcPr>
            <w:tcW w:w="6899" w:type="dxa"/>
          </w:tcPr>
          <w:p w14:paraId="4030580A" w14:textId="6C07CB41" w:rsidR="005774BE" w:rsidRPr="00D34B65" w:rsidDel="00DF7AE0" w:rsidRDefault="005774BE" w:rsidP="00E83EB5">
            <w:pPr>
              <w:numPr>
                <w:ilvl w:val="0"/>
                <w:numId w:val="0"/>
              </w:numPr>
              <w:spacing w:before="240" w:after="120"/>
              <w:cnfStyle w:val="000000010000" w:firstRow="0" w:lastRow="0" w:firstColumn="0" w:lastColumn="0" w:oddVBand="0" w:evenVBand="0" w:oddHBand="0" w:evenHBand="1" w:firstRowFirstColumn="0" w:firstRowLastColumn="0" w:lastRowFirstColumn="0" w:lastRowLastColumn="0"/>
              <w:rPr>
                <w:i/>
              </w:rPr>
            </w:pPr>
            <w:r>
              <w:rPr>
                <w:i/>
              </w:rPr>
              <w:t>Prudential Practice Guide SPG 232 Business Continuity Management</w:t>
            </w:r>
          </w:p>
        </w:tc>
      </w:tr>
      <w:tr w:rsidR="00D34B65" w:rsidRPr="003B6CB1" w14:paraId="27C3509F" w14:textId="77777777" w:rsidTr="00344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518CAFA" w14:textId="33D9B233" w:rsidR="00D34B65" w:rsidRDefault="00D34B65" w:rsidP="00334B3E">
            <w:pPr>
              <w:numPr>
                <w:ilvl w:val="0"/>
                <w:numId w:val="0"/>
              </w:numPr>
              <w:spacing w:before="240" w:after="120"/>
              <w:rPr>
                <w:rFonts w:ascii="DIN OT Medium" w:hAnsi="DIN OT Medium"/>
              </w:rPr>
            </w:pPr>
            <w:r>
              <w:rPr>
                <w:rFonts w:ascii="DIN OT Medium" w:hAnsi="DIN OT Medium"/>
              </w:rPr>
              <w:t>SPS 114</w:t>
            </w:r>
          </w:p>
        </w:tc>
        <w:tc>
          <w:tcPr>
            <w:tcW w:w="6899" w:type="dxa"/>
          </w:tcPr>
          <w:p w14:paraId="132FB1C3" w14:textId="5C1C62EC" w:rsidR="00D34B65" w:rsidRDefault="00D34B65" w:rsidP="00E83EB5">
            <w:pPr>
              <w:numPr>
                <w:ilvl w:val="0"/>
                <w:numId w:val="0"/>
              </w:numPr>
              <w:spacing w:before="240" w:after="120"/>
              <w:cnfStyle w:val="000000100000" w:firstRow="0" w:lastRow="0" w:firstColumn="0" w:lastColumn="0" w:oddVBand="0" w:evenVBand="0" w:oddHBand="1" w:evenHBand="0" w:firstRowFirstColumn="0" w:firstRowLastColumn="0" w:lastRowFirstColumn="0" w:lastRowLastColumn="0"/>
              <w:rPr>
                <w:i/>
              </w:rPr>
            </w:pPr>
            <w:r w:rsidRPr="00D34B65" w:rsidDel="00DF7AE0">
              <w:rPr>
                <w:i/>
              </w:rPr>
              <w:t xml:space="preserve">Prudential Standard SPS 114 Operational Risk Financial </w:t>
            </w:r>
            <w:r w:rsidRPr="00D34B65">
              <w:rPr>
                <w:i/>
              </w:rPr>
              <w:t>Requirements</w:t>
            </w:r>
          </w:p>
        </w:tc>
      </w:tr>
      <w:tr w:rsidR="00D34B65" w:rsidRPr="003B6CB1" w14:paraId="6E5F99D5" w14:textId="77777777" w:rsidTr="00344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4B6ADD4" w14:textId="53F8DDA6" w:rsidR="00D34B65" w:rsidRDefault="00D34B65" w:rsidP="00E83EB5">
            <w:pPr>
              <w:numPr>
                <w:ilvl w:val="0"/>
                <w:numId w:val="0"/>
              </w:numPr>
              <w:spacing w:before="240" w:after="120"/>
              <w:rPr>
                <w:rFonts w:ascii="DIN OT Medium" w:hAnsi="DIN OT Medium"/>
              </w:rPr>
            </w:pPr>
            <w:r>
              <w:rPr>
                <w:rFonts w:ascii="DIN OT Medium" w:hAnsi="DIN OT Medium"/>
              </w:rPr>
              <w:t>SPS 220</w:t>
            </w:r>
          </w:p>
        </w:tc>
        <w:tc>
          <w:tcPr>
            <w:tcW w:w="6899" w:type="dxa"/>
          </w:tcPr>
          <w:p w14:paraId="5F377A67" w14:textId="028A8593" w:rsidR="00D34B65" w:rsidRDefault="00D34B65" w:rsidP="00E83EB5">
            <w:pPr>
              <w:numPr>
                <w:ilvl w:val="0"/>
                <w:numId w:val="0"/>
              </w:numPr>
              <w:spacing w:before="240" w:after="120"/>
              <w:cnfStyle w:val="000000010000" w:firstRow="0" w:lastRow="0" w:firstColumn="0" w:lastColumn="0" w:oddVBand="0" w:evenVBand="0" w:oddHBand="0" w:evenHBand="1" w:firstRowFirstColumn="0" w:firstRowLastColumn="0" w:lastRowFirstColumn="0" w:lastRowLastColumn="0"/>
              <w:rPr>
                <w:i/>
              </w:rPr>
            </w:pPr>
            <w:r>
              <w:rPr>
                <w:i/>
              </w:rPr>
              <w:t>Prudential Standard SPS 220 Risk Management</w:t>
            </w:r>
          </w:p>
        </w:tc>
      </w:tr>
      <w:tr w:rsidR="00D34B65" w:rsidRPr="003B6CB1" w14:paraId="6D919DAD" w14:textId="77777777" w:rsidTr="00344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68032C8" w14:textId="20A6328B" w:rsidR="00D34B65" w:rsidRDefault="00D34B65" w:rsidP="00E83EB5">
            <w:pPr>
              <w:numPr>
                <w:ilvl w:val="0"/>
                <w:numId w:val="0"/>
              </w:numPr>
              <w:spacing w:before="240" w:after="120"/>
              <w:rPr>
                <w:rFonts w:ascii="DIN OT Medium" w:hAnsi="DIN OT Medium"/>
              </w:rPr>
            </w:pPr>
            <w:r>
              <w:rPr>
                <w:rFonts w:ascii="DIN OT Medium" w:hAnsi="DIN OT Medium"/>
              </w:rPr>
              <w:t>SPS 231</w:t>
            </w:r>
          </w:p>
        </w:tc>
        <w:tc>
          <w:tcPr>
            <w:tcW w:w="6899" w:type="dxa"/>
          </w:tcPr>
          <w:p w14:paraId="4F28DC20" w14:textId="2910A06A" w:rsidR="00D34B65" w:rsidRPr="00FE0837" w:rsidRDefault="00D34B65" w:rsidP="00E83EB5">
            <w:pPr>
              <w:numPr>
                <w:ilvl w:val="0"/>
                <w:numId w:val="0"/>
              </w:numPr>
              <w:spacing w:before="240" w:after="120"/>
              <w:cnfStyle w:val="000000100000" w:firstRow="0" w:lastRow="0" w:firstColumn="0" w:lastColumn="0" w:oddVBand="0" w:evenVBand="0" w:oddHBand="1" w:evenHBand="0" w:firstRowFirstColumn="0" w:firstRowLastColumn="0" w:lastRowFirstColumn="0" w:lastRowLastColumn="0"/>
              <w:rPr>
                <w:i/>
              </w:rPr>
            </w:pPr>
            <w:r>
              <w:rPr>
                <w:i/>
              </w:rPr>
              <w:t>Prudential Standard SPS 231 Outsourcing</w:t>
            </w:r>
          </w:p>
        </w:tc>
      </w:tr>
      <w:tr w:rsidR="00D34B65" w:rsidRPr="003B6CB1" w14:paraId="14C0F0E1" w14:textId="77777777" w:rsidTr="00344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B0726D4" w14:textId="2D9BA5B7" w:rsidR="00D34B65" w:rsidRDefault="00D34B65" w:rsidP="00E83EB5">
            <w:pPr>
              <w:numPr>
                <w:ilvl w:val="0"/>
                <w:numId w:val="0"/>
              </w:numPr>
              <w:spacing w:before="240" w:after="120"/>
              <w:rPr>
                <w:rFonts w:ascii="DIN OT Medium" w:hAnsi="DIN OT Medium"/>
              </w:rPr>
            </w:pPr>
            <w:r>
              <w:rPr>
                <w:rFonts w:ascii="DIN OT Medium" w:hAnsi="DIN OT Medium"/>
              </w:rPr>
              <w:t>SPS 232</w:t>
            </w:r>
          </w:p>
        </w:tc>
        <w:tc>
          <w:tcPr>
            <w:tcW w:w="6899" w:type="dxa"/>
          </w:tcPr>
          <w:p w14:paraId="1C69752D" w14:textId="7CBF64C6" w:rsidR="00D34B65" w:rsidRDefault="00D34B65" w:rsidP="00E83EB5">
            <w:pPr>
              <w:numPr>
                <w:ilvl w:val="0"/>
                <w:numId w:val="0"/>
              </w:numPr>
              <w:spacing w:before="240" w:after="120"/>
              <w:cnfStyle w:val="000000010000" w:firstRow="0" w:lastRow="0" w:firstColumn="0" w:lastColumn="0" w:oddVBand="0" w:evenVBand="0" w:oddHBand="0" w:evenHBand="1" w:firstRowFirstColumn="0" w:firstRowLastColumn="0" w:lastRowFirstColumn="0" w:lastRowLastColumn="0"/>
              <w:rPr>
                <w:i/>
              </w:rPr>
            </w:pPr>
            <w:r>
              <w:rPr>
                <w:i/>
              </w:rPr>
              <w:t>Prudential Standard SPS 232 Business Continuity Management</w:t>
            </w:r>
          </w:p>
        </w:tc>
      </w:tr>
    </w:tbl>
    <w:p w14:paraId="6881589F" w14:textId="77777777" w:rsidR="000B12AF" w:rsidRDefault="000B12AF">
      <w:pPr>
        <w:numPr>
          <w:ilvl w:val="0"/>
          <w:numId w:val="0"/>
        </w:numPr>
        <w:rPr>
          <w:rFonts w:ascii="DIN OT Medium" w:eastAsiaTheme="majorEastAsia" w:hAnsi="DIN OT Medium" w:cstheme="majorBidi"/>
          <w:bCs/>
          <w:color w:val="012169" w:themeColor="text2"/>
          <w:sz w:val="48"/>
          <w:szCs w:val="28"/>
        </w:rPr>
      </w:pPr>
      <w:r>
        <w:br w:type="page"/>
      </w:r>
    </w:p>
    <w:p w14:paraId="18F06A9A" w14:textId="3B0FCEE7" w:rsidR="00AC1C12" w:rsidRDefault="00330BB8" w:rsidP="007D4AEC">
      <w:pPr>
        <w:pStyle w:val="Heading1Numbers"/>
      </w:pPr>
      <w:bookmarkStart w:id="2" w:name="_Toc109287989"/>
      <w:r>
        <w:t>Strengthening operational risk</w:t>
      </w:r>
      <w:r w:rsidR="005F3653">
        <w:t xml:space="preserve"> management</w:t>
      </w:r>
      <w:bookmarkEnd w:id="2"/>
    </w:p>
    <w:p w14:paraId="6C49AF16" w14:textId="38AA2CA9" w:rsidR="00904A32" w:rsidRDefault="00F37140" w:rsidP="00F37140">
      <w:pPr>
        <w:pStyle w:val="Heading2Numbers"/>
        <w:numPr>
          <w:ilvl w:val="0"/>
          <w:numId w:val="0"/>
        </w:numPr>
        <w:ind w:left="851" w:hanging="851"/>
      </w:pPr>
      <w:r>
        <w:t>Operational risk</w:t>
      </w:r>
      <w:r w:rsidR="00137B0F">
        <w:t xml:space="preserve"> management</w:t>
      </w:r>
      <w:r w:rsidR="00057104">
        <w:t xml:space="preserve">: a </w:t>
      </w:r>
      <w:r w:rsidR="00D901D9">
        <w:t>core foundation</w:t>
      </w:r>
    </w:p>
    <w:p w14:paraId="1E3FB701" w14:textId="72F2A938" w:rsidR="003D2174" w:rsidRDefault="003D2174" w:rsidP="00E42127">
      <w:r>
        <w:t>The management of operational risk is a</w:t>
      </w:r>
      <w:r w:rsidR="00366A88">
        <w:t>n important</w:t>
      </w:r>
      <w:r>
        <w:t xml:space="preserve"> foundation for financial safety and system stability. In APRA’s </w:t>
      </w:r>
      <w:r w:rsidR="00591BEB">
        <w:t>overarching</w:t>
      </w:r>
      <w:r>
        <w:t xml:space="preserve"> standard</w:t>
      </w:r>
      <w:r w:rsidR="006E0C74">
        <w:t>s</w:t>
      </w:r>
      <w:r>
        <w:t xml:space="preserve"> for risk management, </w:t>
      </w:r>
      <w:r w:rsidRPr="00527A87">
        <w:rPr>
          <w:i/>
        </w:rPr>
        <w:t xml:space="preserve">Prudential Standard CPS 220 Risk Management </w:t>
      </w:r>
      <w:r>
        <w:t xml:space="preserve">(CPS 220) and </w:t>
      </w:r>
      <w:r w:rsidRPr="00527A87">
        <w:rPr>
          <w:i/>
        </w:rPr>
        <w:t xml:space="preserve">Prudential Standard SPS 220 Risk Management </w:t>
      </w:r>
      <w:r>
        <w:t>(SPS 220), operational risk is</w:t>
      </w:r>
      <w:r w:rsidR="00591BEB">
        <w:t xml:space="preserve"> </w:t>
      </w:r>
      <w:r w:rsidR="00F67401">
        <w:t xml:space="preserve">defined </w:t>
      </w:r>
      <w:r w:rsidR="00591BEB">
        <w:t>as</w:t>
      </w:r>
      <w:r>
        <w:t xml:space="preserve"> one of the </w:t>
      </w:r>
      <w:r w:rsidR="00765AAB">
        <w:t>core risks that a</w:t>
      </w:r>
      <w:r w:rsidR="006E0C74">
        <w:t>ll</w:t>
      </w:r>
      <w:r w:rsidR="00765AAB">
        <w:t xml:space="preserve"> APRA-regulated entit</w:t>
      </w:r>
      <w:r w:rsidR="006E0C74">
        <w:t>ies</w:t>
      </w:r>
      <w:r w:rsidR="00765AAB">
        <w:t xml:space="preserve"> must manage</w:t>
      </w:r>
      <w:r w:rsidR="00137B0F">
        <w:t xml:space="preserve"> effectively</w:t>
      </w:r>
      <w:r w:rsidR="00765AAB">
        <w:t>.</w:t>
      </w:r>
      <w:r w:rsidR="00593B56">
        <w:rPr>
          <w:rStyle w:val="FootnoteReference"/>
        </w:rPr>
        <w:footnoteReference w:id="2"/>
      </w:r>
    </w:p>
    <w:tbl>
      <w:tblPr>
        <w:tblStyle w:val="TableGrid"/>
        <w:tblW w:w="9026" w:type="dxa"/>
        <w:tblLayout w:type="fixed"/>
        <w:tblLook w:val="04A0" w:firstRow="1" w:lastRow="0" w:firstColumn="1" w:lastColumn="0" w:noHBand="0" w:noVBand="1"/>
      </w:tblPr>
      <w:tblGrid>
        <w:gridCol w:w="9026"/>
      </w:tblGrid>
      <w:tr w:rsidR="00737A39" w:rsidRPr="00D86DB0" w14:paraId="112BD4F6" w14:textId="77777777" w:rsidTr="00FB42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E2F3FA" w:themeFill="accent6" w:themeFillTint="33"/>
          </w:tcPr>
          <w:p w14:paraId="2FF2D03F" w14:textId="2882497E" w:rsidR="00737A39" w:rsidRPr="00737A39" w:rsidRDefault="00737A39" w:rsidP="00C6127A">
            <w:pPr>
              <w:pStyle w:val="Heading3"/>
              <w:outlineLvl w:val="2"/>
            </w:pPr>
            <w:r w:rsidRPr="00737A39">
              <w:rPr>
                <w:noProof/>
              </w:rPr>
              <w:drawing>
                <wp:inline distT="0" distB="0" distL="0" distR="0" wp14:anchorId="6CC42F43" wp14:editId="3D560FD5">
                  <wp:extent cx="403225" cy="389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225" cy="389890"/>
                          </a:xfrm>
                          <a:prstGeom prst="rect">
                            <a:avLst/>
                          </a:prstGeom>
                          <a:noFill/>
                          <a:ln>
                            <a:noFill/>
                          </a:ln>
                        </pic:spPr>
                      </pic:pic>
                    </a:graphicData>
                  </a:graphic>
                </wp:inline>
              </w:drawing>
            </w:r>
            <w:r w:rsidRPr="00737A39">
              <w:t xml:space="preserve"> Operational risk</w:t>
            </w:r>
          </w:p>
        </w:tc>
      </w:tr>
      <w:tr w:rsidR="00D86DB0" w:rsidRPr="00D86DB0" w14:paraId="73305FEB" w14:textId="77777777" w:rsidTr="00FB4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E2F3FA" w:themeFill="accent6" w:themeFillTint="33"/>
          </w:tcPr>
          <w:p w14:paraId="31E7F5B1" w14:textId="7F1BC4EB" w:rsidR="008A0BD1" w:rsidRDefault="0076369A" w:rsidP="00157727">
            <w:pPr>
              <w:spacing w:before="0" w:after="240"/>
            </w:pPr>
            <w:r w:rsidRPr="00027F49">
              <w:rPr>
                <w:color w:val="000000"/>
              </w:rPr>
              <w:t>Operation</w:t>
            </w:r>
            <w:r w:rsidR="00B43038">
              <w:rPr>
                <w:color w:val="000000"/>
              </w:rPr>
              <w:t>al</w:t>
            </w:r>
            <w:r w:rsidRPr="00027F49">
              <w:rPr>
                <w:color w:val="000000"/>
              </w:rPr>
              <w:t xml:space="preserve"> risk</w:t>
            </w:r>
            <w:r w:rsidR="00C015AE" w:rsidRPr="00027F49">
              <w:rPr>
                <w:color w:val="000000"/>
              </w:rPr>
              <w:t>s are</w:t>
            </w:r>
            <w:r w:rsidRPr="00027F49">
              <w:rPr>
                <w:color w:val="000000"/>
              </w:rPr>
              <w:t xml:space="preserve"> </w:t>
            </w:r>
            <w:r w:rsidR="00C015AE" w:rsidRPr="00027F49">
              <w:rPr>
                <w:color w:val="000000"/>
              </w:rPr>
              <w:t>risks</w:t>
            </w:r>
            <w:r w:rsidRPr="00027F49">
              <w:rPr>
                <w:color w:val="000000"/>
              </w:rPr>
              <w:t xml:space="preserve"> </w:t>
            </w:r>
            <w:r w:rsidR="00C015AE" w:rsidRPr="00027F49">
              <w:rPr>
                <w:color w:val="000000"/>
              </w:rPr>
              <w:t>that may result from inadequate or failed internal processes or systems, the actions or inactions of people or external drivers and events.</w:t>
            </w:r>
          </w:p>
          <w:p w14:paraId="44F5D83A" w14:textId="77777777" w:rsidR="008A0BD1" w:rsidRPr="00157727" w:rsidRDefault="00C015AE" w:rsidP="00157727">
            <w:pPr>
              <w:spacing w:before="0" w:after="240"/>
              <w:rPr>
                <w:color w:val="000000"/>
              </w:rPr>
            </w:pPr>
            <w:r w:rsidRPr="00027F49">
              <w:rPr>
                <w:color w:val="000000"/>
              </w:rPr>
              <w:t xml:space="preserve">Operational risk is inherent in all products, activities, </w:t>
            </w:r>
            <w:proofErr w:type="gramStart"/>
            <w:r w:rsidRPr="00027F49">
              <w:rPr>
                <w:color w:val="000000"/>
              </w:rPr>
              <w:t>processes</w:t>
            </w:r>
            <w:proofErr w:type="gramEnd"/>
            <w:r w:rsidRPr="00027F49">
              <w:rPr>
                <w:color w:val="000000"/>
              </w:rPr>
              <w:t xml:space="preserve"> and systems.</w:t>
            </w:r>
            <w:r w:rsidR="00027F49" w:rsidRPr="00027F49">
              <w:rPr>
                <w:color w:val="000000"/>
              </w:rPr>
              <w:t xml:space="preserve"> It includes </w:t>
            </w:r>
            <w:r w:rsidR="00027F49" w:rsidRPr="00157727">
              <w:rPr>
                <w:color w:val="000000"/>
              </w:rPr>
              <w:t>legal risk, regulatory risk, compliance risk, conduct risk, technology risk, data risk, reputational risk and change management risk.</w:t>
            </w:r>
          </w:p>
          <w:p w14:paraId="6E8EB130" w14:textId="5DC417D4" w:rsidR="00D86DB0" w:rsidRPr="00157727" w:rsidRDefault="00A131AB" w:rsidP="00677629">
            <w:pPr>
              <w:spacing w:before="0" w:after="240"/>
              <w:rPr>
                <w:color w:val="000000"/>
                <w:sz w:val="22"/>
              </w:rPr>
            </w:pPr>
            <w:r>
              <w:t xml:space="preserve">Operational risk events can result in direct financial losses to an </w:t>
            </w:r>
            <w:r w:rsidR="003D46AE">
              <w:t>entity and</w:t>
            </w:r>
            <w:r>
              <w:t xml:space="preserve"> may also compromise the entity’s ability to continue to provide critical operations and services for customers.</w:t>
            </w:r>
            <w:r w:rsidR="00915C0C">
              <w:t xml:space="preserve"> In extreme cases it could lead to entity failure.</w:t>
            </w:r>
          </w:p>
        </w:tc>
      </w:tr>
    </w:tbl>
    <w:p w14:paraId="626EE0BE" w14:textId="77777777" w:rsidR="00F8529B" w:rsidRDefault="00F8529B" w:rsidP="00527A87">
      <w:pPr>
        <w:spacing w:after="0"/>
      </w:pPr>
    </w:p>
    <w:tbl>
      <w:tblPr>
        <w:tblStyle w:val="TableGrid"/>
        <w:tblW w:w="9026" w:type="dxa"/>
        <w:tblLayout w:type="fixed"/>
        <w:tblLook w:val="04A0" w:firstRow="1" w:lastRow="0" w:firstColumn="1" w:lastColumn="0" w:noHBand="0" w:noVBand="1"/>
      </w:tblPr>
      <w:tblGrid>
        <w:gridCol w:w="9026"/>
      </w:tblGrid>
      <w:tr w:rsidR="00737A39" w:rsidRPr="00D86DB0" w14:paraId="516C1037" w14:textId="77777777" w:rsidTr="006431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E2F3FA" w:themeFill="accent6" w:themeFillTint="33"/>
          </w:tcPr>
          <w:p w14:paraId="49976E37" w14:textId="395CD074" w:rsidR="00737A39" w:rsidRPr="00C6127A" w:rsidRDefault="00805A1C" w:rsidP="00C6127A">
            <w:pPr>
              <w:rPr>
                <w:rFonts w:cstheme="minorHAnsi"/>
                <w:color w:val="000000"/>
              </w:rPr>
            </w:pPr>
            <w:r w:rsidRPr="00C6127A">
              <w:rPr>
                <w:noProof/>
              </w:rPr>
              <w:drawing>
                <wp:inline distT="0" distB="0" distL="0" distR="0" wp14:anchorId="02910984" wp14:editId="1126BAD0">
                  <wp:extent cx="403225" cy="3898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225" cy="389890"/>
                          </a:xfrm>
                          <a:prstGeom prst="rect">
                            <a:avLst/>
                          </a:prstGeom>
                          <a:noFill/>
                          <a:ln>
                            <a:noFill/>
                          </a:ln>
                        </pic:spPr>
                      </pic:pic>
                    </a:graphicData>
                  </a:graphic>
                </wp:inline>
              </w:drawing>
            </w:r>
            <w:r w:rsidRPr="00C6127A">
              <w:rPr>
                <w:rStyle w:val="Heading3Char"/>
              </w:rPr>
              <w:t xml:space="preserve"> Operational resilience</w:t>
            </w:r>
          </w:p>
        </w:tc>
      </w:tr>
      <w:tr w:rsidR="00451750" w:rsidRPr="00D86DB0" w14:paraId="2369D1C6" w14:textId="77777777" w:rsidTr="006431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E2F3FA" w:themeFill="accent6" w:themeFillTint="33"/>
          </w:tcPr>
          <w:p w14:paraId="32364D1F" w14:textId="1AE990DA" w:rsidR="00630B6F" w:rsidRPr="00DC77B9" w:rsidRDefault="00451750" w:rsidP="006A4216">
            <w:pPr>
              <w:spacing w:before="240" w:after="240"/>
              <w:rPr>
                <w:rFonts w:cstheme="minorHAnsi"/>
                <w:color w:val="000000"/>
              </w:rPr>
            </w:pPr>
            <w:r w:rsidRPr="00DC77B9">
              <w:rPr>
                <w:rFonts w:cstheme="minorHAnsi"/>
                <w:color w:val="000000"/>
              </w:rPr>
              <w:t>Operation</w:t>
            </w:r>
            <w:r w:rsidR="00B43038" w:rsidRPr="00DC77B9">
              <w:rPr>
                <w:rFonts w:cstheme="minorHAnsi"/>
                <w:color w:val="000000"/>
              </w:rPr>
              <w:t>al</w:t>
            </w:r>
            <w:r w:rsidRPr="00DC77B9">
              <w:rPr>
                <w:rFonts w:cstheme="minorHAnsi"/>
                <w:color w:val="000000"/>
              </w:rPr>
              <w:t xml:space="preserve"> </w:t>
            </w:r>
            <w:r w:rsidR="00157727" w:rsidRPr="00DC77B9">
              <w:rPr>
                <w:rFonts w:cstheme="minorHAnsi"/>
                <w:color w:val="000000"/>
              </w:rPr>
              <w:t xml:space="preserve">resilience is </w:t>
            </w:r>
            <w:r w:rsidR="00DC77B9">
              <w:rPr>
                <w:rFonts w:cstheme="minorHAnsi"/>
                <w:color w:val="000000"/>
              </w:rPr>
              <w:t>the</w:t>
            </w:r>
            <w:r w:rsidR="00DC77B9" w:rsidRPr="00DC77B9">
              <w:rPr>
                <w:rFonts w:cstheme="minorHAnsi"/>
                <w:color w:val="000000"/>
              </w:rPr>
              <w:t xml:space="preserve"> outcome of </w:t>
            </w:r>
            <w:r w:rsidR="00DC77B9">
              <w:rPr>
                <w:rFonts w:cstheme="minorHAnsi"/>
                <w:color w:val="000000"/>
              </w:rPr>
              <w:t>prudent</w:t>
            </w:r>
            <w:r w:rsidR="00DC77B9" w:rsidRPr="00DC77B9">
              <w:rPr>
                <w:rFonts w:cstheme="minorHAnsi"/>
                <w:color w:val="000000"/>
              </w:rPr>
              <w:t xml:space="preserve"> operational risk management: </w:t>
            </w:r>
            <w:r w:rsidR="00DC77B9">
              <w:rPr>
                <w:rFonts w:cstheme="minorHAnsi"/>
                <w:color w:val="000000"/>
              </w:rPr>
              <w:t>t</w:t>
            </w:r>
            <w:r w:rsidR="00157727" w:rsidRPr="00DC77B9">
              <w:rPr>
                <w:rFonts w:cstheme="minorHAnsi"/>
                <w:color w:val="000000"/>
              </w:rPr>
              <w:t>he ability to</w:t>
            </w:r>
            <w:r w:rsidR="000E22C0" w:rsidRPr="00DC77B9">
              <w:rPr>
                <w:rFonts w:cstheme="minorHAnsi"/>
                <w:color w:val="000000"/>
              </w:rPr>
              <w:t xml:space="preserve"> </w:t>
            </w:r>
            <w:r w:rsidR="00DC77B9">
              <w:rPr>
                <w:rFonts w:cstheme="minorHAnsi"/>
                <w:color w:val="000000"/>
              </w:rPr>
              <w:t xml:space="preserve">effectively </w:t>
            </w:r>
            <w:r w:rsidR="000E22C0" w:rsidRPr="00DC77B9">
              <w:rPr>
                <w:rFonts w:cstheme="minorHAnsi"/>
                <w:color w:val="000000"/>
              </w:rPr>
              <w:t xml:space="preserve">manage </w:t>
            </w:r>
            <w:r w:rsidR="00DC77B9">
              <w:rPr>
                <w:rFonts w:cstheme="minorHAnsi"/>
                <w:color w:val="000000"/>
              </w:rPr>
              <w:t xml:space="preserve">and control </w:t>
            </w:r>
            <w:r w:rsidR="000E22C0" w:rsidRPr="00DC77B9">
              <w:rPr>
                <w:rFonts w:cstheme="minorHAnsi"/>
                <w:color w:val="000000"/>
              </w:rPr>
              <w:t xml:space="preserve">operational </w:t>
            </w:r>
            <w:r w:rsidR="00346C37" w:rsidRPr="00DC77B9">
              <w:rPr>
                <w:rFonts w:cstheme="minorHAnsi"/>
                <w:color w:val="000000"/>
              </w:rPr>
              <w:t>risks</w:t>
            </w:r>
            <w:r w:rsidR="00346C37">
              <w:rPr>
                <w:rFonts w:cstheme="minorHAnsi"/>
                <w:color w:val="000000"/>
              </w:rPr>
              <w:t xml:space="preserve"> and</w:t>
            </w:r>
            <w:r w:rsidR="000E22C0" w:rsidRPr="00DC77B9">
              <w:rPr>
                <w:rFonts w:cstheme="minorHAnsi"/>
                <w:color w:val="000000"/>
              </w:rPr>
              <w:t xml:space="preserve"> maintain critical operations through disruptions.</w:t>
            </w:r>
          </w:p>
          <w:p w14:paraId="7C843D15" w14:textId="3C390ED2" w:rsidR="00137B0F" w:rsidRPr="009F276D" w:rsidRDefault="00630B6F" w:rsidP="00677629">
            <w:pPr>
              <w:spacing w:before="240" w:after="240"/>
              <w:rPr>
                <w:rFonts w:cstheme="minorHAnsi"/>
                <w:color w:val="000000"/>
              </w:rPr>
            </w:pPr>
            <w:r>
              <w:rPr>
                <w:rFonts w:cstheme="minorHAnsi"/>
                <w:color w:val="000000"/>
              </w:rPr>
              <w:t>This involves</w:t>
            </w:r>
            <w:r w:rsidR="00137B0F">
              <w:rPr>
                <w:rFonts w:cstheme="minorHAnsi"/>
                <w:color w:val="000000"/>
              </w:rPr>
              <w:t>:</w:t>
            </w:r>
          </w:p>
          <w:p w14:paraId="066911AE" w14:textId="11C57466" w:rsidR="00137B0F" w:rsidRDefault="00630B6F" w:rsidP="00137B0F">
            <w:pPr>
              <w:pStyle w:val="ListBullet"/>
            </w:pPr>
            <w:r>
              <w:t>to the extent practicable,</w:t>
            </w:r>
            <w:r w:rsidR="00157727" w:rsidRPr="00157727">
              <w:t xml:space="preserve"> prevent</w:t>
            </w:r>
            <w:r>
              <w:t>ing</w:t>
            </w:r>
            <w:r w:rsidR="00157727" w:rsidRPr="00157727">
              <w:t xml:space="preserve"> disruption to critical operations</w:t>
            </w:r>
            <w:r w:rsidR="00C32B14">
              <w:t>;</w:t>
            </w:r>
          </w:p>
          <w:p w14:paraId="03E2EAA5" w14:textId="5F0F1B49" w:rsidR="00137B0F" w:rsidRDefault="00157727" w:rsidP="00137B0F">
            <w:pPr>
              <w:pStyle w:val="ListBullet"/>
            </w:pPr>
            <w:r w:rsidRPr="00157727">
              <w:t>adapt</w:t>
            </w:r>
            <w:r w:rsidR="00630B6F">
              <w:t>ing</w:t>
            </w:r>
            <w:r w:rsidRPr="00157727">
              <w:t xml:space="preserve"> processes and systems to continue to operate in the event of a disruption</w:t>
            </w:r>
            <w:r w:rsidR="00C32B14">
              <w:t>;</w:t>
            </w:r>
            <w:r w:rsidRPr="00157727">
              <w:t xml:space="preserve"> and</w:t>
            </w:r>
          </w:p>
          <w:p w14:paraId="53489ADC" w14:textId="675E6A39" w:rsidR="00451750" w:rsidRPr="00630B6F" w:rsidRDefault="00157727" w:rsidP="009F276D">
            <w:pPr>
              <w:pStyle w:val="ListBullet"/>
            </w:pPr>
            <w:r w:rsidRPr="00157727">
              <w:t>return</w:t>
            </w:r>
            <w:r w:rsidR="00630B6F">
              <w:t>ing</w:t>
            </w:r>
            <w:r w:rsidRPr="00157727">
              <w:t xml:space="preserve"> to normal operations promptly after a disruption is over.</w:t>
            </w:r>
          </w:p>
        </w:tc>
      </w:tr>
    </w:tbl>
    <w:p w14:paraId="1498CD91" w14:textId="77777777" w:rsidR="00451750" w:rsidRDefault="00451750" w:rsidP="00E5278B">
      <w:pPr>
        <w:spacing w:after="0"/>
      </w:pPr>
    </w:p>
    <w:p w14:paraId="748A435A" w14:textId="1E35EDC9" w:rsidR="004C1E4E" w:rsidRDefault="006E0C74" w:rsidP="00C3122D">
      <w:r>
        <w:t>Setting</w:t>
      </w:r>
      <w:r w:rsidR="00BC1F63">
        <w:t xml:space="preserve"> and maintaining </w:t>
      </w:r>
      <w:r>
        <w:t>appropriate standards for</w:t>
      </w:r>
      <w:r w:rsidR="00D505D4">
        <w:t xml:space="preserve"> </w:t>
      </w:r>
      <w:r w:rsidR="00BC1F63">
        <w:t>conduct and compliance</w:t>
      </w:r>
      <w:r w:rsidR="00D505D4">
        <w:t xml:space="preserve"> </w:t>
      </w:r>
      <w:r>
        <w:t xml:space="preserve">are key components of </w:t>
      </w:r>
      <w:r w:rsidR="00D505D4">
        <w:t>effective</w:t>
      </w:r>
      <w:r w:rsidR="00614E00">
        <w:t xml:space="preserve"> operational </w:t>
      </w:r>
      <w:r w:rsidR="00BC1F63">
        <w:t>risk</w:t>
      </w:r>
      <w:r w:rsidR="00D505D4">
        <w:t xml:space="preserve"> management</w:t>
      </w:r>
      <w:r w:rsidR="00BC1F63">
        <w:t xml:space="preserve">, </w:t>
      </w:r>
      <w:r w:rsidR="00D505D4">
        <w:t>as</w:t>
      </w:r>
      <w:r w:rsidR="00BC1F63">
        <w:t xml:space="preserve"> conduct and compliance </w:t>
      </w:r>
      <w:r w:rsidR="00E32BCB">
        <w:t xml:space="preserve">breaches </w:t>
      </w:r>
      <w:r w:rsidR="00D505D4">
        <w:t xml:space="preserve">are </w:t>
      </w:r>
      <w:r w:rsidR="00137B0F">
        <w:t xml:space="preserve">often </w:t>
      </w:r>
      <w:r w:rsidR="00BC1F63">
        <w:t xml:space="preserve">indicative of underlying </w:t>
      </w:r>
      <w:r w:rsidR="00137B0F">
        <w:t>failings in internal controls</w:t>
      </w:r>
      <w:r w:rsidR="00BC1F63">
        <w:t xml:space="preserve">. </w:t>
      </w:r>
      <w:r>
        <w:t>C</w:t>
      </w:r>
      <w:r w:rsidR="00E32BCB">
        <w:t xml:space="preserve">onduct and compliance breaches </w:t>
      </w:r>
      <w:r w:rsidR="00FC1A3F">
        <w:t xml:space="preserve">are </w:t>
      </w:r>
      <w:r w:rsidR="00D505D4">
        <w:t xml:space="preserve">typically categorised as </w:t>
      </w:r>
      <w:r w:rsidR="00FC1A3F">
        <w:t>operational risk events</w:t>
      </w:r>
      <w:r>
        <w:t>, as they are often associated with</w:t>
      </w:r>
      <w:r w:rsidR="0015174C">
        <w:t xml:space="preserve"> </w:t>
      </w:r>
      <w:r w:rsidR="00E32BCB">
        <w:t xml:space="preserve">legal costs, regulatory </w:t>
      </w:r>
      <w:proofErr w:type="gramStart"/>
      <w:r w:rsidR="00915C0C">
        <w:t>penalties</w:t>
      </w:r>
      <w:proofErr w:type="gramEnd"/>
      <w:r w:rsidR="00E32BCB">
        <w:t xml:space="preserve"> or regulator-imposed restrictions.</w:t>
      </w:r>
      <w:r w:rsidR="00A62138">
        <w:rPr>
          <w:rStyle w:val="FootnoteReference"/>
        </w:rPr>
        <w:footnoteReference w:id="3"/>
      </w:r>
      <w:r w:rsidR="00614E00">
        <w:t xml:space="preserve"> </w:t>
      </w:r>
      <w:r>
        <w:t xml:space="preserve">In </w:t>
      </w:r>
      <w:r w:rsidR="00F5444D">
        <w:t>maintain</w:t>
      </w:r>
      <w:r>
        <w:t>ing</w:t>
      </w:r>
      <w:r w:rsidR="00F5444D">
        <w:t xml:space="preserve"> appropriate standards for conduct and compliance</w:t>
      </w:r>
      <w:r>
        <w:t>,</w:t>
      </w:r>
      <w:r w:rsidR="00F5444D">
        <w:t xml:space="preserve"> </w:t>
      </w:r>
      <w:r w:rsidR="00CB60A0">
        <w:t>APRA-regulated entities need</w:t>
      </w:r>
      <w:r w:rsidR="00137B0F">
        <w:t>, amongst other things,</w:t>
      </w:r>
      <w:r w:rsidR="00F5444D">
        <w:t xml:space="preserve"> </w:t>
      </w:r>
      <w:r w:rsidR="00D505D4">
        <w:t xml:space="preserve">to </w:t>
      </w:r>
      <w:r w:rsidR="00CB60A0">
        <w:t>have robust processes</w:t>
      </w:r>
      <w:r w:rsidR="00F5444D">
        <w:t xml:space="preserve"> and </w:t>
      </w:r>
      <w:r w:rsidR="00CB60A0">
        <w:t>controls in place to ensure they</w:t>
      </w:r>
      <w:r w:rsidR="00D505D4">
        <w:t xml:space="preserve"> </w:t>
      </w:r>
      <w:r w:rsidR="00A62138">
        <w:t>comply with conduct regulation administered by ASIC.</w:t>
      </w:r>
    </w:p>
    <w:p w14:paraId="423EBBF9" w14:textId="65A38D5F" w:rsidR="00490D5F" w:rsidRDefault="00490D5F" w:rsidP="00490D5F">
      <w:pPr>
        <w:pStyle w:val="Heading2Numbers"/>
        <w:numPr>
          <w:ilvl w:val="0"/>
          <w:numId w:val="0"/>
        </w:numPr>
        <w:ind w:left="851" w:hanging="851"/>
      </w:pPr>
      <w:r>
        <w:t>Challenges</w:t>
      </w:r>
      <w:r w:rsidR="00684A29">
        <w:t xml:space="preserve"> in managing operational risk</w:t>
      </w:r>
    </w:p>
    <w:p w14:paraId="3DE245E1" w14:textId="7F48C947" w:rsidR="00684A29" w:rsidRDefault="005B4162" w:rsidP="008976BB">
      <w:pPr>
        <w:spacing w:after="0"/>
      </w:pPr>
      <w:r>
        <w:t>The importance of operational risk</w:t>
      </w:r>
      <w:r w:rsidR="00194A13">
        <w:t xml:space="preserve"> management</w:t>
      </w:r>
      <w:r>
        <w:t xml:space="preserve"> has been highlighted repeatedly in recent years</w:t>
      </w:r>
      <w:r w:rsidR="008976BB">
        <w:t>,</w:t>
      </w:r>
      <w:r>
        <w:t xml:space="preserve"> with regular examples of operational risk events and failures that have had both financial and non-financial implications.</w:t>
      </w:r>
    </w:p>
    <w:p w14:paraId="0D4EBC4B" w14:textId="77777777" w:rsidR="00684A29" w:rsidRDefault="00684A29" w:rsidP="00684A29">
      <w:pPr>
        <w:numPr>
          <w:ilvl w:val="0"/>
          <w:numId w:val="0"/>
        </w:numPr>
        <w:spacing w:after="0"/>
      </w:pPr>
    </w:p>
    <w:p w14:paraId="2F0F29FC" w14:textId="6121F964" w:rsidR="008976BB" w:rsidRDefault="0084454C" w:rsidP="00684A29">
      <w:pPr>
        <w:numPr>
          <w:ilvl w:val="0"/>
          <w:numId w:val="0"/>
        </w:numPr>
        <w:spacing w:after="0"/>
      </w:pPr>
      <w:r>
        <w:t>APRA has observed three key trends in recent years:</w:t>
      </w:r>
      <w:r w:rsidR="008976BB">
        <w:br/>
      </w:r>
    </w:p>
    <w:p w14:paraId="2909CBA1" w14:textId="03C517B9" w:rsidR="00DB1E53" w:rsidRDefault="0084454C" w:rsidP="0084454C">
      <w:pPr>
        <w:pStyle w:val="ListBullet"/>
      </w:pPr>
      <w:r>
        <w:rPr>
          <w:b/>
          <w:i/>
        </w:rPr>
        <w:t xml:space="preserve">Control failures: </w:t>
      </w:r>
      <w:r w:rsidR="00B54AA9">
        <w:t>While some o</w:t>
      </w:r>
      <w:r w:rsidR="005B4162">
        <w:t>perational risk events have been due to circumstances beyond the control of the industry</w:t>
      </w:r>
      <w:r w:rsidR="00B54AA9">
        <w:t>,</w:t>
      </w:r>
      <w:r w:rsidR="005B4162">
        <w:t xml:space="preserve"> such as </w:t>
      </w:r>
      <w:r w:rsidR="006D3B28">
        <w:t xml:space="preserve">the </w:t>
      </w:r>
      <w:r w:rsidR="005B4162">
        <w:t>COVID-19</w:t>
      </w:r>
      <w:r w:rsidR="006D3B28">
        <w:t xml:space="preserve"> pandemic</w:t>
      </w:r>
      <w:r w:rsidR="005B4162">
        <w:t xml:space="preserve">, </w:t>
      </w:r>
      <w:r w:rsidR="00B54AA9">
        <w:t>many others have arisen due to</w:t>
      </w:r>
      <w:r w:rsidR="005B4162">
        <w:t xml:space="preserve"> ineffective </w:t>
      </w:r>
      <w:r w:rsidR="006D3B28">
        <w:t xml:space="preserve">controls. </w:t>
      </w:r>
      <w:r w:rsidR="00CB60A0">
        <w:t xml:space="preserve">To address these, </w:t>
      </w:r>
      <w:r w:rsidR="006E77F3">
        <w:t>APRA</w:t>
      </w:r>
      <w:r w:rsidR="008825AC">
        <w:t xml:space="preserve"> has</w:t>
      </w:r>
      <w:r w:rsidR="006E77F3">
        <w:t xml:space="preserve"> </w:t>
      </w:r>
      <w:proofErr w:type="gramStart"/>
      <w:r w:rsidR="006E77F3">
        <w:t>tak</w:t>
      </w:r>
      <w:r w:rsidR="008825AC">
        <w:t>en</w:t>
      </w:r>
      <w:r w:rsidR="006E77F3">
        <w:t xml:space="preserve"> action</w:t>
      </w:r>
      <w:proofErr w:type="gramEnd"/>
      <w:r w:rsidR="000B7F8D">
        <w:t xml:space="preserve"> across a range of entities</w:t>
      </w:r>
      <w:r w:rsidR="006E77F3">
        <w:t xml:space="preserve"> in the form of </w:t>
      </w:r>
      <w:r w:rsidR="00137B0F">
        <w:t>Court</w:t>
      </w:r>
      <w:r w:rsidR="00B12D1B">
        <w:t>-</w:t>
      </w:r>
      <w:r w:rsidR="006E77F3">
        <w:t>enforceable undertakings, requirements</w:t>
      </w:r>
      <w:r w:rsidR="008825AC">
        <w:t xml:space="preserve"> for large-scale</w:t>
      </w:r>
      <w:r w:rsidR="006E77F3">
        <w:t xml:space="preserve"> </w:t>
      </w:r>
      <w:r w:rsidR="008825AC">
        <w:t xml:space="preserve">remediation programmes </w:t>
      </w:r>
      <w:r w:rsidR="006E77F3">
        <w:t>and</w:t>
      </w:r>
      <w:r w:rsidR="00915C0C">
        <w:t xml:space="preserve"> the application of</w:t>
      </w:r>
      <w:r w:rsidR="006E77F3">
        <w:t xml:space="preserve"> </w:t>
      </w:r>
      <w:r w:rsidR="008825AC">
        <w:t xml:space="preserve">additional </w:t>
      </w:r>
      <w:r w:rsidR="006E77F3">
        <w:t xml:space="preserve">operational risk capital </w:t>
      </w:r>
      <w:r w:rsidR="008825AC">
        <w:t>requirements</w:t>
      </w:r>
      <w:r w:rsidR="004B17E3">
        <w:t>.</w:t>
      </w:r>
    </w:p>
    <w:p w14:paraId="50884550" w14:textId="3B2BB866" w:rsidR="00410222" w:rsidRDefault="00955D5B" w:rsidP="00410222">
      <w:pPr>
        <w:pStyle w:val="ListBullet"/>
      </w:pPr>
      <w:r>
        <w:rPr>
          <w:b/>
          <w:i/>
        </w:rPr>
        <w:t>Low tolerance for</w:t>
      </w:r>
      <w:r w:rsidR="0084454C">
        <w:rPr>
          <w:b/>
          <w:i/>
        </w:rPr>
        <w:t xml:space="preserve"> d</w:t>
      </w:r>
      <w:r w:rsidR="00CC7E38" w:rsidRPr="0084454C">
        <w:rPr>
          <w:b/>
          <w:i/>
        </w:rPr>
        <w:t>isruptions</w:t>
      </w:r>
      <w:r w:rsidR="0084454C">
        <w:rPr>
          <w:b/>
          <w:i/>
        </w:rPr>
        <w:t xml:space="preserve">: </w:t>
      </w:r>
      <w:r w:rsidR="0084454C">
        <w:t>Disruptions</w:t>
      </w:r>
      <w:r w:rsidR="00CC7E38" w:rsidRPr="00CC7E38">
        <w:t xml:space="preserve"> to business </w:t>
      </w:r>
      <w:r w:rsidR="006A4EB7">
        <w:t>operation</w:t>
      </w:r>
      <w:r w:rsidR="00CC7E38" w:rsidRPr="00CC7E38">
        <w:t>s</w:t>
      </w:r>
      <w:r w:rsidR="0015174C">
        <w:t>,</w:t>
      </w:r>
      <w:r w:rsidR="006A4EB7">
        <w:t xml:space="preserve"> and </w:t>
      </w:r>
      <w:r w:rsidR="00FF707F">
        <w:t>to</w:t>
      </w:r>
      <w:r w:rsidR="006A4EB7">
        <w:t xml:space="preserve"> services offered by APRA-regulated entities</w:t>
      </w:r>
      <w:r w:rsidR="0015174C">
        <w:t>,</w:t>
      </w:r>
      <w:r w:rsidR="00CC7E38" w:rsidRPr="00CC7E38">
        <w:t xml:space="preserve"> have </w:t>
      </w:r>
      <w:r w:rsidR="00D22759">
        <w:t>the potential to</w:t>
      </w:r>
      <w:r w:rsidR="009A35D7">
        <w:t xml:space="preserve"> impact</w:t>
      </w:r>
      <w:r w:rsidR="00CC7E38" w:rsidRPr="00CC7E38">
        <w:t xml:space="preserve"> </w:t>
      </w:r>
      <w:r w:rsidR="000452A0">
        <w:t>key stakeholders</w:t>
      </w:r>
      <w:r w:rsidR="00BE6CE6">
        <w:t xml:space="preserve"> </w:t>
      </w:r>
      <w:r w:rsidR="009A35D7">
        <w:t>reliant on</w:t>
      </w:r>
      <w:r w:rsidR="00CC7E38" w:rsidRPr="00CC7E38">
        <w:t xml:space="preserve"> real-time transactions and </w:t>
      </w:r>
      <w:r w:rsidR="004F3522">
        <w:t>consistent</w:t>
      </w:r>
      <w:r w:rsidR="00EF38AD">
        <w:t xml:space="preserve"> availability</w:t>
      </w:r>
      <w:r w:rsidR="00CC7E38" w:rsidRPr="00CC7E38">
        <w:t xml:space="preserve">. </w:t>
      </w:r>
      <w:r w:rsidR="000452A0">
        <w:t xml:space="preserve">Depositors, policyholders, </w:t>
      </w:r>
      <w:r w:rsidR="00137B0F">
        <w:t xml:space="preserve">fund members </w:t>
      </w:r>
      <w:r w:rsidR="000452A0">
        <w:t>and other customers</w:t>
      </w:r>
      <w:r w:rsidR="00A42190">
        <w:t xml:space="preserve"> ha</w:t>
      </w:r>
      <w:r w:rsidR="00184842">
        <w:t>ve</w:t>
      </w:r>
      <w:r w:rsidR="00CC7E38" w:rsidRPr="00CC7E38">
        <w:t xml:space="preserve"> </w:t>
      </w:r>
      <w:r w:rsidR="007774E6">
        <w:t xml:space="preserve">a low </w:t>
      </w:r>
      <w:r w:rsidR="00CC7E38" w:rsidRPr="00CC7E38">
        <w:t>tolerance for disruptions</w:t>
      </w:r>
      <w:r w:rsidR="00184842">
        <w:t>,</w:t>
      </w:r>
      <w:r w:rsidR="00CC7E38" w:rsidRPr="00CC7E38">
        <w:t xml:space="preserve"> given the importance of</w:t>
      </w:r>
      <w:r w:rsidR="00137B0F">
        <w:t xml:space="preserve"> core</w:t>
      </w:r>
      <w:r w:rsidR="00CC7E38" w:rsidRPr="00CC7E38">
        <w:t xml:space="preserve"> financial services in everyday life </w:t>
      </w:r>
      <w:r w:rsidR="00CB60A0">
        <w:t>and</w:t>
      </w:r>
      <w:r w:rsidR="00CC7E38" w:rsidRPr="00CC7E38">
        <w:t xml:space="preserve"> </w:t>
      </w:r>
      <w:r w:rsidR="00184842">
        <w:t>an</w:t>
      </w:r>
      <w:r w:rsidR="00CC7E38" w:rsidRPr="00CC7E38">
        <w:t xml:space="preserve"> expectation that </w:t>
      </w:r>
      <w:r w:rsidR="00915C0C">
        <w:t>services</w:t>
      </w:r>
      <w:r w:rsidR="00CC7E38" w:rsidRPr="00CC7E38">
        <w:t xml:space="preserve"> will </w:t>
      </w:r>
      <w:r w:rsidR="00A42190">
        <w:t xml:space="preserve">always </w:t>
      </w:r>
      <w:r w:rsidR="00CC7E38" w:rsidRPr="00CC7E38">
        <w:t>be available.</w:t>
      </w:r>
    </w:p>
    <w:p w14:paraId="1F56B972" w14:textId="22B998FA" w:rsidR="00507619" w:rsidRDefault="00410222" w:rsidP="00677629">
      <w:pPr>
        <w:pStyle w:val="ListBullet"/>
      </w:pPr>
      <w:r>
        <w:rPr>
          <w:b/>
          <w:i/>
        </w:rPr>
        <w:t>Increasing reliance on service providers:</w:t>
      </w:r>
      <w:r>
        <w:t xml:space="preserve"> </w:t>
      </w:r>
      <w:r w:rsidR="00FB04DE">
        <w:t xml:space="preserve">APRA-regulated entities are increasingly reliant on </w:t>
      </w:r>
      <w:r w:rsidR="00CC7E38">
        <w:t>the use of s</w:t>
      </w:r>
      <w:r w:rsidR="00507619">
        <w:t>ervice providers</w:t>
      </w:r>
      <w:r w:rsidR="00B565FC">
        <w:t xml:space="preserve"> </w:t>
      </w:r>
      <w:r w:rsidR="002032E9">
        <w:t>to support their business operations</w:t>
      </w:r>
      <w:r w:rsidR="00377195">
        <w:t xml:space="preserve">. </w:t>
      </w:r>
      <w:r w:rsidR="00317EF6">
        <w:t>Entities are</w:t>
      </w:r>
      <w:r w:rsidR="00317EF6" w:rsidRPr="00684A29">
        <w:t xml:space="preserve"> looking to external providers </w:t>
      </w:r>
      <w:r w:rsidR="00317EF6">
        <w:t>not only for current in-house services (‘outsourcing’), but also</w:t>
      </w:r>
      <w:r w:rsidR="00317EF6" w:rsidRPr="00684A29">
        <w:t xml:space="preserve"> for new services, capabilities and expertise that extend their offerings to the market.</w:t>
      </w:r>
      <w:r w:rsidR="00317EF6">
        <w:t xml:space="preserve"> Problems in</w:t>
      </w:r>
      <w:r w:rsidR="00377195">
        <w:t xml:space="preserve"> service providers can quickly impact on the availability and level of service of </w:t>
      </w:r>
      <w:r w:rsidR="0015174C">
        <w:t>a</w:t>
      </w:r>
      <w:r w:rsidR="00520CAD">
        <w:t>n APRA</w:t>
      </w:r>
      <w:r w:rsidR="00317EF6">
        <w:noBreakHyphen/>
      </w:r>
      <w:r w:rsidR="0015174C">
        <w:t>regulated entity</w:t>
      </w:r>
      <w:r w:rsidR="00FE50CB">
        <w:t>,</w:t>
      </w:r>
      <w:r w:rsidR="0015174C">
        <w:t xml:space="preserve"> </w:t>
      </w:r>
      <w:r w:rsidR="00377195">
        <w:t xml:space="preserve">with </w:t>
      </w:r>
      <w:r w:rsidR="00915C0C">
        <w:t xml:space="preserve">flow-on </w:t>
      </w:r>
      <w:r w:rsidR="00B653AA">
        <w:t xml:space="preserve">impacts </w:t>
      </w:r>
      <w:r w:rsidR="00915C0C">
        <w:t xml:space="preserve">to </w:t>
      </w:r>
      <w:r w:rsidR="009601D9">
        <w:t>the broader financial system</w:t>
      </w:r>
      <w:r w:rsidR="00507619">
        <w:t xml:space="preserve">. </w:t>
      </w:r>
      <w:r w:rsidR="00CB60A0">
        <w:t>The expanded</w:t>
      </w:r>
      <w:r w:rsidR="00B51318">
        <w:t xml:space="preserve"> </w:t>
      </w:r>
      <w:r w:rsidR="00FA4346">
        <w:t>use of s</w:t>
      </w:r>
      <w:r w:rsidR="00B51318">
        <w:t xml:space="preserve">ervice providers </w:t>
      </w:r>
      <w:r w:rsidR="00507619">
        <w:t xml:space="preserve">is giving rise to </w:t>
      </w:r>
      <w:r w:rsidR="00421A8A">
        <w:t>long</w:t>
      </w:r>
      <w:r w:rsidR="00317EF6">
        <w:t>er</w:t>
      </w:r>
      <w:r w:rsidR="00421A8A">
        <w:t xml:space="preserve"> and </w:t>
      </w:r>
      <w:r w:rsidR="00317EF6">
        <w:t xml:space="preserve">more </w:t>
      </w:r>
      <w:r w:rsidR="00507619">
        <w:t>complex supply chains</w:t>
      </w:r>
      <w:r w:rsidR="00D75E7F">
        <w:t xml:space="preserve">, </w:t>
      </w:r>
      <w:r w:rsidR="00421A8A">
        <w:t>often involving a</w:t>
      </w:r>
      <w:r w:rsidR="00D75E7F">
        <w:t xml:space="preserve"> reliance on fourth parties and other downstream providers</w:t>
      </w:r>
      <w:r w:rsidR="00507619">
        <w:t>.</w:t>
      </w:r>
      <w:r w:rsidR="00684A29" w:rsidRPr="00684A29">
        <w:t xml:space="preserve"> </w:t>
      </w:r>
      <w:r w:rsidR="00684A29">
        <w:t>The growing use of cloud-based services is one example of this trend.</w:t>
      </w:r>
    </w:p>
    <w:p w14:paraId="37821013" w14:textId="3924F8B0" w:rsidR="00507619" w:rsidRDefault="00317EF6" w:rsidP="00507619">
      <w:r>
        <w:t>Against the backdrop of these three key trends</w:t>
      </w:r>
      <w:r w:rsidR="00230475">
        <w:t xml:space="preserve">, </w:t>
      </w:r>
      <w:r w:rsidR="00507619">
        <w:t xml:space="preserve">APRA is proposing to introduce </w:t>
      </w:r>
      <w:r w:rsidR="00AA680F">
        <w:t>new</w:t>
      </w:r>
      <w:r w:rsidR="00507619">
        <w:t xml:space="preserve"> </w:t>
      </w:r>
      <w:r w:rsidR="006340B8">
        <w:t xml:space="preserve">and enhanced </w:t>
      </w:r>
      <w:r w:rsidR="00507619">
        <w:t>requirements</w:t>
      </w:r>
      <w:r w:rsidR="00AA680F">
        <w:t xml:space="preserve"> to </w:t>
      </w:r>
      <w:r w:rsidR="006340B8">
        <w:t>strengthen the management of</w:t>
      </w:r>
      <w:r w:rsidR="00507619">
        <w:t xml:space="preserve"> operational</w:t>
      </w:r>
      <w:r w:rsidR="006340B8">
        <w:t xml:space="preserve"> </w:t>
      </w:r>
      <w:r w:rsidR="008D39DF">
        <w:t>risk and</w:t>
      </w:r>
      <w:r w:rsidR="006340B8">
        <w:t xml:space="preserve"> raise </w:t>
      </w:r>
      <w:r w:rsidR="00D62A7E">
        <w:t xml:space="preserve">standards to </w:t>
      </w:r>
      <w:r>
        <w:t xml:space="preserve">align with </w:t>
      </w:r>
      <w:r w:rsidR="00D62A7E">
        <w:t>the expectations and needs of the financial system and digital economy</w:t>
      </w:r>
      <w:r w:rsidR="003A244D">
        <w:t>.</w:t>
      </w:r>
    </w:p>
    <w:p w14:paraId="13AF890A" w14:textId="0CC70C7D" w:rsidR="00507619" w:rsidRDefault="00475B16" w:rsidP="00863B3F">
      <w:pPr>
        <w:pStyle w:val="Heading2Numbers"/>
        <w:numPr>
          <w:ilvl w:val="0"/>
          <w:numId w:val="0"/>
        </w:numPr>
        <w:ind w:left="851" w:hanging="851"/>
      </w:pPr>
      <w:r>
        <w:t>Proposed changes to the</w:t>
      </w:r>
      <w:r w:rsidR="00863B3F">
        <w:t xml:space="preserve"> prudential </w:t>
      </w:r>
      <w:r w:rsidR="00507619">
        <w:t>framework</w:t>
      </w:r>
    </w:p>
    <w:p w14:paraId="166883BF" w14:textId="5A6557C5" w:rsidR="00A1213D" w:rsidRDefault="00507619" w:rsidP="00A1213D">
      <w:r>
        <w:t>The</w:t>
      </w:r>
      <w:r w:rsidR="00D65065">
        <w:t xml:space="preserve"> current</w:t>
      </w:r>
      <w:r>
        <w:t xml:space="preserve"> components of the prudential framework </w:t>
      </w:r>
      <w:r w:rsidR="00D65065">
        <w:t>for</w:t>
      </w:r>
      <w:r>
        <w:t xml:space="preserve"> operational </w:t>
      </w:r>
      <w:r w:rsidR="00122C3C">
        <w:t>resilience</w:t>
      </w:r>
      <w:r w:rsidR="00593B2F">
        <w:t xml:space="preserve"> </w:t>
      </w:r>
      <w:r w:rsidR="00917AB2">
        <w:t xml:space="preserve">are </w:t>
      </w:r>
      <w:r w:rsidR="00593B2F">
        <w:t>set out in the table below</w:t>
      </w:r>
      <w:r>
        <w:t>.</w:t>
      </w:r>
      <w:r w:rsidR="00A1213D" w:rsidRPr="00A1213D">
        <w:t xml:space="preserve"> </w:t>
      </w:r>
      <w:r w:rsidR="00A1213D">
        <w:t xml:space="preserve">Operational risk requirements have been articulated through overarching risk management principles set out in CPS 220 and SPS 220. To support this, there are specific prudential standards on outsourcing and business continuity management. In 2019, APRA released a new standard focused on information security, </w:t>
      </w:r>
      <w:r w:rsidR="00A1213D" w:rsidRPr="00854FCC">
        <w:rPr>
          <w:i/>
        </w:rPr>
        <w:t>Prudential Standard CPS 234 Information Security</w:t>
      </w:r>
      <w:r w:rsidR="00A1213D">
        <w:t xml:space="preserve"> (CPS 234).</w:t>
      </w:r>
    </w:p>
    <w:p w14:paraId="31FE251F" w14:textId="1AD914A3" w:rsidR="00A1213D" w:rsidRDefault="00A1213D" w:rsidP="00A1213D">
      <w:r>
        <w:t>In addition, there are</w:t>
      </w:r>
      <w:r w:rsidRPr="00537E79">
        <w:t xml:space="preserve"> </w:t>
      </w:r>
      <w:r>
        <w:t>several</w:t>
      </w:r>
      <w:r w:rsidRPr="00537E79">
        <w:t xml:space="preserve"> prudential practice guides </w:t>
      </w:r>
      <w:r>
        <w:t xml:space="preserve">(PPGs) </w:t>
      </w:r>
      <w:r w:rsidRPr="00537E79">
        <w:t>targeting specific areas of operational risk</w:t>
      </w:r>
      <w:r>
        <w:t xml:space="preserve">. This guidance </w:t>
      </w:r>
      <w:r w:rsidRPr="00537E79">
        <w:t>includ</w:t>
      </w:r>
      <w:r>
        <w:t>es</w:t>
      </w:r>
      <w:r w:rsidRPr="00537E79">
        <w:t xml:space="preserve"> </w:t>
      </w:r>
      <w:r w:rsidRPr="00537E79">
        <w:rPr>
          <w:i/>
        </w:rPr>
        <w:t>Prudential Practice Guide SPG 223 Fraud Risk Management</w:t>
      </w:r>
      <w:r w:rsidRPr="00537E79">
        <w:t xml:space="preserve"> </w:t>
      </w:r>
      <w:r w:rsidR="00C14FE3">
        <w:t>(SPG 223)</w:t>
      </w:r>
      <w:r>
        <w:t>(for RSE licensees only),</w:t>
      </w:r>
      <w:r w:rsidRPr="00537E79">
        <w:t xml:space="preserve"> </w:t>
      </w:r>
      <w:r w:rsidRPr="00537E79">
        <w:rPr>
          <w:i/>
        </w:rPr>
        <w:t>Prudential Practice Guide CPG 233 Pandemic Planning</w:t>
      </w:r>
      <w:r w:rsidRPr="00537E79">
        <w:t xml:space="preserve"> </w:t>
      </w:r>
      <w:r w:rsidR="00C14FE3">
        <w:t xml:space="preserve">(CPG 233) </w:t>
      </w:r>
      <w:r w:rsidRPr="00537E79">
        <w:t xml:space="preserve">and </w:t>
      </w:r>
      <w:r w:rsidRPr="00537E79">
        <w:rPr>
          <w:i/>
        </w:rPr>
        <w:t>Prudential Practice Guide CPG 235 Data Risk Management</w:t>
      </w:r>
      <w:r w:rsidR="00C14FE3">
        <w:t xml:space="preserve"> (CPG 235)</w:t>
      </w:r>
      <w:r w:rsidRPr="00537E79">
        <w:t>.</w:t>
      </w:r>
    </w:p>
    <w:p w14:paraId="515CFDBF" w14:textId="7CE5069E" w:rsidR="004165E9" w:rsidRDefault="004165E9" w:rsidP="00764632">
      <w:pPr>
        <w:pStyle w:val="Numberedtableheading"/>
      </w:pPr>
      <w:r>
        <w:t>Current framework</w:t>
      </w:r>
    </w:p>
    <w:tbl>
      <w:tblPr>
        <w:tblStyle w:val="TableGrid"/>
        <w:tblW w:w="0" w:type="auto"/>
        <w:tblLook w:val="04A0" w:firstRow="1" w:lastRow="0" w:firstColumn="1" w:lastColumn="0" w:noHBand="0" w:noVBand="1"/>
      </w:tblPr>
      <w:tblGrid>
        <w:gridCol w:w="2268"/>
        <w:gridCol w:w="2268"/>
        <w:gridCol w:w="4390"/>
      </w:tblGrid>
      <w:tr w:rsidR="00773D13" w:rsidRPr="00B61942" w14:paraId="3200260B" w14:textId="77777777" w:rsidTr="00773D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0BA76FF" w14:textId="37FA8612" w:rsidR="00B61942" w:rsidRPr="00176C9D" w:rsidRDefault="00122C3C" w:rsidP="00B61942">
            <w:pPr>
              <w:rPr>
                <w:b/>
              </w:rPr>
            </w:pPr>
            <w:r w:rsidRPr="00176C9D">
              <w:rPr>
                <w:b/>
              </w:rPr>
              <w:t>Operational resilience</w:t>
            </w:r>
          </w:p>
        </w:tc>
        <w:tc>
          <w:tcPr>
            <w:tcW w:w="2268" w:type="dxa"/>
          </w:tcPr>
          <w:p w14:paraId="5C73D8F8" w14:textId="77777777" w:rsidR="00B61942" w:rsidRPr="00176C9D" w:rsidRDefault="00B61942" w:rsidP="00B61942">
            <w:pPr>
              <w:cnfStyle w:val="100000000000" w:firstRow="1" w:lastRow="0" w:firstColumn="0" w:lastColumn="0" w:oddVBand="0" w:evenVBand="0" w:oddHBand="0" w:evenHBand="0" w:firstRowFirstColumn="0" w:firstRowLastColumn="0" w:lastRowFirstColumn="0" w:lastRowLastColumn="0"/>
              <w:rPr>
                <w:b/>
              </w:rPr>
            </w:pPr>
            <w:r w:rsidRPr="00176C9D">
              <w:rPr>
                <w:b/>
              </w:rPr>
              <w:t>Prudential standard</w:t>
            </w:r>
          </w:p>
        </w:tc>
        <w:tc>
          <w:tcPr>
            <w:tcW w:w="4390" w:type="dxa"/>
          </w:tcPr>
          <w:p w14:paraId="6357951B" w14:textId="77777777" w:rsidR="00B61942" w:rsidRPr="00176C9D" w:rsidRDefault="00B61942" w:rsidP="00B61942">
            <w:pPr>
              <w:cnfStyle w:val="100000000000" w:firstRow="1" w:lastRow="0" w:firstColumn="0" w:lastColumn="0" w:oddVBand="0" w:evenVBand="0" w:oddHBand="0" w:evenHBand="0" w:firstRowFirstColumn="0" w:firstRowLastColumn="0" w:lastRowFirstColumn="0" w:lastRowLastColumn="0"/>
              <w:rPr>
                <w:b/>
              </w:rPr>
            </w:pPr>
            <w:r w:rsidRPr="00176C9D">
              <w:rPr>
                <w:b/>
              </w:rPr>
              <w:t>Guidance</w:t>
            </w:r>
          </w:p>
        </w:tc>
      </w:tr>
      <w:tr w:rsidR="00773D13" w:rsidRPr="00B61942" w14:paraId="060705D6" w14:textId="77777777" w:rsidTr="00773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AC049CA" w14:textId="2C795103" w:rsidR="00B61942" w:rsidRPr="00773D13" w:rsidRDefault="00B61942" w:rsidP="00B61942">
            <w:pPr>
              <w:rPr>
                <w:b/>
                <w:color w:val="000000"/>
              </w:rPr>
            </w:pPr>
            <w:r w:rsidRPr="00773D13">
              <w:rPr>
                <w:b/>
                <w:color w:val="000000"/>
              </w:rPr>
              <w:t xml:space="preserve">Operational risk </w:t>
            </w:r>
            <w:r w:rsidR="00194A13">
              <w:rPr>
                <w:b/>
                <w:color w:val="000000"/>
              </w:rPr>
              <w:t>management</w:t>
            </w:r>
          </w:p>
        </w:tc>
        <w:tc>
          <w:tcPr>
            <w:tcW w:w="2268" w:type="dxa"/>
          </w:tcPr>
          <w:p w14:paraId="4DDBA366" w14:textId="18B450E7" w:rsidR="00B61942" w:rsidRPr="00B61942" w:rsidRDefault="00421A8A" w:rsidP="00773D13">
            <w:pPr>
              <w:pStyle w:val="ListBullet"/>
              <w:cnfStyle w:val="000000100000" w:firstRow="0" w:lastRow="0" w:firstColumn="0" w:lastColumn="0" w:oddVBand="0" w:evenVBand="0" w:oddHBand="1" w:evenHBand="0" w:firstRowFirstColumn="0" w:firstRowLastColumn="0" w:lastRowFirstColumn="0" w:lastRowLastColumn="0"/>
            </w:pPr>
            <w:r>
              <w:t>Addressed at a high level</w:t>
            </w:r>
            <w:r w:rsidR="00B61942" w:rsidRPr="00B61942">
              <w:t xml:space="preserve"> in CPS 220 </w:t>
            </w:r>
            <w:r w:rsidR="00773D13">
              <w:t>and</w:t>
            </w:r>
            <w:r w:rsidR="00B61942" w:rsidRPr="00B61942">
              <w:t xml:space="preserve"> SPS 220</w:t>
            </w:r>
          </w:p>
        </w:tc>
        <w:tc>
          <w:tcPr>
            <w:tcW w:w="4390" w:type="dxa"/>
          </w:tcPr>
          <w:p w14:paraId="5FD0C852" w14:textId="4AF22D26" w:rsidR="00773D13" w:rsidRDefault="00773D13" w:rsidP="00FD2813">
            <w:pPr>
              <w:pStyle w:val="ListBullet"/>
              <w:cnfStyle w:val="000000100000" w:firstRow="0" w:lastRow="0" w:firstColumn="0" w:lastColumn="0" w:oddVBand="0" w:evenVBand="0" w:oddHBand="1" w:evenHBand="0" w:firstRowFirstColumn="0" w:firstRowLastColumn="0" w:lastRowFirstColumn="0" w:lastRowLastColumn="0"/>
            </w:pPr>
            <w:r>
              <w:t>CPG 233</w:t>
            </w:r>
          </w:p>
          <w:p w14:paraId="4E555DCC" w14:textId="6988EC9A" w:rsidR="00773D13" w:rsidRDefault="00773D13" w:rsidP="00FD2813">
            <w:pPr>
              <w:pStyle w:val="ListBullet"/>
              <w:cnfStyle w:val="000000100000" w:firstRow="0" w:lastRow="0" w:firstColumn="0" w:lastColumn="0" w:oddVBand="0" w:evenVBand="0" w:oddHBand="1" w:evenHBand="0" w:firstRowFirstColumn="0" w:firstRowLastColumn="0" w:lastRowFirstColumn="0" w:lastRowLastColumn="0"/>
            </w:pPr>
            <w:r>
              <w:t>CPG 235</w:t>
            </w:r>
          </w:p>
          <w:p w14:paraId="7E1851CC" w14:textId="5445A8A1" w:rsidR="00773D13" w:rsidRPr="00B61942" w:rsidRDefault="00773D13" w:rsidP="00FD2813">
            <w:pPr>
              <w:pStyle w:val="ListBullet"/>
              <w:cnfStyle w:val="000000100000" w:firstRow="0" w:lastRow="0" w:firstColumn="0" w:lastColumn="0" w:oddVBand="0" w:evenVBand="0" w:oddHBand="1" w:evenHBand="0" w:firstRowFirstColumn="0" w:firstRowLastColumn="0" w:lastRowFirstColumn="0" w:lastRowLastColumn="0"/>
            </w:pPr>
            <w:r>
              <w:t>SPG 223</w:t>
            </w:r>
          </w:p>
        </w:tc>
      </w:tr>
      <w:tr w:rsidR="00773D13" w:rsidRPr="00B61942" w14:paraId="71CA1396" w14:textId="77777777" w:rsidTr="00773D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274CEEA" w14:textId="796128A2" w:rsidR="00B61942" w:rsidRPr="00773D13" w:rsidRDefault="0072146E" w:rsidP="00B61942">
            <w:pPr>
              <w:rPr>
                <w:b/>
                <w:color w:val="000000"/>
              </w:rPr>
            </w:pPr>
            <w:r w:rsidRPr="00773D13">
              <w:rPr>
                <w:b/>
                <w:color w:val="000000"/>
              </w:rPr>
              <w:t>Outsourcing</w:t>
            </w:r>
          </w:p>
        </w:tc>
        <w:tc>
          <w:tcPr>
            <w:tcW w:w="2268" w:type="dxa"/>
          </w:tcPr>
          <w:p w14:paraId="1632CD96" w14:textId="5275B45A" w:rsidR="00B61942" w:rsidRDefault="00B61942" w:rsidP="00773D13">
            <w:pPr>
              <w:pStyle w:val="ListBullet"/>
              <w:cnfStyle w:val="000000010000" w:firstRow="0" w:lastRow="0" w:firstColumn="0" w:lastColumn="0" w:oddVBand="0" w:evenVBand="0" w:oddHBand="0" w:evenHBand="1" w:firstRowFirstColumn="0" w:firstRowLastColumn="0" w:lastRowFirstColumn="0" w:lastRowLastColumn="0"/>
            </w:pPr>
            <w:r w:rsidRPr="00B61942">
              <w:t>CPS 231</w:t>
            </w:r>
          </w:p>
          <w:p w14:paraId="766BABCC" w14:textId="2B9BF41E" w:rsidR="00F5423B" w:rsidRPr="00B61942" w:rsidRDefault="00F5423B" w:rsidP="00773D13">
            <w:pPr>
              <w:pStyle w:val="ListBullet"/>
              <w:cnfStyle w:val="000000010000" w:firstRow="0" w:lastRow="0" w:firstColumn="0" w:lastColumn="0" w:oddVBand="0" w:evenVBand="0" w:oddHBand="0" w:evenHBand="1" w:firstRowFirstColumn="0" w:firstRowLastColumn="0" w:lastRowFirstColumn="0" w:lastRowLastColumn="0"/>
            </w:pPr>
            <w:r>
              <w:t>HPS 231</w:t>
            </w:r>
          </w:p>
          <w:p w14:paraId="3605C085" w14:textId="77777777" w:rsidR="00B61942" w:rsidRPr="00B61942" w:rsidRDefault="00B61942" w:rsidP="00773D13">
            <w:pPr>
              <w:pStyle w:val="ListBullet"/>
              <w:cnfStyle w:val="000000010000" w:firstRow="0" w:lastRow="0" w:firstColumn="0" w:lastColumn="0" w:oddVBand="0" w:evenVBand="0" w:oddHBand="0" w:evenHBand="1" w:firstRowFirstColumn="0" w:firstRowLastColumn="0" w:lastRowFirstColumn="0" w:lastRowLastColumn="0"/>
            </w:pPr>
            <w:r w:rsidRPr="00B61942">
              <w:t>SPS 231</w:t>
            </w:r>
          </w:p>
        </w:tc>
        <w:tc>
          <w:tcPr>
            <w:tcW w:w="4390" w:type="dxa"/>
          </w:tcPr>
          <w:p w14:paraId="15B77DAB" w14:textId="77777777" w:rsidR="00B61942" w:rsidRDefault="00B61942" w:rsidP="00773D13">
            <w:pPr>
              <w:pStyle w:val="ListBullet"/>
              <w:cnfStyle w:val="000000010000" w:firstRow="0" w:lastRow="0" w:firstColumn="0" w:lastColumn="0" w:oddVBand="0" w:evenVBand="0" w:oddHBand="0" w:evenHBand="1" w:firstRowFirstColumn="0" w:firstRowLastColumn="0" w:lastRowFirstColumn="0" w:lastRowLastColumn="0"/>
            </w:pPr>
            <w:r w:rsidRPr="00B61942">
              <w:t>CPG 231</w:t>
            </w:r>
          </w:p>
          <w:p w14:paraId="3B5CCA4F" w14:textId="77777777" w:rsidR="00B61942" w:rsidRPr="00B61942" w:rsidRDefault="00B61942" w:rsidP="00773D13">
            <w:pPr>
              <w:pStyle w:val="ListBullet"/>
              <w:cnfStyle w:val="000000010000" w:firstRow="0" w:lastRow="0" w:firstColumn="0" w:lastColumn="0" w:oddVBand="0" w:evenVBand="0" w:oddHBand="0" w:evenHBand="1" w:firstRowFirstColumn="0" w:firstRowLastColumn="0" w:lastRowFirstColumn="0" w:lastRowLastColumn="0"/>
            </w:pPr>
            <w:r w:rsidRPr="00B61942">
              <w:t>SPG 231</w:t>
            </w:r>
          </w:p>
        </w:tc>
      </w:tr>
      <w:tr w:rsidR="00773D13" w:rsidRPr="00B61942" w14:paraId="3E0633FA" w14:textId="77777777" w:rsidTr="00773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05E47FE" w14:textId="77777777" w:rsidR="00B61942" w:rsidRPr="00773D13" w:rsidRDefault="00B61942" w:rsidP="00B61942">
            <w:pPr>
              <w:rPr>
                <w:b/>
                <w:color w:val="000000"/>
              </w:rPr>
            </w:pPr>
            <w:r w:rsidRPr="00773D13">
              <w:rPr>
                <w:b/>
                <w:color w:val="000000"/>
              </w:rPr>
              <w:t>Business continuity management</w:t>
            </w:r>
          </w:p>
        </w:tc>
        <w:tc>
          <w:tcPr>
            <w:tcW w:w="2268" w:type="dxa"/>
          </w:tcPr>
          <w:p w14:paraId="6BFCC7B1" w14:textId="77777777" w:rsidR="00B61942" w:rsidRPr="00B61942" w:rsidRDefault="00B61942" w:rsidP="00773D13">
            <w:pPr>
              <w:pStyle w:val="ListBullet"/>
              <w:cnfStyle w:val="000000100000" w:firstRow="0" w:lastRow="0" w:firstColumn="0" w:lastColumn="0" w:oddVBand="0" w:evenVBand="0" w:oddHBand="1" w:evenHBand="0" w:firstRowFirstColumn="0" w:firstRowLastColumn="0" w:lastRowFirstColumn="0" w:lastRowLastColumn="0"/>
            </w:pPr>
            <w:r w:rsidRPr="00B61942">
              <w:t>CPS 232</w:t>
            </w:r>
          </w:p>
          <w:p w14:paraId="5B85CB35" w14:textId="77777777" w:rsidR="00B61942" w:rsidRPr="00B61942" w:rsidRDefault="00B61942" w:rsidP="00773D13">
            <w:pPr>
              <w:pStyle w:val="ListBullet"/>
              <w:cnfStyle w:val="000000100000" w:firstRow="0" w:lastRow="0" w:firstColumn="0" w:lastColumn="0" w:oddVBand="0" w:evenVBand="0" w:oddHBand="1" w:evenHBand="0" w:firstRowFirstColumn="0" w:firstRowLastColumn="0" w:lastRowFirstColumn="0" w:lastRowLastColumn="0"/>
            </w:pPr>
            <w:r w:rsidRPr="00B61942">
              <w:t>SPS 232</w:t>
            </w:r>
          </w:p>
        </w:tc>
        <w:tc>
          <w:tcPr>
            <w:tcW w:w="4390" w:type="dxa"/>
          </w:tcPr>
          <w:p w14:paraId="22B96937" w14:textId="77777777" w:rsidR="00B61942" w:rsidRPr="00B61942" w:rsidRDefault="00B61942" w:rsidP="00773D13">
            <w:pPr>
              <w:pStyle w:val="ListBullet"/>
              <w:cnfStyle w:val="000000100000" w:firstRow="0" w:lastRow="0" w:firstColumn="0" w:lastColumn="0" w:oddVBand="0" w:evenVBand="0" w:oddHBand="1" w:evenHBand="0" w:firstRowFirstColumn="0" w:firstRowLastColumn="0" w:lastRowFirstColumn="0" w:lastRowLastColumn="0"/>
            </w:pPr>
            <w:r w:rsidRPr="00B61942">
              <w:t>SPG 232</w:t>
            </w:r>
          </w:p>
        </w:tc>
      </w:tr>
      <w:tr w:rsidR="00773D13" w:rsidRPr="00B61942" w14:paraId="6B012E99" w14:textId="77777777" w:rsidTr="00773D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F04E53A" w14:textId="77777777" w:rsidR="00B61942" w:rsidRPr="00773D13" w:rsidRDefault="00B61942" w:rsidP="00B61942">
            <w:pPr>
              <w:rPr>
                <w:b/>
                <w:color w:val="000000"/>
              </w:rPr>
            </w:pPr>
            <w:r w:rsidRPr="00773D13">
              <w:rPr>
                <w:b/>
                <w:color w:val="000000"/>
              </w:rPr>
              <w:t>Information security</w:t>
            </w:r>
          </w:p>
        </w:tc>
        <w:tc>
          <w:tcPr>
            <w:tcW w:w="2268" w:type="dxa"/>
          </w:tcPr>
          <w:p w14:paraId="49DA88A8" w14:textId="2AF94E19" w:rsidR="00B61942" w:rsidRPr="00B61942" w:rsidRDefault="00B61942" w:rsidP="00773D13">
            <w:pPr>
              <w:pStyle w:val="ListBullet"/>
              <w:cnfStyle w:val="000000010000" w:firstRow="0" w:lastRow="0" w:firstColumn="0" w:lastColumn="0" w:oddVBand="0" w:evenVBand="0" w:oddHBand="0" w:evenHBand="1" w:firstRowFirstColumn="0" w:firstRowLastColumn="0" w:lastRowFirstColumn="0" w:lastRowLastColumn="0"/>
            </w:pPr>
            <w:r w:rsidRPr="00B61942">
              <w:t xml:space="preserve">CPS 234 </w:t>
            </w:r>
          </w:p>
        </w:tc>
        <w:tc>
          <w:tcPr>
            <w:tcW w:w="4390" w:type="dxa"/>
          </w:tcPr>
          <w:p w14:paraId="5FB983C6" w14:textId="62588538" w:rsidR="00B61942" w:rsidRPr="00B61942" w:rsidRDefault="00B61942" w:rsidP="00773D13">
            <w:pPr>
              <w:pStyle w:val="ListBullet"/>
              <w:cnfStyle w:val="000000010000" w:firstRow="0" w:lastRow="0" w:firstColumn="0" w:lastColumn="0" w:oddVBand="0" w:evenVBand="0" w:oddHBand="0" w:evenHBand="1" w:firstRowFirstColumn="0" w:firstRowLastColumn="0" w:lastRowFirstColumn="0" w:lastRowLastColumn="0"/>
            </w:pPr>
            <w:r w:rsidRPr="00B61942">
              <w:t xml:space="preserve">CPG 234 </w:t>
            </w:r>
          </w:p>
        </w:tc>
      </w:tr>
    </w:tbl>
    <w:p w14:paraId="5C586358" w14:textId="77777777" w:rsidR="00122C3C" w:rsidRDefault="00122C3C" w:rsidP="00122C3C">
      <w:pPr>
        <w:spacing w:after="0"/>
      </w:pPr>
    </w:p>
    <w:p w14:paraId="32D105FC" w14:textId="793BC45F" w:rsidR="00FD2813" w:rsidRDefault="00FD2813" w:rsidP="00537E79">
      <w:r>
        <w:t xml:space="preserve">The proposed framework for operational </w:t>
      </w:r>
      <w:r w:rsidR="00317EF6">
        <w:t>resilience</w:t>
      </w:r>
      <w:r w:rsidR="00522D6D">
        <w:t xml:space="preserve"> brings together new requirements on operational risk</w:t>
      </w:r>
      <w:r w:rsidR="00194A13">
        <w:t xml:space="preserve"> management</w:t>
      </w:r>
      <w:r w:rsidR="00522D6D">
        <w:t xml:space="preserve"> with updated requirements on outsourcing and business continuity into a single </w:t>
      </w:r>
      <w:r w:rsidR="00A302AD">
        <w:t>standard</w:t>
      </w:r>
      <w:r w:rsidR="00D82D93">
        <w:t>.</w:t>
      </w:r>
      <w:r w:rsidR="00AB0DDB">
        <w:t xml:space="preserve"> </w:t>
      </w:r>
      <w:r w:rsidR="00A302AD">
        <w:t xml:space="preserve">This is consistent with </w:t>
      </w:r>
      <w:r w:rsidR="00E55905">
        <w:t xml:space="preserve">APRA’s strategic initiative to </w:t>
      </w:r>
      <w:r w:rsidR="00E55905">
        <w:rPr>
          <w:i/>
        </w:rPr>
        <w:t>Modernise the Prudential Architecture</w:t>
      </w:r>
      <w:r w:rsidR="00E55905">
        <w:t xml:space="preserve">, a multi-year programme </w:t>
      </w:r>
      <w:r w:rsidR="004165E9">
        <w:t>that will improve the accessibility and adaptability of the framework, seeking to ensure that the prudential rules are easy to understand, find and navigate.</w:t>
      </w:r>
    </w:p>
    <w:p w14:paraId="451BFF61" w14:textId="5E210F11" w:rsidR="0086098F" w:rsidRDefault="0086098F" w:rsidP="0086098F">
      <w:pPr>
        <w:numPr>
          <w:ilvl w:val="0"/>
          <w:numId w:val="0"/>
        </w:numPr>
      </w:pPr>
    </w:p>
    <w:p w14:paraId="354BEF6B" w14:textId="77777777" w:rsidR="0086098F" w:rsidRDefault="0086098F" w:rsidP="0086098F">
      <w:pPr>
        <w:numPr>
          <w:ilvl w:val="0"/>
          <w:numId w:val="0"/>
        </w:numPr>
      </w:pPr>
    </w:p>
    <w:p w14:paraId="763EE87B" w14:textId="70C644C7" w:rsidR="004165E9" w:rsidRDefault="004165E9" w:rsidP="00764632">
      <w:pPr>
        <w:pStyle w:val="Numberedtableheading"/>
      </w:pPr>
      <w:r>
        <w:t xml:space="preserve">Proposed new framework </w:t>
      </w:r>
    </w:p>
    <w:tbl>
      <w:tblPr>
        <w:tblStyle w:val="TableGrid"/>
        <w:tblW w:w="0" w:type="auto"/>
        <w:tblLook w:val="04A0" w:firstRow="1" w:lastRow="0" w:firstColumn="1" w:lastColumn="0" w:noHBand="0" w:noVBand="1"/>
      </w:tblPr>
      <w:tblGrid>
        <w:gridCol w:w="2268"/>
        <w:gridCol w:w="2268"/>
        <w:gridCol w:w="4390"/>
      </w:tblGrid>
      <w:tr w:rsidR="00D82D93" w:rsidRPr="00B61942" w14:paraId="200AD4B9" w14:textId="77777777" w:rsidTr="00860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5824717" w14:textId="77777777" w:rsidR="00D82D93" w:rsidRPr="00176C9D" w:rsidRDefault="00D82D93" w:rsidP="001E4586">
            <w:pPr>
              <w:rPr>
                <w:b/>
              </w:rPr>
            </w:pPr>
            <w:r w:rsidRPr="00176C9D">
              <w:rPr>
                <w:b/>
              </w:rPr>
              <w:t>Operational resilience</w:t>
            </w:r>
          </w:p>
        </w:tc>
        <w:tc>
          <w:tcPr>
            <w:tcW w:w="2268" w:type="dxa"/>
          </w:tcPr>
          <w:p w14:paraId="61EE0F40" w14:textId="77777777" w:rsidR="00D82D93" w:rsidRPr="00176C9D" w:rsidRDefault="00D82D93" w:rsidP="001E4586">
            <w:pPr>
              <w:cnfStyle w:val="100000000000" w:firstRow="1" w:lastRow="0" w:firstColumn="0" w:lastColumn="0" w:oddVBand="0" w:evenVBand="0" w:oddHBand="0" w:evenHBand="0" w:firstRowFirstColumn="0" w:firstRowLastColumn="0" w:lastRowFirstColumn="0" w:lastRowLastColumn="0"/>
              <w:rPr>
                <w:b/>
              </w:rPr>
            </w:pPr>
            <w:r w:rsidRPr="00176C9D">
              <w:rPr>
                <w:b/>
              </w:rPr>
              <w:t>Prudential standard</w:t>
            </w:r>
          </w:p>
        </w:tc>
        <w:tc>
          <w:tcPr>
            <w:tcW w:w="4390" w:type="dxa"/>
          </w:tcPr>
          <w:p w14:paraId="04CBF88C" w14:textId="77777777" w:rsidR="00D82D93" w:rsidRPr="00176C9D" w:rsidRDefault="00D82D93" w:rsidP="001E4586">
            <w:pPr>
              <w:cnfStyle w:val="100000000000" w:firstRow="1" w:lastRow="0" w:firstColumn="0" w:lastColumn="0" w:oddVBand="0" w:evenVBand="0" w:oddHBand="0" w:evenHBand="0" w:firstRowFirstColumn="0" w:firstRowLastColumn="0" w:lastRowFirstColumn="0" w:lastRowLastColumn="0"/>
              <w:rPr>
                <w:b/>
              </w:rPr>
            </w:pPr>
            <w:r w:rsidRPr="00176C9D">
              <w:rPr>
                <w:b/>
              </w:rPr>
              <w:t>Guidance</w:t>
            </w:r>
          </w:p>
        </w:tc>
      </w:tr>
      <w:tr w:rsidR="00D82D93" w:rsidRPr="00B61942" w14:paraId="0AC8ADB3" w14:textId="77777777" w:rsidTr="008609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Pr>
          <w:p w14:paraId="5A8F8A15" w14:textId="4CA81825" w:rsidR="00D82D93" w:rsidRPr="00773D13" w:rsidRDefault="00D82D93" w:rsidP="001E4586">
            <w:pPr>
              <w:rPr>
                <w:b/>
                <w:color w:val="000000"/>
              </w:rPr>
            </w:pPr>
            <w:r w:rsidRPr="00773D13">
              <w:rPr>
                <w:b/>
                <w:color w:val="000000"/>
              </w:rPr>
              <w:t xml:space="preserve">Operational risk </w:t>
            </w:r>
            <w:r w:rsidR="00194A13">
              <w:rPr>
                <w:b/>
                <w:color w:val="000000"/>
              </w:rPr>
              <w:t>management</w:t>
            </w:r>
          </w:p>
        </w:tc>
        <w:tc>
          <w:tcPr>
            <w:tcW w:w="2268" w:type="dxa"/>
          </w:tcPr>
          <w:p w14:paraId="4FB12F67" w14:textId="760FE08F" w:rsidR="00D82D93" w:rsidRPr="00B61942" w:rsidRDefault="00D82D93" w:rsidP="001E4586">
            <w:pPr>
              <w:pStyle w:val="ListBullet"/>
              <w:cnfStyle w:val="000000100000" w:firstRow="0" w:lastRow="0" w:firstColumn="0" w:lastColumn="0" w:oddVBand="0" w:evenVBand="0" w:oddHBand="1" w:evenHBand="0" w:firstRowFirstColumn="0" w:firstRowLastColumn="0" w:lastRowFirstColumn="0" w:lastRowLastColumn="0"/>
            </w:pPr>
            <w:r>
              <w:t>CPS 230</w:t>
            </w:r>
          </w:p>
        </w:tc>
        <w:tc>
          <w:tcPr>
            <w:tcW w:w="4390" w:type="dxa"/>
          </w:tcPr>
          <w:p w14:paraId="5B747236" w14:textId="310645C9" w:rsidR="00D82D93" w:rsidRDefault="00D82D93" w:rsidP="001E4586">
            <w:pPr>
              <w:pStyle w:val="ListBullet"/>
              <w:cnfStyle w:val="000000100000" w:firstRow="0" w:lastRow="0" w:firstColumn="0" w:lastColumn="0" w:oddVBand="0" w:evenVBand="0" w:oddHBand="1" w:evenHBand="0" w:firstRowFirstColumn="0" w:firstRowLastColumn="0" w:lastRowFirstColumn="0" w:lastRowLastColumn="0"/>
            </w:pPr>
            <w:r>
              <w:t>CPG 230</w:t>
            </w:r>
          </w:p>
          <w:p w14:paraId="1D4E5BC2" w14:textId="77777777" w:rsidR="00D82D93" w:rsidRDefault="00D82D93" w:rsidP="001E4586">
            <w:pPr>
              <w:pStyle w:val="ListBullet"/>
              <w:cnfStyle w:val="000000100000" w:firstRow="0" w:lastRow="0" w:firstColumn="0" w:lastColumn="0" w:oddVBand="0" w:evenVBand="0" w:oddHBand="1" w:evenHBand="0" w:firstRowFirstColumn="0" w:firstRowLastColumn="0" w:lastRowFirstColumn="0" w:lastRowLastColumn="0"/>
            </w:pPr>
            <w:r>
              <w:t>Pandemic planning (CPG 233)</w:t>
            </w:r>
          </w:p>
          <w:p w14:paraId="6222E8A8" w14:textId="77777777" w:rsidR="00D82D93" w:rsidRDefault="00D82D93" w:rsidP="001E4586">
            <w:pPr>
              <w:pStyle w:val="ListBullet"/>
              <w:cnfStyle w:val="000000100000" w:firstRow="0" w:lastRow="0" w:firstColumn="0" w:lastColumn="0" w:oddVBand="0" w:evenVBand="0" w:oddHBand="1" w:evenHBand="0" w:firstRowFirstColumn="0" w:firstRowLastColumn="0" w:lastRowFirstColumn="0" w:lastRowLastColumn="0"/>
            </w:pPr>
            <w:r>
              <w:t>Data management (CPG 235)</w:t>
            </w:r>
          </w:p>
          <w:p w14:paraId="7044644C" w14:textId="77777777" w:rsidR="00D82D93" w:rsidRPr="00B61942" w:rsidRDefault="00D82D93" w:rsidP="001E4586">
            <w:pPr>
              <w:pStyle w:val="ListBullet"/>
              <w:cnfStyle w:val="000000100000" w:firstRow="0" w:lastRow="0" w:firstColumn="0" w:lastColumn="0" w:oddVBand="0" w:evenVBand="0" w:oddHBand="1" w:evenHBand="0" w:firstRowFirstColumn="0" w:firstRowLastColumn="0" w:lastRowFirstColumn="0" w:lastRowLastColumn="0"/>
            </w:pPr>
            <w:r>
              <w:t>Fraud risk management - Superannuation only (SPG 223)</w:t>
            </w:r>
          </w:p>
        </w:tc>
      </w:tr>
      <w:tr w:rsidR="00D82D93" w:rsidRPr="00B61942" w14:paraId="00155E5A" w14:textId="77777777" w:rsidTr="0086098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Pr>
          <w:p w14:paraId="7F30D80E" w14:textId="77777777" w:rsidR="00D82D93" w:rsidRPr="00773D13" w:rsidRDefault="00D82D93" w:rsidP="001E4586">
            <w:pPr>
              <w:rPr>
                <w:b/>
                <w:color w:val="000000"/>
              </w:rPr>
            </w:pPr>
            <w:r w:rsidRPr="00773D13">
              <w:rPr>
                <w:b/>
                <w:color w:val="000000"/>
              </w:rPr>
              <w:t>Information security</w:t>
            </w:r>
          </w:p>
        </w:tc>
        <w:tc>
          <w:tcPr>
            <w:tcW w:w="2268" w:type="dxa"/>
          </w:tcPr>
          <w:p w14:paraId="0FDD93B0" w14:textId="77777777" w:rsidR="00D82D93" w:rsidRPr="00B61942" w:rsidRDefault="00D82D93" w:rsidP="001E4586">
            <w:pPr>
              <w:pStyle w:val="ListBullet"/>
              <w:cnfStyle w:val="000000010000" w:firstRow="0" w:lastRow="0" w:firstColumn="0" w:lastColumn="0" w:oddVBand="0" w:evenVBand="0" w:oddHBand="0" w:evenHBand="1" w:firstRowFirstColumn="0" w:firstRowLastColumn="0" w:lastRowFirstColumn="0" w:lastRowLastColumn="0"/>
            </w:pPr>
            <w:r w:rsidRPr="00B61942">
              <w:t xml:space="preserve">CPS 234 </w:t>
            </w:r>
          </w:p>
        </w:tc>
        <w:tc>
          <w:tcPr>
            <w:tcW w:w="4390" w:type="dxa"/>
          </w:tcPr>
          <w:p w14:paraId="4277917E" w14:textId="77777777" w:rsidR="00D82D93" w:rsidRPr="00B61942" w:rsidRDefault="00D82D93" w:rsidP="001E4586">
            <w:pPr>
              <w:pStyle w:val="ListBullet"/>
              <w:cnfStyle w:val="000000010000" w:firstRow="0" w:lastRow="0" w:firstColumn="0" w:lastColumn="0" w:oddVBand="0" w:evenVBand="0" w:oddHBand="0" w:evenHBand="1" w:firstRowFirstColumn="0" w:firstRowLastColumn="0" w:lastRowFirstColumn="0" w:lastRowLastColumn="0"/>
            </w:pPr>
            <w:r w:rsidRPr="00B61942">
              <w:t xml:space="preserve">CPG 234 </w:t>
            </w:r>
          </w:p>
        </w:tc>
      </w:tr>
    </w:tbl>
    <w:p w14:paraId="03BF28D1" w14:textId="341CF747" w:rsidR="00507619" w:rsidRDefault="006A30B0" w:rsidP="006D42C8">
      <w:pPr>
        <w:pStyle w:val="Heading2Numbers"/>
        <w:numPr>
          <w:ilvl w:val="0"/>
          <w:numId w:val="0"/>
        </w:numPr>
        <w:ind w:left="851" w:hanging="851"/>
      </w:pPr>
      <w:r>
        <w:t xml:space="preserve">Development of </w:t>
      </w:r>
      <w:r w:rsidR="001C69E3">
        <w:t>operational risk</w:t>
      </w:r>
      <w:r w:rsidR="00194A13">
        <w:t xml:space="preserve"> management</w:t>
      </w:r>
      <w:r w:rsidR="00507619">
        <w:t xml:space="preserve"> </w:t>
      </w:r>
      <w:r w:rsidR="000B020B">
        <w:t>re</w:t>
      </w:r>
      <w:r>
        <w:t>quirements</w:t>
      </w:r>
    </w:p>
    <w:p w14:paraId="3B9B7726" w14:textId="31200A13" w:rsidR="00EC3638" w:rsidRDefault="005F183F" w:rsidP="00507619">
      <w:r>
        <w:t xml:space="preserve">In developing CPS 230, </w:t>
      </w:r>
      <w:r w:rsidR="00507619">
        <w:t>APRA</w:t>
      </w:r>
      <w:r w:rsidR="001F1604">
        <w:t xml:space="preserve"> has adopted</w:t>
      </w:r>
      <w:r w:rsidR="004D471E" w:rsidDel="001F1604">
        <w:t xml:space="preserve"> </w:t>
      </w:r>
      <w:r w:rsidR="004D471E">
        <w:t>a principles-</w:t>
      </w:r>
      <w:r w:rsidR="004165E9">
        <w:t>based</w:t>
      </w:r>
      <w:r w:rsidR="004D471E">
        <w:t xml:space="preserve"> approach with a </w:t>
      </w:r>
      <w:r w:rsidR="00507619">
        <w:t>focus on outcomes rather than process.</w:t>
      </w:r>
      <w:r w:rsidR="004D471E">
        <w:t xml:space="preserve"> </w:t>
      </w:r>
      <w:r w:rsidR="004165E9">
        <w:t>In designing the new standard, APRA has had regard to</w:t>
      </w:r>
      <w:r w:rsidR="00EC3638">
        <w:t>:</w:t>
      </w:r>
    </w:p>
    <w:p w14:paraId="0EB196A4" w14:textId="3F894DF7" w:rsidR="00EC3638" w:rsidRDefault="00F532C0" w:rsidP="00EC3638">
      <w:pPr>
        <w:pStyle w:val="ListBullet"/>
      </w:pPr>
      <w:r>
        <w:t>e</w:t>
      </w:r>
      <w:r w:rsidR="00EC3638">
        <w:t xml:space="preserve">xisting </w:t>
      </w:r>
      <w:r w:rsidR="00A872ED">
        <w:t xml:space="preserve">APRA </w:t>
      </w:r>
      <w:r w:rsidR="00EC3638">
        <w:t>standards</w:t>
      </w:r>
      <w:r w:rsidR="00A872ED">
        <w:t xml:space="preserve"> for business continuity and outsourcing, which have been streamlined and updated;</w:t>
      </w:r>
    </w:p>
    <w:p w14:paraId="3E951093" w14:textId="491DE934" w:rsidR="00A872ED" w:rsidRDefault="004165E9" w:rsidP="00EC3638">
      <w:pPr>
        <w:pStyle w:val="ListBullet"/>
      </w:pPr>
      <w:r>
        <w:t>i</w:t>
      </w:r>
      <w:r w:rsidR="00A872ED">
        <w:t xml:space="preserve">nternational standards, such as the Basel Committee on Banking Supervision’s </w:t>
      </w:r>
      <w:r w:rsidR="00A872ED" w:rsidRPr="004165E9">
        <w:rPr>
          <w:i/>
        </w:rPr>
        <w:t>Core Principles</w:t>
      </w:r>
      <w:r>
        <w:t>,</w:t>
      </w:r>
      <w:r w:rsidR="00E25117">
        <w:t xml:space="preserve"> and the recently released</w:t>
      </w:r>
      <w:r w:rsidR="00A872ED">
        <w:t xml:space="preserve"> </w:t>
      </w:r>
      <w:r w:rsidR="00E25117" w:rsidRPr="002D7BA0">
        <w:rPr>
          <w:i/>
        </w:rPr>
        <w:t>Principles for Operational Resilience</w:t>
      </w:r>
      <w:r w:rsidR="00E25117">
        <w:t xml:space="preserve"> and </w:t>
      </w:r>
      <w:r w:rsidR="00E25117" w:rsidRPr="002D7BA0">
        <w:rPr>
          <w:i/>
        </w:rPr>
        <w:t>Principles for the Sound Management of Operational Risk</w:t>
      </w:r>
      <w:r w:rsidR="00E25117">
        <w:t>;</w:t>
      </w:r>
      <w:r w:rsidR="00B4173A">
        <w:rPr>
          <w:rStyle w:val="FootnoteReference"/>
        </w:rPr>
        <w:footnoteReference w:id="4"/>
      </w:r>
      <w:r w:rsidR="00B4173A">
        <w:t xml:space="preserve"> and</w:t>
      </w:r>
    </w:p>
    <w:p w14:paraId="27A57331" w14:textId="04E95CC9" w:rsidR="00E25117" w:rsidRDefault="00F532C0" w:rsidP="00EC3638">
      <w:pPr>
        <w:pStyle w:val="ListBullet"/>
      </w:pPr>
      <w:r>
        <w:t>i</w:t>
      </w:r>
      <w:r w:rsidR="00E25117">
        <w:t xml:space="preserve">nternational peer’s approaches </w:t>
      </w:r>
      <w:r w:rsidR="00F90F12">
        <w:t xml:space="preserve">and guidance, including </w:t>
      </w:r>
      <w:r w:rsidR="004443C9">
        <w:t xml:space="preserve">the </w:t>
      </w:r>
      <w:r w:rsidR="00F90F12">
        <w:t xml:space="preserve">Prudential Regulation Authority </w:t>
      </w:r>
      <w:r w:rsidR="00B06B29">
        <w:t xml:space="preserve">(PRA) </w:t>
      </w:r>
      <w:r w:rsidR="004443C9">
        <w:t>in the UK and</w:t>
      </w:r>
      <w:r w:rsidR="00F90F12">
        <w:t xml:space="preserve"> </w:t>
      </w:r>
      <w:r w:rsidR="004443C9">
        <w:t xml:space="preserve">the </w:t>
      </w:r>
      <w:r w:rsidR="00F90F12">
        <w:t xml:space="preserve">Office of the </w:t>
      </w:r>
      <w:r w:rsidR="004443C9">
        <w:t>Superintendent of Financial Institutions (OSFI) in Canada</w:t>
      </w:r>
      <w:r w:rsidR="00B4173A">
        <w:t>.</w:t>
      </w:r>
    </w:p>
    <w:p w14:paraId="69B639C6" w14:textId="079950A2" w:rsidR="00507619" w:rsidRDefault="004D471E" w:rsidP="00507619">
      <w:r>
        <w:t xml:space="preserve">APRA </w:t>
      </w:r>
      <w:r w:rsidR="00507619">
        <w:t>has also considered observations from its supervisory activities</w:t>
      </w:r>
      <w:r w:rsidR="00EC3638">
        <w:t xml:space="preserve"> and reviews</w:t>
      </w:r>
      <w:r w:rsidR="00507619">
        <w:t>, and relevant findings from recent inquiries</w:t>
      </w:r>
      <w:r w:rsidR="008B743C">
        <w:t>,</w:t>
      </w:r>
      <w:r w:rsidR="00507619">
        <w:t xml:space="preserve"> including the </w:t>
      </w:r>
      <w:r w:rsidR="00507619" w:rsidRPr="004165E9">
        <w:rPr>
          <w:i/>
        </w:rPr>
        <w:t>Royal Commission into Misconduct in the Banking, Superannuation and Financial Services Industry</w:t>
      </w:r>
      <w:r w:rsidR="00FC0A4B">
        <w:t>.</w:t>
      </w:r>
    </w:p>
    <w:p w14:paraId="01381FA5" w14:textId="51E4852D" w:rsidR="00EC3638" w:rsidRPr="00C6127A" w:rsidRDefault="004165E9" w:rsidP="00764632">
      <w:pPr>
        <w:pStyle w:val="Numberedfigureheading"/>
        <w:ind w:left="357" w:hanging="357"/>
        <w:rPr>
          <w:rStyle w:val="APRANORMALChar"/>
          <w:rFonts w:ascii="DIN OT Medium" w:hAnsi="DIN OT Medium" w:cstheme="majorBidi"/>
          <w:color w:val="012169" w:themeColor="text2"/>
          <w:lang w:val="en-AU"/>
        </w:rPr>
      </w:pPr>
      <w:r>
        <w:rPr>
          <w:rStyle w:val="APRANORMALChar"/>
          <w:rFonts w:ascii="DIN OT Medium" w:hAnsi="DIN OT Medium" w:cstheme="majorBidi"/>
          <w:color w:val="012169" w:themeColor="text2"/>
          <w:lang w:val="en-AU"/>
        </w:rPr>
        <w:t xml:space="preserve">Building blocks </w:t>
      </w:r>
      <w:r w:rsidRPr="00C6127A">
        <w:rPr>
          <w:rStyle w:val="APRANORMALChar"/>
          <w:rFonts w:ascii="DIN OT Medium" w:hAnsi="DIN OT Medium" w:cstheme="majorBidi"/>
          <w:color w:val="012169" w:themeColor="text2"/>
          <w:lang w:val="en-AU"/>
        </w:rPr>
        <w:t>of</w:t>
      </w:r>
      <w:r>
        <w:rPr>
          <w:rStyle w:val="APRANORMALChar"/>
          <w:rFonts w:ascii="DIN OT Medium" w:hAnsi="DIN OT Medium" w:cstheme="majorBidi"/>
          <w:color w:val="012169" w:themeColor="text2"/>
          <w:lang w:val="en-AU"/>
        </w:rPr>
        <w:t xml:space="preserve"> the new standard</w:t>
      </w:r>
    </w:p>
    <w:p w14:paraId="46D5DE9F" w14:textId="77777777" w:rsidR="00623EA7" w:rsidRPr="00C24B77" w:rsidRDefault="00623EA7" w:rsidP="00623EA7">
      <w:pPr>
        <w:pStyle w:val="Numberedfigureheading"/>
        <w:numPr>
          <w:ilvl w:val="0"/>
          <w:numId w:val="0"/>
        </w:numPr>
        <w:ind w:left="357"/>
        <w:rPr>
          <w:rStyle w:val="APRANORMALChar"/>
          <w:rFonts w:ascii="DIN OT Medium" w:eastAsiaTheme="minorHAnsi" w:hAnsi="DIN OT Medium" w:cstheme="majorBidi"/>
          <w:bCs w:val="0"/>
          <w:i w:val="0"/>
          <w:iCs w:val="0"/>
          <w:color w:val="012169" w:themeColor="text2"/>
          <w:sz w:val="22"/>
          <w:lang w:val="en-AU"/>
        </w:rPr>
      </w:pPr>
    </w:p>
    <w:p w14:paraId="61229E95" w14:textId="4F278B7D" w:rsidR="00EC3638" w:rsidRDefault="00917605" w:rsidP="00EC3638">
      <w:pPr>
        <w:numPr>
          <w:ilvl w:val="0"/>
          <w:numId w:val="0"/>
        </w:numPr>
        <w:rPr>
          <w:rStyle w:val="APRANORMALChar"/>
          <w:rFonts w:ascii="DIN OT Medium" w:hAnsi="DIN OT Medium" w:cstheme="majorBidi"/>
          <w:noProof/>
          <w:color w:val="012169" w:themeColor="text2"/>
          <w:lang w:val="en-AU"/>
        </w:rPr>
      </w:pPr>
      <w:r>
        <w:rPr>
          <w:rStyle w:val="APRANORMALChar"/>
          <w:rFonts w:ascii="DIN OT Medium" w:hAnsi="DIN OT Medium" w:cstheme="majorBidi"/>
          <w:noProof/>
          <w:color w:val="012169" w:themeColor="text2"/>
          <w:lang w:val="en-AU"/>
        </w:rPr>
        <w:drawing>
          <wp:inline distT="0" distB="0" distL="0" distR="0" wp14:anchorId="673CEDF2" wp14:editId="22F0228C">
            <wp:extent cx="5724000" cy="1667979"/>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000" cy="1667979"/>
                    </a:xfrm>
                    <a:prstGeom prst="rect">
                      <a:avLst/>
                    </a:prstGeom>
                    <a:noFill/>
                  </pic:spPr>
                </pic:pic>
              </a:graphicData>
            </a:graphic>
          </wp:inline>
        </w:drawing>
      </w:r>
    </w:p>
    <w:p w14:paraId="12B2142C" w14:textId="1FB70084" w:rsidR="00D1217D" w:rsidRDefault="00822F41" w:rsidP="00D624F8">
      <w:r>
        <w:t>Draft</w:t>
      </w:r>
      <w:r w:rsidR="00A302AD">
        <w:t xml:space="preserve"> </w:t>
      </w:r>
      <w:r w:rsidR="00057B67">
        <w:t>CPS 230</w:t>
      </w:r>
      <w:r w:rsidR="00B13A24">
        <w:t xml:space="preserve"> is focused on management practices for operational risk. </w:t>
      </w:r>
      <w:r w:rsidR="00057B67">
        <w:t>APRA is not p</w:t>
      </w:r>
      <w:r w:rsidR="00B13A24">
        <w:t>roposing</w:t>
      </w:r>
      <w:r w:rsidR="00057B67">
        <w:t xml:space="preserve"> changes to operational risk capital requirements</w:t>
      </w:r>
      <w:r w:rsidR="001E3CDE">
        <w:t xml:space="preserve"> for ADIs and insurers</w:t>
      </w:r>
      <w:r w:rsidR="00047E8F">
        <w:t>.</w:t>
      </w:r>
      <w:r w:rsidR="00941A9D">
        <w:rPr>
          <w:rStyle w:val="FootnoteReference"/>
        </w:rPr>
        <w:footnoteReference w:id="5"/>
      </w:r>
    </w:p>
    <w:p w14:paraId="3C02AA80" w14:textId="33F7DF7A" w:rsidR="007509A7" w:rsidRDefault="007509A7" w:rsidP="00B10AFE">
      <w:r w:rsidRPr="00DF532D">
        <w:t>RSE</w:t>
      </w:r>
      <w:r>
        <w:t xml:space="preserve"> licensee</w:t>
      </w:r>
      <w:r w:rsidRPr="00DF532D">
        <w:t xml:space="preserve">s must consider the extent to which operational risks </w:t>
      </w:r>
      <w:r>
        <w:t>could</w:t>
      </w:r>
      <w:r w:rsidRPr="00DF532D">
        <w:t xml:space="preserve"> impact </w:t>
      </w:r>
      <w:r w:rsidR="005C6C39">
        <w:t>their</w:t>
      </w:r>
      <w:r w:rsidRPr="00DF532D">
        <w:t xml:space="preserve"> business operations when determining </w:t>
      </w:r>
      <w:r>
        <w:t>their</w:t>
      </w:r>
      <w:r w:rsidRPr="00DF532D">
        <w:t xml:space="preserve"> </w:t>
      </w:r>
      <w:r>
        <w:t>o</w:t>
      </w:r>
      <w:r w:rsidRPr="00DF532D">
        <w:t xml:space="preserve">perational </w:t>
      </w:r>
      <w:r>
        <w:t>r</w:t>
      </w:r>
      <w:r w:rsidRPr="00DF532D">
        <w:t xml:space="preserve">isk </w:t>
      </w:r>
      <w:r>
        <w:t>f</w:t>
      </w:r>
      <w:r w:rsidRPr="00DF532D">
        <w:t xml:space="preserve">inancial </w:t>
      </w:r>
      <w:r>
        <w:t>r</w:t>
      </w:r>
      <w:r w:rsidRPr="00DF532D">
        <w:t>equirement (ORFR) target amount.</w:t>
      </w:r>
      <w:r w:rsidR="00D4031C">
        <w:t xml:space="preserve"> </w:t>
      </w:r>
      <w:r>
        <w:t xml:space="preserve">APRA has recently consulted on the role of ORFR in strengthening financial </w:t>
      </w:r>
      <w:r w:rsidR="008D39DF">
        <w:t>resilience and</w:t>
      </w:r>
      <w:r w:rsidR="00E43AA2">
        <w:t xml:space="preserve"> </w:t>
      </w:r>
      <w:r w:rsidR="001E2AAA">
        <w:t xml:space="preserve">will provide further information </w:t>
      </w:r>
      <w:r w:rsidR="005C6C39">
        <w:t>on</w:t>
      </w:r>
      <w:r w:rsidR="001E2AAA">
        <w:t xml:space="preserve"> the intersection between CPS 230 and the ORFR as these reforms progress </w:t>
      </w:r>
      <w:r w:rsidR="005C6C39">
        <w:t>in</w:t>
      </w:r>
      <w:r w:rsidR="001E2AAA">
        <w:t xml:space="preserve"> 2022</w:t>
      </w:r>
      <w:r>
        <w:t>.</w:t>
      </w:r>
      <w:r w:rsidR="00350097">
        <w:rPr>
          <w:rStyle w:val="FootnoteReference"/>
        </w:rPr>
        <w:footnoteReference w:id="6"/>
      </w:r>
    </w:p>
    <w:tbl>
      <w:tblPr>
        <w:tblStyle w:val="TableGrid"/>
        <w:tblW w:w="0" w:type="auto"/>
        <w:shd w:val="clear" w:color="auto" w:fill="E2F3FA" w:themeFill="accent6" w:themeFillTint="33"/>
        <w:tblLook w:val="04A0" w:firstRow="1" w:lastRow="0" w:firstColumn="1" w:lastColumn="0" w:noHBand="0" w:noVBand="1"/>
      </w:tblPr>
      <w:tblGrid>
        <w:gridCol w:w="9026"/>
      </w:tblGrid>
      <w:tr w:rsidR="00737A39" w14:paraId="03AE7FE1" w14:textId="77777777" w:rsidTr="00C61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E2F3FA" w:themeFill="accent6" w:themeFillTint="33"/>
          </w:tcPr>
          <w:p w14:paraId="3355F541" w14:textId="06EC01D1" w:rsidR="00737A39" w:rsidRPr="00C6127A" w:rsidRDefault="00737A39" w:rsidP="00805A1C">
            <w:pPr>
              <w:rPr>
                <w:color w:val="000000"/>
              </w:rPr>
            </w:pPr>
            <w:r w:rsidRPr="00C6127A">
              <w:rPr>
                <w:noProof/>
              </w:rPr>
              <w:drawing>
                <wp:inline distT="0" distB="0" distL="0" distR="0" wp14:anchorId="64C817B0" wp14:editId="6B41A961">
                  <wp:extent cx="403200" cy="388800"/>
                  <wp:effectExtent l="0" t="0" r="0" b="0"/>
                  <wp:docPr id="11" name="Graphic 110">
                    <a:extLst xmlns:a="http://schemas.openxmlformats.org/drawingml/2006/main">
                      <a:ext uri="{FF2B5EF4-FFF2-40B4-BE49-F238E27FC236}">
                        <a16:creationId xmlns:a16="http://schemas.microsoft.com/office/drawing/2014/main" id="{6BFAAAF7-5A9C-244C-B2B2-019B483281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raphic 110">
                            <a:extLst>
                              <a:ext uri="{FF2B5EF4-FFF2-40B4-BE49-F238E27FC236}">
                                <a16:creationId xmlns:a16="http://schemas.microsoft.com/office/drawing/2014/main" id="{6BFAAAF7-5A9C-244C-B2B2-019B48328108}"/>
                              </a:ext>
                            </a:extLst>
                          </pic:cNvPr>
                          <pic:cNvPicPr>
                            <a:picLocks noChangeAspect="1"/>
                          </pic:cNvPicPr>
                        </pic:nvPicPr>
                        <pic:blipFill>
                          <a:blip r:embed="rId15" cstate="screen">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403200" cy="388800"/>
                          </a:xfrm>
                          <a:prstGeom prst="rect">
                            <a:avLst/>
                          </a:prstGeom>
                        </pic:spPr>
                      </pic:pic>
                    </a:graphicData>
                  </a:graphic>
                </wp:inline>
              </w:drawing>
            </w:r>
            <w:r w:rsidRPr="00C6127A">
              <w:rPr>
                <w:color w:val="000000"/>
              </w:rPr>
              <w:t xml:space="preserve"> </w:t>
            </w:r>
            <w:r w:rsidRPr="00C6127A">
              <w:rPr>
                <w:rStyle w:val="Heading3Char"/>
              </w:rPr>
              <w:t>Proportionality</w:t>
            </w:r>
          </w:p>
        </w:tc>
      </w:tr>
      <w:tr w:rsidR="008F0A4D" w14:paraId="0B7DDA35" w14:textId="77777777" w:rsidTr="00C61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E2F3FA" w:themeFill="accent6" w:themeFillTint="33"/>
          </w:tcPr>
          <w:p w14:paraId="1410D0B5" w14:textId="4F023405" w:rsidR="006B77F7" w:rsidRDefault="006B77F7" w:rsidP="00C6127A">
            <w:r>
              <w:t>Setting prudential requirements that are not overly complex, relative to what is needed to ensure the financial safety and operational resilience of smaller entities, is an important priority for APRA.</w:t>
            </w:r>
          </w:p>
          <w:p w14:paraId="23D1EB28" w14:textId="6A4B8088" w:rsidR="001E3CDE" w:rsidRDefault="00824AC8" w:rsidP="0042210C">
            <w:r>
              <w:t>There are broadly two approaches to incorporating proportionality</w:t>
            </w:r>
            <w:r w:rsidR="001E3CDE">
              <w:t xml:space="preserve"> in the prudential framework</w:t>
            </w:r>
            <w:r>
              <w:t xml:space="preserve">, </w:t>
            </w:r>
            <w:r w:rsidR="008B5655">
              <w:t xml:space="preserve">which are </w:t>
            </w:r>
            <w:r>
              <w:t>not mutually exclusive</w:t>
            </w:r>
            <w:r w:rsidR="001E3CDE">
              <w:t>:</w:t>
            </w:r>
          </w:p>
          <w:p w14:paraId="6D8ECE59" w14:textId="77777777" w:rsidR="0042210C" w:rsidRDefault="0042210C" w:rsidP="00C6127A"/>
          <w:p w14:paraId="0E1FF6C8" w14:textId="4C282C5B" w:rsidR="000B736F" w:rsidRDefault="00824AC8" w:rsidP="0042210C">
            <w:pPr>
              <w:pStyle w:val="ListBullet"/>
            </w:pPr>
            <w:r>
              <w:t xml:space="preserve">One approach, </w:t>
            </w:r>
            <w:r w:rsidR="00974291">
              <w:t xml:space="preserve">which </w:t>
            </w:r>
            <w:r w:rsidR="00974291" w:rsidDel="00974291">
              <w:t xml:space="preserve">broadly </w:t>
            </w:r>
            <w:r w:rsidR="00974291">
              <w:t>applies across the prudential framework and has been embedded</w:t>
            </w:r>
            <w:r>
              <w:t xml:space="preserve"> in </w:t>
            </w:r>
            <w:r w:rsidR="001E3CDE">
              <w:t xml:space="preserve">the existing </w:t>
            </w:r>
            <w:r>
              <w:t xml:space="preserve">CPS 231 </w:t>
            </w:r>
            <w:r w:rsidR="000B736F">
              <w:t>and</w:t>
            </w:r>
            <w:r>
              <w:t xml:space="preserve"> CPS 232, is </w:t>
            </w:r>
            <w:r w:rsidR="000B736F">
              <w:t xml:space="preserve">for all requirements to apply to all entities, but for </w:t>
            </w:r>
            <w:r w:rsidR="008B5655">
              <w:t>entities</w:t>
            </w:r>
            <w:r w:rsidR="000B736F">
              <w:t xml:space="preserve"> to use their discretion to </w:t>
            </w:r>
            <w:r w:rsidR="008B5655">
              <w:t>meet</w:t>
            </w:r>
            <w:r w:rsidR="000B736F">
              <w:t xml:space="preserve"> the </w:t>
            </w:r>
            <w:r w:rsidR="00C7443F">
              <w:t>requirements</w:t>
            </w:r>
            <w:r w:rsidR="000B736F">
              <w:t xml:space="preserve"> in a proportionate manner</w:t>
            </w:r>
            <w:r w:rsidR="008B5655">
              <w:t xml:space="preserve"> commensurate with the scale and complexity of their business</w:t>
            </w:r>
            <w:r w:rsidR="000B736F">
              <w:t xml:space="preserve">. Such an approach may be supported by </w:t>
            </w:r>
            <w:r w:rsidR="001E3CDE">
              <w:t xml:space="preserve">APRA </w:t>
            </w:r>
            <w:r w:rsidR="000B736F">
              <w:t>guidance</w:t>
            </w:r>
            <w:r w:rsidR="00E834BD">
              <w:t xml:space="preserve"> which explains how different types of entities might seek to comply </w:t>
            </w:r>
            <w:r w:rsidR="00CF4C49">
              <w:t xml:space="preserve">with </w:t>
            </w:r>
            <w:r w:rsidR="00E834BD">
              <w:t>the expectations contained in the standard.</w:t>
            </w:r>
          </w:p>
          <w:p w14:paraId="1EDF56DC" w14:textId="61969C21" w:rsidR="008F0A4D" w:rsidRDefault="008B5655" w:rsidP="00C6127A">
            <w:pPr>
              <w:pStyle w:val="ListBullet"/>
            </w:pPr>
            <w:r>
              <w:t xml:space="preserve">The other approach is more explicit: </w:t>
            </w:r>
            <w:r w:rsidR="00C7443F">
              <w:t>APRA may</w:t>
            </w:r>
            <w:r w:rsidR="001E3CDE">
              <w:t xml:space="preserve"> completely</w:t>
            </w:r>
            <w:r w:rsidR="00C7443F">
              <w:t xml:space="preserve"> </w:t>
            </w:r>
            <w:r w:rsidR="00AD46EE">
              <w:t xml:space="preserve">exempt </w:t>
            </w:r>
            <w:r w:rsidR="001E3CDE">
              <w:t xml:space="preserve">smaller, less complex entities that are deemed to be </w:t>
            </w:r>
            <w:r w:rsidR="00AD46EE">
              <w:t>non-</w:t>
            </w:r>
            <w:r w:rsidR="002D595E">
              <w:t>significant financial institutions (</w:t>
            </w:r>
            <w:r w:rsidR="008F0A4D">
              <w:t>non-SFI</w:t>
            </w:r>
            <w:r w:rsidR="002D595E">
              <w:t>s) from</w:t>
            </w:r>
            <w:r w:rsidR="001E3CDE">
              <w:t xml:space="preserve"> specific</w:t>
            </w:r>
            <w:r w:rsidR="002D595E">
              <w:t xml:space="preserve"> requirements</w:t>
            </w:r>
            <w:r w:rsidR="008F0A4D">
              <w:t xml:space="preserve">. </w:t>
            </w:r>
            <w:r w:rsidR="00974291">
              <w:t xml:space="preserve">This approach has been applied in several cross-industry standards, including </w:t>
            </w:r>
            <w:r w:rsidR="00974291">
              <w:rPr>
                <w:i/>
              </w:rPr>
              <w:t>Prudential Standard CPS 511 Remuneration</w:t>
            </w:r>
            <w:r w:rsidR="00974291">
              <w:t xml:space="preserve"> and the draft </w:t>
            </w:r>
            <w:r w:rsidR="00974291">
              <w:rPr>
                <w:i/>
              </w:rPr>
              <w:t xml:space="preserve">Prudential Standard CPS 190 Financial </w:t>
            </w:r>
            <w:r w:rsidR="00AD4A6A">
              <w:rPr>
                <w:i/>
              </w:rPr>
              <w:t>C</w:t>
            </w:r>
            <w:r w:rsidR="00974291">
              <w:rPr>
                <w:i/>
              </w:rPr>
              <w:t xml:space="preserve">ontingency </w:t>
            </w:r>
            <w:r w:rsidR="00AD4A6A">
              <w:rPr>
                <w:i/>
              </w:rPr>
              <w:t>P</w:t>
            </w:r>
            <w:r w:rsidR="00974291">
              <w:rPr>
                <w:i/>
              </w:rPr>
              <w:t>lanning</w:t>
            </w:r>
            <w:r w:rsidR="00974291">
              <w:t xml:space="preserve"> (CPS 190). </w:t>
            </w:r>
            <w:r>
              <w:t>In the context of</w:t>
            </w:r>
            <w:r w:rsidDel="009629D7">
              <w:t xml:space="preserve"> </w:t>
            </w:r>
            <w:r>
              <w:t>draft CPS 230, t</w:t>
            </w:r>
            <w:r w:rsidR="008F0A4D">
              <w:t>his could mean</w:t>
            </w:r>
            <w:r w:rsidR="002D595E">
              <w:t>,</w:t>
            </w:r>
            <w:r w:rsidR="008F0A4D">
              <w:t xml:space="preserve"> for example</w:t>
            </w:r>
            <w:r w:rsidR="002D595E">
              <w:t>,</w:t>
            </w:r>
            <w:r w:rsidR="008F0A4D">
              <w:t xml:space="preserve"> that requirements relating to documenting the processes </w:t>
            </w:r>
            <w:r w:rsidR="00974291">
              <w:t>for</w:t>
            </w:r>
            <w:r w:rsidR="008F0A4D">
              <w:t xml:space="preserve"> critical operations, scenario analysis </w:t>
            </w:r>
            <w:r>
              <w:t>and</w:t>
            </w:r>
            <w:r w:rsidR="008F0A4D">
              <w:t xml:space="preserve"> tolerance levels </w:t>
            </w:r>
            <w:r>
              <w:t xml:space="preserve">would only be applied to </w:t>
            </w:r>
            <w:proofErr w:type="gramStart"/>
            <w:r>
              <w:t>SFIs</w:t>
            </w:r>
            <w:r w:rsidR="00974291">
              <w:t>,</w:t>
            </w:r>
            <w:r>
              <w:t xml:space="preserve"> and</w:t>
            </w:r>
            <w:proofErr w:type="gramEnd"/>
            <w:r>
              <w:t xml:space="preserve"> would</w:t>
            </w:r>
            <w:r w:rsidR="00C7443F">
              <w:t xml:space="preserve"> be </w:t>
            </w:r>
            <w:r w:rsidR="00AD46EE">
              <w:t>considered</w:t>
            </w:r>
            <w:r w:rsidR="00C7443F">
              <w:t xml:space="preserve"> better practice </w:t>
            </w:r>
            <w:r w:rsidR="00D75525">
              <w:t>rather than</w:t>
            </w:r>
            <w:r w:rsidR="00C7443F">
              <w:t xml:space="preserve"> </w:t>
            </w:r>
            <w:r w:rsidR="0026429D">
              <w:t xml:space="preserve">formal </w:t>
            </w:r>
            <w:r w:rsidR="00C7443F">
              <w:t>requirements for non-SFIs.</w:t>
            </w:r>
          </w:p>
          <w:p w14:paraId="2F83ECA5" w14:textId="77777777" w:rsidR="0042210C" w:rsidRDefault="0042210C" w:rsidP="00C6127A"/>
          <w:p w14:paraId="51A6EA78" w14:textId="4498A878" w:rsidR="008F0A4D" w:rsidRDefault="008F0A4D" w:rsidP="00C6127A">
            <w:pPr>
              <w:numPr>
                <w:ilvl w:val="0"/>
                <w:numId w:val="0"/>
              </w:numPr>
            </w:pPr>
            <w:r>
              <w:t xml:space="preserve">APRA would be particularly interested in the views of stakeholders concerning </w:t>
            </w:r>
            <w:r w:rsidR="002D595E">
              <w:t xml:space="preserve">how best to achieve appropriate </w:t>
            </w:r>
            <w:r>
              <w:t>proportiona</w:t>
            </w:r>
            <w:r w:rsidR="002D595E">
              <w:t>lity</w:t>
            </w:r>
            <w:r w:rsidR="008B5655">
              <w:t xml:space="preserve"> in </w:t>
            </w:r>
            <w:r w:rsidR="00E834BD">
              <w:t xml:space="preserve">the design and implementation of </w:t>
            </w:r>
            <w:r w:rsidR="008B5655">
              <w:t>CPS 230</w:t>
            </w:r>
            <w:r w:rsidR="00E834BD">
              <w:t>, given the importance of sound operational risk management to all types of financial institutions</w:t>
            </w:r>
            <w:r>
              <w:t>.</w:t>
            </w:r>
          </w:p>
        </w:tc>
      </w:tr>
    </w:tbl>
    <w:p w14:paraId="2C16C5CC" w14:textId="77777777" w:rsidR="00A65460" w:rsidRPr="0064714A" w:rsidRDefault="00A65460" w:rsidP="00A65460">
      <w:pPr>
        <w:pStyle w:val="Heading2Numbers"/>
        <w:numPr>
          <w:ilvl w:val="0"/>
          <w:numId w:val="0"/>
        </w:numPr>
        <w:ind w:left="851" w:hanging="851"/>
      </w:pPr>
      <w:r>
        <w:t>Overview of CPS 230</w:t>
      </w:r>
    </w:p>
    <w:p w14:paraId="509B90F2" w14:textId="69F08B4E" w:rsidR="00A65460" w:rsidRPr="00D12FE8" w:rsidRDefault="00A65460" w:rsidP="00A65460">
      <w:pPr>
        <w:rPr>
          <w:lang w:val="en-GB"/>
        </w:rPr>
      </w:pPr>
      <w:r>
        <w:t xml:space="preserve">The overall aim of CPS 230 is to ensure that APRA-regulated entities are resilient to operational risks and potential disruptions. It requires entities to effectively manage </w:t>
      </w:r>
      <w:r w:rsidR="00F532C0">
        <w:t xml:space="preserve">their </w:t>
      </w:r>
      <w:r>
        <w:t xml:space="preserve">full range of operational risks, </w:t>
      </w:r>
      <w:r w:rsidR="005C6C39">
        <w:t>maintain critical operations through</w:t>
      </w:r>
      <w:r>
        <w:t xml:space="preserve"> severe business disruptions and manage the risks arising from the use of service providers.</w:t>
      </w:r>
      <w:r w:rsidR="005C6C39">
        <w:t xml:space="preserve"> An overview of the </w:t>
      </w:r>
      <w:r>
        <w:t xml:space="preserve">key </w:t>
      </w:r>
      <w:r w:rsidR="005C6C39">
        <w:t>requirements in</w:t>
      </w:r>
      <w:r>
        <w:t xml:space="preserve"> </w:t>
      </w:r>
      <w:r w:rsidR="00822F41">
        <w:t xml:space="preserve">draft </w:t>
      </w:r>
      <w:r>
        <w:t xml:space="preserve">CPS 230 </w:t>
      </w:r>
      <w:r w:rsidR="005C6C39">
        <w:t>is presented</w:t>
      </w:r>
      <w:r>
        <w:t xml:space="preserve"> in the table below.</w:t>
      </w:r>
    </w:p>
    <w:p w14:paraId="6EFAC127" w14:textId="4C1D3010" w:rsidR="00D12FE8" w:rsidRPr="00764632" w:rsidRDefault="00D12FE8" w:rsidP="00D12FE8">
      <w:pPr>
        <w:rPr>
          <w:lang w:val="en-GB"/>
        </w:rPr>
      </w:pPr>
      <w:r>
        <w:t>The key changes, relative to APRA’</w:t>
      </w:r>
      <w:r>
        <w:rPr>
          <w:lang w:val="en-GB"/>
        </w:rPr>
        <w:t>s current standards,</w:t>
      </w:r>
      <w:r>
        <w:t xml:space="preserve"> are new specific requirements for operational risk</w:t>
      </w:r>
      <w:r w:rsidR="00E834BD">
        <w:t xml:space="preserve"> management</w:t>
      </w:r>
      <w:r>
        <w:t xml:space="preserve">, clearer definitions of critical operations and tolerance levels for business continuity and a broadening </w:t>
      </w:r>
      <w:r w:rsidR="00E834BD">
        <w:t xml:space="preserve">of the coverage of </w:t>
      </w:r>
      <w:r>
        <w:t xml:space="preserve">requirements </w:t>
      </w:r>
      <w:r w:rsidR="00E834BD">
        <w:t xml:space="preserve">from managing </w:t>
      </w:r>
      <w:r>
        <w:t>outsourcing to managing all service providers that the entity relies upon.</w:t>
      </w:r>
      <w:r w:rsidR="00655AB8">
        <w:t xml:space="preserve"> These are further explained in the chapters </w:t>
      </w:r>
      <w:r w:rsidR="00E834BD">
        <w:t>that follow</w:t>
      </w:r>
      <w:r w:rsidR="00655AB8">
        <w:t>.</w:t>
      </w:r>
    </w:p>
    <w:p w14:paraId="30A42652" w14:textId="2F5552BD" w:rsidR="005C6C39" w:rsidRPr="005C6C39" w:rsidRDefault="005C6C39" w:rsidP="00764632">
      <w:pPr>
        <w:pStyle w:val="Numberedtableheading"/>
      </w:pPr>
      <w:r>
        <w:t xml:space="preserve">Overview of </w:t>
      </w:r>
      <w:r w:rsidR="00822F41">
        <w:t xml:space="preserve">draft </w:t>
      </w:r>
      <w:r>
        <w:t>CPS 230 requirements</w:t>
      </w:r>
    </w:p>
    <w:tbl>
      <w:tblPr>
        <w:tblStyle w:val="TableGrid"/>
        <w:tblW w:w="9072" w:type="dxa"/>
        <w:tblLook w:val="04A0" w:firstRow="1" w:lastRow="0" w:firstColumn="1" w:lastColumn="0" w:noHBand="0" w:noVBand="1"/>
      </w:tblPr>
      <w:tblGrid>
        <w:gridCol w:w="2268"/>
        <w:gridCol w:w="6804"/>
      </w:tblGrid>
      <w:tr w:rsidR="00A65460" w:rsidRPr="00B61942" w14:paraId="4363B253" w14:textId="77777777" w:rsidTr="00E72DEE">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68" w:type="dxa"/>
          </w:tcPr>
          <w:p w14:paraId="7B146F53" w14:textId="05919005" w:rsidR="00A65460" w:rsidRPr="00176C9D" w:rsidRDefault="00822F41" w:rsidP="001E4586">
            <w:pPr>
              <w:rPr>
                <w:b/>
              </w:rPr>
            </w:pPr>
            <w:r>
              <w:rPr>
                <w:b/>
              </w:rPr>
              <w:t xml:space="preserve">Draft </w:t>
            </w:r>
            <w:r w:rsidR="00A65460" w:rsidRPr="00176C9D">
              <w:rPr>
                <w:b/>
              </w:rPr>
              <w:t>CPS 230</w:t>
            </w:r>
          </w:p>
        </w:tc>
        <w:tc>
          <w:tcPr>
            <w:tcW w:w="6804" w:type="dxa"/>
          </w:tcPr>
          <w:p w14:paraId="59FFBF88" w14:textId="77777777" w:rsidR="00A65460" w:rsidRPr="00176C9D" w:rsidRDefault="00A65460" w:rsidP="001E4586">
            <w:pPr>
              <w:cnfStyle w:val="100000000000" w:firstRow="1" w:lastRow="0" w:firstColumn="0" w:lastColumn="0" w:oddVBand="0" w:evenVBand="0" w:oddHBand="0" w:evenHBand="0" w:firstRowFirstColumn="0" w:firstRowLastColumn="0" w:lastRowFirstColumn="0" w:lastRowLastColumn="0"/>
              <w:rPr>
                <w:b/>
              </w:rPr>
            </w:pPr>
            <w:r w:rsidRPr="00176C9D">
              <w:rPr>
                <w:b/>
              </w:rPr>
              <w:t>Key requirements</w:t>
            </w:r>
          </w:p>
        </w:tc>
      </w:tr>
      <w:tr w:rsidR="00A65460" w:rsidRPr="00B61942" w14:paraId="41ABC441" w14:textId="77777777" w:rsidTr="0065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2BD05E6" w14:textId="74C1A92D" w:rsidR="00A65460" w:rsidRPr="00773D13" w:rsidRDefault="00A65460" w:rsidP="005C6C39">
            <w:pPr>
              <w:spacing w:before="120" w:after="120"/>
              <w:rPr>
                <w:b/>
                <w:color w:val="000000"/>
              </w:rPr>
            </w:pPr>
            <w:r w:rsidRPr="00773D13">
              <w:rPr>
                <w:b/>
                <w:color w:val="000000"/>
              </w:rPr>
              <w:t xml:space="preserve">Operational risk </w:t>
            </w:r>
            <w:r w:rsidR="008D603D">
              <w:rPr>
                <w:b/>
                <w:color w:val="000000"/>
              </w:rPr>
              <w:t>management</w:t>
            </w:r>
          </w:p>
        </w:tc>
        <w:tc>
          <w:tcPr>
            <w:tcW w:w="6804" w:type="dxa"/>
          </w:tcPr>
          <w:p w14:paraId="08982A0A" w14:textId="605FB934" w:rsidR="00A65460" w:rsidRDefault="00A65460" w:rsidP="005C6C39">
            <w:pPr>
              <w:pStyle w:val="ListBullet"/>
              <w:spacing w:before="120" w:after="120"/>
              <w:cnfStyle w:val="000000100000" w:firstRow="0" w:lastRow="0" w:firstColumn="0" w:lastColumn="0" w:oddVBand="0" w:evenVBand="0" w:oddHBand="1" w:evenHBand="0" w:firstRowFirstColumn="0" w:firstRowLastColumn="0" w:lastRowFirstColumn="0" w:lastRowLastColumn="0"/>
            </w:pPr>
            <w:r w:rsidRPr="00122525">
              <w:rPr>
                <w:b/>
                <w:i/>
              </w:rPr>
              <w:t>Operational risk assessment</w:t>
            </w:r>
            <w:r>
              <w:t xml:space="preserve"> to ensure that APRA-regulated entities understand and monitor their risk profile</w:t>
            </w:r>
          </w:p>
          <w:p w14:paraId="5091812C" w14:textId="6033874D" w:rsidR="00A65460" w:rsidRDefault="00A65460" w:rsidP="005C6C39">
            <w:pPr>
              <w:pStyle w:val="ListBullet"/>
              <w:spacing w:before="120" w:after="120"/>
              <w:cnfStyle w:val="000000100000" w:firstRow="0" w:lastRow="0" w:firstColumn="0" w:lastColumn="0" w:oddVBand="0" w:evenVBand="0" w:oddHBand="1" w:evenHBand="0" w:firstRowFirstColumn="0" w:firstRowLastColumn="0" w:lastRowFirstColumn="0" w:lastRowLastColumn="0"/>
            </w:pPr>
            <w:r w:rsidRPr="00122525">
              <w:rPr>
                <w:b/>
                <w:i/>
              </w:rPr>
              <w:t>Operational risk controls</w:t>
            </w:r>
            <w:r>
              <w:t xml:space="preserve"> which must be designed, </w:t>
            </w:r>
            <w:proofErr w:type="gramStart"/>
            <w:r>
              <w:t>implemented</w:t>
            </w:r>
            <w:proofErr w:type="gramEnd"/>
            <w:r>
              <w:t xml:space="preserve"> and embedded and regularly tested for effectiveness</w:t>
            </w:r>
          </w:p>
          <w:p w14:paraId="79155005" w14:textId="33DA8537" w:rsidR="00A65460" w:rsidRPr="00647028" w:rsidRDefault="00A65460" w:rsidP="005C6C39">
            <w:pPr>
              <w:pStyle w:val="ListBullet"/>
              <w:spacing w:before="120" w:after="120"/>
              <w:cnfStyle w:val="000000100000" w:firstRow="0" w:lastRow="0" w:firstColumn="0" w:lastColumn="0" w:oddVBand="0" w:evenVBand="0" w:oddHBand="1" w:evenHBand="0" w:firstRowFirstColumn="0" w:firstRowLastColumn="0" w:lastRowFirstColumn="0" w:lastRowLastColumn="0"/>
            </w:pPr>
            <w:r w:rsidRPr="00122525">
              <w:rPr>
                <w:b/>
                <w:i/>
              </w:rPr>
              <w:t>Operational risk incidents</w:t>
            </w:r>
            <w:r w:rsidRPr="00647028">
              <w:t xml:space="preserve"> which </w:t>
            </w:r>
            <w:r>
              <w:t xml:space="preserve">must be </w:t>
            </w:r>
            <w:r w:rsidRPr="00647028">
              <w:t xml:space="preserve">identified, escalated, </w:t>
            </w:r>
            <w:proofErr w:type="gramStart"/>
            <w:r w:rsidRPr="00647028">
              <w:t>recorded</w:t>
            </w:r>
            <w:proofErr w:type="gramEnd"/>
            <w:r w:rsidRPr="00647028">
              <w:t xml:space="preserve"> and addressed in a timely manner</w:t>
            </w:r>
          </w:p>
        </w:tc>
      </w:tr>
      <w:tr w:rsidR="00A65460" w:rsidRPr="00B61942" w14:paraId="01ACAFD9" w14:textId="77777777" w:rsidTr="0065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594D5F0" w14:textId="77777777" w:rsidR="00A65460" w:rsidRPr="00773D13" w:rsidRDefault="00A65460" w:rsidP="005C6C39">
            <w:pPr>
              <w:spacing w:before="120" w:after="120"/>
              <w:rPr>
                <w:b/>
                <w:color w:val="000000"/>
              </w:rPr>
            </w:pPr>
            <w:r>
              <w:rPr>
                <w:b/>
                <w:color w:val="000000"/>
              </w:rPr>
              <w:t>Business continuity</w:t>
            </w:r>
          </w:p>
        </w:tc>
        <w:tc>
          <w:tcPr>
            <w:tcW w:w="6804" w:type="dxa"/>
          </w:tcPr>
          <w:p w14:paraId="69E060B4" w14:textId="16C9B1E7" w:rsidR="00A65460" w:rsidRDefault="005C6C39" w:rsidP="005C6C39">
            <w:pPr>
              <w:pStyle w:val="ListBullet"/>
              <w:spacing w:before="120" w:after="120"/>
              <w:cnfStyle w:val="000000010000" w:firstRow="0" w:lastRow="0" w:firstColumn="0" w:lastColumn="0" w:oddVBand="0" w:evenVBand="0" w:oddHBand="0" w:evenHBand="1" w:firstRowFirstColumn="0" w:firstRowLastColumn="0" w:lastRowFirstColumn="0" w:lastRowLastColumn="0"/>
            </w:pPr>
            <w:r>
              <w:rPr>
                <w:b/>
                <w:i/>
              </w:rPr>
              <w:t>C</w:t>
            </w:r>
            <w:r w:rsidR="00A65460" w:rsidRPr="00F47E23">
              <w:rPr>
                <w:b/>
                <w:i/>
              </w:rPr>
              <w:t>ritical operations</w:t>
            </w:r>
            <w:r w:rsidR="00A65460">
              <w:t xml:space="preserve"> which are</w:t>
            </w:r>
            <w:r w:rsidR="00A65460" w:rsidRPr="002D1616">
              <w:t xml:space="preserve"> processes </w:t>
            </w:r>
            <w:r w:rsidR="00266D95">
              <w:t>that</w:t>
            </w:r>
            <w:r w:rsidR="00A65460" w:rsidRPr="002D1616">
              <w:t>, if disrupted, would have a material adverse impact on depositors, policyholders, beneficiaries or other customers</w:t>
            </w:r>
            <w:r w:rsidR="00266D95">
              <w:t xml:space="preserve"> or financial system stability</w:t>
            </w:r>
          </w:p>
          <w:p w14:paraId="5FEAD7CB" w14:textId="77777777" w:rsidR="00A65460" w:rsidRDefault="00A65460" w:rsidP="005C6C39">
            <w:pPr>
              <w:pStyle w:val="ListBullet"/>
              <w:spacing w:before="120" w:after="120"/>
              <w:cnfStyle w:val="000000010000" w:firstRow="0" w:lastRow="0" w:firstColumn="0" w:lastColumn="0" w:oddVBand="0" w:evenVBand="0" w:oddHBand="0" w:evenHBand="1" w:firstRowFirstColumn="0" w:firstRowLastColumn="0" w:lastRowFirstColumn="0" w:lastRowLastColumn="0"/>
            </w:pPr>
            <w:r>
              <w:rPr>
                <w:b/>
                <w:i/>
              </w:rPr>
              <w:t xml:space="preserve">Tolerance levels </w:t>
            </w:r>
            <w:r w:rsidRPr="00A87C3B">
              <w:t xml:space="preserve">for the maximum disruption </w:t>
            </w:r>
            <w:r>
              <w:t xml:space="preserve">to critical operations that </w:t>
            </w:r>
            <w:r w:rsidRPr="00A87C3B">
              <w:t>an entity</w:t>
            </w:r>
            <w:r>
              <w:t xml:space="preserve"> would accept in a disruption, including the maximum time and extent of data loss</w:t>
            </w:r>
          </w:p>
          <w:p w14:paraId="4F6570FE" w14:textId="50402DD8" w:rsidR="00A65460" w:rsidRPr="00F16954" w:rsidRDefault="00A65460" w:rsidP="005C6C39">
            <w:pPr>
              <w:pStyle w:val="ListBullet"/>
              <w:spacing w:before="120" w:after="120"/>
              <w:cnfStyle w:val="000000010000" w:firstRow="0" w:lastRow="0" w:firstColumn="0" w:lastColumn="0" w:oddVBand="0" w:evenVBand="0" w:oddHBand="0" w:evenHBand="1" w:firstRowFirstColumn="0" w:firstRowLastColumn="0" w:lastRowFirstColumn="0" w:lastRowLastColumn="0"/>
            </w:pPr>
            <w:r w:rsidRPr="00814940">
              <w:rPr>
                <w:b/>
                <w:i/>
              </w:rPr>
              <w:t>Business continuity plan (BCP)</w:t>
            </w:r>
            <w:r w:rsidRPr="00814940">
              <w:t xml:space="preserve"> that sets out how the entity would manage and respond to a disruption to critical operations</w:t>
            </w:r>
            <w:r>
              <w:t xml:space="preserve"> and must be subject to testing and review</w:t>
            </w:r>
          </w:p>
        </w:tc>
      </w:tr>
      <w:tr w:rsidR="00A65460" w:rsidRPr="00B61942" w14:paraId="00063CAF" w14:textId="77777777" w:rsidTr="00656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8E2B6B4" w14:textId="77777777" w:rsidR="00A65460" w:rsidRDefault="00A65460" w:rsidP="005C6C39">
            <w:pPr>
              <w:spacing w:before="120" w:after="120"/>
              <w:rPr>
                <w:b/>
              </w:rPr>
            </w:pPr>
            <w:r>
              <w:rPr>
                <w:b/>
              </w:rPr>
              <w:t>Service provider management</w:t>
            </w:r>
          </w:p>
        </w:tc>
        <w:tc>
          <w:tcPr>
            <w:tcW w:w="6804" w:type="dxa"/>
          </w:tcPr>
          <w:p w14:paraId="0C87EAF1" w14:textId="5992CB7E" w:rsidR="00A65460" w:rsidRDefault="00A65460" w:rsidP="005C6C39">
            <w:pPr>
              <w:pStyle w:val="ListBullet"/>
              <w:spacing w:before="120" w:after="120"/>
              <w:cnfStyle w:val="000000100000" w:firstRow="0" w:lastRow="0" w:firstColumn="0" w:lastColumn="0" w:oddVBand="0" w:evenVBand="0" w:oddHBand="1" w:evenHBand="0" w:firstRowFirstColumn="0" w:firstRowLastColumn="0" w:lastRowFirstColumn="0" w:lastRowLastColumn="0"/>
            </w:pPr>
            <w:r w:rsidRPr="00D86C7D">
              <w:rPr>
                <w:b/>
                <w:i/>
              </w:rPr>
              <w:t>Identification of material service providers</w:t>
            </w:r>
            <w:r w:rsidRPr="00D86C7D">
              <w:t xml:space="preserve"> on which the entity relies </w:t>
            </w:r>
            <w:r w:rsidR="00BA20EF">
              <w:t>for its</w:t>
            </w:r>
            <w:r w:rsidRPr="00D86C7D">
              <w:t xml:space="preserve"> critical operation</w:t>
            </w:r>
            <w:r w:rsidR="00BA20EF">
              <w:t>s</w:t>
            </w:r>
            <w:r w:rsidRPr="00D86C7D">
              <w:t xml:space="preserve"> or that expose it to material operational risk</w:t>
            </w:r>
          </w:p>
          <w:p w14:paraId="554CD7F9" w14:textId="6F95924A" w:rsidR="00A65460" w:rsidRPr="00D86C7D" w:rsidRDefault="00A65460" w:rsidP="005C6C39">
            <w:pPr>
              <w:pStyle w:val="ListBullet"/>
              <w:spacing w:before="120" w:after="120"/>
              <w:cnfStyle w:val="000000100000" w:firstRow="0" w:lastRow="0" w:firstColumn="0" w:lastColumn="0" w:oddVBand="0" w:evenVBand="0" w:oddHBand="1" w:evenHBand="0" w:firstRowFirstColumn="0" w:firstRowLastColumn="0" w:lastRowFirstColumn="0" w:lastRowLastColumn="0"/>
            </w:pPr>
            <w:r>
              <w:rPr>
                <w:b/>
                <w:i/>
              </w:rPr>
              <w:t>Service provider agreement</w:t>
            </w:r>
            <w:r w:rsidR="00BA20EF">
              <w:rPr>
                <w:b/>
                <w:i/>
              </w:rPr>
              <w:t>s</w:t>
            </w:r>
            <w:r>
              <w:t xml:space="preserve"> to ensure entities monitor and manage the risks associated with third parties and intra-group entities </w:t>
            </w:r>
          </w:p>
        </w:tc>
      </w:tr>
    </w:tbl>
    <w:p w14:paraId="0A52B528" w14:textId="77777777" w:rsidR="00A65460" w:rsidRDefault="00A65460" w:rsidP="00A65460">
      <w:pPr>
        <w:numPr>
          <w:ilvl w:val="0"/>
          <w:numId w:val="0"/>
        </w:numPr>
        <w:spacing w:after="0"/>
        <w:rPr>
          <w:lang w:val="en-GB"/>
        </w:rPr>
      </w:pPr>
    </w:p>
    <w:p w14:paraId="21FC801F" w14:textId="12BCBA8D" w:rsidR="00A65460" w:rsidRPr="00A65460" w:rsidRDefault="00A65460" w:rsidP="00A65460">
      <w:r w:rsidRPr="00A65460">
        <w:t xml:space="preserve">Operational risk management </w:t>
      </w:r>
      <w:r w:rsidR="00D12FE8">
        <w:t>should</w:t>
      </w:r>
      <w:r w:rsidRPr="00A65460">
        <w:t xml:space="preserve"> be integrated into an entity’s overall risk management framework and processes</w:t>
      </w:r>
      <w:r w:rsidR="00BA20EF">
        <w:t>, as set out in CPS 220 and SPS 220</w:t>
      </w:r>
      <w:r w:rsidRPr="00A65460">
        <w:t xml:space="preserve">. Business continuity planning </w:t>
      </w:r>
      <w:r w:rsidR="00D12FE8">
        <w:t>should also</w:t>
      </w:r>
      <w:r w:rsidRPr="00A65460">
        <w:t xml:space="preserve"> be consistent with, and not conflict or undermine, an entity’s </w:t>
      </w:r>
      <w:r w:rsidR="00BA20EF">
        <w:t xml:space="preserve">financial </w:t>
      </w:r>
      <w:r w:rsidRPr="00A65460">
        <w:t>contingency planning</w:t>
      </w:r>
      <w:r w:rsidR="00BA20EF">
        <w:t xml:space="preserve">, as required under </w:t>
      </w:r>
      <w:r w:rsidR="00822F41" w:rsidRPr="00822F41">
        <w:t>CPS 190</w:t>
      </w:r>
      <w:r w:rsidRPr="00A65460">
        <w:t>.</w:t>
      </w:r>
    </w:p>
    <w:p w14:paraId="0ED34689" w14:textId="78F51E85" w:rsidR="00507619" w:rsidRDefault="00507619" w:rsidP="001F40F8">
      <w:pPr>
        <w:pStyle w:val="Heading2Numbers"/>
        <w:numPr>
          <w:ilvl w:val="0"/>
          <w:numId w:val="0"/>
        </w:numPr>
        <w:ind w:left="851" w:hanging="851"/>
      </w:pPr>
      <w:r>
        <w:t>Balancing APRA’s objectives</w:t>
      </w:r>
    </w:p>
    <w:p w14:paraId="5ED90A65" w14:textId="0E985DDE" w:rsidR="00D0547C" w:rsidRDefault="00507619" w:rsidP="00C3122D">
      <w:r>
        <w:t xml:space="preserve">The APRA Act requires APRA to balance the objectives of financial safety and efficiency, competition, </w:t>
      </w:r>
      <w:proofErr w:type="gramStart"/>
      <w:r>
        <w:t>contestability</w:t>
      </w:r>
      <w:proofErr w:type="gramEnd"/>
      <w:r>
        <w:t xml:space="preserve"> and competitive neutrality and, in balancing these objectives, promote financial stability in Australia.</w:t>
      </w:r>
    </w:p>
    <w:p w14:paraId="3F3B1362" w14:textId="5DB72AB7" w:rsidR="00507619" w:rsidRDefault="00507619" w:rsidP="00C3122D">
      <w:r>
        <w:t xml:space="preserve">APRA considers that, on balance, the proposals in this </w:t>
      </w:r>
      <w:r w:rsidR="004833F0">
        <w:t>D</w:t>
      </w:r>
      <w:r>
        <w:t xml:space="preserve">iscussion </w:t>
      </w:r>
      <w:r w:rsidR="004833F0">
        <w:t>P</w:t>
      </w:r>
      <w:r>
        <w:t xml:space="preserve">aper will strengthen the resilience of the Australian </w:t>
      </w:r>
      <w:r w:rsidR="00BA20EF">
        <w:t>financial system</w:t>
      </w:r>
      <w:r>
        <w:t xml:space="preserve">, improve financial </w:t>
      </w:r>
      <w:proofErr w:type="gramStart"/>
      <w:r>
        <w:t>safety</w:t>
      </w:r>
      <w:proofErr w:type="gramEnd"/>
      <w:r>
        <w:t xml:space="preserve"> and promote </w:t>
      </w:r>
      <w:r w:rsidR="00BA20EF">
        <w:t>sound operations</w:t>
      </w:r>
      <w:r>
        <w:t xml:space="preserve"> while not materially impacting on other </w:t>
      </w:r>
      <w:r w:rsidR="00BA20EF">
        <w:t xml:space="preserve">regulatory </w:t>
      </w:r>
      <w:r w:rsidR="00F32176">
        <w:t>considerations</w:t>
      </w:r>
      <w:r>
        <w:t>.</w:t>
      </w:r>
    </w:p>
    <w:tbl>
      <w:tblPr>
        <w:tblStyle w:val="TableGrid10"/>
        <w:tblpPr w:leftFromText="180" w:rightFromText="180" w:vertAnchor="text" w:tblpY="1"/>
        <w:tblOverlap w:val="never"/>
        <w:tblW w:w="8931" w:type="dxa"/>
        <w:tblLook w:val="0620" w:firstRow="1" w:lastRow="0" w:firstColumn="0" w:lastColumn="0" w:noHBand="1" w:noVBand="1"/>
      </w:tblPr>
      <w:tblGrid>
        <w:gridCol w:w="2977"/>
        <w:gridCol w:w="1559"/>
        <w:gridCol w:w="4395"/>
      </w:tblGrid>
      <w:tr w:rsidR="00ED6420" w:rsidRPr="00ED6420" w14:paraId="6A5CC8DA" w14:textId="77777777" w:rsidTr="00677629">
        <w:trPr>
          <w:cnfStyle w:val="100000000000" w:firstRow="1" w:lastRow="0" w:firstColumn="0" w:lastColumn="0" w:oddVBand="0" w:evenVBand="0" w:oddHBand="0" w:evenHBand="0" w:firstRowFirstColumn="0" w:firstRowLastColumn="0" w:lastRowFirstColumn="0" w:lastRowLastColumn="0"/>
          <w:tblHeader w:val="0"/>
        </w:trPr>
        <w:tc>
          <w:tcPr>
            <w:tcW w:w="8931" w:type="dxa"/>
            <w:gridSpan w:val="3"/>
            <w:tcBorders>
              <w:top w:val="nil"/>
              <w:left w:val="nil"/>
              <w:bottom w:val="single" w:sz="4" w:space="0" w:color="FFFFFF" w:themeColor="background1"/>
              <w:right w:val="nil"/>
            </w:tcBorders>
            <w:hideMark/>
          </w:tcPr>
          <w:p w14:paraId="5C98BB78" w14:textId="77777777" w:rsidR="00ED6420" w:rsidRPr="00ED6420" w:rsidRDefault="00ED6420" w:rsidP="00B24923">
            <w:pPr>
              <w:keepNext/>
              <w:numPr>
                <w:ilvl w:val="0"/>
                <w:numId w:val="0"/>
              </w:numPr>
              <w:spacing w:before="120" w:after="120"/>
              <w:jc w:val="center"/>
              <w:rPr>
                <w:rFonts w:ascii="DIN OT Medium" w:hAnsi="DIN OT Medium"/>
              </w:rPr>
            </w:pPr>
            <w:r w:rsidRPr="00ED6420">
              <w:rPr>
                <w:rFonts w:ascii="DIN OT Medium" w:hAnsi="DIN OT Medium"/>
              </w:rPr>
              <w:t>PRIMARY OBJECTIVES</w:t>
            </w:r>
          </w:p>
        </w:tc>
      </w:tr>
      <w:tr w:rsidR="00ED6420" w:rsidRPr="00ED6420" w14:paraId="3C361A3D" w14:textId="77777777" w:rsidTr="00B24923">
        <w:trPr>
          <w:cantSplit/>
          <w:trHeight w:val="1133"/>
        </w:trPr>
        <w:tc>
          <w:tcPr>
            <w:tcW w:w="4536"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00A9E0"/>
          </w:tcPr>
          <w:p w14:paraId="0492405F" w14:textId="77777777" w:rsidR="00ED6420" w:rsidRPr="00ED6420" w:rsidRDefault="00ED6420" w:rsidP="00677629">
            <w:pPr>
              <w:keepNext/>
              <w:keepLines/>
              <w:numPr>
                <w:ilvl w:val="0"/>
                <w:numId w:val="0"/>
              </w:numPr>
              <w:spacing w:before="240"/>
              <w:jc w:val="center"/>
              <w:outlineLvl w:val="4"/>
              <w:rPr>
                <w:rFonts w:ascii="DIN OT Medium" w:eastAsiaTheme="majorEastAsia" w:hAnsi="DIN OT Medium" w:cstheme="majorBidi"/>
                <w:color w:val="FFFFFF" w:themeColor="background1"/>
              </w:rPr>
            </w:pPr>
            <w:r w:rsidRPr="00ED6420">
              <w:rPr>
                <w:rFonts w:ascii="DIN OT Medium" w:eastAsiaTheme="majorEastAsia" w:hAnsi="DIN OT Medium" w:cstheme="majorBidi"/>
                <w:color w:val="FFFFFF" w:themeColor="background1"/>
              </w:rPr>
              <w:t>Financial safety</w:t>
            </w:r>
          </w:p>
          <w:p w14:paraId="79BC2292" w14:textId="77777777" w:rsidR="00ED6420" w:rsidRPr="00ED6420" w:rsidRDefault="00ED6420" w:rsidP="00677629">
            <w:pPr>
              <w:keepNext/>
              <w:keepLines/>
              <w:numPr>
                <w:ilvl w:val="0"/>
                <w:numId w:val="0"/>
              </w:numPr>
              <w:spacing w:before="240"/>
              <w:jc w:val="center"/>
              <w:outlineLvl w:val="4"/>
              <w:rPr>
                <w:rFonts w:ascii="DIN OT Medium" w:eastAsiaTheme="majorEastAsia" w:hAnsi="DIN OT Medium" w:cstheme="majorBidi"/>
                <w:color w:val="FFFFFF" w:themeColor="background1"/>
              </w:rPr>
            </w:pPr>
            <w:r w:rsidRPr="00ED6420">
              <w:rPr>
                <w:rFonts w:ascii="DIN OT Medium" w:eastAsiaTheme="majorEastAsia" w:hAnsi="DIN OT Medium" w:cstheme="majorBidi"/>
                <w:noProof/>
                <w:color w:val="000000" w:themeColor="text1"/>
                <w:lang w:eastAsia="en-AU"/>
              </w:rPr>
              <w:drawing>
                <wp:anchor distT="0" distB="0" distL="114300" distR="114300" simplePos="0" relativeHeight="251658241" behindDoc="0" locked="0" layoutInCell="1" allowOverlap="1" wp14:anchorId="7F56C643" wp14:editId="5E9C1F27">
                  <wp:simplePos x="0" y="0"/>
                  <wp:positionH relativeFrom="column">
                    <wp:posOffset>1353820</wp:posOffset>
                  </wp:positionH>
                  <wp:positionV relativeFrom="paragraph">
                    <wp:posOffset>53340</wp:posOffset>
                  </wp:positionV>
                  <wp:extent cx="243840" cy="243840"/>
                  <wp:effectExtent l="0" t="0" r="381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14:sizeRelH relativeFrom="page">
                    <wp14:pctWidth>0</wp14:pctWidth>
                  </wp14:sizeRelH>
                  <wp14:sizeRelV relativeFrom="page">
                    <wp14:pctHeight>0</wp14:pctHeight>
                  </wp14:sizeRelV>
                </wp:anchor>
              </w:drawing>
            </w:r>
          </w:p>
          <w:p w14:paraId="418745BB" w14:textId="77777777" w:rsidR="00ED6420" w:rsidRPr="00ED6420" w:rsidRDefault="00ED6420" w:rsidP="009855CE">
            <w:pPr>
              <w:keepNext/>
              <w:keepLines/>
              <w:numPr>
                <w:ilvl w:val="0"/>
                <w:numId w:val="0"/>
              </w:numPr>
              <w:spacing w:before="0" w:after="0"/>
              <w:outlineLvl w:val="4"/>
              <w:rPr>
                <w:rFonts w:ascii="DIN OT Medium" w:eastAsiaTheme="majorEastAsia" w:hAnsi="DIN OT Medium" w:cstheme="majorBidi"/>
                <w:color w:val="FFFFFF" w:themeColor="background1"/>
              </w:rPr>
            </w:pPr>
          </w:p>
        </w:tc>
        <w:tc>
          <w:tcPr>
            <w:tcW w:w="439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A9E0"/>
            <w:hideMark/>
          </w:tcPr>
          <w:p w14:paraId="7D8AF929" w14:textId="77777777" w:rsidR="00ED6420" w:rsidRPr="00ED6420" w:rsidRDefault="00ED6420" w:rsidP="00677629">
            <w:pPr>
              <w:keepNext/>
              <w:keepLines/>
              <w:numPr>
                <w:ilvl w:val="0"/>
                <w:numId w:val="0"/>
              </w:numPr>
              <w:spacing w:before="240"/>
              <w:jc w:val="center"/>
              <w:outlineLvl w:val="4"/>
              <w:rPr>
                <w:rFonts w:ascii="DIN OT Medium" w:eastAsiaTheme="majorEastAsia" w:hAnsi="DIN OT Medium" w:cstheme="majorBidi"/>
                <w:color w:val="FFFFFF" w:themeColor="background1"/>
              </w:rPr>
            </w:pPr>
            <w:r w:rsidRPr="00ED6420">
              <w:rPr>
                <w:rFonts w:ascii="DIN OT Medium" w:eastAsiaTheme="majorEastAsia" w:hAnsi="DIN OT Medium" w:cstheme="majorBidi"/>
                <w:color w:val="FFFFFF" w:themeColor="background1"/>
              </w:rPr>
              <w:t>Financial system stability</w:t>
            </w:r>
          </w:p>
          <w:p w14:paraId="57859F1E" w14:textId="77777777" w:rsidR="00ED6420" w:rsidRPr="00ED6420" w:rsidRDefault="00ED6420" w:rsidP="00677629">
            <w:pPr>
              <w:keepNext/>
              <w:keepLines/>
              <w:numPr>
                <w:ilvl w:val="0"/>
                <w:numId w:val="0"/>
              </w:numPr>
              <w:spacing w:before="240"/>
              <w:jc w:val="center"/>
              <w:outlineLvl w:val="4"/>
              <w:rPr>
                <w:rFonts w:ascii="DIN OT Medium" w:eastAsiaTheme="majorEastAsia" w:hAnsi="DIN OT Medium" w:cstheme="majorBidi"/>
                <w:color w:val="FFFFFF" w:themeColor="background1"/>
              </w:rPr>
            </w:pPr>
            <w:r w:rsidRPr="00ED6420">
              <w:rPr>
                <w:rFonts w:ascii="DIN OT Medium" w:eastAsiaTheme="majorEastAsia" w:hAnsi="DIN OT Medium" w:cstheme="majorBidi"/>
                <w:noProof/>
                <w:color w:val="000000" w:themeColor="text1"/>
                <w:lang w:eastAsia="en-AU"/>
              </w:rPr>
              <w:drawing>
                <wp:anchor distT="0" distB="0" distL="114300" distR="114300" simplePos="0" relativeHeight="251658242" behindDoc="0" locked="0" layoutInCell="1" allowOverlap="1" wp14:anchorId="20D07AE7" wp14:editId="26640019">
                  <wp:simplePos x="0" y="0"/>
                  <wp:positionH relativeFrom="column">
                    <wp:posOffset>1288415</wp:posOffset>
                  </wp:positionH>
                  <wp:positionV relativeFrom="paragraph">
                    <wp:posOffset>68580</wp:posOffset>
                  </wp:positionV>
                  <wp:extent cx="243840" cy="243840"/>
                  <wp:effectExtent l="0" t="0" r="381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14:sizeRelH relativeFrom="page">
                    <wp14:pctWidth>0</wp14:pctWidth>
                  </wp14:sizeRelH>
                  <wp14:sizeRelV relativeFrom="page">
                    <wp14:pctHeight>0</wp14:pctHeight>
                  </wp14:sizeRelV>
                </wp:anchor>
              </w:drawing>
            </w:r>
          </w:p>
        </w:tc>
      </w:tr>
      <w:tr w:rsidR="00ED6420" w:rsidRPr="00ED6420" w14:paraId="3FB82A3D" w14:textId="77777777" w:rsidTr="00B24923">
        <w:trPr>
          <w:cantSplit/>
          <w:trHeight w:val="2302"/>
        </w:trPr>
        <w:tc>
          <w:tcPr>
            <w:tcW w:w="4536" w:type="dxa"/>
            <w:gridSpan w:val="2"/>
            <w:tcBorders>
              <w:top w:val="single" w:sz="4" w:space="0" w:color="FFFFFF" w:themeColor="background1"/>
              <w:left w:val="nil"/>
              <w:bottom w:val="single" w:sz="4" w:space="0" w:color="FFFFFF" w:themeColor="background1"/>
              <w:right w:val="single" w:sz="4" w:space="0" w:color="FFFFFF" w:themeColor="background1"/>
            </w:tcBorders>
            <w:hideMark/>
          </w:tcPr>
          <w:p w14:paraId="029975EC" w14:textId="56EE87F2" w:rsidR="00ED6420" w:rsidRPr="00ED6420" w:rsidRDefault="00ED6420" w:rsidP="00677629">
            <w:pPr>
              <w:keepNext/>
              <w:numPr>
                <w:ilvl w:val="0"/>
                <w:numId w:val="12"/>
              </w:numPr>
            </w:pPr>
            <w:r w:rsidRPr="00343F08">
              <w:rPr>
                <w:b/>
              </w:rPr>
              <w:t>Improved:</w:t>
            </w:r>
            <w:r w:rsidRPr="00ED6420">
              <w:t xml:space="preserve"> Financial safety will be enhanced by new requirements for operational risk </w:t>
            </w:r>
            <w:r w:rsidR="008D603D">
              <w:t xml:space="preserve">management </w:t>
            </w:r>
            <w:r w:rsidRPr="00ED6420">
              <w:t xml:space="preserve">and updated </w:t>
            </w:r>
            <w:r w:rsidR="00343F08">
              <w:t>requirements</w:t>
            </w:r>
            <w:r w:rsidRPr="00ED6420">
              <w:t xml:space="preserve"> for </w:t>
            </w:r>
            <w:r w:rsidR="00343F08">
              <w:t xml:space="preserve">business continuity and </w:t>
            </w:r>
            <w:r w:rsidRPr="00ED6420">
              <w:t>service prov</w:t>
            </w:r>
            <w:r w:rsidR="00343F08">
              <w:t>ider management</w:t>
            </w:r>
            <w:r w:rsidRPr="00ED6420">
              <w:t xml:space="preserve">. Overall, these requirements will enhance both the operational and financial resilience of regulated </w:t>
            </w:r>
            <w:r w:rsidR="00DC3DE3">
              <w:t>entities,</w:t>
            </w:r>
            <w:r w:rsidRPr="00ED6420">
              <w:t xml:space="preserve"> improv</w:t>
            </w:r>
            <w:r w:rsidR="00DC3DE3">
              <w:t xml:space="preserve">ing </w:t>
            </w:r>
            <w:r w:rsidRPr="00ED6420">
              <w:t xml:space="preserve">outcomes for depositors, </w:t>
            </w:r>
            <w:proofErr w:type="gramStart"/>
            <w:r w:rsidRPr="00ED6420">
              <w:t>policyholders</w:t>
            </w:r>
            <w:proofErr w:type="gramEnd"/>
            <w:r w:rsidR="00E72777">
              <w:t xml:space="preserve"> and</w:t>
            </w:r>
            <w:r w:rsidR="00343F08">
              <w:t xml:space="preserve"> </w:t>
            </w:r>
            <w:r w:rsidR="007F0584">
              <w:t>beneficiaries</w:t>
            </w:r>
            <w:r w:rsidR="00E72777">
              <w:t>.</w:t>
            </w:r>
          </w:p>
        </w:tc>
        <w:tc>
          <w:tcPr>
            <w:tcW w:w="4395" w:type="dxa"/>
            <w:tcBorders>
              <w:top w:val="single" w:sz="4" w:space="0" w:color="FFFFFF" w:themeColor="background1"/>
              <w:left w:val="single" w:sz="4" w:space="0" w:color="FFFFFF" w:themeColor="background1"/>
              <w:bottom w:val="single" w:sz="4" w:space="0" w:color="FFFFFF" w:themeColor="background1"/>
              <w:right w:val="nil"/>
            </w:tcBorders>
            <w:hideMark/>
          </w:tcPr>
          <w:p w14:paraId="544D9774" w14:textId="1339D2E1" w:rsidR="00ED6420" w:rsidRPr="00ED6420" w:rsidRDefault="00ED6420" w:rsidP="00677629">
            <w:pPr>
              <w:keepNext/>
              <w:numPr>
                <w:ilvl w:val="0"/>
                <w:numId w:val="12"/>
              </w:numPr>
            </w:pPr>
            <w:r w:rsidRPr="00343F08">
              <w:rPr>
                <w:b/>
              </w:rPr>
              <w:t>Improved:</w:t>
            </w:r>
            <w:r w:rsidRPr="00ED6420">
              <w:t xml:space="preserve"> Financial system stability is expected to improve</w:t>
            </w:r>
            <w:r w:rsidR="005476D2">
              <w:t>,</w:t>
            </w:r>
            <w:r w:rsidRPr="00ED6420">
              <w:t xml:space="preserve"> with </w:t>
            </w:r>
            <w:r w:rsidR="005476D2">
              <w:t>enhanced and updated requirements</w:t>
            </w:r>
            <w:r w:rsidRPr="00ED6420">
              <w:t xml:space="preserve"> for the management of operational risk. In addition, </w:t>
            </w:r>
            <w:r w:rsidR="00E72777">
              <w:t>enhanced</w:t>
            </w:r>
            <w:r w:rsidRPr="00ED6420">
              <w:t xml:space="preserve"> business continuity </w:t>
            </w:r>
            <w:r w:rsidR="00E72777">
              <w:t>planning</w:t>
            </w:r>
            <w:r w:rsidRPr="00ED6420">
              <w:t xml:space="preserve"> will ensure regulated </w:t>
            </w:r>
            <w:r w:rsidR="00E72777">
              <w:t>entities</w:t>
            </w:r>
            <w:r w:rsidRPr="00ED6420">
              <w:t xml:space="preserve"> are well prepared for disruptions to their activities and </w:t>
            </w:r>
            <w:r w:rsidR="00680A00">
              <w:t xml:space="preserve">able </w:t>
            </w:r>
            <w:r w:rsidRPr="00ED6420">
              <w:t xml:space="preserve">to minimise the impacts </w:t>
            </w:r>
            <w:r w:rsidR="00680A00">
              <w:t>on critical operations</w:t>
            </w:r>
            <w:r w:rsidRPr="00ED6420">
              <w:t xml:space="preserve">. </w:t>
            </w:r>
          </w:p>
        </w:tc>
      </w:tr>
      <w:tr w:rsidR="00ED6420" w:rsidRPr="00ED6420" w14:paraId="37BA72B3" w14:textId="77777777" w:rsidTr="00677629">
        <w:trPr>
          <w:cantSplit/>
        </w:trPr>
        <w:tc>
          <w:tcPr>
            <w:tcW w:w="8931" w:type="dxa"/>
            <w:gridSpan w:val="3"/>
            <w:tcBorders>
              <w:top w:val="single" w:sz="4" w:space="0" w:color="FFFFFF" w:themeColor="background1"/>
              <w:left w:val="nil"/>
              <w:bottom w:val="single" w:sz="4" w:space="0" w:color="FFFFFF" w:themeColor="background1"/>
              <w:right w:val="nil"/>
            </w:tcBorders>
            <w:shd w:val="clear" w:color="auto" w:fill="012169"/>
            <w:hideMark/>
          </w:tcPr>
          <w:p w14:paraId="29A8470C" w14:textId="77777777" w:rsidR="00ED6420" w:rsidRPr="00ED6420" w:rsidRDefault="00ED6420" w:rsidP="00B24923">
            <w:pPr>
              <w:keepNext/>
              <w:numPr>
                <w:ilvl w:val="0"/>
                <w:numId w:val="0"/>
              </w:numPr>
              <w:spacing w:before="120" w:after="120"/>
              <w:jc w:val="center"/>
              <w:rPr>
                <w:rFonts w:ascii="DIN OT Medium" w:hAnsi="DIN OT Medium"/>
              </w:rPr>
            </w:pPr>
            <w:r w:rsidRPr="00ED6420">
              <w:rPr>
                <w:rFonts w:ascii="DIN OT Medium" w:hAnsi="DIN OT Medium"/>
                <w:color w:val="FFFFFF" w:themeColor="background1"/>
              </w:rPr>
              <w:t>OTHER CONSIDERATIONS</w:t>
            </w:r>
          </w:p>
        </w:tc>
      </w:tr>
      <w:tr w:rsidR="00ED6420" w:rsidRPr="00ED6420" w14:paraId="2F8711B7" w14:textId="77777777" w:rsidTr="00677629">
        <w:trPr>
          <w:cantSplit/>
          <w:trHeight w:val="671"/>
        </w:trPr>
        <w:tc>
          <w:tcPr>
            <w:tcW w:w="2977" w:type="dxa"/>
            <w:tcBorders>
              <w:top w:val="single" w:sz="4" w:space="0" w:color="FFFFFF" w:themeColor="background1"/>
              <w:left w:val="nil"/>
              <w:bottom w:val="single" w:sz="4" w:space="0" w:color="FFFFFF" w:themeColor="background1"/>
              <w:right w:val="single" w:sz="4" w:space="0" w:color="FFFFFF" w:themeColor="background1"/>
            </w:tcBorders>
            <w:shd w:val="clear" w:color="auto" w:fill="00A9E0"/>
            <w:hideMark/>
          </w:tcPr>
          <w:p w14:paraId="06CF009E" w14:textId="77777777" w:rsidR="00ED6420" w:rsidRPr="00ED6420" w:rsidRDefault="00ED6420" w:rsidP="00677629">
            <w:pPr>
              <w:keepNext/>
              <w:keepLines/>
              <w:numPr>
                <w:ilvl w:val="0"/>
                <w:numId w:val="0"/>
              </w:numPr>
              <w:spacing w:before="240"/>
              <w:jc w:val="center"/>
              <w:outlineLvl w:val="4"/>
              <w:rPr>
                <w:rFonts w:ascii="DIN OT Medium" w:eastAsiaTheme="majorEastAsia" w:hAnsi="DIN OT Medium" w:cstheme="majorBidi"/>
                <w:color w:val="FFFFFF" w:themeColor="background1"/>
              </w:rPr>
            </w:pPr>
            <w:r w:rsidRPr="00ED6420">
              <w:rPr>
                <w:rFonts w:ascii="DIN OT Medium" w:eastAsiaTheme="majorEastAsia" w:hAnsi="DIN OT Medium" w:cstheme="majorBidi"/>
                <w:color w:val="FFFFFF" w:themeColor="background1"/>
              </w:rPr>
              <w:t>Efficiency</w:t>
            </w:r>
          </w:p>
          <w:p w14:paraId="4E575ABB" w14:textId="77777777" w:rsidR="00ED6420" w:rsidRPr="00ED6420" w:rsidRDefault="00ED6420" w:rsidP="00677629">
            <w:pPr>
              <w:keepNext/>
              <w:keepLines/>
              <w:numPr>
                <w:ilvl w:val="0"/>
                <w:numId w:val="0"/>
              </w:numPr>
              <w:spacing w:before="240"/>
              <w:jc w:val="center"/>
              <w:outlineLvl w:val="4"/>
              <w:rPr>
                <w:rFonts w:ascii="DIN OT Medium" w:eastAsiaTheme="majorEastAsia" w:hAnsi="DIN OT Medium" w:cstheme="majorBidi"/>
                <w:color w:val="FFFFFF" w:themeColor="background1"/>
              </w:rPr>
            </w:pPr>
            <w:r w:rsidRPr="00ED6420">
              <w:rPr>
                <w:rFonts w:ascii="DIN OT Medium" w:eastAsiaTheme="majorEastAsia" w:hAnsi="DIN OT Medium" w:cstheme="majorBidi"/>
                <w:noProof/>
                <w:color w:val="FFFFFF" w:themeColor="background1"/>
                <w:lang w:eastAsia="en-AU"/>
              </w:rPr>
              <w:drawing>
                <wp:inline distT="0" distB="0" distL="0" distR="0" wp14:anchorId="359B4549" wp14:editId="65648C42">
                  <wp:extent cx="628015" cy="27432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015" cy="274320"/>
                          </a:xfrm>
                          <a:prstGeom prst="rect">
                            <a:avLst/>
                          </a:prstGeom>
                          <a:noFill/>
                        </pic:spPr>
                      </pic:pic>
                    </a:graphicData>
                  </a:graphic>
                </wp:inline>
              </w:drawing>
            </w:r>
          </w:p>
        </w:tc>
        <w:tc>
          <w:tcPr>
            <w:tcW w:w="5954" w:type="dxa"/>
            <w:gridSpan w:val="2"/>
            <w:tcBorders>
              <w:top w:val="single" w:sz="4" w:space="0" w:color="FFFFFF" w:themeColor="background1"/>
              <w:left w:val="single" w:sz="4" w:space="0" w:color="FFFFFF" w:themeColor="background1"/>
              <w:bottom w:val="single" w:sz="4" w:space="0" w:color="FFFFFF" w:themeColor="background1"/>
              <w:right w:val="nil"/>
            </w:tcBorders>
            <w:hideMark/>
          </w:tcPr>
          <w:p w14:paraId="08408DA8" w14:textId="50174440" w:rsidR="00ED6420" w:rsidRPr="00ED6420" w:rsidRDefault="00ED6420" w:rsidP="00677629">
            <w:pPr>
              <w:numPr>
                <w:ilvl w:val="0"/>
                <w:numId w:val="12"/>
              </w:numPr>
            </w:pPr>
            <w:r w:rsidRPr="00343F08">
              <w:rPr>
                <w:b/>
              </w:rPr>
              <w:t>No material change:</w:t>
            </w:r>
            <w:r w:rsidRPr="00ED6420">
              <w:t xml:space="preserve"> The proposals are not expected to materially impact on the efficiency of </w:t>
            </w:r>
            <w:r w:rsidR="005476D2">
              <w:t>APRA-</w:t>
            </w:r>
            <w:r w:rsidRPr="00ED6420">
              <w:t xml:space="preserve">regulated </w:t>
            </w:r>
            <w:r w:rsidR="00680A00">
              <w:t>entities</w:t>
            </w:r>
            <w:r w:rsidRPr="00ED6420">
              <w:t xml:space="preserve">, </w:t>
            </w:r>
            <w:r w:rsidR="002E3B45">
              <w:t>with no major</w:t>
            </w:r>
            <w:r w:rsidRPr="00ED6420">
              <w:t xml:space="preserve"> impacts </w:t>
            </w:r>
            <w:r w:rsidR="002E3B45">
              <w:t>expected on</w:t>
            </w:r>
            <w:r w:rsidRPr="00ED6420">
              <w:t xml:space="preserve"> competition, </w:t>
            </w:r>
            <w:proofErr w:type="gramStart"/>
            <w:r w:rsidRPr="00ED6420">
              <w:t>technology</w:t>
            </w:r>
            <w:proofErr w:type="gramEnd"/>
            <w:r w:rsidRPr="00ED6420">
              <w:t xml:space="preserve"> or innovation.</w:t>
            </w:r>
            <w:r w:rsidR="00F32176">
              <w:t xml:space="preserve"> APRA has acknowledged the importance of implementing the standard in a proportionate </w:t>
            </w:r>
            <w:proofErr w:type="gramStart"/>
            <w:r w:rsidR="00F32176">
              <w:t>manner, and</w:t>
            </w:r>
            <w:proofErr w:type="gramEnd"/>
            <w:r w:rsidR="00F32176">
              <w:t xml:space="preserve"> will use the consultation process to ascertain how that is best achieved.</w:t>
            </w:r>
          </w:p>
        </w:tc>
      </w:tr>
      <w:tr w:rsidR="00ED6420" w:rsidRPr="00ED6420" w14:paraId="38CED154" w14:textId="77777777" w:rsidTr="00B24923">
        <w:trPr>
          <w:cantSplit/>
          <w:trHeight w:val="1362"/>
        </w:trPr>
        <w:tc>
          <w:tcPr>
            <w:tcW w:w="2977" w:type="dxa"/>
            <w:tcBorders>
              <w:top w:val="single" w:sz="4" w:space="0" w:color="FFFFFF" w:themeColor="background1"/>
              <w:left w:val="nil"/>
              <w:bottom w:val="single" w:sz="4" w:space="0" w:color="FFFFFF" w:themeColor="background1"/>
              <w:right w:val="single" w:sz="4" w:space="0" w:color="FFFFFF" w:themeColor="background1"/>
            </w:tcBorders>
            <w:shd w:val="clear" w:color="auto" w:fill="00A9E0"/>
            <w:hideMark/>
          </w:tcPr>
          <w:p w14:paraId="6BBF6F59" w14:textId="77777777" w:rsidR="00ED6420" w:rsidRPr="00ED6420" w:rsidRDefault="00ED6420" w:rsidP="00677629">
            <w:pPr>
              <w:keepNext/>
              <w:keepLines/>
              <w:numPr>
                <w:ilvl w:val="0"/>
                <w:numId w:val="0"/>
              </w:numPr>
              <w:spacing w:before="240"/>
              <w:jc w:val="center"/>
              <w:outlineLvl w:val="4"/>
              <w:rPr>
                <w:rFonts w:ascii="DIN OT Medium" w:eastAsiaTheme="majorEastAsia" w:hAnsi="DIN OT Medium" w:cstheme="majorBidi"/>
                <w:color w:val="FFFFFF" w:themeColor="background1"/>
              </w:rPr>
            </w:pPr>
            <w:r w:rsidRPr="00ED6420">
              <w:rPr>
                <w:rFonts w:ascii="DIN OT Medium" w:eastAsiaTheme="majorEastAsia" w:hAnsi="DIN OT Medium" w:cstheme="majorBidi"/>
                <w:color w:val="FFFFFF" w:themeColor="background1"/>
              </w:rPr>
              <w:t>Competition</w:t>
            </w:r>
          </w:p>
          <w:p w14:paraId="2A1F8951" w14:textId="77777777" w:rsidR="00ED6420" w:rsidRPr="00ED6420" w:rsidRDefault="00ED6420" w:rsidP="00677629">
            <w:pPr>
              <w:keepNext/>
              <w:keepLines/>
              <w:numPr>
                <w:ilvl w:val="0"/>
                <w:numId w:val="0"/>
              </w:numPr>
              <w:spacing w:before="240"/>
              <w:jc w:val="center"/>
              <w:outlineLvl w:val="4"/>
              <w:rPr>
                <w:rFonts w:ascii="DIN OT Medium" w:eastAsiaTheme="majorEastAsia" w:hAnsi="DIN OT Medium" w:cstheme="majorBidi"/>
                <w:color w:val="FFFFFF" w:themeColor="background1"/>
              </w:rPr>
            </w:pPr>
            <w:r w:rsidRPr="00ED6420">
              <w:rPr>
                <w:rFonts w:ascii="DIN OT Medium" w:eastAsiaTheme="majorEastAsia" w:hAnsi="DIN OT Medium" w:cstheme="majorBidi"/>
                <w:noProof/>
                <w:color w:val="FFFFFF" w:themeColor="background1"/>
                <w:lang w:eastAsia="en-AU"/>
              </w:rPr>
              <w:drawing>
                <wp:inline distT="0" distB="0" distL="0" distR="0" wp14:anchorId="2E3EEDFA" wp14:editId="5D659D43">
                  <wp:extent cx="628015" cy="27432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015" cy="274320"/>
                          </a:xfrm>
                          <a:prstGeom prst="rect">
                            <a:avLst/>
                          </a:prstGeom>
                          <a:noFill/>
                        </pic:spPr>
                      </pic:pic>
                    </a:graphicData>
                  </a:graphic>
                </wp:inline>
              </w:drawing>
            </w:r>
          </w:p>
        </w:tc>
        <w:tc>
          <w:tcPr>
            <w:tcW w:w="5954" w:type="dxa"/>
            <w:gridSpan w:val="2"/>
            <w:tcBorders>
              <w:top w:val="single" w:sz="4" w:space="0" w:color="FFFFFF" w:themeColor="background1"/>
              <w:left w:val="single" w:sz="4" w:space="0" w:color="FFFFFF" w:themeColor="background1"/>
              <w:bottom w:val="single" w:sz="4" w:space="0" w:color="FFFFFF" w:themeColor="background1"/>
              <w:right w:val="nil"/>
            </w:tcBorders>
            <w:hideMark/>
          </w:tcPr>
          <w:p w14:paraId="16E3B621" w14:textId="59900DCD" w:rsidR="00ED6420" w:rsidRPr="00ED6420" w:rsidRDefault="00ED6420" w:rsidP="00677629">
            <w:pPr>
              <w:numPr>
                <w:ilvl w:val="0"/>
                <w:numId w:val="12"/>
              </w:numPr>
            </w:pPr>
            <w:r w:rsidRPr="00343F08">
              <w:rPr>
                <w:b/>
              </w:rPr>
              <w:t>No change:</w:t>
            </w:r>
            <w:r w:rsidRPr="00ED6420">
              <w:t xml:space="preserve"> </w:t>
            </w:r>
            <w:r w:rsidR="00F32176">
              <w:t xml:space="preserve">APRA intends that </w:t>
            </w:r>
            <w:r w:rsidR="002E3B45">
              <w:t xml:space="preserve">CPS 230 will apply </w:t>
            </w:r>
            <w:r w:rsidRPr="00ED6420">
              <w:t>a proportionate</w:t>
            </w:r>
            <w:r w:rsidR="002E3B45">
              <w:t xml:space="preserve"> approach</w:t>
            </w:r>
            <w:r w:rsidR="00B24923">
              <w:t>,</w:t>
            </w:r>
            <w:r w:rsidR="00F57636">
              <w:t xml:space="preserve"> </w:t>
            </w:r>
            <w:r w:rsidR="002E3B45">
              <w:t>as with other standards and the prudential framework more broadly</w:t>
            </w:r>
            <w:r w:rsidR="00B24923">
              <w:t>. T</w:t>
            </w:r>
            <w:r w:rsidR="002E3B45">
              <w:t>he requirements</w:t>
            </w:r>
            <w:r w:rsidRPr="00ED6420">
              <w:t xml:space="preserve"> </w:t>
            </w:r>
            <w:r w:rsidR="002E3B45">
              <w:t>are</w:t>
            </w:r>
            <w:r w:rsidRPr="00ED6420">
              <w:t xml:space="preserve"> intended to </w:t>
            </w:r>
            <w:r w:rsidR="002E3B45">
              <w:t>apply</w:t>
            </w:r>
            <w:r w:rsidRPr="00ED6420">
              <w:t xml:space="preserve"> commensurate with the size</w:t>
            </w:r>
            <w:r w:rsidR="001F1604">
              <w:t xml:space="preserve"> and complexity</w:t>
            </w:r>
            <w:r w:rsidRPr="00ED6420">
              <w:t xml:space="preserve"> of an </w:t>
            </w:r>
            <w:r w:rsidR="00343F08">
              <w:t>entit</w:t>
            </w:r>
            <w:r w:rsidR="00E05186">
              <w:t>y</w:t>
            </w:r>
            <w:r w:rsidRPr="00ED6420">
              <w:t xml:space="preserve">’s operations, and the extent </w:t>
            </w:r>
            <w:r w:rsidR="00677629">
              <w:t>of reliance</w:t>
            </w:r>
            <w:r w:rsidRPr="00ED6420">
              <w:t xml:space="preserve"> on other parties for the provision of material services.</w:t>
            </w:r>
          </w:p>
        </w:tc>
      </w:tr>
      <w:tr w:rsidR="00ED6420" w:rsidRPr="00ED6420" w14:paraId="0CAA5B85" w14:textId="77777777" w:rsidTr="00B24923">
        <w:trPr>
          <w:cantSplit/>
          <w:trHeight w:val="1315"/>
        </w:trPr>
        <w:tc>
          <w:tcPr>
            <w:tcW w:w="2977" w:type="dxa"/>
            <w:tcBorders>
              <w:top w:val="single" w:sz="4" w:space="0" w:color="FFFFFF" w:themeColor="background1"/>
              <w:left w:val="nil"/>
              <w:bottom w:val="single" w:sz="4" w:space="0" w:color="FFFFFF" w:themeColor="background1"/>
              <w:right w:val="single" w:sz="4" w:space="0" w:color="FFFFFF" w:themeColor="background1"/>
            </w:tcBorders>
            <w:shd w:val="clear" w:color="auto" w:fill="00A9E0"/>
          </w:tcPr>
          <w:p w14:paraId="714145F9" w14:textId="77777777" w:rsidR="00ED6420" w:rsidRPr="00ED6420" w:rsidRDefault="00ED6420" w:rsidP="00677629">
            <w:pPr>
              <w:keepNext/>
              <w:keepLines/>
              <w:numPr>
                <w:ilvl w:val="0"/>
                <w:numId w:val="0"/>
              </w:numPr>
              <w:spacing w:before="240"/>
              <w:jc w:val="center"/>
              <w:outlineLvl w:val="4"/>
              <w:rPr>
                <w:rFonts w:ascii="DIN OT Medium" w:eastAsiaTheme="majorEastAsia" w:hAnsi="DIN OT Medium" w:cstheme="majorBidi"/>
                <w:color w:val="FFFFFF" w:themeColor="background1"/>
              </w:rPr>
            </w:pPr>
            <w:r w:rsidRPr="00ED6420">
              <w:rPr>
                <w:rFonts w:ascii="DIN OT Medium" w:eastAsiaTheme="majorEastAsia" w:hAnsi="DIN OT Medium" w:cstheme="majorBidi"/>
                <w:color w:val="FFFFFF" w:themeColor="background1"/>
              </w:rPr>
              <w:t>Contestability</w:t>
            </w:r>
          </w:p>
          <w:p w14:paraId="0C26FA97" w14:textId="40D85A8D" w:rsidR="00ED6420" w:rsidRPr="00ED6420" w:rsidRDefault="00ED6420" w:rsidP="00677629">
            <w:pPr>
              <w:keepNext/>
              <w:keepLines/>
              <w:numPr>
                <w:ilvl w:val="0"/>
                <w:numId w:val="0"/>
              </w:numPr>
              <w:spacing w:before="240"/>
              <w:jc w:val="center"/>
              <w:outlineLvl w:val="4"/>
              <w:rPr>
                <w:rFonts w:ascii="DIN OT Medium" w:eastAsiaTheme="majorEastAsia" w:hAnsi="DIN OT Medium" w:cstheme="majorBidi"/>
                <w:color w:val="FFFFFF" w:themeColor="background1"/>
              </w:rPr>
            </w:pPr>
            <w:r w:rsidRPr="00ED6420">
              <w:rPr>
                <w:rFonts w:ascii="DIN OT Medium" w:eastAsiaTheme="majorEastAsia" w:hAnsi="DIN OT Medium" w:cstheme="majorBidi"/>
                <w:noProof/>
                <w:color w:val="FFFFFF" w:themeColor="background1"/>
                <w:lang w:eastAsia="en-AU"/>
              </w:rPr>
              <w:drawing>
                <wp:inline distT="0" distB="0" distL="0" distR="0" wp14:anchorId="0724FE51" wp14:editId="1E4EF2A7">
                  <wp:extent cx="628015" cy="27432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015" cy="274320"/>
                          </a:xfrm>
                          <a:prstGeom prst="rect">
                            <a:avLst/>
                          </a:prstGeom>
                          <a:noFill/>
                        </pic:spPr>
                      </pic:pic>
                    </a:graphicData>
                  </a:graphic>
                </wp:inline>
              </w:drawing>
            </w:r>
          </w:p>
        </w:tc>
        <w:tc>
          <w:tcPr>
            <w:tcW w:w="5954" w:type="dxa"/>
            <w:gridSpan w:val="2"/>
            <w:tcBorders>
              <w:top w:val="single" w:sz="4" w:space="0" w:color="FFFFFF" w:themeColor="background1"/>
              <w:left w:val="single" w:sz="4" w:space="0" w:color="FFFFFF" w:themeColor="background1"/>
              <w:bottom w:val="single" w:sz="4" w:space="0" w:color="FFFFFF" w:themeColor="background1"/>
              <w:right w:val="nil"/>
            </w:tcBorders>
            <w:hideMark/>
          </w:tcPr>
          <w:p w14:paraId="4E6826EE" w14:textId="32CB8294" w:rsidR="00ED6420" w:rsidRPr="00ED6420" w:rsidRDefault="00ED6420" w:rsidP="00677629">
            <w:pPr>
              <w:numPr>
                <w:ilvl w:val="0"/>
                <w:numId w:val="12"/>
              </w:numPr>
            </w:pPr>
            <w:r w:rsidRPr="00E052C0">
              <w:rPr>
                <w:b/>
              </w:rPr>
              <w:t>No change:</w:t>
            </w:r>
            <w:r w:rsidRPr="00ED6420">
              <w:t xml:space="preserve"> The </w:t>
            </w:r>
            <w:r w:rsidR="00677629">
              <w:t>p</w:t>
            </w:r>
            <w:r w:rsidRPr="00ED6420">
              <w:t xml:space="preserve">roposed requirements in </w:t>
            </w:r>
            <w:r w:rsidR="00B24923">
              <w:t>CPS 230 largely</w:t>
            </w:r>
            <w:r w:rsidRPr="00ED6420">
              <w:t xml:space="preserve"> reflect APRA’s existing </w:t>
            </w:r>
            <w:r w:rsidR="00677629">
              <w:t xml:space="preserve">supervisory </w:t>
            </w:r>
            <w:proofErr w:type="gramStart"/>
            <w:r w:rsidRPr="00ED6420">
              <w:t>expectations</w:t>
            </w:r>
            <w:r w:rsidR="00B24923">
              <w:t>,</w:t>
            </w:r>
            <w:r w:rsidRPr="00ED6420">
              <w:t xml:space="preserve"> </w:t>
            </w:r>
            <w:r w:rsidR="00B24923">
              <w:t>and</w:t>
            </w:r>
            <w:proofErr w:type="gramEnd"/>
            <w:r w:rsidRPr="00ED6420">
              <w:t xml:space="preserve"> would not be expected to impede new market entrants or advantage new entrants.</w:t>
            </w:r>
          </w:p>
        </w:tc>
      </w:tr>
      <w:tr w:rsidR="00ED6420" w:rsidRPr="00ED6420" w14:paraId="0C4CF4C4" w14:textId="77777777" w:rsidTr="00B24923">
        <w:trPr>
          <w:cantSplit/>
          <w:trHeight w:val="1207"/>
        </w:trPr>
        <w:tc>
          <w:tcPr>
            <w:tcW w:w="2977" w:type="dxa"/>
            <w:tcBorders>
              <w:top w:val="single" w:sz="4" w:space="0" w:color="FFFFFF" w:themeColor="background1"/>
              <w:left w:val="nil"/>
              <w:bottom w:val="single" w:sz="4" w:space="0" w:color="FFFFFF" w:themeColor="background1"/>
              <w:right w:val="single" w:sz="4" w:space="0" w:color="FFFFFF" w:themeColor="background1"/>
            </w:tcBorders>
            <w:shd w:val="clear" w:color="auto" w:fill="00A9E0"/>
          </w:tcPr>
          <w:p w14:paraId="7E85B5BC" w14:textId="77777777" w:rsidR="00ED6420" w:rsidRPr="00ED6420" w:rsidRDefault="00ED6420" w:rsidP="00677629">
            <w:pPr>
              <w:keepNext/>
              <w:keepLines/>
              <w:numPr>
                <w:ilvl w:val="0"/>
                <w:numId w:val="0"/>
              </w:numPr>
              <w:spacing w:before="240"/>
              <w:jc w:val="center"/>
              <w:outlineLvl w:val="4"/>
              <w:rPr>
                <w:rFonts w:ascii="DIN OT Medium" w:eastAsiaTheme="majorEastAsia" w:hAnsi="DIN OT Medium" w:cstheme="majorBidi"/>
                <w:color w:val="FFFFFF" w:themeColor="background1"/>
              </w:rPr>
            </w:pPr>
            <w:r w:rsidRPr="00ED6420">
              <w:rPr>
                <w:rFonts w:ascii="DIN OT Medium" w:eastAsiaTheme="majorEastAsia" w:hAnsi="DIN OT Medium" w:cstheme="majorBidi"/>
                <w:color w:val="FFFFFF" w:themeColor="background1"/>
              </w:rPr>
              <w:t>Competitive Neutrality</w:t>
            </w:r>
          </w:p>
          <w:p w14:paraId="2CEE880C" w14:textId="3DEEFD4E" w:rsidR="00ED6420" w:rsidRPr="00ED6420" w:rsidRDefault="00ED6420" w:rsidP="00677629">
            <w:pPr>
              <w:keepNext/>
              <w:keepLines/>
              <w:numPr>
                <w:ilvl w:val="0"/>
                <w:numId w:val="0"/>
              </w:numPr>
              <w:spacing w:before="240"/>
              <w:jc w:val="center"/>
              <w:outlineLvl w:val="4"/>
              <w:rPr>
                <w:rFonts w:ascii="DIN OT Medium" w:eastAsiaTheme="majorEastAsia" w:hAnsi="DIN OT Medium" w:cstheme="majorBidi"/>
                <w:color w:val="FFFFFF" w:themeColor="background1"/>
              </w:rPr>
            </w:pPr>
            <w:r w:rsidRPr="00ED6420">
              <w:rPr>
                <w:rFonts w:ascii="DIN OT Medium" w:eastAsiaTheme="majorEastAsia" w:hAnsi="DIN OT Medium" w:cstheme="majorBidi"/>
                <w:noProof/>
                <w:color w:val="000000" w:themeColor="text1"/>
                <w:lang w:eastAsia="en-AU"/>
              </w:rPr>
              <w:drawing>
                <wp:anchor distT="0" distB="0" distL="114300" distR="114300" simplePos="0" relativeHeight="251658243" behindDoc="1" locked="0" layoutInCell="1" allowOverlap="1" wp14:anchorId="12C3C1FD" wp14:editId="55BFA5F1">
                  <wp:simplePos x="0" y="0"/>
                  <wp:positionH relativeFrom="column">
                    <wp:posOffset>571500</wp:posOffset>
                  </wp:positionH>
                  <wp:positionV relativeFrom="paragraph">
                    <wp:posOffset>22860</wp:posOffset>
                  </wp:positionV>
                  <wp:extent cx="628015" cy="274320"/>
                  <wp:effectExtent l="0" t="0" r="635" b="0"/>
                  <wp:wrapTight wrapText="bothSides">
                    <wp:wrapPolygon edited="0">
                      <wp:start x="2621" y="0"/>
                      <wp:lineTo x="0" y="7500"/>
                      <wp:lineTo x="0" y="12000"/>
                      <wp:lineTo x="2621" y="19500"/>
                      <wp:lineTo x="18346" y="19500"/>
                      <wp:lineTo x="20967" y="12000"/>
                      <wp:lineTo x="20967" y="7500"/>
                      <wp:lineTo x="18346" y="0"/>
                      <wp:lineTo x="2621"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015" cy="274320"/>
                          </a:xfrm>
                          <a:prstGeom prst="rect">
                            <a:avLst/>
                          </a:prstGeom>
                          <a:noFill/>
                        </pic:spPr>
                      </pic:pic>
                    </a:graphicData>
                  </a:graphic>
                  <wp14:sizeRelH relativeFrom="page">
                    <wp14:pctWidth>0</wp14:pctWidth>
                  </wp14:sizeRelH>
                  <wp14:sizeRelV relativeFrom="page">
                    <wp14:pctHeight>0</wp14:pctHeight>
                  </wp14:sizeRelV>
                </wp:anchor>
              </w:drawing>
            </w:r>
          </w:p>
        </w:tc>
        <w:tc>
          <w:tcPr>
            <w:tcW w:w="5954" w:type="dxa"/>
            <w:gridSpan w:val="2"/>
            <w:tcBorders>
              <w:top w:val="single" w:sz="4" w:space="0" w:color="FFFFFF" w:themeColor="background1"/>
              <w:left w:val="single" w:sz="4" w:space="0" w:color="FFFFFF" w:themeColor="background1"/>
              <w:bottom w:val="single" w:sz="4" w:space="0" w:color="FFFFFF" w:themeColor="background1"/>
              <w:right w:val="nil"/>
            </w:tcBorders>
            <w:hideMark/>
          </w:tcPr>
          <w:p w14:paraId="71F2D7C7" w14:textId="199FBCAC" w:rsidR="00ED6420" w:rsidRPr="00ED6420" w:rsidRDefault="00ED6420" w:rsidP="00677629">
            <w:pPr>
              <w:numPr>
                <w:ilvl w:val="0"/>
                <w:numId w:val="12"/>
              </w:numPr>
            </w:pPr>
            <w:r w:rsidRPr="00E052C0">
              <w:rPr>
                <w:b/>
              </w:rPr>
              <w:t>No change:</w:t>
            </w:r>
            <w:r w:rsidRPr="00ED6420">
              <w:t xml:space="preserve"> </w:t>
            </w:r>
            <w:r w:rsidR="00B60059">
              <w:t>The proposed standard would not create an advantage for public sector entities relative to other market participants.</w:t>
            </w:r>
          </w:p>
        </w:tc>
      </w:tr>
    </w:tbl>
    <w:p w14:paraId="08AF1714" w14:textId="401507AC" w:rsidR="009E585F" w:rsidRDefault="009E585F" w:rsidP="009E585F">
      <w:pPr>
        <w:numPr>
          <w:ilvl w:val="0"/>
          <w:numId w:val="0"/>
        </w:numPr>
      </w:pPr>
    </w:p>
    <w:p w14:paraId="702D5E49" w14:textId="0655C4B9" w:rsidR="00C736F6" w:rsidRDefault="00C736F6" w:rsidP="00C736F6">
      <w:pPr>
        <w:pStyle w:val="Heading1Numbers"/>
      </w:pPr>
      <w:bookmarkStart w:id="3" w:name="_Toc109287990"/>
      <w:r>
        <w:t>Operational risk</w:t>
      </w:r>
      <w:bookmarkEnd w:id="3"/>
    </w:p>
    <w:p w14:paraId="4319A6D0" w14:textId="3E3C91EE" w:rsidR="00167485" w:rsidRPr="00167485" w:rsidRDefault="00FA08AB" w:rsidP="00176C9D">
      <w:pPr>
        <w:rPr>
          <w:lang w:val="en-GB"/>
        </w:rPr>
      </w:pPr>
      <w:bookmarkStart w:id="4" w:name="_Hlk58932923"/>
      <w:r>
        <w:t xml:space="preserve">The </w:t>
      </w:r>
      <w:r w:rsidDel="009D0E93">
        <w:t xml:space="preserve">proposed </w:t>
      </w:r>
      <w:r>
        <w:t xml:space="preserve">requirements </w:t>
      </w:r>
      <w:r w:rsidR="00453FB6">
        <w:t xml:space="preserve">in </w:t>
      </w:r>
      <w:r w:rsidR="00453FB6" w:rsidDel="009D0E93">
        <w:t>draft</w:t>
      </w:r>
      <w:r w:rsidR="009D0E93">
        <w:t xml:space="preserve"> </w:t>
      </w:r>
      <w:r w:rsidR="00453FB6">
        <w:t>CPS 230 are intended to</w:t>
      </w:r>
      <w:r>
        <w:t xml:space="preserve"> establish a </w:t>
      </w:r>
      <w:r w:rsidR="007A508E">
        <w:t>minimum</w:t>
      </w:r>
      <w:r>
        <w:t xml:space="preserve"> set of expectations to ensure that </w:t>
      </w:r>
      <w:r w:rsidR="007A508E">
        <w:t>APRA-</w:t>
      </w:r>
      <w:r>
        <w:t xml:space="preserve">regulated entities </w:t>
      </w:r>
      <w:r w:rsidR="007A508E">
        <w:t xml:space="preserve">effectively identify, </w:t>
      </w:r>
      <w:proofErr w:type="gramStart"/>
      <w:r w:rsidR="007A508E">
        <w:t>assess</w:t>
      </w:r>
      <w:proofErr w:type="gramEnd"/>
      <w:r w:rsidR="007A508E">
        <w:t xml:space="preserve"> and manage operational risks</w:t>
      </w:r>
      <w:r>
        <w:t>.</w:t>
      </w:r>
    </w:p>
    <w:p w14:paraId="3373D6F8" w14:textId="49CF7D26" w:rsidR="00F32176" w:rsidRPr="00CE372C" w:rsidRDefault="00FA08AB" w:rsidP="008847F5">
      <w:pPr>
        <w:rPr>
          <w:lang w:val="en-GB"/>
        </w:rPr>
      </w:pPr>
      <w:r>
        <w:rPr>
          <w:rFonts w:cs="Arial"/>
        </w:rPr>
        <w:t xml:space="preserve">The proposed requirements </w:t>
      </w:r>
      <w:r w:rsidR="00554D3A">
        <w:rPr>
          <w:rFonts w:cs="Arial"/>
        </w:rPr>
        <w:t>cover key</w:t>
      </w:r>
      <w:r>
        <w:rPr>
          <w:rFonts w:cs="Arial"/>
        </w:rPr>
        <w:t xml:space="preserve"> areas where </w:t>
      </w:r>
      <w:r w:rsidR="00554D3A">
        <w:rPr>
          <w:rFonts w:cs="Arial"/>
        </w:rPr>
        <w:t>weaknesses</w:t>
      </w:r>
      <w:r>
        <w:rPr>
          <w:rFonts w:cs="Arial"/>
        </w:rPr>
        <w:t xml:space="preserve"> have been observed by APRA </w:t>
      </w:r>
      <w:r w:rsidR="00554D3A">
        <w:rPr>
          <w:rFonts w:cs="Arial"/>
        </w:rPr>
        <w:t xml:space="preserve">in its supervision, </w:t>
      </w:r>
      <w:r w:rsidR="00F32176">
        <w:rPr>
          <w:rFonts w:cs="Arial"/>
        </w:rPr>
        <w:t xml:space="preserve">as well as </w:t>
      </w:r>
      <w:r w:rsidR="00554D3A">
        <w:rPr>
          <w:rFonts w:cs="Arial"/>
        </w:rPr>
        <w:t>lessons learned internationally</w:t>
      </w:r>
      <w:r>
        <w:rPr>
          <w:rFonts w:cs="Arial"/>
        </w:rPr>
        <w:t>.</w:t>
      </w:r>
    </w:p>
    <w:p w14:paraId="43634F9E" w14:textId="6BA8528D" w:rsidR="00FA08AB" w:rsidRPr="008847F5" w:rsidRDefault="00822F41" w:rsidP="008847F5">
      <w:pPr>
        <w:rPr>
          <w:lang w:val="en-GB"/>
        </w:rPr>
      </w:pPr>
      <w:r>
        <w:rPr>
          <w:rFonts w:cs="Arial"/>
        </w:rPr>
        <w:t xml:space="preserve">Draft </w:t>
      </w:r>
      <w:r w:rsidR="00FA08AB">
        <w:rPr>
          <w:rFonts w:cs="Arial"/>
        </w:rPr>
        <w:t xml:space="preserve">CPS 230 </w:t>
      </w:r>
      <w:r w:rsidR="007B7281">
        <w:rPr>
          <w:rFonts w:cs="Arial"/>
        </w:rPr>
        <w:t>places the onus on</w:t>
      </w:r>
      <w:r w:rsidR="00FA08AB">
        <w:rPr>
          <w:rFonts w:cs="Arial"/>
        </w:rPr>
        <w:t xml:space="preserve"> business-line management </w:t>
      </w:r>
      <w:r w:rsidR="007B7281">
        <w:rPr>
          <w:rFonts w:cs="Arial"/>
        </w:rPr>
        <w:t xml:space="preserve">to </w:t>
      </w:r>
      <w:r w:rsidR="00FA08AB">
        <w:rPr>
          <w:rFonts w:cs="Arial"/>
        </w:rPr>
        <w:t xml:space="preserve">take responsibility for </w:t>
      </w:r>
      <w:r w:rsidR="007B7281">
        <w:rPr>
          <w:rFonts w:cs="Arial"/>
        </w:rPr>
        <w:t xml:space="preserve">the </w:t>
      </w:r>
      <w:r w:rsidR="00FA08AB">
        <w:rPr>
          <w:rFonts w:cs="Arial"/>
        </w:rPr>
        <w:t>oversight</w:t>
      </w:r>
      <w:r w:rsidR="007B7281">
        <w:rPr>
          <w:rFonts w:cs="Arial"/>
        </w:rPr>
        <w:t xml:space="preserve"> and management</w:t>
      </w:r>
      <w:r w:rsidR="00FA08AB">
        <w:rPr>
          <w:rFonts w:cs="Arial"/>
        </w:rPr>
        <w:t xml:space="preserve"> of operational risk</w:t>
      </w:r>
      <w:r w:rsidR="007B7281">
        <w:rPr>
          <w:rFonts w:cs="Arial"/>
        </w:rPr>
        <w:t>,</w:t>
      </w:r>
      <w:r w:rsidR="00FA08AB">
        <w:rPr>
          <w:rFonts w:cs="Arial"/>
        </w:rPr>
        <w:t xml:space="preserve"> </w:t>
      </w:r>
      <w:r w:rsidR="007B7281">
        <w:rPr>
          <w:rFonts w:cs="Arial"/>
        </w:rPr>
        <w:t xml:space="preserve">embedded in the business </w:t>
      </w:r>
      <w:r w:rsidR="00FA08AB">
        <w:rPr>
          <w:rFonts w:cs="Arial"/>
        </w:rPr>
        <w:t>rather than</w:t>
      </w:r>
      <w:r w:rsidR="007B7281">
        <w:rPr>
          <w:rFonts w:cs="Arial"/>
        </w:rPr>
        <w:t xml:space="preserve"> </w:t>
      </w:r>
      <w:r w:rsidR="00FA2B8A">
        <w:rPr>
          <w:rFonts w:cs="Arial"/>
        </w:rPr>
        <w:t>principally</w:t>
      </w:r>
      <w:r w:rsidR="007B7281">
        <w:rPr>
          <w:rFonts w:cs="Arial"/>
        </w:rPr>
        <w:t xml:space="preserve"> </w:t>
      </w:r>
      <w:r w:rsidR="00966A8A">
        <w:rPr>
          <w:rFonts w:cs="Arial"/>
        </w:rPr>
        <w:t xml:space="preserve">being </w:t>
      </w:r>
      <w:r w:rsidR="007B7281">
        <w:rPr>
          <w:rFonts w:cs="Arial"/>
        </w:rPr>
        <w:t xml:space="preserve">the responsibility of risk </w:t>
      </w:r>
      <w:r w:rsidR="00966A8A">
        <w:rPr>
          <w:rFonts w:cs="Arial"/>
        </w:rPr>
        <w:t>management</w:t>
      </w:r>
      <w:r w:rsidR="009A7EC8">
        <w:rPr>
          <w:rFonts w:cs="Arial"/>
        </w:rPr>
        <w:t xml:space="preserve"> functions</w:t>
      </w:r>
      <w:r w:rsidR="007B7281">
        <w:rPr>
          <w:rFonts w:cs="Arial"/>
        </w:rPr>
        <w:t>.</w:t>
      </w:r>
    </w:p>
    <w:p w14:paraId="6D837048" w14:textId="7ECF30E0" w:rsidR="0064714A" w:rsidRPr="0064714A" w:rsidRDefault="00777407" w:rsidP="003F4B43">
      <w:pPr>
        <w:pStyle w:val="Heading2Numbers"/>
        <w:numPr>
          <w:ilvl w:val="0"/>
          <w:numId w:val="0"/>
        </w:numPr>
        <w:ind w:left="851" w:hanging="851"/>
      </w:pPr>
      <w:bookmarkStart w:id="5" w:name="_Toc7595582"/>
      <w:bookmarkStart w:id="6" w:name="_Toc72858838"/>
      <w:bookmarkEnd w:id="4"/>
      <w:r>
        <w:t>Strengthening oversight and</w:t>
      </w:r>
      <w:r w:rsidR="00E62284">
        <w:t xml:space="preserve"> </w:t>
      </w:r>
      <w:bookmarkEnd w:id="5"/>
      <w:bookmarkEnd w:id="6"/>
      <w:r w:rsidR="009E1AE6">
        <w:t>management</w:t>
      </w:r>
    </w:p>
    <w:p w14:paraId="375AF29B" w14:textId="3FE7932B" w:rsidR="0064714A" w:rsidRPr="0064714A" w:rsidRDefault="00822F41" w:rsidP="0064714A">
      <w:r>
        <w:t>Draft</w:t>
      </w:r>
      <w:r w:rsidR="009B5A37">
        <w:t xml:space="preserve"> </w:t>
      </w:r>
      <w:r w:rsidR="00181302">
        <w:t>CPS 230</w:t>
      </w:r>
      <w:r w:rsidR="0064714A" w:rsidRPr="0064714A">
        <w:t xml:space="preserve"> </w:t>
      </w:r>
      <w:r w:rsidR="0007437F">
        <w:t xml:space="preserve">introduces </w:t>
      </w:r>
      <w:r w:rsidR="009B5A37">
        <w:t>a</w:t>
      </w:r>
      <w:r w:rsidR="008C2FFF">
        <w:t xml:space="preserve"> principles</w:t>
      </w:r>
      <w:r w:rsidR="009B5A37">
        <w:t>-based approach</w:t>
      </w:r>
      <w:r w:rsidR="0064714A" w:rsidRPr="0064714A">
        <w:t xml:space="preserve"> </w:t>
      </w:r>
      <w:r w:rsidR="008C2FFF">
        <w:t>to</w:t>
      </w:r>
      <w:r w:rsidR="008C2FFF" w:rsidRPr="0064714A">
        <w:t xml:space="preserve"> </w:t>
      </w:r>
      <w:r w:rsidR="0064714A" w:rsidRPr="0064714A">
        <w:t>operational risk</w:t>
      </w:r>
      <w:r w:rsidR="009B5A37">
        <w:t xml:space="preserve"> </w:t>
      </w:r>
      <w:r w:rsidR="008D603D">
        <w:t xml:space="preserve">management </w:t>
      </w:r>
      <w:r w:rsidR="009B5A37">
        <w:t>that</w:t>
      </w:r>
      <w:r w:rsidR="0064714A" w:rsidRPr="0064714A">
        <w:t xml:space="preserve"> is outcomes-focussed</w:t>
      </w:r>
      <w:r w:rsidR="00DB070D">
        <w:t>,</w:t>
      </w:r>
      <w:r w:rsidR="0064714A" w:rsidRPr="0064714A">
        <w:t xml:space="preserve"> </w:t>
      </w:r>
      <w:r w:rsidR="00DB070D">
        <w:t xml:space="preserve">and </w:t>
      </w:r>
      <w:r w:rsidR="00902084">
        <w:t>reflects</w:t>
      </w:r>
      <w:r w:rsidR="00DB070D">
        <w:t xml:space="preserve"> </w:t>
      </w:r>
      <w:r w:rsidR="0064714A" w:rsidRPr="0064714A">
        <w:t>that:</w:t>
      </w:r>
    </w:p>
    <w:p w14:paraId="3719EC04" w14:textId="380104AE" w:rsidR="0064714A" w:rsidRDefault="0064714A" w:rsidP="00634DA0">
      <w:pPr>
        <w:pStyle w:val="ListBullet"/>
      </w:pPr>
      <w:r w:rsidRPr="0064714A">
        <w:t xml:space="preserve">the management of operational risk is foremost the responsibility of an APRA-regulated entity’s business </w:t>
      </w:r>
      <w:r w:rsidR="00FA2B8A">
        <w:t>lines</w:t>
      </w:r>
      <w:r w:rsidRPr="0064714A">
        <w:t xml:space="preserve">, and should </w:t>
      </w:r>
      <w:r w:rsidR="00C00B60">
        <w:t xml:space="preserve">therefore </w:t>
      </w:r>
      <w:r w:rsidRPr="0064714A">
        <w:t xml:space="preserve">be embedded within the </w:t>
      </w:r>
      <w:r w:rsidR="00FA2B8A">
        <w:t xml:space="preserve">respective </w:t>
      </w:r>
      <w:r w:rsidRPr="0064714A">
        <w:t>business;</w:t>
      </w:r>
    </w:p>
    <w:p w14:paraId="52FD8800" w14:textId="1026D991" w:rsidR="0054636D" w:rsidRPr="0064714A" w:rsidRDefault="0054636D" w:rsidP="00634DA0">
      <w:pPr>
        <w:pStyle w:val="ListBullet"/>
      </w:pPr>
      <w:r w:rsidRPr="0054636D">
        <w:t xml:space="preserve">senior managers within the business </w:t>
      </w:r>
      <w:r>
        <w:t>are</w:t>
      </w:r>
      <w:r w:rsidRPr="0054636D">
        <w:t xml:space="preserve"> </w:t>
      </w:r>
      <w:r>
        <w:t>responsible</w:t>
      </w:r>
      <w:r w:rsidRPr="0054636D">
        <w:t xml:space="preserve"> for the ownership and management of operational risk across </w:t>
      </w:r>
      <w:r w:rsidR="00AA44CD">
        <w:t>an</w:t>
      </w:r>
      <w:r>
        <w:t xml:space="preserve"> </w:t>
      </w:r>
      <w:r w:rsidRPr="0054636D">
        <w:t>entity’s end-to-end processes</w:t>
      </w:r>
      <w:r>
        <w:t>;</w:t>
      </w:r>
      <w:r w:rsidR="006528CF">
        <w:t xml:space="preserve"> and</w:t>
      </w:r>
    </w:p>
    <w:p w14:paraId="6E9966DE" w14:textId="0104F71B" w:rsidR="0054636D" w:rsidRDefault="0064714A" w:rsidP="00634DA0">
      <w:pPr>
        <w:pStyle w:val="ListBullet"/>
      </w:pPr>
      <w:r w:rsidRPr="0064714A">
        <w:t xml:space="preserve">the Board is ultimately </w:t>
      </w:r>
      <w:r w:rsidR="00AA44CD">
        <w:t>accountable</w:t>
      </w:r>
      <w:r w:rsidRPr="0064714A">
        <w:t xml:space="preserve"> for </w:t>
      </w:r>
      <w:r w:rsidR="00AA44CD">
        <w:t>the oversight</w:t>
      </w:r>
      <w:r w:rsidRPr="0064714A">
        <w:t xml:space="preserve"> of operational risk </w:t>
      </w:r>
      <w:proofErr w:type="gramStart"/>
      <w:r w:rsidRPr="0064714A">
        <w:t>management</w:t>
      </w:r>
      <w:r w:rsidR="003F4B43">
        <w:t xml:space="preserve">, </w:t>
      </w:r>
      <w:r w:rsidR="00AA44CD">
        <w:t>and</w:t>
      </w:r>
      <w:proofErr w:type="gramEnd"/>
      <w:r w:rsidR="00AA44CD">
        <w:t xml:space="preserve"> is</w:t>
      </w:r>
      <w:r w:rsidRPr="0064714A">
        <w:t xml:space="preserve"> expected to ensure that </w:t>
      </w:r>
      <w:r w:rsidR="00925111">
        <w:t xml:space="preserve">senior management effectively implements </w:t>
      </w:r>
      <w:r w:rsidR="00FA2B8A">
        <w:t xml:space="preserve">and maintains </w:t>
      </w:r>
      <w:r w:rsidR="00AA44CD">
        <w:t xml:space="preserve">the </w:t>
      </w:r>
      <w:r w:rsidR="00925111">
        <w:t>framework</w:t>
      </w:r>
      <w:r w:rsidR="00131527">
        <w:t>.</w:t>
      </w:r>
    </w:p>
    <w:p w14:paraId="7A460A07" w14:textId="066E6431" w:rsidR="00086CC3" w:rsidRDefault="00F32176" w:rsidP="00FC6A2C">
      <w:bookmarkStart w:id="7" w:name="_Toc7595584"/>
      <w:bookmarkStart w:id="8" w:name="_Toc72858839"/>
      <w:r>
        <w:t xml:space="preserve">A key lesson from the </w:t>
      </w:r>
      <w:r w:rsidR="00086CC3" w:rsidRPr="00C3696C">
        <w:rPr>
          <w:i/>
        </w:rPr>
        <w:t>Royal Commission</w:t>
      </w:r>
      <w:r w:rsidR="00C3696C" w:rsidRPr="00C3696C">
        <w:rPr>
          <w:i/>
        </w:rPr>
        <w:t xml:space="preserve"> into Misconduct in the Banking, Superannuation and Financial Services Industry</w:t>
      </w:r>
      <w:r w:rsidR="00086CC3" w:rsidRPr="00C3696C">
        <w:rPr>
          <w:i/>
        </w:rPr>
        <w:t xml:space="preserve"> </w:t>
      </w:r>
      <w:r>
        <w:t xml:space="preserve">was </w:t>
      </w:r>
      <w:r w:rsidR="00086CC3">
        <w:t xml:space="preserve">the importance of strong oversight of non-financial risks, </w:t>
      </w:r>
      <w:r w:rsidR="00FA2B8A">
        <w:t>with</w:t>
      </w:r>
      <w:r w:rsidR="00086CC3" w:rsidRPr="00BE5B8F">
        <w:t xml:space="preserve"> the Board having the relevant information </w:t>
      </w:r>
      <w:r w:rsidR="00086CC3">
        <w:t xml:space="preserve">to allow it to discharge its responsibilities and make informed decisions. Given this, and weaknesses identified </w:t>
      </w:r>
      <w:r w:rsidR="00841C27">
        <w:t>by APRA as part of its supervision</w:t>
      </w:r>
      <w:r w:rsidR="00086CC3">
        <w:t xml:space="preserve"> in recent years, </w:t>
      </w:r>
      <w:r w:rsidR="00822F41">
        <w:t xml:space="preserve">draft </w:t>
      </w:r>
      <w:r w:rsidR="00086CC3">
        <w:t xml:space="preserve">CPS 230 </w:t>
      </w:r>
      <w:r>
        <w:t xml:space="preserve">specifically </w:t>
      </w:r>
      <w:r w:rsidR="00462D1C">
        <w:t xml:space="preserve">requires senior management to provide clear and comprehensive information to the Board on operational </w:t>
      </w:r>
      <w:r w:rsidR="00F1432A">
        <w:t>risk and</w:t>
      </w:r>
      <w:r w:rsidR="00CE3811">
        <w:t xml:space="preserve"> maintain appropriate and effective information systems to monitor the </w:t>
      </w:r>
      <w:r w:rsidR="00570EB0">
        <w:t>operational</w:t>
      </w:r>
      <w:r w:rsidR="00CE3811">
        <w:t xml:space="preserve"> risk profile</w:t>
      </w:r>
      <w:r w:rsidR="00086CC3">
        <w:t>.</w:t>
      </w:r>
    </w:p>
    <w:tbl>
      <w:tblPr>
        <w:tblStyle w:val="TableGrid"/>
        <w:tblW w:w="9026" w:type="dxa"/>
        <w:tblLayout w:type="fixed"/>
        <w:tblLook w:val="04A0" w:firstRow="1" w:lastRow="0" w:firstColumn="1" w:lastColumn="0" w:noHBand="0" w:noVBand="1"/>
      </w:tblPr>
      <w:tblGrid>
        <w:gridCol w:w="9026"/>
      </w:tblGrid>
      <w:tr w:rsidR="00805A1C" w:rsidRPr="00D86DB0" w14:paraId="3B284542" w14:textId="77777777" w:rsidTr="00824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E2F3FA" w:themeFill="accent6" w:themeFillTint="33"/>
          </w:tcPr>
          <w:p w14:paraId="7629C2EF" w14:textId="0AB3590C" w:rsidR="00805A1C" w:rsidRPr="00C6127A" w:rsidRDefault="00805A1C" w:rsidP="00805A1C">
            <w:pPr>
              <w:rPr>
                <w:color w:val="000000"/>
              </w:rPr>
            </w:pPr>
            <w:r w:rsidRPr="00C6127A">
              <w:rPr>
                <w:noProof/>
              </w:rPr>
              <w:drawing>
                <wp:inline distT="0" distB="0" distL="0" distR="0" wp14:anchorId="3425DD9D" wp14:editId="2BB3A3BB">
                  <wp:extent cx="403225" cy="3898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225" cy="389890"/>
                          </a:xfrm>
                          <a:prstGeom prst="rect">
                            <a:avLst/>
                          </a:prstGeom>
                          <a:noFill/>
                          <a:ln>
                            <a:noFill/>
                          </a:ln>
                        </pic:spPr>
                      </pic:pic>
                    </a:graphicData>
                  </a:graphic>
                </wp:inline>
              </w:drawing>
            </w:r>
            <w:r w:rsidRPr="00C6127A">
              <w:rPr>
                <w:color w:val="000000"/>
              </w:rPr>
              <w:t xml:space="preserve"> </w:t>
            </w:r>
            <w:r w:rsidRPr="00C6127A">
              <w:rPr>
                <w:rStyle w:val="Heading3Char"/>
              </w:rPr>
              <w:t>Case study: Banking as a Service</w:t>
            </w:r>
          </w:p>
        </w:tc>
      </w:tr>
      <w:tr w:rsidR="00824BF5" w:rsidRPr="00D86DB0" w14:paraId="25FD3138" w14:textId="77777777" w:rsidTr="00824B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E2F3FA" w:themeFill="accent6" w:themeFillTint="33"/>
          </w:tcPr>
          <w:p w14:paraId="3369DA9F" w14:textId="50EC41B3" w:rsidR="004D2453" w:rsidRPr="000A5850" w:rsidRDefault="00411993" w:rsidP="000A5850">
            <w:pPr>
              <w:rPr>
                <w:color w:val="000000"/>
              </w:rPr>
            </w:pPr>
            <w:r>
              <w:t xml:space="preserve">Banking as a </w:t>
            </w:r>
            <w:r w:rsidR="003B7A7B">
              <w:t>S</w:t>
            </w:r>
            <w:r>
              <w:t xml:space="preserve">ervice (BaaS) is a </w:t>
            </w:r>
            <w:r w:rsidR="00F32176">
              <w:t xml:space="preserve">business </w:t>
            </w:r>
            <w:r>
              <w:t>model where</w:t>
            </w:r>
            <w:r w:rsidR="00DC06D0">
              <w:t>by</w:t>
            </w:r>
            <w:r>
              <w:t xml:space="preserve"> </w:t>
            </w:r>
            <w:r w:rsidRPr="00411993">
              <w:t xml:space="preserve">an ADI provides third parties access to a </w:t>
            </w:r>
            <w:r w:rsidR="00DC06D0">
              <w:t xml:space="preserve">technology </w:t>
            </w:r>
            <w:r w:rsidRPr="00411993">
              <w:t>platform</w:t>
            </w:r>
            <w:r>
              <w:t>,</w:t>
            </w:r>
            <w:r w:rsidRPr="00411993">
              <w:t xml:space="preserve"> so they can </w:t>
            </w:r>
            <w:r w:rsidR="00DC06D0">
              <w:t>allow their</w:t>
            </w:r>
            <w:r w:rsidR="00DC06D0" w:rsidRPr="00411993">
              <w:t xml:space="preserve"> </w:t>
            </w:r>
            <w:r w:rsidRPr="00411993">
              <w:t xml:space="preserve">customers to </w:t>
            </w:r>
            <w:r w:rsidR="00DC06D0">
              <w:t xml:space="preserve">utilise </w:t>
            </w:r>
            <w:r>
              <w:t xml:space="preserve">the ADI’s </w:t>
            </w:r>
            <w:r w:rsidRPr="00411993">
              <w:t>banking services.</w:t>
            </w:r>
          </w:p>
          <w:p w14:paraId="12A157A8" w14:textId="77777777" w:rsidR="000A5850" w:rsidRPr="004D2453" w:rsidRDefault="000A5850" w:rsidP="000A5850">
            <w:pPr>
              <w:rPr>
                <w:color w:val="000000"/>
              </w:rPr>
            </w:pPr>
          </w:p>
          <w:p w14:paraId="2622F427" w14:textId="166C4F51" w:rsidR="005D4C29" w:rsidRPr="00015694" w:rsidRDefault="00411993" w:rsidP="000A5850">
            <w:pPr>
              <w:rPr>
                <w:color w:val="000000"/>
              </w:rPr>
            </w:pPr>
            <w:r w:rsidRPr="00411993">
              <w:t xml:space="preserve">An ADI would need to ensure the </w:t>
            </w:r>
            <w:r w:rsidR="00777407">
              <w:t xml:space="preserve">BaaS </w:t>
            </w:r>
            <w:r w:rsidRPr="00411993">
              <w:t xml:space="preserve">arrangement meets the requirements in </w:t>
            </w:r>
            <w:r w:rsidR="00822F41">
              <w:t xml:space="preserve">draft </w:t>
            </w:r>
            <w:r w:rsidRPr="00411993">
              <w:t>CPS 230</w:t>
            </w:r>
            <w:r w:rsidR="007E35B9">
              <w:t>,</w:t>
            </w:r>
            <w:r w:rsidRPr="00411993">
              <w:t xml:space="preserve"> and that the operational resilience of the ADI </w:t>
            </w:r>
            <w:r>
              <w:t>would</w:t>
            </w:r>
            <w:r w:rsidRPr="00411993">
              <w:t xml:space="preserve"> not </w:t>
            </w:r>
            <w:r>
              <w:t xml:space="preserve">be </w:t>
            </w:r>
            <w:r w:rsidRPr="00411993">
              <w:t>compromised</w:t>
            </w:r>
            <w:r w:rsidR="00AB6E63">
              <w:t>, for example through money laundering, cyber-risk vulnerability or breaches of data confidentiality</w:t>
            </w:r>
            <w:r w:rsidRPr="00411993">
              <w:t>.</w:t>
            </w:r>
            <w:r>
              <w:t xml:space="preserve"> This includes</w:t>
            </w:r>
            <w:r w:rsidR="004D2453">
              <w:t xml:space="preserve"> proposed specific</w:t>
            </w:r>
            <w:r>
              <w:t xml:space="preserve"> requirements for an</w:t>
            </w:r>
            <w:r w:rsidR="005D4C29" w:rsidRPr="005D4C29">
              <w:t xml:space="preserve"> APRA-regulated entity </w:t>
            </w:r>
            <w:r>
              <w:t>to</w:t>
            </w:r>
            <w:r w:rsidR="005D4C29" w:rsidRPr="005D4C29">
              <w:t xml:space="preserve"> </w:t>
            </w:r>
            <w:bookmarkStart w:id="9" w:name="_Toc90283508"/>
            <w:r w:rsidR="005D4C29" w:rsidRPr="005D4C29">
              <w:t xml:space="preserve">conduct a comprehensive risk assessment before providing a material service to another party, to ensure that it </w:t>
            </w:r>
            <w:r w:rsidR="00040FC6">
              <w:t>can</w:t>
            </w:r>
            <w:r w:rsidR="005D4C29" w:rsidRPr="005D4C29">
              <w:t xml:space="preserve"> continue to meet its prudential obligations after </w:t>
            </w:r>
            <w:r w:rsidR="00F1432A" w:rsidRPr="005D4C29">
              <w:t>entering</w:t>
            </w:r>
            <w:r w:rsidR="005D4C29" w:rsidRPr="005D4C29">
              <w:t xml:space="preserve"> the arrangement. </w:t>
            </w:r>
            <w:bookmarkEnd w:id="9"/>
          </w:p>
        </w:tc>
      </w:tr>
    </w:tbl>
    <w:p w14:paraId="474E6718" w14:textId="77777777" w:rsidR="00A9087D" w:rsidRDefault="00A9087D" w:rsidP="00A9087D">
      <w:pPr>
        <w:pStyle w:val="Heading2Numbers"/>
        <w:numPr>
          <w:ilvl w:val="0"/>
          <w:numId w:val="0"/>
        </w:numPr>
      </w:pPr>
      <w:r>
        <w:t>New products and activities</w:t>
      </w:r>
    </w:p>
    <w:p w14:paraId="25D5DA1D" w14:textId="251B8B67" w:rsidR="00A9087D" w:rsidRPr="001B04D0" w:rsidRDefault="009629D7" w:rsidP="00A9087D">
      <w:r>
        <w:t>D</w:t>
      </w:r>
      <w:r w:rsidR="004A6345">
        <w:t>raft</w:t>
      </w:r>
      <w:r w:rsidR="00A9087D">
        <w:t xml:space="preserve"> CPS 230 require</w:t>
      </w:r>
      <w:r w:rsidR="00DC06D0">
        <w:t>s</w:t>
      </w:r>
      <w:r w:rsidR="00A9087D">
        <w:t xml:space="preserve"> an APRA-regulated entity to assess the impact of new products</w:t>
      </w:r>
      <w:r w:rsidR="00AC24DD">
        <w:t xml:space="preserve">, services, </w:t>
      </w:r>
      <w:proofErr w:type="gramStart"/>
      <w:r w:rsidR="00AC24DD">
        <w:t>geographies</w:t>
      </w:r>
      <w:proofErr w:type="gramEnd"/>
      <w:r w:rsidR="00AC24DD">
        <w:t xml:space="preserve"> and technologies</w:t>
      </w:r>
      <w:r w:rsidR="00A9087D">
        <w:t xml:space="preserve"> </w:t>
      </w:r>
      <w:r w:rsidR="000A5850">
        <w:t xml:space="preserve">on </w:t>
      </w:r>
      <w:r w:rsidR="00A9087D">
        <w:t xml:space="preserve">its operational risk profile. New products or changes that </w:t>
      </w:r>
      <w:r w:rsidR="00AC24DD">
        <w:t xml:space="preserve">materially </w:t>
      </w:r>
      <w:r w:rsidR="00A9087D">
        <w:t>alter the nature of a product offering typically impact an entit</w:t>
      </w:r>
      <w:r w:rsidR="00966A8A">
        <w:t>y’</w:t>
      </w:r>
      <w:r w:rsidR="00A9087D">
        <w:t>s operational risk profile</w:t>
      </w:r>
      <w:r w:rsidR="00AC24DD">
        <w:t xml:space="preserve"> and may require changes to controls and risk management processes</w:t>
      </w:r>
      <w:r w:rsidR="00A9087D">
        <w:t>.</w:t>
      </w:r>
    </w:p>
    <w:p w14:paraId="181D4E93" w14:textId="7229F806" w:rsidR="00A9087D" w:rsidRDefault="007665C9" w:rsidP="00A9087D">
      <w:r>
        <w:t>E</w:t>
      </w:r>
      <w:r w:rsidR="00A9087D">
        <w:t xml:space="preserve">merging technologies </w:t>
      </w:r>
      <w:r>
        <w:t>may</w:t>
      </w:r>
      <w:r w:rsidR="00A9087D">
        <w:t xml:space="preserve"> result in novel operational risks for APRA-regulated entities. These risks </w:t>
      </w:r>
      <w:r w:rsidR="00AC24DD">
        <w:t>need to</w:t>
      </w:r>
      <w:r w:rsidR="00A9087D">
        <w:t xml:space="preserve"> be clearly understood</w:t>
      </w:r>
      <w:r w:rsidR="00AC24DD">
        <w:t>,</w:t>
      </w:r>
      <w:r w:rsidR="00A9087D">
        <w:t xml:space="preserve"> so that sound decisions </w:t>
      </w:r>
      <w:r>
        <w:t>are</w:t>
      </w:r>
      <w:r w:rsidR="00A9087D">
        <w:t xml:space="preserve"> </w:t>
      </w:r>
      <w:proofErr w:type="gramStart"/>
      <w:r w:rsidR="00A9087D">
        <w:t>made</w:t>
      </w:r>
      <w:proofErr w:type="gramEnd"/>
      <w:r w:rsidR="00A9087D">
        <w:t xml:space="preserve"> and appropriate controls are put in place</w:t>
      </w:r>
      <w:r>
        <w:t>,</w:t>
      </w:r>
      <w:r w:rsidR="00A9087D">
        <w:t xml:space="preserve"> </w:t>
      </w:r>
      <w:r w:rsidR="00040FC6">
        <w:t xml:space="preserve">together </w:t>
      </w:r>
      <w:r w:rsidR="00AC24DD">
        <w:t>with</w:t>
      </w:r>
      <w:r w:rsidR="00A9087D">
        <w:t xml:space="preserve"> </w:t>
      </w:r>
      <w:r>
        <w:t>robust</w:t>
      </w:r>
      <w:r w:rsidR="00A9087D">
        <w:t xml:space="preserve"> management and monitoring.</w:t>
      </w:r>
    </w:p>
    <w:tbl>
      <w:tblPr>
        <w:tblStyle w:val="TableGrid"/>
        <w:tblW w:w="9026" w:type="dxa"/>
        <w:tblLayout w:type="fixed"/>
        <w:tblLook w:val="04A0" w:firstRow="1" w:lastRow="0" w:firstColumn="1" w:lastColumn="0" w:noHBand="0" w:noVBand="1"/>
      </w:tblPr>
      <w:tblGrid>
        <w:gridCol w:w="9026"/>
      </w:tblGrid>
      <w:tr w:rsidR="00805A1C" w:rsidRPr="00D86DB0" w14:paraId="59A09149" w14:textId="77777777" w:rsidTr="005D4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E2F3FA" w:themeFill="accent6" w:themeFillTint="33"/>
          </w:tcPr>
          <w:p w14:paraId="6C8C337F" w14:textId="0F280B05" w:rsidR="00805A1C" w:rsidRDefault="00805A1C" w:rsidP="003E255F">
            <w:r>
              <w:rPr>
                <w:noProof/>
              </w:rPr>
              <w:drawing>
                <wp:inline distT="0" distB="0" distL="0" distR="0" wp14:anchorId="6488F1D4" wp14:editId="007DA146">
                  <wp:extent cx="402590" cy="3898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590" cy="389890"/>
                          </a:xfrm>
                          <a:prstGeom prst="rect">
                            <a:avLst/>
                          </a:prstGeom>
                          <a:noFill/>
                        </pic:spPr>
                      </pic:pic>
                    </a:graphicData>
                  </a:graphic>
                </wp:inline>
              </w:drawing>
            </w:r>
            <w:r>
              <w:t xml:space="preserve"> </w:t>
            </w:r>
            <w:r w:rsidRPr="00C6127A">
              <w:rPr>
                <w:rStyle w:val="Heading3Char"/>
              </w:rPr>
              <w:t xml:space="preserve">Managing the operational risks associated with </w:t>
            </w:r>
            <w:proofErr w:type="gramStart"/>
            <w:r w:rsidRPr="00C6127A">
              <w:rPr>
                <w:rStyle w:val="Heading3Char"/>
              </w:rPr>
              <w:t>crypto-assets</w:t>
            </w:r>
            <w:proofErr w:type="gramEnd"/>
          </w:p>
        </w:tc>
      </w:tr>
      <w:tr w:rsidR="00091C5E" w:rsidRPr="00D86DB0" w14:paraId="63A70CE2" w14:textId="77777777" w:rsidTr="005D4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E2F3FA" w:themeFill="accent6" w:themeFillTint="33"/>
          </w:tcPr>
          <w:p w14:paraId="1B7940AC" w14:textId="78A9AB9A" w:rsidR="007665C9" w:rsidRPr="00D94E10" w:rsidRDefault="007665C9" w:rsidP="003E255F">
            <w:pPr>
              <w:rPr>
                <w:rStyle w:val="FootnoteReference"/>
                <w:color w:val="000000"/>
                <w:sz w:val="20"/>
                <w:vertAlign w:val="baseline"/>
              </w:rPr>
            </w:pPr>
            <w:r>
              <w:t>O</w:t>
            </w:r>
            <w:r w:rsidR="00C9630F">
              <w:t xml:space="preserve">perational risks from activities and technologies associated with </w:t>
            </w:r>
            <w:proofErr w:type="gramStart"/>
            <w:r w:rsidR="00C9630F">
              <w:t>crypto-assets</w:t>
            </w:r>
            <w:proofErr w:type="gramEnd"/>
            <w:r w:rsidR="00C9630F">
              <w:t xml:space="preserve"> </w:t>
            </w:r>
            <w:r w:rsidR="00040FC6">
              <w:t>are</w:t>
            </w:r>
            <w:r w:rsidR="00C9630F">
              <w:t xml:space="preserve"> an example of a</w:t>
            </w:r>
            <w:r w:rsidR="00DC06D0">
              <w:t>n</w:t>
            </w:r>
            <w:r w:rsidR="00C9630F">
              <w:t xml:space="preserve"> emerging area where regulated entities will need to have prudent processes and controls.</w:t>
            </w:r>
            <w:r w:rsidR="00D94E10">
              <w:t xml:space="preserve"> </w:t>
            </w:r>
            <w:r w:rsidR="00C9630F" w:rsidRPr="00AF5C08">
              <w:rPr>
                <w:color w:val="000000"/>
              </w:rPr>
              <w:t>In</w:t>
            </w:r>
            <w:r w:rsidR="00982A14" w:rsidRPr="00AF5C08">
              <w:rPr>
                <w:color w:val="000000"/>
              </w:rPr>
              <w:t xml:space="preserve"> April 2022, </w:t>
            </w:r>
            <w:r w:rsidR="00C9630F" w:rsidRPr="00AF5C08">
              <w:rPr>
                <w:color w:val="000000"/>
              </w:rPr>
              <w:t>APRA wrote to regulated entities setting out</w:t>
            </w:r>
            <w:r w:rsidR="00C308A9" w:rsidRPr="00AF5C08">
              <w:rPr>
                <w:color w:val="000000"/>
              </w:rPr>
              <w:t xml:space="preserve"> initial risk management</w:t>
            </w:r>
            <w:r w:rsidR="00C9630F" w:rsidRPr="00AF5C08">
              <w:rPr>
                <w:color w:val="000000"/>
              </w:rPr>
              <w:t xml:space="preserve"> expectations</w:t>
            </w:r>
            <w:r w:rsidR="00982A14" w:rsidRPr="00AF5C08">
              <w:rPr>
                <w:color w:val="000000"/>
              </w:rPr>
              <w:t xml:space="preserve"> for </w:t>
            </w:r>
            <w:r w:rsidR="00C9630F" w:rsidRPr="00AF5C08">
              <w:rPr>
                <w:color w:val="000000"/>
              </w:rPr>
              <w:t>entities</w:t>
            </w:r>
            <w:r w:rsidR="00C308A9" w:rsidRPr="00AF5C08">
              <w:rPr>
                <w:color w:val="000000"/>
              </w:rPr>
              <w:t xml:space="preserve"> that engage</w:t>
            </w:r>
            <w:r w:rsidR="00C9630F" w:rsidRPr="00AF5C08">
              <w:rPr>
                <w:color w:val="000000"/>
              </w:rPr>
              <w:t xml:space="preserve"> in activities </w:t>
            </w:r>
            <w:r w:rsidR="00C308A9" w:rsidRPr="00AF5C08">
              <w:rPr>
                <w:color w:val="000000"/>
              </w:rPr>
              <w:t>associated with</w:t>
            </w:r>
            <w:r w:rsidR="00C9630F" w:rsidRPr="00AF5C08">
              <w:rPr>
                <w:color w:val="000000"/>
              </w:rPr>
              <w:t xml:space="preserve"> </w:t>
            </w:r>
            <w:proofErr w:type="gramStart"/>
            <w:r w:rsidR="00C9630F" w:rsidRPr="00AF5C08">
              <w:rPr>
                <w:color w:val="000000"/>
              </w:rPr>
              <w:t>crypto-assets</w:t>
            </w:r>
            <w:proofErr w:type="gramEnd"/>
            <w:r w:rsidR="00C9630F" w:rsidRPr="00AF5C08">
              <w:rPr>
                <w:color w:val="000000"/>
              </w:rPr>
              <w:t>.</w:t>
            </w:r>
            <w:r w:rsidR="003A29B0" w:rsidRPr="00AF5C08">
              <w:rPr>
                <w:rStyle w:val="FootnoteReference"/>
                <w:color w:val="000000"/>
              </w:rPr>
              <w:footnoteReference w:id="7"/>
            </w:r>
            <w:r w:rsidR="00C9630F" w:rsidRPr="00AF5C08">
              <w:rPr>
                <w:color w:val="000000"/>
              </w:rPr>
              <w:t xml:space="preserve"> APRA </w:t>
            </w:r>
            <w:r w:rsidR="00E8235E" w:rsidRPr="00AF5C08">
              <w:rPr>
                <w:color w:val="000000"/>
              </w:rPr>
              <w:t>noted that operational risk</w:t>
            </w:r>
            <w:r w:rsidR="00EC57DC">
              <w:rPr>
                <w:color w:val="000000"/>
              </w:rPr>
              <w:t xml:space="preserve"> management</w:t>
            </w:r>
            <w:r w:rsidR="002F13DF" w:rsidRPr="00AF5C08">
              <w:rPr>
                <w:color w:val="000000"/>
              </w:rPr>
              <w:t xml:space="preserve"> </w:t>
            </w:r>
            <w:r w:rsidR="00EC57DC">
              <w:rPr>
                <w:color w:val="000000"/>
              </w:rPr>
              <w:t>is</w:t>
            </w:r>
            <w:r w:rsidR="002F13DF" w:rsidRPr="00AF5C08">
              <w:rPr>
                <w:color w:val="000000"/>
              </w:rPr>
              <w:t xml:space="preserve"> particularly important, and encompass</w:t>
            </w:r>
            <w:r w:rsidR="00EC57DC">
              <w:rPr>
                <w:color w:val="000000"/>
              </w:rPr>
              <w:t>es</w:t>
            </w:r>
            <w:r w:rsidR="002F13DF" w:rsidRPr="00AF5C08">
              <w:rPr>
                <w:color w:val="000000"/>
              </w:rPr>
              <w:t xml:space="preserve"> fraud, cyber, conduct, AML/CTF and technology risks</w:t>
            </w:r>
            <w:r w:rsidR="00C9630F" w:rsidRPr="00AF5C08">
              <w:rPr>
                <w:color w:val="000000"/>
              </w:rPr>
              <w:t>.</w:t>
            </w:r>
          </w:p>
          <w:p w14:paraId="15B2B8EA" w14:textId="77777777" w:rsidR="007665C9" w:rsidRPr="00C6127A" w:rsidRDefault="007665C9" w:rsidP="00C6127A"/>
          <w:p w14:paraId="7D3A26CC" w14:textId="14091264" w:rsidR="00F935C9" w:rsidRPr="00F935C9" w:rsidRDefault="002F13DF" w:rsidP="00AF5C08">
            <w:pPr>
              <w:rPr>
                <w:color w:val="000000"/>
              </w:rPr>
            </w:pPr>
            <w:r w:rsidRPr="00AF5C08">
              <w:rPr>
                <w:rStyle w:val="FootnoteReference"/>
                <w:color w:val="000000"/>
                <w:sz w:val="20"/>
                <w:vertAlign w:val="baseline"/>
              </w:rPr>
              <w:t xml:space="preserve">APRA expects that all regulated entities will </w:t>
            </w:r>
            <w:r w:rsidR="00AF5C08">
              <w:rPr>
                <w:color w:val="000000"/>
              </w:rPr>
              <w:t>c</w:t>
            </w:r>
            <w:r w:rsidR="00AF5C08" w:rsidRPr="00AF5C08">
              <w:rPr>
                <w:color w:val="000000"/>
              </w:rPr>
              <w:t>onduct appropriate due diligence and a comprehensive risk assessment before engaging in activities associated with crypto-</w:t>
            </w:r>
            <w:proofErr w:type="gramStart"/>
            <w:r w:rsidR="00AF5C08" w:rsidRPr="00AF5C08">
              <w:rPr>
                <w:color w:val="000000"/>
              </w:rPr>
              <w:t>assets, and</w:t>
            </w:r>
            <w:proofErr w:type="gramEnd"/>
            <w:r w:rsidR="00AF5C08" w:rsidRPr="00AF5C08">
              <w:rPr>
                <w:color w:val="000000"/>
              </w:rPr>
              <w:t xml:space="preserve"> </w:t>
            </w:r>
            <w:r w:rsidR="00AF5C08">
              <w:rPr>
                <w:color w:val="000000"/>
              </w:rPr>
              <w:t>apply robust risk management controls.</w:t>
            </w:r>
            <w:r w:rsidR="006E6137">
              <w:rPr>
                <w:color w:val="000000"/>
              </w:rPr>
              <w:t xml:space="preserve"> </w:t>
            </w:r>
            <w:proofErr w:type="gramStart"/>
            <w:r w:rsidR="006E6137">
              <w:rPr>
                <w:color w:val="000000"/>
              </w:rPr>
              <w:t>In particular,</w:t>
            </w:r>
            <w:r w:rsidR="006E6137" w:rsidDel="009629D7">
              <w:rPr>
                <w:color w:val="000000"/>
              </w:rPr>
              <w:t xml:space="preserve"> </w:t>
            </w:r>
            <w:r w:rsidR="004A6345">
              <w:rPr>
                <w:color w:val="000000"/>
              </w:rPr>
              <w:t>draft</w:t>
            </w:r>
            <w:proofErr w:type="gramEnd"/>
            <w:r w:rsidR="004A6345">
              <w:rPr>
                <w:color w:val="000000"/>
              </w:rPr>
              <w:t xml:space="preserve"> </w:t>
            </w:r>
            <w:r w:rsidR="006E6137">
              <w:rPr>
                <w:color w:val="000000"/>
              </w:rPr>
              <w:t>CPS 230 would</w:t>
            </w:r>
            <w:r w:rsidR="00D94E10">
              <w:rPr>
                <w:color w:val="000000"/>
              </w:rPr>
              <w:t xml:space="preserve"> require an APRA-regulated entity to</w:t>
            </w:r>
            <w:r w:rsidR="00F935C9">
              <w:rPr>
                <w:color w:val="000000"/>
              </w:rPr>
              <w:t>:</w:t>
            </w:r>
          </w:p>
          <w:p w14:paraId="3AEF4DCF" w14:textId="77777777" w:rsidR="00F935C9" w:rsidRPr="00C6127A" w:rsidRDefault="00F935C9" w:rsidP="00C6127A">
            <w:pPr>
              <w:rPr>
                <w:color w:val="000000"/>
              </w:rPr>
            </w:pPr>
          </w:p>
          <w:p w14:paraId="33B9A6C1" w14:textId="2DC50732" w:rsidR="002F13DF" w:rsidRPr="00F935C9" w:rsidRDefault="006E6137" w:rsidP="00F935C9">
            <w:pPr>
              <w:pStyle w:val="ListBullet"/>
              <w:rPr>
                <w:color w:val="000000"/>
              </w:rPr>
            </w:pPr>
            <w:r>
              <w:rPr>
                <w:color w:val="000000"/>
              </w:rPr>
              <w:t xml:space="preserve">ensure </w:t>
            </w:r>
            <w:r w:rsidR="00F935C9">
              <w:rPr>
                <w:color w:val="000000"/>
              </w:rPr>
              <w:t xml:space="preserve">it assessed the impact of new products, services and technology on its operational risk </w:t>
            </w:r>
            <w:proofErr w:type="gramStart"/>
            <w:r w:rsidR="00F935C9">
              <w:rPr>
                <w:color w:val="000000"/>
              </w:rPr>
              <w:t>profile;</w:t>
            </w:r>
            <w:proofErr w:type="gramEnd"/>
          </w:p>
          <w:p w14:paraId="7A056D9F" w14:textId="77777777" w:rsidR="00F478FC" w:rsidRPr="00AF5C08" w:rsidRDefault="00F478FC" w:rsidP="00F478FC">
            <w:pPr>
              <w:pStyle w:val="ListBullet"/>
              <w:rPr>
                <w:color w:val="000000"/>
              </w:rPr>
            </w:pPr>
            <w:r>
              <w:rPr>
                <w:color w:val="000000"/>
              </w:rPr>
              <w:t xml:space="preserve">prudently manage arrangements with service providers, such as those that they may rely on in offering products associated with </w:t>
            </w:r>
            <w:proofErr w:type="gramStart"/>
            <w:r>
              <w:rPr>
                <w:color w:val="000000"/>
              </w:rPr>
              <w:t>crypto-assets</w:t>
            </w:r>
            <w:proofErr w:type="gramEnd"/>
            <w:r>
              <w:rPr>
                <w:color w:val="000000"/>
              </w:rPr>
              <w:t>; and</w:t>
            </w:r>
          </w:p>
          <w:p w14:paraId="70E42AFC" w14:textId="5E2AEC56" w:rsidR="00F935C9" w:rsidRPr="008F6F29" w:rsidRDefault="00960C05" w:rsidP="00F935C9">
            <w:pPr>
              <w:pStyle w:val="ListBullet"/>
              <w:rPr>
                <w:color w:val="000000"/>
              </w:rPr>
            </w:pPr>
            <w:r>
              <w:rPr>
                <w:color w:val="000000"/>
              </w:rPr>
              <w:t>conduct business continuity exercises</w:t>
            </w:r>
            <w:r w:rsidR="008F6F29">
              <w:rPr>
                <w:color w:val="000000"/>
              </w:rPr>
              <w:t xml:space="preserve"> that would cover a range of scenarios, including </w:t>
            </w:r>
            <w:r w:rsidR="00EC57DC">
              <w:rPr>
                <w:color w:val="000000"/>
              </w:rPr>
              <w:t xml:space="preserve">potential </w:t>
            </w:r>
            <w:r w:rsidR="008F6F29">
              <w:rPr>
                <w:color w:val="000000"/>
              </w:rPr>
              <w:t>disruptions to</w:t>
            </w:r>
            <w:r w:rsidR="008F6F29" w:rsidDel="00EC57DC">
              <w:rPr>
                <w:color w:val="000000"/>
              </w:rPr>
              <w:t xml:space="preserve"> </w:t>
            </w:r>
            <w:r w:rsidR="008F6F29">
              <w:rPr>
                <w:color w:val="000000"/>
              </w:rPr>
              <w:t>services provided by material service providers</w:t>
            </w:r>
            <w:r w:rsidR="00F478FC">
              <w:rPr>
                <w:color w:val="000000"/>
              </w:rPr>
              <w:t>.</w:t>
            </w:r>
          </w:p>
          <w:p w14:paraId="44DF9F37" w14:textId="77777777" w:rsidR="002F13DF" w:rsidRPr="00C6127A" w:rsidRDefault="002F13DF" w:rsidP="00C6127A">
            <w:pPr>
              <w:rPr>
                <w:color w:val="000000"/>
              </w:rPr>
            </w:pPr>
          </w:p>
          <w:p w14:paraId="55DB9319" w14:textId="225F1C2F" w:rsidR="00091C5E" w:rsidRPr="00015694" w:rsidRDefault="00015694" w:rsidP="00015694">
            <w:pPr>
              <w:rPr>
                <w:color w:val="000000"/>
              </w:rPr>
            </w:pPr>
            <w:r>
              <w:rPr>
                <w:color w:val="000000"/>
              </w:rPr>
              <w:t>A</w:t>
            </w:r>
            <w:r w:rsidRPr="00015694">
              <w:rPr>
                <w:color w:val="000000"/>
              </w:rPr>
              <w:t xml:space="preserve">PRA is </w:t>
            </w:r>
            <w:r w:rsidR="00DC06D0">
              <w:rPr>
                <w:color w:val="000000"/>
              </w:rPr>
              <w:t xml:space="preserve">considering the </w:t>
            </w:r>
            <w:r w:rsidR="00C21255">
              <w:rPr>
                <w:color w:val="000000"/>
              </w:rPr>
              <w:t>appropriate</w:t>
            </w:r>
            <w:r w:rsidRPr="00015694">
              <w:rPr>
                <w:color w:val="000000"/>
              </w:rPr>
              <w:t xml:space="preserve"> prudential framework for </w:t>
            </w:r>
            <w:proofErr w:type="gramStart"/>
            <w:r w:rsidRPr="00015694">
              <w:rPr>
                <w:color w:val="000000"/>
              </w:rPr>
              <w:t>crypto-assets</w:t>
            </w:r>
            <w:proofErr w:type="gramEnd"/>
            <w:r w:rsidRPr="00015694">
              <w:rPr>
                <w:color w:val="000000"/>
              </w:rPr>
              <w:t xml:space="preserve"> in Australia in consultation with other regulators</w:t>
            </w:r>
            <w:r w:rsidR="00040FC6">
              <w:rPr>
                <w:color w:val="000000"/>
              </w:rPr>
              <w:t xml:space="preserve"> domestically and</w:t>
            </w:r>
            <w:r w:rsidRPr="00015694">
              <w:rPr>
                <w:color w:val="000000"/>
              </w:rPr>
              <w:t xml:space="preserve"> internationally.</w:t>
            </w:r>
            <w:r>
              <w:rPr>
                <w:color w:val="000000"/>
              </w:rPr>
              <w:t xml:space="preserve"> </w:t>
            </w:r>
            <w:r w:rsidR="00E01734" w:rsidRPr="00E01734">
              <w:rPr>
                <w:color w:val="000000"/>
              </w:rPr>
              <w:t xml:space="preserve">This will include requirements for credit, market, liquidity and other risks associated with </w:t>
            </w:r>
            <w:proofErr w:type="gramStart"/>
            <w:r w:rsidR="00E01734" w:rsidRPr="00E01734">
              <w:rPr>
                <w:color w:val="000000"/>
              </w:rPr>
              <w:t>crypto-assets</w:t>
            </w:r>
            <w:proofErr w:type="gramEnd"/>
            <w:r w:rsidR="00E01734" w:rsidRPr="00E01734">
              <w:rPr>
                <w:color w:val="000000"/>
              </w:rPr>
              <w:t>.</w:t>
            </w:r>
            <w:r w:rsidR="004529EF">
              <w:rPr>
                <w:color w:val="000000"/>
              </w:rPr>
              <w:t xml:space="preserve"> </w:t>
            </w:r>
            <w:r>
              <w:rPr>
                <w:color w:val="000000"/>
              </w:rPr>
              <w:t xml:space="preserve">APRA plans to consult on </w:t>
            </w:r>
            <w:r w:rsidR="004529EF">
              <w:rPr>
                <w:color w:val="000000"/>
              </w:rPr>
              <w:t xml:space="preserve">draft </w:t>
            </w:r>
            <w:r>
              <w:rPr>
                <w:color w:val="000000"/>
              </w:rPr>
              <w:t xml:space="preserve">requirements for ADIs following the conclusion of the Basel Committee’s current </w:t>
            </w:r>
            <w:r w:rsidR="005A2877" w:rsidRPr="005A2877">
              <w:rPr>
                <w:i/>
                <w:color w:val="000000"/>
              </w:rPr>
              <w:t>C</w:t>
            </w:r>
            <w:r w:rsidRPr="005A2877">
              <w:rPr>
                <w:i/>
                <w:color w:val="000000"/>
              </w:rPr>
              <w:t>onsultation</w:t>
            </w:r>
            <w:r w:rsidR="007665C9" w:rsidRPr="005A2877">
              <w:rPr>
                <w:i/>
                <w:color w:val="000000"/>
              </w:rPr>
              <w:t xml:space="preserve"> on the prudential treatment for crypto-asset exposures</w:t>
            </w:r>
            <w:r>
              <w:rPr>
                <w:color w:val="000000"/>
              </w:rPr>
              <w:t xml:space="preserve">, which </w:t>
            </w:r>
            <w:r w:rsidR="007665C9">
              <w:rPr>
                <w:color w:val="000000"/>
              </w:rPr>
              <w:t>will</w:t>
            </w:r>
            <w:r>
              <w:rPr>
                <w:color w:val="000000"/>
              </w:rPr>
              <w:t xml:space="preserve"> </w:t>
            </w:r>
            <w:r w:rsidR="00252066">
              <w:rPr>
                <w:color w:val="000000"/>
              </w:rPr>
              <w:t>provide a starting point for prudential expectations for other APRA-regulated industries.</w:t>
            </w:r>
          </w:p>
        </w:tc>
      </w:tr>
    </w:tbl>
    <w:p w14:paraId="69F52FF7" w14:textId="4F1CF637" w:rsidR="0000673B" w:rsidRDefault="007151EF" w:rsidP="00CE3811">
      <w:pPr>
        <w:pStyle w:val="Heading2Numbers"/>
        <w:numPr>
          <w:ilvl w:val="0"/>
          <w:numId w:val="0"/>
        </w:numPr>
        <w:ind w:left="851" w:hanging="851"/>
      </w:pPr>
      <w:r>
        <w:t>Internal</w:t>
      </w:r>
      <w:r w:rsidR="0000673B">
        <w:t xml:space="preserve"> controls</w:t>
      </w:r>
    </w:p>
    <w:p w14:paraId="1A6E436A" w14:textId="3B13377B" w:rsidR="005A2877" w:rsidRDefault="005D4C29" w:rsidP="0098743E">
      <w:r>
        <w:t>APRA-regulated entities</w:t>
      </w:r>
      <w:r w:rsidR="00040FC6">
        <w:t xml:space="preserve"> should</w:t>
      </w:r>
      <w:r w:rsidR="00082C86">
        <w:t xml:space="preserve"> </w:t>
      </w:r>
      <w:r w:rsidR="00EC57DC">
        <w:t xml:space="preserve">maintain </w:t>
      </w:r>
      <w:r w:rsidR="00082C86">
        <w:t>internal controls</w:t>
      </w:r>
      <w:r w:rsidR="00463E14" w:rsidRPr="00463E14">
        <w:t xml:space="preserve"> to</w:t>
      </w:r>
      <w:r w:rsidR="00082C86">
        <w:t xml:space="preserve"> </w:t>
      </w:r>
      <w:r w:rsidR="00463E14" w:rsidRPr="00463E14">
        <w:t>detect</w:t>
      </w:r>
      <w:r w:rsidR="0027333C">
        <w:t xml:space="preserve"> and</w:t>
      </w:r>
      <w:r w:rsidR="00636008">
        <w:t xml:space="preserve"> manage </w:t>
      </w:r>
      <w:r w:rsidR="00463E14" w:rsidRPr="00463E14">
        <w:t>operational risk</w:t>
      </w:r>
      <w:r w:rsidR="00082C86">
        <w:t>s</w:t>
      </w:r>
      <w:r w:rsidR="0071473C">
        <w:t xml:space="preserve"> within appetite</w:t>
      </w:r>
      <w:r w:rsidR="00463E14" w:rsidRPr="00463E14">
        <w:t xml:space="preserve">. Given the criticality of the control environment to the management of operational risk, </w:t>
      </w:r>
      <w:r w:rsidR="004A6345">
        <w:t>draft</w:t>
      </w:r>
      <w:r w:rsidR="00636008">
        <w:t xml:space="preserve"> CPS 230 require</w:t>
      </w:r>
      <w:r w:rsidR="00DC06D0">
        <w:t>s</w:t>
      </w:r>
      <w:r w:rsidR="00636008" w:rsidRPr="00463E14">
        <w:t xml:space="preserve"> </w:t>
      </w:r>
      <w:r w:rsidR="00463E14" w:rsidRPr="00463E14">
        <w:t>entit</w:t>
      </w:r>
      <w:r w:rsidR="001A1AC4">
        <w:t>ies</w:t>
      </w:r>
      <w:r w:rsidR="00636008">
        <w:t xml:space="preserve"> to</w:t>
      </w:r>
      <w:r w:rsidR="00463E14" w:rsidRPr="00463E14">
        <w:t xml:space="preserve"> </w:t>
      </w:r>
      <w:r w:rsidR="001A1AC4">
        <w:t>ensure they maintain</w:t>
      </w:r>
      <w:r w:rsidR="00463E14" w:rsidRPr="00463E14">
        <w:t xml:space="preserve"> </w:t>
      </w:r>
      <w:r w:rsidR="00AF50F9">
        <w:t>effective</w:t>
      </w:r>
      <w:r w:rsidR="00463E14" w:rsidRPr="00463E14">
        <w:t xml:space="preserve"> control</w:t>
      </w:r>
      <w:r w:rsidR="00AF50F9">
        <w:t>s</w:t>
      </w:r>
      <w:r w:rsidR="001A1AC4">
        <w:t>, commensurate with</w:t>
      </w:r>
      <w:r w:rsidR="00177E6F" w:rsidRPr="00463E14">
        <w:t xml:space="preserve"> </w:t>
      </w:r>
      <w:r w:rsidR="00463E14" w:rsidRPr="00463E14">
        <w:t xml:space="preserve">the size, </w:t>
      </w:r>
      <w:r w:rsidR="00CB5E59">
        <w:t>business mix</w:t>
      </w:r>
      <w:r w:rsidR="00B556BD" w:rsidRPr="00463E14">
        <w:t xml:space="preserve"> </w:t>
      </w:r>
      <w:r w:rsidR="00463E14" w:rsidRPr="00463E14">
        <w:t xml:space="preserve">and complexity of </w:t>
      </w:r>
      <w:r w:rsidR="001A1AC4">
        <w:t>their business</w:t>
      </w:r>
      <w:r w:rsidR="00463E14" w:rsidRPr="00463E14">
        <w:t xml:space="preserve"> activities.</w:t>
      </w:r>
    </w:p>
    <w:p w14:paraId="0AC3DDFC" w14:textId="251E7586" w:rsidR="00CF3E6A" w:rsidRDefault="00463E14" w:rsidP="00FB43EE">
      <w:r w:rsidRPr="00463E14">
        <w:t xml:space="preserve">APRA expects that </w:t>
      </w:r>
      <w:r w:rsidR="00DB3452">
        <w:t xml:space="preserve">internal </w:t>
      </w:r>
      <w:r w:rsidRPr="00463E14">
        <w:t>control</w:t>
      </w:r>
      <w:r w:rsidR="001A1AC4">
        <w:t>s</w:t>
      </w:r>
      <w:r w:rsidRPr="00463E14">
        <w:t xml:space="preserve"> would be sufficiently developed to effectively mitigate operational </w:t>
      </w:r>
      <w:r w:rsidR="00F1432A" w:rsidRPr="00463E14">
        <w:t>risk</w:t>
      </w:r>
      <w:r w:rsidR="00F1432A">
        <w:t>s</w:t>
      </w:r>
      <w:r w:rsidR="00F1432A" w:rsidRPr="00463E14">
        <w:t xml:space="preserve"> </w:t>
      </w:r>
      <w:r w:rsidR="00DC06D0">
        <w:t xml:space="preserve">to within </w:t>
      </w:r>
      <w:r w:rsidR="0048684F">
        <w:t>an</w:t>
      </w:r>
      <w:r w:rsidR="00DC06D0">
        <w:t xml:space="preserve"> </w:t>
      </w:r>
      <w:r w:rsidR="00F17A86">
        <w:t>entity</w:t>
      </w:r>
      <w:r w:rsidR="00DC06D0">
        <w:t xml:space="preserve">’s risk appetite </w:t>
      </w:r>
      <w:r w:rsidR="00F1432A" w:rsidRPr="00463E14">
        <w:t>and</w:t>
      </w:r>
      <w:r w:rsidRPr="00463E14">
        <w:t xml:space="preserve"> </w:t>
      </w:r>
      <w:r w:rsidR="00D26C06">
        <w:t>would be</w:t>
      </w:r>
      <w:r w:rsidR="00D26C06" w:rsidRPr="00463E14">
        <w:t xml:space="preserve"> </w:t>
      </w:r>
      <w:r w:rsidRPr="00463E14">
        <w:t xml:space="preserve">regularly reviewed and tested. </w:t>
      </w:r>
      <w:r w:rsidR="00DB3452">
        <w:t>Shortcomings and weaknesses</w:t>
      </w:r>
      <w:r w:rsidR="00DB3452" w:rsidRPr="00463E14">
        <w:t xml:space="preserve"> </w:t>
      </w:r>
      <w:r w:rsidRPr="00463E14">
        <w:t xml:space="preserve">identified in relation to </w:t>
      </w:r>
      <w:r w:rsidR="00DB3452">
        <w:t xml:space="preserve">internal </w:t>
      </w:r>
      <w:r w:rsidRPr="00463E14">
        <w:t>control</w:t>
      </w:r>
      <w:r w:rsidR="001A1AC4">
        <w:t>s would need to be</w:t>
      </w:r>
      <w:r w:rsidRPr="00463E14">
        <w:t xml:space="preserve"> rectified in a timely manner</w:t>
      </w:r>
      <w:r w:rsidR="00A06BF6" w:rsidDel="00EC57DC">
        <w:t>,</w:t>
      </w:r>
      <w:r w:rsidRPr="00463E14">
        <w:t xml:space="preserve"> to reduce the risk of a control failure</w:t>
      </w:r>
      <w:r w:rsidR="001A1AC4">
        <w:t xml:space="preserve"> at the point when it is most needed</w:t>
      </w:r>
      <w:r w:rsidRPr="00463E14">
        <w:t>.</w:t>
      </w:r>
      <w:r w:rsidR="001A1AC4">
        <w:t xml:space="preserve"> </w:t>
      </w:r>
      <w:r w:rsidR="000A1530">
        <w:t xml:space="preserve">A clear understanding of </w:t>
      </w:r>
      <w:r w:rsidR="00BE26F7">
        <w:t xml:space="preserve">the end-to-end </w:t>
      </w:r>
      <w:r w:rsidR="000A1530">
        <w:t xml:space="preserve">processes </w:t>
      </w:r>
      <w:r w:rsidR="00BE26F7">
        <w:t xml:space="preserve">underpinning </w:t>
      </w:r>
      <w:r w:rsidR="00EC57DC">
        <w:t>critical</w:t>
      </w:r>
      <w:r w:rsidR="00BE26F7">
        <w:t xml:space="preserve"> operations </w:t>
      </w:r>
      <w:r w:rsidR="00507DD5">
        <w:t>is</w:t>
      </w:r>
      <w:r w:rsidR="000A1530" w:rsidDel="00EC57DC">
        <w:t xml:space="preserve"> </w:t>
      </w:r>
      <w:r w:rsidR="001A1AC4">
        <w:t xml:space="preserve">also </w:t>
      </w:r>
      <w:r w:rsidR="00EC57DC">
        <w:t>vital</w:t>
      </w:r>
      <w:r w:rsidR="00A06BF6">
        <w:t>: it ensures an entity can</w:t>
      </w:r>
      <w:r w:rsidR="000A1530">
        <w:t xml:space="preserve"> identify its </w:t>
      </w:r>
      <w:r w:rsidR="001A1AC4">
        <w:t xml:space="preserve">obligations, </w:t>
      </w:r>
      <w:r w:rsidR="000A1530">
        <w:t>risks</w:t>
      </w:r>
      <w:r w:rsidR="00006DEC">
        <w:t>,</w:t>
      </w:r>
      <w:r w:rsidR="000A1530">
        <w:t xml:space="preserve"> </w:t>
      </w:r>
      <w:r w:rsidR="001A1AC4">
        <w:t>required</w:t>
      </w:r>
      <w:r w:rsidR="003C2C26">
        <w:t xml:space="preserve"> </w:t>
      </w:r>
      <w:r w:rsidR="000A1530">
        <w:t xml:space="preserve">controls and </w:t>
      </w:r>
      <w:r w:rsidR="0075132F">
        <w:t xml:space="preserve">necessary </w:t>
      </w:r>
      <w:r w:rsidR="000A1530">
        <w:t>mo</w:t>
      </w:r>
      <w:r w:rsidR="00E54F28">
        <w:t>nitoring mechanisms</w:t>
      </w:r>
      <w:r w:rsidR="001A1AC4">
        <w:t>, as well as</w:t>
      </w:r>
      <w:r w:rsidR="00006DEC">
        <w:t xml:space="preserve"> understand the impact of business decisions on operational resilience</w:t>
      </w:r>
      <w:r w:rsidR="00E54F28">
        <w:t>.</w:t>
      </w:r>
      <w:bookmarkEnd w:id="7"/>
      <w:bookmarkEnd w:id="8"/>
    </w:p>
    <w:p w14:paraId="07B33491" w14:textId="3C59F84B" w:rsidR="0074270F" w:rsidRDefault="00634359" w:rsidP="00634359">
      <w:pPr>
        <w:pStyle w:val="Heading2Numbers"/>
        <w:numPr>
          <w:ilvl w:val="0"/>
          <w:numId w:val="0"/>
        </w:numPr>
        <w:ind w:left="851" w:hanging="851"/>
      </w:pPr>
      <w:r>
        <w:t>Incident management</w:t>
      </w:r>
    </w:p>
    <w:p w14:paraId="2B6981DF" w14:textId="1EF226DB" w:rsidR="00175CD9" w:rsidRDefault="004A6345" w:rsidP="001C6191">
      <w:r>
        <w:t>Draft</w:t>
      </w:r>
      <w:r w:rsidR="00634359" w:rsidRPr="001C6191">
        <w:t xml:space="preserve"> CPS 230 </w:t>
      </w:r>
      <w:r w:rsidR="001A1AC4">
        <w:t xml:space="preserve">would </w:t>
      </w:r>
      <w:r w:rsidR="00634359" w:rsidRPr="001C6191">
        <w:t>require an enti</w:t>
      </w:r>
      <w:r w:rsidR="00EC57DC">
        <w:t>t</w:t>
      </w:r>
      <w:r w:rsidR="00634359" w:rsidRPr="001C6191" w:rsidDel="00EC57DC">
        <w:t>y</w:t>
      </w:r>
      <w:r w:rsidR="00634359" w:rsidRPr="001C6191">
        <w:t xml:space="preserve"> to ensure that </w:t>
      </w:r>
      <w:r w:rsidR="001C6191" w:rsidRPr="001C6191">
        <w:t xml:space="preserve">operational risk incidents and near misses are identified, </w:t>
      </w:r>
      <w:proofErr w:type="gramStart"/>
      <w:r w:rsidR="00770C81">
        <w:t>reported</w:t>
      </w:r>
      <w:proofErr w:type="gramEnd"/>
      <w:r w:rsidR="001C6191" w:rsidRPr="001C6191">
        <w:t xml:space="preserve"> and addressed in a timely manner.</w:t>
      </w:r>
      <w:r w:rsidR="001C6191">
        <w:t xml:space="preserve"> Entities </w:t>
      </w:r>
      <w:r w:rsidR="001A1AC4">
        <w:t>would</w:t>
      </w:r>
      <w:r w:rsidR="001C6191">
        <w:t xml:space="preserve"> also </w:t>
      </w:r>
      <w:r w:rsidR="00DB3452">
        <w:t xml:space="preserve">be required to </w:t>
      </w:r>
      <w:r w:rsidR="001C6191" w:rsidRPr="00CF3E6A">
        <w:t xml:space="preserve">notify APRA as soon as possible, and not later than </w:t>
      </w:r>
      <w:r w:rsidR="001C6191">
        <w:t xml:space="preserve">within </w:t>
      </w:r>
      <w:r w:rsidR="001C6191" w:rsidRPr="00CF3E6A">
        <w:t>72 hours of becoming aware of an operational risk incident that it determines to be material</w:t>
      </w:r>
      <w:r w:rsidR="001C6191">
        <w:t>.</w:t>
      </w:r>
      <w:r w:rsidR="004A3245">
        <w:t xml:space="preserve"> </w:t>
      </w:r>
      <w:r w:rsidR="001A1AC4">
        <w:t>T</w:t>
      </w:r>
      <w:r w:rsidR="004A3245">
        <w:t>hese notifications</w:t>
      </w:r>
      <w:r w:rsidR="001A1AC4">
        <w:t xml:space="preserve"> are designed to ensure that</w:t>
      </w:r>
      <w:r w:rsidR="004A3245">
        <w:t xml:space="preserve"> APRA </w:t>
      </w:r>
      <w:r w:rsidR="001A1AC4">
        <w:t xml:space="preserve">is </w:t>
      </w:r>
      <w:r w:rsidR="004A3245">
        <w:t>informed of material operational risk incidents</w:t>
      </w:r>
      <w:r w:rsidR="00A155FD">
        <w:t>, and able to assess</w:t>
      </w:r>
      <w:r w:rsidR="004A3245">
        <w:t xml:space="preserve"> </w:t>
      </w:r>
      <w:r w:rsidR="00040FC6">
        <w:t xml:space="preserve">and respond to </w:t>
      </w:r>
      <w:r w:rsidR="001F05DF">
        <w:t xml:space="preserve">the potential for broader </w:t>
      </w:r>
      <w:r w:rsidR="00916D58">
        <w:t xml:space="preserve">impacts on </w:t>
      </w:r>
      <w:r w:rsidR="00A155FD">
        <w:t xml:space="preserve">the </w:t>
      </w:r>
      <w:r w:rsidR="00916D58">
        <w:t xml:space="preserve">financial </w:t>
      </w:r>
      <w:r w:rsidR="00A155FD">
        <w:t>system</w:t>
      </w:r>
      <w:r w:rsidR="00916D58">
        <w:t>.</w:t>
      </w:r>
    </w:p>
    <w:p w14:paraId="09494BAE" w14:textId="77777777" w:rsidR="005A3A5F" w:rsidRPr="005A3A5F" w:rsidRDefault="005A3A5F" w:rsidP="005A3A5F">
      <w:pPr>
        <w:numPr>
          <w:ilvl w:val="0"/>
          <w:numId w:val="0"/>
        </w:numPr>
      </w:pPr>
    </w:p>
    <w:p w14:paraId="649DCCFD" w14:textId="084E0C17" w:rsidR="007D0B90" w:rsidRPr="005A3A5F" w:rsidRDefault="007D0B90" w:rsidP="005A3A5F">
      <w:pPr>
        <w:pStyle w:val="CommentText"/>
      </w:pPr>
      <w:r w:rsidRPr="005A3A5F">
        <w:t xml:space="preserve"> </w:t>
      </w:r>
    </w:p>
    <w:p w14:paraId="219DD972" w14:textId="386B5641" w:rsidR="007D0B90" w:rsidRPr="005A3A5F" w:rsidRDefault="007D0B90" w:rsidP="005A3A5F"/>
    <w:p w14:paraId="0C182779" w14:textId="60AA6843" w:rsidR="0064714A" w:rsidRPr="00C736F6" w:rsidRDefault="00EF5F08" w:rsidP="0064714A">
      <w:pPr>
        <w:pStyle w:val="Heading1Numbers"/>
      </w:pPr>
      <w:bookmarkStart w:id="10" w:name="_Toc109287991"/>
      <w:r>
        <w:t>Business continuity</w:t>
      </w:r>
      <w:bookmarkEnd w:id="10"/>
    </w:p>
    <w:p w14:paraId="31E561B3" w14:textId="58A54210" w:rsidR="00AC06A3" w:rsidRDefault="004A6345" w:rsidP="00EF5F08">
      <w:pPr>
        <w:numPr>
          <w:ilvl w:val="0"/>
          <w:numId w:val="0"/>
        </w:numPr>
      </w:pPr>
      <w:r>
        <w:t>Draft</w:t>
      </w:r>
      <w:r w:rsidR="00275857">
        <w:t xml:space="preserve"> </w:t>
      </w:r>
      <w:r w:rsidR="00AC06A3">
        <w:t xml:space="preserve">CPS 230 incorporates and </w:t>
      </w:r>
      <w:r w:rsidR="00C9296E">
        <w:t>updates</w:t>
      </w:r>
      <w:r w:rsidR="00AC06A3">
        <w:t xml:space="preserve"> requirements </w:t>
      </w:r>
      <w:r w:rsidR="007158DC">
        <w:t>for</w:t>
      </w:r>
      <w:r w:rsidR="00AC06A3">
        <w:t xml:space="preserve"> business continuity management that </w:t>
      </w:r>
      <w:r w:rsidR="007158DC">
        <w:t>are currently set</w:t>
      </w:r>
      <w:r w:rsidR="00AC06A3">
        <w:t xml:space="preserve"> out in </w:t>
      </w:r>
      <w:r w:rsidR="00DF18B8">
        <w:t>CPS 232 and SPS 232</w:t>
      </w:r>
      <w:r w:rsidR="00AC06A3">
        <w:t xml:space="preserve">. </w:t>
      </w:r>
      <w:r w:rsidR="001E1193">
        <w:t>This</w:t>
      </w:r>
      <w:r w:rsidR="00C84ECF">
        <w:t xml:space="preserve"> </w:t>
      </w:r>
      <w:r w:rsidR="00A155FD">
        <w:t xml:space="preserve">would </w:t>
      </w:r>
      <w:r w:rsidR="00C84ECF">
        <w:t xml:space="preserve">require </w:t>
      </w:r>
      <w:r w:rsidR="001E1193">
        <w:t xml:space="preserve">an </w:t>
      </w:r>
      <w:r w:rsidR="00C84ECF">
        <w:t>APRA-regulated entit</w:t>
      </w:r>
      <w:r w:rsidR="001E1193">
        <w:t>y,</w:t>
      </w:r>
      <w:r w:rsidR="00C84ECF">
        <w:t xml:space="preserve"> to</w:t>
      </w:r>
      <w:r w:rsidR="00C84ECF" w:rsidRPr="00C84ECF" w:rsidDel="001F367A">
        <w:t xml:space="preserve"> the extent</w:t>
      </w:r>
      <w:r w:rsidR="00C84ECF" w:rsidRPr="00C84ECF">
        <w:t xml:space="preserve"> practicable, </w:t>
      </w:r>
      <w:r w:rsidR="001E1193">
        <w:t xml:space="preserve">to </w:t>
      </w:r>
      <w:r w:rsidR="00C84ECF" w:rsidRPr="00C84ECF">
        <w:t>prevent disruption to critical operations, adapt processes and systems to continue to operate in the event of a disruption and return to normal operations promptly after a disruption</w:t>
      </w:r>
      <w:r w:rsidR="00C84ECF" w:rsidRPr="00C84ECF" w:rsidDel="001F367A">
        <w:t xml:space="preserve"> is over</w:t>
      </w:r>
      <w:r w:rsidR="00C84ECF" w:rsidRPr="00C84ECF">
        <w:t>.</w:t>
      </w:r>
    </w:p>
    <w:p w14:paraId="135246CA" w14:textId="2A8C2F37" w:rsidR="00C84ECF" w:rsidRDefault="00C84ECF" w:rsidP="00C84ECF">
      <w:pPr>
        <w:pStyle w:val="Heading2Numbers"/>
        <w:numPr>
          <w:ilvl w:val="0"/>
          <w:numId w:val="0"/>
        </w:numPr>
      </w:pPr>
      <w:r>
        <w:t>Evolution</w:t>
      </w:r>
      <w:r w:rsidR="00896D16">
        <w:t xml:space="preserve"> in business continuity planning</w:t>
      </w:r>
    </w:p>
    <w:p w14:paraId="71165A2C" w14:textId="4865C05F" w:rsidR="003F6E87" w:rsidRDefault="003F6E87" w:rsidP="003F6E87">
      <w:pPr>
        <w:keepNext/>
        <w:ind w:left="6"/>
        <w:rPr>
          <w:rFonts w:ascii="Arial" w:hAnsi="Arial" w:cs="Arial"/>
        </w:rPr>
      </w:pPr>
      <w:r>
        <w:rPr>
          <w:rFonts w:cs="Arial"/>
        </w:rPr>
        <w:t>CPS 232 was developed at a time when the</w:t>
      </w:r>
      <w:r w:rsidR="00C9296E">
        <w:rPr>
          <w:rFonts w:cs="Arial"/>
        </w:rPr>
        <w:t>re was a</w:t>
      </w:r>
      <w:r>
        <w:rPr>
          <w:rFonts w:cs="Arial"/>
        </w:rPr>
        <w:t xml:space="preserve"> focus on physical disruptions to businesses. This included, for example, the need to have back-up recovery sites to allow a business to continue to operate in some limited form. With the increasing move to digitisation, the focus</w:t>
      </w:r>
      <w:r w:rsidR="00C3696C">
        <w:rPr>
          <w:rFonts w:cs="Arial"/>
        </w:rPr>
        <w:t xml:space="preserve"> of </w:t>
      </w:r>
      <w:r w:rsidR="00E72DEE">
        <w:rPr>
          <w:rFonts w:cs="Arial"/>
        </w:rPr>
        <w:t>business continuity planning</w:t>
      </w:r>
      <w:r>
        <w:rPr>
          <w:rFonts w:cs="Arial"/>
        </w:rPr>
        <w:t xml:space="preserve"> has shifted to maintaining critical </w:t>
      </w:r>
      <w:r w:rsidR="00896D16">
        <w:rPr>
          <w:rFonts w:cs="Arial"/>
        </w:rPr>
        <w:t xml:space="preserve">operations and </w:t>
      </w:r>
      <w:r>
        <w:rPr>
          <w:rFonts w:cs="Arial"/>
        </w:rPr>
        <w:t>services for customers, including maintaining online capabilities.</w:t>
      </w:r>
    </w:p>
    <w:p w14:paraId="2DDDEABF" w14:textId="1C8F4B7B" w:rsidR="008D50EA" w:rsidRDefault="004A6345" w:rsidP="00CF1FDB">
      <w:pPr>
        <w:keepNext/>
        <w:numPr>
          <w:ilvl w:val="0"/>
          <w:numId w:val="0"/>
        </w:numPr>
      </w:pPr>
      <w:r>
        <w:rPr>
          <w:rFonts w:cs="Arial"/>
        </w:rPr>
        <w:t>Draft</w:t>
      </w:r>
      <w:r w:rsidR="003F6E87">
        <w:rPr>
          <w:rFonts w:cs="Arial"/>
        </w:rPr>
        <w:t xml:space="preserve"> CPS 230 will </w:t>
      </w:r>
      <w:r w:rsidR="00B12A2B">
        <w:rPr>
          <w:rFonts w:cs="Arial"/>
        </w:rPr>
        <w:t>formalise</w:t>
      </w:r>
      <w:r w:rsidR="003F6E87">
        <w:rPr>
          <w:rFonts w:cs="Arial"/>
        </w:rPr>
        <w:t xml:space="preserve"> the need for entities to clearly </w:t>
      </w:r>
      <w:r w:rsidR="00B12A2B">
        <w:rPr>
          <w:rFonts w:cs="Arial"/>
        </w:rPr>
        <w:t>identify</w:t>
      </w:r>
      <w:r w:rsidR="003F6E87">
        <w:rPr>
          <w:rFonts w:cs="Arial"/>
        </w:rPr>
        <w:t xml:space="preserve"> </w:t>
      </w:r>
      <w:r w:rsidR="00DB3452">
        <w:rPr>
          <w:rFonts w:cs="Arial"/>
        </w:rPr>
        <w:t xml:space="preserve">their </w:t>
      </w:r>
      <w:r w:rsidR="003F6E87">
        <w:rPr>
          <w:rFonts w:cs="Arial"/>
        </w:rPr>
        <w:t xml:space="preserve">critical </w:t>
      </w:r>
      <w:r w:rsidR="00B12A2B">
        <w:rPr>
          <w:rFonts w:cs="Arial"/>
        </w:rPr>
        <w:t>operations</w:t>
      </w:r>
      <w:r w:rsidR="003F6E87">
        <w:rPr>
          <w:rFonts w:cs="Arial"/>
        </w:rPr>
        <w:t xml:space="preserve">, </w:t>
      </w:r>
      <w:r w:rsidR="00B12A2B">
        <w:rPr>
          <w:rFonts w:cs="Arial"/>
        </w:rPr>
        <w:t xml:space="preserve">set </w:t>
      </w:r>
      <w:r w:rsidR="003F6E87">
        <w:rPr>
          <w:rFonts w:cs="Arial"/>
        </w:rPr>
        <w:t>tolerance</w:t>
      </w:r>
      <w:r w:rsidR="0011365F">
        <w:rPr>
          <w:rFonts w:cs="Arial"/>
        </w:rPr>
        <w:t>s</w:t>
      </w:r>
      <w:r w:rsidR="00B12A2B">
        <w:rPr>
          <w:rFonts w:cs="Arial"/>
        </w:rPr>
        <w:t xml:space="preserve"> to</w:t>
      </w:r>
      <w:r w:rsidR="003F6E87">
        <w:rPr>
          <w:rFonts w:cs="Arial"/>
        </w:rPr>
        <w:t xml:space="preserve"> </w:t>
      </w:r>
      <w:r w:rsidR="00B12A2B">
        <w:rPr>
          <w:rFonts w:cs="Arial"/>
        </w:rPr>
        <w:t>define</w:t>
      </w:r>
      <w:r w:rsidR="003F6E87">
        <w:rPr>
          <w:rFonts w:cs="Arial"/>
        </w:rPr>
        <w:t xml:space="preserve"> levels of </w:t>
      </w:r>
      <w:r w:rsidR="00B12A2B">
        <w:rPr>
          <w:rFonts w:cs="Arial"/>
        </w:rPr>
        <w:t xml:space="preserve">disruption that would be </w:t>
      </w:r>
      <w:r w:rsidR="00B12A2B" w:rsidDel="001F367A">
        <w:rPr>
          <w:rFonts w:cs="Arial"/>
        </w:rPr>
        <w:t>un</w:t>
      </w:r>
      <w:r w:rsidR="00B12A2B">
        <w:rPr>
          <w:rFonts w:cs="Arial"/>
        </w:rPr>
        <w:t>acceptable</w:t>
      </w:r>
      <w:r w:rsidR="00081D4D" w:rsidRPr="00081D4D">
        <w:rPr>
          <w:rFonts w:cs="Arial"/>
        </w:rPr>
        <w:t>,</w:t>
      </w:r>
      <w:r w:rsidR="00B12A2B">
        <w:rPr>
          <w:rFonts w:cs="Arial"/>
        </w:rPr>
        <w:t xml:space="preserve"> </w:t>
      </w:r>
      <w:r w:rsidR="003F6E87">
        <w:rPr>
          <w:rFonts w:cs="Arial"/>
        </w:rPr>
        <w:t xml:space="preserve">and </w:t>
      </w:r>
      <w:r w:rsidR="00FB7867">
        <w:rPr>
          <w:rFonts w:cs="Arial"/>
        </w:rPr>
        <w:t>maintain</w:t>
      </w:r>
      <w:r w:rsidR="003F6E87">
        <w:rPr>
          <w:rFonts w:cs="Arial"/>
        </w:rPr>
        <w:t xml:space="preserve"> credible plans to respond to and recover from incidents and </w:t>
      </w:r>
      <w:r w:rsidR="00FB7867">
        <w:rPr>
          <w:rFonts w:cs="Arial"/>
        </w:rPr>
        <w:t>events</w:t>
      </w:r>
      <w:r w:rsidR="003F6E87">
        <w:rPr>
          <w:rFonts w:cs="Arial"/>
        </w:rPr>
        <w:t xml:space="preserve">. </w:t>
      </w:r>
      <w:r w:rsidR="003F6E87" w:rsidRPr="008D50EA">
        <w:rPr>
          <w:rFonts w:cs="Arial"/>
        </w:rPr>
        <w:t>Ultimatel</w:t>
      </w:r>
      <w:r w:rsidR="007B5CDA" w:rsidRPr="008D50EA">
        <w:rPr>
          <w:rFonts w:cs="Arial"/>
        </w:rPr>
        <w:t xml:space="preserve">y, </w:t>
      </w:r>
      <w:r>
        <w:rPr>
          <w:rFonts w:cs="Arial"/>
        </w:rPr>
        <w:t>draft</w:t>
      </w:r>
      <w:r w:rsidR="007B5CDA" w:rsidRPr="008D50EA">
        <w:rPr>
          <w:rFonts w:cs="Arial"/>
        </w:rPr>
        <w:t xml:space="preserve"> CPS 230 seeks</w:t>
      </w:r>
      <w:r w:rsidR="003F6E87" w:rsidRPr="008D50EA">
        <w:rPr>
          <w:rFonts w:cs="Arial"/>
        </w:rPr>
        <w:t xml:space="preserve"> to minimise the likelihood and impact of disruptions </w:t>
      </w:r>
      <w:r w:rsidR="001F367A">
        <w:rPr>
          <w:rFonts w:cs="Arial"/>
        </w:rPr>
        <w:t>on</w:t>
      </w:r>
      <w:r w:rsidR="001F367A" w:rsidRPr="008D50EA">
        <w:rPr>
          <w:rFonts w:cs="Arial"/>
        </w:rPr>
        <w:t xml:space="preserve"> </w:t>
      </w:r>
      <w:r w:rsidR="003F6E87" w:rsidRPr="008D50EA">
        <w:rPr>
          <w:rFonts w:cs="Arial"/>
        </w:rPr>
        <w:t xml:space="preserve">critical </w:t>
      </w:r>
      <w:r w:rsidR="00FB7867">
        <w:rPr>
          <w:rFonts w:cs="Arial"/>
        </w:rPr>
        <w:t>operations</w:t>
      </w:r>
      <w:r w:rsidR="00DB3452">
        <w:rPr>
          <w:rFonts w:cs="Arial"/>
        </w:rPr>
        <w:t xml:space="preserve"> (</w:t>
      </w:r>
      <w:r w:rsidR="003F6E87" w:rsidRPr="008D50EA">
        <w:rPr>
          <w:rFonts w:cs="Arial"/>
        </w:rPr>
        <w:t xml:space="preserve">including those </w:t>
      </w:r>
      <w:r w:rsidR="00A155FD">
        <w:rPr>
          <w:rFonts w:cs="Arial"/>
        </w:rPr>
        <w:t>where the entity is</w:t>
      </w:r>
      <w:r w:rsidR="003F6E87" w:rsidRPr="008D50EA">
        <w:rPr>
          <w:rFonts w:cs="Arial"/>
        </w:rPr>
        <w:t xml:space="preserve"> wholly or partially reliant on </w:t>
      </w:r>
      <w:r w:rsidR="00081D4D" w:rsidRPr="00081D4D">
        <w:rPr>
          <w:rFonts w:cs="Arial"/>
        </w:rPr>
        <w:t>service providers</w:t>
      </w:r>
      <w:r w:rsidR="00DB3452">
        <w:rPr>
          <w:rFonts w:cs="Arial"/>
        </w:rPr>
        <w:t>)</w:t>
      </w:r>
      <w:r w:rsidR="003F6E87" w:rsidRPr="008D50EA">
        <w:rPr>
          <w:rFonts w:cs="Arial"/>
        </w:rPr>
        <w:t>.</w:t>
      </w:r>
    </w:p>
    <w:p w14:paraId="5BAFE4DE" w14:textId="67B277D5" w:rsidR="00EF5F08" w:rsidRDefault="00834CD0" w:rsidP="00C84ECF">
      <w:pPr>
        <w:pStyle w:val="Heading2Numbers"/>
        <w:numPr>
          <w:ilvl w:val="0"/>
          <w:numId w:val="0"/>
        </w:numPr>
      </w:pPr>
      <w:r>
        <w:t>Critical</w:t>
      </w:r>
      <w:r w:rsidR="00CF2317">
        <w:t xml:space="preserve"> operations</w:t>
      </w:r>
    </w:p>
    <w:p w14:paraId="33DD17DF" w14:textId="25B46D4C" w:rsidR="009754B4" w:rsidRPr="001E6B5F" w:rsidRDefault="00A155FD" w:rsidP="001E6B5F">
      <w:r w:rsidRPr="001E6B5F">
        <w:t>Central to</w:t>
      </w:r>
      <w:r w:rsidR="00E70AF0" w:rsidRPr="001E6B5F">
        <w:t xml:space="preserve"> business continuity</w:t>
      </w:r>
      <w:r w:rsidRPr="001E6B5F">
        <w:t xml:space="preserve"> planning</w:t>
      </w:r>
      <w:r w:rsidR="00E70AF0" w:rsidRPr="001E6B5F">
        <w:t xml:space="preserve"> is the concept of </w:t>
      </w:r>
      <w:r w:rsidRPr="001E6B5F">
        <w:t>‘</w:t>
      </w:r>
      <w:r w:rsidR="00B52BF8" w:rsidRPr="001E6B5F">
        <w:t>critical</w:t>
      </w:r>
      <w:r w:rsidR="00E70AF0" w:rsidRPr="001E6B5F">
        <w:t xml:space="preserve"> </w:t>
      </w:r>
      <w:proofErr w:type="gramStart"/>
      <w:r w:rsidR="00E70AF0" w:rsidRPr="001E6B5F">
        <w:t>operation</w:t>
      </w:r>
      <w:r w:rsidR="00B52BF8" w:rsidRPr="001E6B5F">
        <w:t>s</w:t>
      </w:r>
      <w:r w:rsidRPr="001E6B5F">
        <w:t>’</w:t>
      </w:r>
      <w:proofErr w:type="gramEnd"/>
      <w:r w:rsidR="00E70AF0" w:rsidRPr="001E6B5F">
        <w:t>.</w:t>
      </w:r>
      <w:r w:rsidR="009754B4" w:rsidRPr="001E6B5F">
        <w:t xml:space="preserve"> These are</w:t>
      </w:r>
      <w:r w:rsidR="00693C67" w:rsidRPr="001E6B5F">
        <w:t xml:space="preserve"> </w:t>
      </w:r>
      <w:r w:rsidR="00DB3452">
        <w:t xml:space="preserve">activities and </w:t>
      </w:r>
      <w:r w:rsidR="00693C67" w:rsidRPr="001E6B5F">
        <w:t xml:space="preserve">processes undertaken by an entity </w:t>
      </w:r>
      <w:r w:rsidR="00266D95">
        <w:t xml:space="preserve">(or its service provider) </w:t>
      </w:r>
      <w:r w:rsidR="00693C67" w:rsidRPr="001E6B5F">
        <w:t xml:space="preserve">which, if disrupted </w:t>
      </w:r>
      <w:r w:rsidR="001E6B5F" w:rsidRPr="001E6B5F">
        <w:t xml:space="preserve">beyond tolerance levels, would have a material adverse impact on </w:t>
      </w:r>
      <w:r w:rsidR="001E6B5F">
        <w:t>its</w:t>
      </w:r>
      <w:r w:rsidR="001E6B5F" w:rsidRPr="001E6B5F">
        <w:t xml:space="preserve"> </w:t>
      </w:r>
      <w:r w:rsidR="00266D95" w:rsidRPr="00266D95">
        <w:t xml:space="preserve">depositors, policyholders, </w:t>
      </w:r>
      <w:r w:rsidR="00DB3452">
        <w:t>fund members</w:t>
      </w:r>
      <w:r w:rsidR="00DB3452" w:rsidRPr="00266D95">
        <w:t xml:space="preserve"> </w:t>
      </w:r>
      <w:r w:rsidR="00266D95" w:rsidRPr="00266D95">
        <w:t xml:space="preserve">or other customers or </w:t>
      </w:r>
      <w:r w:rsidR="003A1ED7">
        <w:t xml:space="preserve">its role in the </w:t>
      </w:r>
      <w:r w:rsidR="00266D95" w:rsidRPr="00266D95">
        <w:t>financial system</w:t>
      </w:r>
      <w:r w:rsidR="00531608" w:rsidRPr="001E6B5F">
        <w:t>.</w:t>
      </w:r>
    </w:p>
    <w:p w14:paraId="5226A40F" w14:textId="58C76805" w:rsidR="00C9781B" w:rsidRDefault="00A1201F" w:rsidP="00AC5A98">
      <w:pPr>
        <w:numPr>
          <w:ilvl w:val="0"/>
          <w:numId w:val="0"/>
        </w:numPr>
      </w:pPr>
      <w:r>
        <w:t>The</w:t>
      </w:r>
      <w:r w:rsidR="00531608">
        <w:t xml:space="preserve"> concept of critical operations in</w:t>
      </w:r>
      <w:r w:rsidR="004A6345">
        <w:t xml:space="preserve"> draft</w:t>
      </w:r>
      <w:r w:rsidR="00531608">
        <w:t xml:space="preserve"> CPS 230 is similar to the</w:t>
      </w:r>
      <w:r w:rsidR="001E6B5F">
        <w:t xml:space="preserve"> existing</w:t>
      </w:r>
      <w:r w:rsidR="00531608">
        <w:t xml:space="preserve"> </w:t>
      </w:r>
      <w:r w:rsidR="00346226">
        <w:t>concept</w:t>
      </w:r>
      <w:r w:rsidR="001E6B5F">
        <w:t xml:space="preserve"> of ‘critical business operations’</w:t>
      </w:r>
      <w:r w:rsidR="00346226">
        <w:t xml:space="preserve"> in</w:t>
      </w:r>
      <w:r>
        <w:t xml:space="preserve"> </w:t>
      </w:r>
      <w:r w:rsidR="001E6B5F">
        <w:t xml:space="preserve">the current </w:t>
      </w:r>
      <w:r w:rsidR="003F767F">
        <w:t>CPS 232</w:t>
      </w:r>
      <w:r w:rsidR="001E624B">
        <w:t>, but with a definition now more focused on outcomes and the key stakeholders of the entity rather than the entity itself</w:t>
      </w:r>
      <w:r w:rsidR="00346226">
        <w:t>.</w:t>
      </w:r>
      <w:r w:rsidR="001E6B5F">
        <w:rPr>
          <w:rStyle w:val="FootnoteReference"/>
        </w:rPr>
        <w:footnoteReference w:id="8"/>
      </w:r>
      <w:r w:rsidR="003F767F">
        <w:t xml:space="preserve"> </w:t>
      </w:r>
      <w:r w:rsidR="004708A3">
        <w:t xml:space="preserve">While it is the responsibility of </w:t>
      </w:r>
      <w:r w:rsidR="0010168F">
        <w:t xml:space="preserve">the </w:t>
      </w:r>
      <w:r w:rsidR="004708A3">
        <w:t xml:space="preserve">entity to </w:t>
      </w:r>
      <w:r w:rsidR="00FE59A6">
        <w:t>define, identify and maintain a register of</w:t>
      </w:r>
      <w:r w:rsidR="004708A3">
        <w:t xml:space="preserve"> its</w:t>
      </w:r>
      <w:r w:rsidR="00FE59A6">
        <w:t xml:space="preserve"> critical</w:t>
      </w:r>
      <w:r w:rsidR="004708A3">
        <w:t xml:space="preserve"> operations </w:t>
      </w:r>
      <w:r w:rsidR="00FE59A6">
        <w:t xml:space="preserve">under </w:t>
      </w:r>
      <w:r w:rsidR="004A6345">
        <w:t>draft</w:t>
      </w:r>
      <w:r w:rsidR="00275857">
        <w:t xml:space="preserve"> </w:t>
      </w:r>
      <w:r w:rsidR="004708A3">
        <w:t>CPS 230</w:t>
      </w:r>
      <w:r w:rsidR="00FE59A6">
        <w:t xml:space="preserve">, APRA has specified certain operations that must be included. This will ensure </w:t>
      </w:r>
      <w:r w:rsidR="00A44437">
        <w:t>critical</w:t>
      </w:r>
      <w:r w:rsidR="00FE59A6">
        <w:t xml:space="preserve"> operations are consistently captured across the industry.</w:t>
      </w:r>
    </w:p>
    <w:p w14:paraId="656BAE01" w14:textId="10A857A6" w:rsidR="004A7AFD" w:rsidRDefault="00E62355" w:rsidP="004A7AFD">
      <w:pPr>
        <w:numPr>
          <w:ilvl w:val="0"/>
          <w:numId w:val="0"/>
        </w:numPr>
        <w:spacing w:after="0"/>
      </w:pPr>
      <w:r>
        <w:t>Draft CPS 230 requires certain operations to be classified as critical operations, as outlined below. There may be other operations that an entity undertakes that would also meet the definition of a critical operation.</w:t>
      </w:r>
    </w:p>
    <w:p w14:paraId="3134DCB8" w14:textId="2FA5163E" w:rsidR="00E72DEE" w:rsidRDefault="00E72DEE" w:rsidP="00CA0F17">
      <w:pPr>
        <w:pStyle w:val="Numberedtableheading"/>
      </w:pPr>
      <w:r>
        <w:t>Specified critical operations</w:t>
      </w:r>
    </w:p>
    <w:tbl>
      <w:tblPr>
        <w:tblStyle w:val="TableGrid"/>
        <w:tblW w:w="0" w:type="auto"/>
        <w:tblLook w:val="04A0" w:firstRow="1" w:lastRow="0" w:firstColumn="1" w:lastColumn="0" w:noHBand="0" w:noVBand="1"/>
      </w:tblPr>
      <w:tblGrid>
        <w:gridCol w:w="3008"/>
        <w:gridCol w:w="3009"/>
        <w:gridCol w:w="3009"/>
      </w:tblGrid>
      <w:tr w:rsidR="0079064B" w:rsidRPr="0079064B" w14:paraId="550E8F27" w14:textId="77777777" w:rsidTr="00790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200BC43C" w14:textId="38AFCFBD" w:rsidR="0079064B" w:rsidRPr="00CA0F17" w:rsidRDefault="0079064B" w:rsidP="00CA0F17">
            <w:pPr>
              <w:numPr>
                <w:ilvl w:val="0"/>
                <w:numId w:val="0"/>
              </w:numPr>
              <w:jc w:val="center"/>
              <w:rPr>
                <w:b/>
              </w:rPr>
            </w:pPr>
            <w:r w:rsidRPr="00CA0F17">
              <w:rPr>
                <w:b/>
              </w:rPr>
              <w:t>Banking</w:t>
            </w:r>
          </w:p>
        </w:tc>
        <w:tc>
          <w:tcPr>
            <w:tcW w:w="3009" w:type="dxa"/>
          </w:tcPr>
          <w:p w14:paraId="7E73F42E" w14:textId="3E460F7E" w:rsidR="0079064B" w:rsidRPr="00CA0F17" w:rsidRDefault="0079064B" w:rsidP="00CA0F17">
            <w:pPr>
              <w:numPr>
                <w:ilvl w:val="0"/>
                <w:numId w:val="0"/>
              </w:numPr>
              <w:jc w:val="center"/>
              <w:cnfStyle w:val="100000000000" w:firstRow="1" w:lastRow="0" w:firstColumn="0" w:lastColumn="0" w:oddVBand="0" w:evenVBand="0" w:oddHBand="0" w:evenHBand="0" w:firstRowFirstColumn="0" w:firstRowLastColumn="0" w:lastRowFirstColumn="0" w:lastRowLastColumn="0"/>
              <w:rPr>
                <w:b/>
              </w:rPr>
            </w:pPr>
            <w:r w:rsidRPr="00CA0F17">
              <w:rPr>
                <w:b/>
              </w:rPr>
              <w:t>Insurance</w:t>
            </w:r>
          </w:p>
        </w:tc>
        <w:tc>
          <w:tcPr>
            <w:tcW w:w="3009" w:type="dxa"/>
          </w:tcPr>
          <w:p w14:paraId="416B865E" w14:textId="58B35BCE" w:rsidR="0079064B" w:rsidRPr="00CA0F17" w:rsidRDefault="0079064B" w:rsidP="00CA0F17">
            <w:pPr>
              <w:numPr>
                <w:ilvl w:val="0"/>
                <w:numId w:val="0"/>
              </w:numPr>
              <w:jc w:val="center"/>
              <w:cnfStyle w:val="100000000000" w:firstRow="1" w:lastRow="0" w:firstColumn="0" w:lastColumn="0" w:oddVBand="0" w:evenVBand="0" w:oddHBand="0" w:evenHBand="0" w:firstRowFirstColumn="0" w:firstRowLastColumn="0" w:lastRowFirstColumn="0" w:lastRowLastColumn="0"/>
              <w:rPr>
                <w:b/>
              </w:rPr>
            </w:pPr>
            <w:r w:rsidRPr="00CA0F17">
              <w:rPr>
                <w:b/>
              </w:rPr>
              <w:t>Superannuation</w:t>
            </w:r>
          </w:p>
        </w:tc>
      </w:tr>
      <w:tr w:rsidR="0079064B" w14:paraId="488D8256" w14:textId="77777777" w:rsidTr="007906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2A969E31" w14:textId="0CB4B86C" w:rsidR="0079064B" w:rsidRDefault="0079064B" w:rsidP="00334B3E">
            <w:pPr>
              <w:numPr>
                <w:ilvl w:val="0"/>
                <w:numId w:val="0"/>
              </w:numPr>
              <w:jc w:val="center"/>
            </w:pPr>
            <w:r>
              <w:t xml:space="preserve">Payments </w:t>
            </w:r>
          </w:p>
        </w:tc>
        <w:tc>
          <w:tcPr>
            <w:tcW w:w="3009" w:type="dxa"/>
          </w:tcPr>
          <w:p w14:paraId="6F3F7B2A" w14:textId="0C13B252" w:rsidR="0079064B" w:rsidRDefault="00B53E1B" w:rsidP="00334B3E">
            <w:pPr>
              <w:numPr>
                <w:ilvl w:val="0"/>
                <w:numId w:val="0"/>
              </w:numPr>
              <w:jc w:val="center"/>
              <w:cnfStyle w:val="000000100000" w:firstRow="0" w:lastRow="0" w:firstColumn="0" w:lastColumn="0" w:oddVBand="0" w:evenVBand="0" w:oddHBand="1" w:evenHBand="0" w:firstRowFirstColumn="0" w:firstRowLastColumn="0" w:lastRowFirstColumn="0" w:lastRowLastColumn="0"/>
            </w:pPr>
            <w:r>
              <w:t xml:space="preserve">Payments </w:t>
            </w:r>
          </w:p>
        </w:tc>
        <w:tc>
          <w:tcPr>
            <w:tcW w:w="3009" w:type="dxa"/>
          </w:tcPr>
          <w:p w14:paraId="7164F164" w14:textId="6AACB845" w:rsidR="0079064B" w:rsidRDefault="00AE49AD" w:rsidP="00334B3E">
            <w:pPr>
              <w:numPr>
                <w:ilvl w:val="0"/>
                <w:numId w:val="0"/>
              </w:numPr>
              <w:jc w:val="center"/>
              <w:cnfStyle w:val="000000100000" w:firstRow="0" w:lastRow="0" w:firstColumn="0" w:lastColumn="0" w:oddVBand="0" w:evenVBand="0" w:oddHBand="1" w:evenHBand="0" w:firstRowFirstColumn="0" w:firstRowLastColumn="0" w:lastRowFirstColumn="0" w:lastRowLastColumn="0"/>
            </w:pPr>
            <w:r>
              <w:t xml:space="preserve">Payments </w:t>
            </w:r>
          </w:p>
        </w:tc>
      </w:tr>
      <w:tr w:rsidR="0079064B" w14:paraId="0A389B41" w14:textId="77777777" w:rsidTr="007906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77CE0491" w14:textId="110FF90C" w:rsidR="0079064B" w:rsidRDefault="0079064B" w:rsidP="00334B3E">
            <w:pPr>
              <w:numPr>
                <w:ilvl w:val="0"/>
                <w:numId w:val="0"/>
              </w:numPr>
              <w:jc w:val="center"/>
            </w:pPr>
            <w:r>
              <w:t>Deposit</w:t>
            </w:r>
            <w:r w:rsidR="00AE49AD">
              <w:t>-taking and management</w:t>
            </w:r>
          </w:p>
        </w:tc>
        <w:tc>
          <w:tcPr>
            <w:tcW w:w="3009" w:type="dxa"/>
          </w:tcPr>
          <w:p w14:paraId="35921B06" w14:textId="558A2D43" w:rsidR="0079064B" w:rsidRDefault="00B53E1B" w:rsidP="00334B3E">
            <w:pPr>
              <w:numPr>
                <w:ilvl w:val="0"/>
                <w:numId w:val="0"/>
              </w:numPr>
              <w:jc w:val="center"/>
              <w:cnfStyle w:val="000000010000" w:firstRow="0" w:lastRow="0" w:firstColumn="0" w:lastColumn="0" w:oddVBand="0" w:evenVBand="0" w:oddHBand="0" w:evenHBand="1" w:firstRowFirstColumn="0" w:firstRowLastColumn="0" w:lastRowFirstColumn="0" w:lastRowLastColumn="0"/>
            </w:pPr>
            <w:r>
              <w:t>Claims processing</w:t>
            </w:r>
          </w:p>
        </w:tc>
        <w:tc>
          <w:tcPr>
            <w:tcW w:w="3009" w:type="dxa"/>
          </w:tcPr>
          <w:p w14:paraId="412381D5" w14:textId="512D7101" w:rsidR="0079064B" w:rsidRDefault="00AE49AD" w:rsidP="00334B3E">
            <w:pPr>
              <w:numPr>
                <w:ilvl w:val="0"/>
                <w:numId w:val="0"/>
              </w:numPr>
              <w:jc w:val="center"/>
              <w:cnfStyle w:val="000000010000" w:firstRow="0" w:lastRow="0" w:firstColumn="0" w:lastColumn="0" w:oddVBand="0" w:evenVBand="0" w:oddHBand="0" w:evenHBand="1" w:firstRowFirstColumn="0" w:firstRowLastColumn="0" w:lastRowFirstColumn="0" w:lastRowLastColumn="0"/>
            </w:pPr>
            <w:r>
              <w:t>Investment management</w:t>
            </w:r>
          </w:p>
        </w:tc>
      </w:tr>
      <w:tr w:rsidR="0079064B" w14:paraId="7C670919" w14:textId="77777777" w:rsidTr="007906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38A8BC0B" w14:textId="770CFA71" w:rsidR="0079064B" w:rsidRDefault="00B75BCC" w:rsidP="00334B3E">
            <w:pPr>
              <w:numPr>
                <w:ilvl w:val="0"/>
                <w:numId w:val="0"/>
              </w:numPr>
              <w:jc w:val="center"/>
            </w:pPr>
            <w:r>
              <w:t>Custody</w:t>
            </w:r>
            <w:r w:rsidR="00855641">
              <w:t>,</w:t>
            </w:r>
            <w:r>
              <w:t xml:space="preserve"> </w:t>
            </w:r>
            <w:r w:rsidR="00EF66A0">
              <w:t>settlements and</w:t>
            </w:r>
            <w:r>
              <w:t xml:space="preserve"> clearing</w:t>
            </w:r>
            <w:r w:rsidR="00855641">
              <w:t xml:space="preserve"> </w:t>
            </w:r>
          </w:p>
        </w:tc>
        <w:tc>
          <w:tcPr>
            <w:tcW w:w="3009" w:type="dxa"/>
          </w:tcPr>
          <w:p w14:paraId="3C42CB03" w14:textId="7C1745BC" w:rsidR="0079064B" w:rsidRDefault="00B53E1B" w:rsidP="00334B3E">
            <w:pPr>
              <w:numPr>
                <w:ilvl w:val="0"/>
                <w:numId w:val="0"/>
              </w:numPr>
              <w:jc w:val="center"/>
              <w:cnfStyle w:val="000000100000" w:firstRow="0" w:lastRow="0" w:firstColumn="0" w:lastColumn="0" w:oddVBand="0" w:evenVBand="0" w:oddHBand="1" w:evenHBand="0" w:firstRowFirstColumn="0" w:firstRowLastColumn="0" w:lastRowFirstColumn="0" w:lastRowLastColumn="0"/>
            </w:pPr>
            <w:r>
              <w:t>Customer enquiries</w:t>
            </w:r>
          </w:p>
        </w:tc>
        <w:tc>
          <w:tcPr>
            <w:tcW w:w="3009" w:type="dxa"/>
          </w:tcPr>
          <w:p w14:paraId="697303D6" w14:textId="25F04EC3" w:rsidR="0079064B" w:rsidRDefault="00AE49AD" w:rsidP="00334B3E">
            <w:pPr>
              <w:numPr>
                <w:ilvl w:val="0"/>
                <w:numId w:val="0"/>
              </w:numPr>
              <w:jc w:val="center"/>
              <w:cnfStyle w:val="000000100000" w:firstRow="0" w:lastRow="0" w:firstColumn="0" w:lastColumn="0" w:oddVBand="0" w:evenVBand="0" w:oddHBand="1" w:evenHBand="0" w:firstRowFirstColumn="0" w:firstRowLastColumn="0" w:lastRowFirstColumn="0" w:lastRowLastColumn="0"/>
            </w:pPr>
            <w:r>
              <w:t>Fund administration</w:t>
            </w:r>
          </w:p>
        </w:tc>
      </w:tr>
      <w:tr w:rsidR="0079064B" w14:paraId="41739786" w14:textId="77777777" w:rsidTr="007906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34C1C3DD" w14:textId="34FAF7F4" w:rsidR="0079064B" w:rsidRDefault="00855641" w:rsidP="00334B3E">
            <w:pPr>
              <w:numPr>
                <w:ilvl w:val="0"/>
                <w:numId w:val="0"/>
              </w:numPr>
              <w:jc w:val="center"/>
            </w:pPr>
            <w:r>
              <w:t>Customer enquiries</w:t>
            </w:r>
          </w:p>
        </w:tc>
        <w:tc>
          <w:tcPr>
            <w:tcW w:w="3009" w:type="dxa"/>
          </w:tcPr>
          <w:p w14:paraId="0883BFB1" w14:textId="77777777" w:rsidR="0079064B" w:rsidRDefault="0079064B" w:rsidP="00334B3E">
            <w:pPr>
              <w:numPr>
                <w:ilvl w:val="0"/>
                <w:numId w:val="0"/>
              </w:numPr>
              <w:jc w:val="center"/>
              <w:cnfStyle w:val="000000010000" w:firstRow="0" w:lastRow="0" w:firstColumn="0" w:lastColumn="0" w:oddVBand="0" w:evenVBand="0" w:oddHBand="0" w:evenHBand="1" w:firstRowFirstColumn="0" w:firstRowLastColumn="0" w:lastRowFirstColumn="0" w:lastRowLastColumn="0"/>
            </w:pPr>
          </w:p>
        </w:tc>
        <w:tc>
          <w:tcPr>
            <w:tcW w:w="3009" w:type="dxa"/>
          </w:tcPr>
          <w:p w14:paraId="415DAAF0" w14:textId="4C1C5EB3" w:rsidR="0079064B" w:rsidRDefault="00AE49AD" w:rsidP="00334B3E">
            <w:pPr>
              <w:numPr>
                <w:ilvl w:val="0"/>
                <w:numId w:val="0"/>
              </w:numPr>
              <w:jc w:val="center"/>
              <w:cnfStyle w:val="000000010000" w:firstRow="0" w:lastRow="0" w:firstColumn="0" w:lastColumn="0" w:oddVBand="0" w:evenVBand="0" w:oddHBand="0" w:evenHBand="1" w:firstRowFirstColumn="0" w:firstRowLastColumn="0" w:lastRowFirstColumn="0" w:lastRowLastColumn="0"/>
            </w:pPr>
            <w:r>
              <w:t>Customer enquiries</w:t>
            </w:r>
          </w:p>
        </w:tc>
      </w:tr>
    </w:tbl>
    <w:p w14:paraId="7553A309" w14:textId="0291DF6C" w:rsidR="00EC43E7" w:rsidRDefault="00EC43E7" w:rsidP="00E62355">
      <w:pPr>
        <w:numPr>
          <w:ilvl w:val="0"/>
          <w:numId w:val="0"/>
        </w:numPr>
        <w:spacing w:before="240"/>
      </w:pPr>
      <w:r>
        <w:t>Critical operations are processes that would be important for a particular entity to ensure it could continue to deliver through a disruption. ‘Critical functions’, which may be determined as part of resolution planning, are services that are important for the financial system more broadly.</w:t>
      </w:r>
      <w:r w:rsidR="00733AD6">
        <w:t xml:space="preserve"> The table below distinguishes the two concepts.</w:t>
      </w:r>
    </w:p>
    <w:p w14:paraId="08A877A3" w14:textId="2C036286" w:rsidR="007A7C16" w:rsidRDefault="007A7C16" w:rsidP="00E83EB5">
      <w:pPr>
        <w:pStyle w:val="Numberedtableheading"/>
      </w:pPr>
      <w:r w:rsidRPr="00CA0F17">
        <w:t xml:space="preserve">Distinguishing concepts: Critical </w:t>
      </w:r>
      <w:r w:rsidRPr="00E83EB5">
        <w:t>operations</w:t>
      </w:r>
      <w:r w:rsidRPr="00CA0F17">
        <w:t xml:space="preserve"> and critical</w:t>
      </w:r>
      <w:r>
        <w:t xml:space="preserve"> functions</w:t>
      </w:r>
    </w:p>
    <w:tbl>
      <w:tblPr>
        <w:tblStyle w:val="TableGrid"/>
        <w:tblW w:w="8931" w:type="dxa"/>
        <w:tblLook w:val="04A0" w:firstRow="1" w:lastRow="0" w:firstColumn="1" w:lastColumn="0" w:noHBand="0" w:noVBand="1"/>
      </w:tblPr>
      <w:tblGrid>
        <w:gridCol w:w="2710"/>
        <w:gridCol w:w="3319"/>
        <w:gridCol w:w="2902"/>
      </w:tblGrid>
      <w:tr w:rsidR="00656ED6" w:rsidRPr="00B61942" w14:paraId="3A154647" w14:textId="2C466D1D" w:rsidTr="000636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CEB994F" w14:textId="1089137F" w:rsidR="00656ED6" w:rsidRPr="00176C9D" w:rsidRDefault="00656ED6" w:rsidP="007D0A71">
            <w:pPr>
              <w:spacing w:before="120" w:after="120"/>
              <w:rPr>
                <w:b/>
              </w:rPr>
            </w:pPr>
            <w:r>
              <w:rPr>
                <w:b/>
              </w:rPr>
              <w:t xml:space="preserve">Distinguishing </w:t>
            </w:r>
            <w:r w:rsidR="00006CCD">
              <w:rPr>
                <w:b/>
              </w:rPr>
              <w:t>concepts</w:t>
            </w:r>
          </w:p>
        </w:tc>
        <w:tc>
          <w:tcPr>
            <w:tcW w:w="0" w:type="dxa"/>
          </w:tcPr>
          <w:p w14:paraId="25654BAF" w14:textId="30268964" w:rsidR="00656ED6" w:rsidRPr="00656ED6" w:rsidRDefault="00656ED6" w:rsidP="00006CCD">
            <w:pPr>
              <w:spacing w:before="120" w:after="120"/>
              <w:jc w:val="center"/>
              <w:cnfStyle w:val="100000000000" w:firstRow="1" w:lastRow="0" w:firstColumn="0" w:lastColumn="0" w:oddVBand="0" w:evenVBand="0" w:oddHBand="0" w:evenHBand="0" w:firstRowFirstColumn="0" w:firstRowLastColumn="0" w:lastRowFirstColumn="0" w:lastRowLastColumn="0"/>
              <w:rPr>
                <w:b/>
              </w:rPr>
            </w:pPr>
            <w:r w:rsidRPr="00656ED6">
              <w:rPr>
                <w:b/>
              </w:rPr>
              <w:t>Critical operations</w:t>
            </w:r>
          </w:p>
        </w:tc>
        <w:tc>
          <w:tcPr>
            <w:tcW w:w="0" w:type="dxa"/>
          </w:tcPr>
          <w:p w14:paraId="24D4C54F" w14:textId="51718C7B" w:rsidR="00656ED6" w:rsidRPr="00656ED6" w:rsidRDefault="00656ED6" w:rsidP="00006CCD">
            <w:pPr>
              <w:spacing w:before="120" w:after="120"/>
              <w:jc w:val="center"/>
              <w:cnfStyle w:val="100000000000" w:firstRow="1" w:lastRow="0" w:firstColumn="0" w:lastColumn="0" w:oddVBand="0" w:evenVBand="0" w:oddHBand="0" w:evenHBand="0" w:firstRowFirstColumn="0" w:firstRowLastColumn="0" w:lastRowFirstColumn="0" w:lastRowLastColumn="0"/>
              <w:rPr>
                <w:b/>
              </w:rPr>
            </w:pPr>
            <w:r w:rsidRPr="00656ED6">
              <w:rPr>
                <w:b/>
              </w:rPr>
              <w:t>Critical functions</w:t>
            </w:r>
          </w:p>
        </w:tc>
      </w:tr>
      <w:tr w:rsidR="00656ED6" w:rsidRPr="00B61942" w14:paraId="68FA821C" w14:textId="6232D40D" w:rsidTr="00063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D35D321" w14:textId="1ED6F823" w:rsidR="00656ED6" w:rsidRPr="00773D13" w:rsidRDefault="00656ED6" w:rsidP="007D0A71">
            <w:pPr>
              <w:spacing w:before="120" w:after="120"/>
              <w:rPr>
                <w:b/>
                <w:color w:val="000000"/>
              </w:rPr>
            </w:pPr>
            <w:r>
              <w:rPr>
                <w:b/>
                <w:color w:val="000000"/>
              </w:rPr>
              <w:t>Prudential standard</w:t>
            </w:r>
            <w:r w:rsidRPr="00773D13">
              <w:rPr>
                <w:b/>
                <w:color w:val="000000"/>
              </w:rPr>
              <w:t xml:space="preserve"> </w:t>
            </w:r>
          </w:p>
        </w:tc>
        <w:tc>
          <w:tcPr>
            <w:tcW w:w="0" w:type="dxa"/>
          </w:tcPr>
          <w:p w14:paraId="605CF39C" w14:textId="7FC2FE72" w:rsidR="00656ED6" w:rsidRPr="00656ED6" w:rsidRDefault="00656ED6" w:rsidP="00EE53C0">
            <w:pPr>
              <w:pStyle w:val="ListBullet"/>
              <w:numPr>
                <w:ilvl w:val="0"/>
                <w:numId w:val="0"/>
              </w:numPr>
              <w:spacing w:before="120" w:after="120"/>
              <w:cnfStyle w:val="000000100000" w:firstRow="0" w:lastRow="0" w:firstColumn="0" w:lastColumn="0" w:oddVBand="0" w:evenVBand="0" w:oddHBand="1" w:evenHBand="0" w:firstRowFirstColumn="0" w:firstRowLastColumn="0" w:lastRowFirstColumn="0" w:lastRowLastColumn="0"/>
            </w:pPr>
            <w:r w:rsidRPr="00656ED6">
              <w:t xml:space="preserve">CPS 230 Operational </w:t>
            </w:r>
            <w:r w:rsidR="00A765F7">
              <w:t>R</w:t>
            </w:r>
            <w:r w:rsidRPr="00656ED6">
              <w:t>isk</w:t>
            </w:r>
            <w:r w:rsidR="008D603D">
              <w:t xml:space="preserve"> Management</w:t>
            </w:r>
          </w:p>
        </w:tc>
        <w:tc>
          <w:tcPr>
            <w:tcW w:w="0" w:type="dxa"/>
          </w:tcPr>
          <w:p w14:paraId="52FDD32F" w14:textId="5470BD79" w:rsidR="00656ED6" w:rsidRPr="00A765F7" w:rsidRDefault="00656ED6" w:rsidP="007D0A71">
            <w:pPr>
              <w:pStyle w:val="ListBullet"/>
              <w:numPr>
                <w:ilvl w:val="0"/>
                <w:numId w:val="0"/>
              </w:numPr>
              <w:spacing w:before="120" w:after="120"/>
              <w:ind w:left="425" w:hanging="425"/>
              <w:cnfStyle w:val="000000100000" w:firstRow="0" w:lastRow="0" w:firstColumn="0" w:lastColumn="0" w:oddVBand="0" w:evenVBand="0" w:oddHBand="1" w:evenHBand="0" w:firstRowFirstColumn="0" w:firstRowLastColumn="0" w:lastRowFirstColumn="0" w:lastRowLastColumn="0"/>
            </w:pPr>
            <w:r w:rsidRPr="00A765F7">
              <w:t>CPS 900 Resolution</w:t>
            </w:r>
            <w:r w:rsidR="00A765F7" w:rsidRPr="00A765F7">
              <w:t xml:space="preserve"> Planning</w:t>
            </w:r>
          </w:p>
        </w:tc>
      </w:tr>
      <w:tr w:rsidR="00656ED6" w:rsidRPr="00B61942" w14:paraId="7FE4906C" w14:textId="5A31C582" w:rsidTr="000636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D5E4F3A" w14:textId="6AF91AB3" w:rsidR="00656ED6" w:rsidRPr="00773D13" w:rsidRDefault="00A765F7" w:rsidP="007D0A71">
            <w:pPr>
              <w:spacing w:before="120" w:after="120"/>
              <w:rPr>
                <w:b/>
                <w:color w:val="000000"/>
              </w:rPr>
            </w:pPr>
            <w:r>
              <w:rPr>
                <w:b/>
                <w:color w:val="000000"/>
              </w:rPr>
              <w:t>Definition</w:t>
            </w:r>
          </w:p>
        </w:tc>
        <w:tc>
          <w:tcPr>
            <w:tcW w:w="0" w:type="dxa"/>
          </w:tcPr>
          <w:p w14:paraId="0DDD5A79" w14:textId="17B456B6" w:rsidR="00656ED6" w:rsidRPr="00733AD6" w:rsidRDefault="006E1911" w:rsidP="00733AD6">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33AD6">
              <w:t>A</w:t>
            </w:r>
            <w:r w:rsidR="007D0A71" w:rsidRPr="00733AD6">
              <w:t xml:space="preserve"> </w:t>
            </w:r>
            <w:r w:rsidR="00733AD6" w:rsidRPr="00733AD6">
              <w:t xml:space="preserve">process </w:t>
            </w:r>
            <w:r w:rsidR="00266D95" w:rsidRPr="00266D95">
              <w:t xml:space="preserve">undertaken by an APRA-regulated entity or its service provider which, if disrupted beyond tolerance levels, would have a material adverse impact on its depositors, policyholders, beneficiaries or other customers or </w:t>
            </w:r>
            <w:r w:rsidR="007D6FE2">
              <w:t xml:space="preserve">its role in the </w:t>
            </w:r>
            <w:r w:rsidR="00266D95" w:rsidRPr="00266D95">
              <w:t>financial system</w:t>
            </w:r>
            <w:r w:rsidR="00733AD6">
              <w:t>.</w:t>
            </w:r>
          </w:p>
        </w:tc>
        <w:tc>
          <w:tcPr>
            <w:tcW w:w="0" w:type="dxa"/>
          </w:tcPr>
          <w:p w14:paraId="4272F62D" w14:textId="29E95099" w:rsidR="00656ED6" w:rsidRPr="006E1911" w:rsidRDefault="006E1911" w:rsidP="007D0A71">
            <w:pPr>
              <w:pStyle w:val="ListBullet"/>
              <w:numPr>
                <w:ilvl w:val="0"/>
                <w:numId w:val="0"/>
              </w:numPr>
              <w:spacing w:before="120" w:after="120"/>
              <w:cnfStyle w:val="000000010000" w:firstRow="0" w:lastRow="0" w:firstColumn="0" w:lastColumn="0" w:oddVBand="0" w:evenVBand="0" w:oddHBand="0" w:evenHBand="1" w:firstRowFirstColumn="0" w:firstRowLastColumn="0" w:lastRowFirstColumn="0" w:lastRowLastColumn="0"/>
              <w:rPr>
                <w:b/>
              </w:rPr>
            </w:pPr>
            <w:r>
              <w:t>A</w:t>
            </w:r>
            <w:r w:rsidRPr="006E1911">
              <w:t xml:space="preserve"> function provided by an APRA-regulated entity that is important to financial system stability or the availability of essential financial services to a particular industry or community</w:t>
            </w:r>
            <w:r w:rsidR="00733AD6">
              <w:t>.</w:t>
            </w:r>
          </w:p>
        </w:tc>
      </w:tr>
      <w:tr w:rsidR="00656ED6" w:rsidRPr="00B61942" w14:paraId="01B93141" w14:textId="17435D88" w:rsidTr="00063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E856F79" w14:textId="73FDBF71" w:rsidR="00656ED6" w:rsidRDefault="007D0A71" w:rsidP="007D0A71">
            <w:pPr>
              <w:spacing w:before="120" w:after="120"/>
              <w:rPr>
                <w:b/>
              </w:rPr>
            </w:pPr>
            <w:r>
              <w:rPr>
                <w:b/>
              </w:rPr>
              <w:t>Focus</w:t>
            </w:r>
          </w:p>
        </w:tc>
        <w:tc>
          <w:tcPr>
            <w:tcW w:w="0" w:type="dxa"/>
          </w:tcPr>
          <w:p w14:paraId="3FBAF0EB" w14:textId="3E351618" w:rsidR="00656ED6" w:rsidRPr="007D0A71" w:rsidRDefault="007D0A71" w:rsidP="007D0A71">
            <w:pPr>
              <w:pStyle w:val="ListBullet"/>
              <w:numPr>
                <w:ilvl w:val="0"/>
                <w:numId w:val="0"/>
              </w:numPr>
              <w:spacing w:before="120" w:after="120"/>
              <w:ind w:left="425" w:hanging="425"/>
              <w:cnfStyle w:val="000000100000" w:firstRow="0" w:lastRow="0" w:firstColumn="0" w:lastColumn="0" w:oddVBand="0" w:evenVBand="0" w:oddHBand="1" w:evenHBand="0" w:firstRowFirstColumn="0" w:firstRowLastColumn="0" w:lastRowFirstColumn="0" w:lastRowLastColumn="0"/>
            </w:pPr>
            <w:r w:rsidRPr="007D0A71">
              <w:t>Entity-level</w:t>
            </w:r>
          </w:p>
        </w:tc>
        <w:tc>
          <w:tcPr>
            <w:tcW w:w="0" w:type="dxa"/>
          </w:tcPr>
          <w:p w14:paraId="0E67D9FD" w14:textId="435007A3" w:rsidR="00656ED6" w:rsidRPr="007D0A71" w:rsidRDefault="007D0A71" w:rsidP="007D0A71">
            <w:pPr>
              <w:pStyle w:val="ListBullet"/>
              <w:numPr>
                <w:ilvl w:val="0"/>
                <w:numId w:val="0"/>
              </w:numPr>
              <w:spacing w:before="120" w:after="120"/>
              <w:ind w:left="425" w:hanging="425"/>
              <w:cnfStyle w:val="000000100000" w:firstRow="0" w:lastRow="0" w:firstColumn="0" w:lastColumn="0" w:oddVBand="0" w:evenVBand="0" w:oddHBand="1" w:evenHBand="0" w:firstRowFirstColumn="0" w:firstRowLastColumn="0" w:lastRowFirstColumn="0" w:lastRowLastColumn="0"/>
            </w:pPr>
            <w:r w:rsidRPr="007D0A71">
              <w:t>Financial system-level</w:t>
            </w:r>
          </w:p>
        </w:tc>
      </w:tr>
      <w:tr w:rsidR="00DC03A7" w:rsidRPr="00B61942" w14:paraId="0A41145F" w14:textId="77777777" w:rsidTr="000636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2374EC0" w14:textId="4EA61AED" w:rsidR="00DC03A7" w:rsidRDefault="00BE2C6D" w:rsidP="007D0A71">
            <w:pPr>
              <w:spacing w:before="120" w:after="120"/>
              <w:rPr>
                <w:b/>
              </w:rPr>
            </w:pPr>
            <w:r>
              <w:rPr>
                <w:b/>
              </w:rPr>
              <w:t>Applies to</w:t>
            </w:r>
          </w:p>
        </w:tc>
        <w:tc>
          <w:tcPr>
            <w:tcW w:w="0" w:type="dxa"/>
          </w:tcPr>
          <w:p w14:paraId="2ED50EFE" w14:textId="6CE359DE" w:rsidR="00DC03A7" w:rsidRPr="007D0A71" w:rsidRDefault="00DC03A7" w:rsidP="00BE2C6D">
            <w:pPr>
              <w:pStyle w:val="ListBullet"/>
              <w:numPr>
                <w:ilvl w:val="0"/>
                <w:numId w:val="0"/>
              </w:numPr>
              <w:spacing w:before="120" w:after="120"/>
              <w:cnfStyle w:val="000000010000" w:firstRow="0" w:lastRow="0" w:firstColumn="0" w:lastColumn="0" w:oddVBand="0" w:evenVBand="0" w:oddHBand="0" w:evenHBand="1" w:firstRowFirstColumn="0" w:firstRowLastColumn="0" w:lastRowFirstColumn="0" w:lastRowLastColumn="0"/>
            </w:pPr>
            <w:r>
              <w:t xml:space="preserve">Defined by </w:t>
            </w:r>
            <w:r w:rsidR="00733AD6">
              <w:t>an</w:t>
            </w:r>
            <w:r>
              <w:t xml:space="preserve"> entit</w:t>
            </w:r>
            <w:r w:rsidR="00733AD6">
              <w:t>y</w:t>
            </w:r>
            <w:r w:rsidR="00BE2C6D">
              <w:t xml:space="preserve"> as part of BCP</w:t>
            </w:r>
            <w:r w:rsidR="0096400D">
              <w:t xml:space="preserve">, and </w:t>
            </w:r>
            <w:proofErr w:type="gramStart"/>
            <w:r w:rsidR="0096400D">
              <w:t>maintained at all times</w:t>
            </w:r>
            <w:proofErr w:type="gramEnd"/>
          </w:p>
        </w:tc>
        <w:tc>
          <w:tcPr>
            <w:tcW w:w="0" w:type="dxa"/>
          </w:tcPr>
          <w:p w14:paraId="3EACE7B0" w14:textId="2A9A1A02" w:rsidR="00DC03A7" w:rsidRPr="007D0A71" w:rsidRDefault="00733AD6" w:rsidP="0096400D">
            <w:pPr>
              <w:pStyle w:val="ListBullet"/>
              <w:numPr>
                <w:ilvl w:val="0"/>
                <w:numId w:val="0"/>
              </w:numPr>
              <w:spacing w:before="120" w:after="120"/>
              <w:cnfStyle w:val="000000010000" w:firstRow="0" w:lastRow="0" w:firstColumn="0" w:lastColumn="0" w:oddVBand="0" w:evenVBand="0" w:oddHBand="0" w:evenHBand="1" w:firstRowFirstColumn="0" w:firstRowLastColumn="0" w:lastRowFirstColumn="0" w:lastRowLastColumn="0"/>
            </w:pPr>
            <w:r>
              <w:t>Determined</w:t>
            </w:r>
            <w:r w:rsidR="0096400D">
              <w:t xml:space="preserve"> by</w:t>
            </w:r>
            <w:r>
              <w:t xml:space="preserve"> APRA</w:t>
            </w:r>
            <w:r w:rsidR="0096400D">
              <w:t xml:space="preserve"> on a case</w:t>
            </w:r>
            <w:r w:rsidR="00E50B5B">
              <w:t>-by-case</w:t>
            </w:r>
            <w:r w:rsidR="0096400D">
              <w:t xml:space="preserve"> basis</w:t>
            </w:r>
          </w:p>
        </w:tc>
      </w:tr>
      <w:tr w:rsidR="007D0A71" w:rsidRPr="00B61942" w14:paraId="3BA2AD36" w14:textId="77777777" w:rsidTr="00063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B1DA7E7" w14:textId="2A33B511" w:rsidR="007D0A71" w:rsidRDefault="007D0A71" w:rsidP="007D0A71">
            <w:pPr>
              <w:spacing w:before="120" w:after="120"/>
              <w:rPr>
                <w:b/>
              </w:rPr>
            </w:pPr>
            <w:r>
              <w:rPr>
                <w:b/>
              </w:rPr>
              <w:t>Examples</w:t>
            </w:r>
          </w:p>
        </w:tc>
        <w:tc>
          <w:tcPr>
            <w:tcW w:w="0" w:type="dxa"/>
          </w:tcPr>
          <w:p w14:paraId="289746FB" w14:textId="47F0BDF5" w:rsidR="007D0A71" w:rsidRDefault="0096400D" w:rsidP="0096400D">
            <w:pPr>
              <w:pStyle w:val="ListBullet"/>
              <w:spacing w:before="120" w:after="120"/>
              <w:cnfStyle w:val="000000100000" w:firstRow="0" w:lastRow="0" w:firstColumn="0" w:lastColumn="0" w:oddVBand="0" w:evenVBand="0" w:oddHBand="1" w:evenHBand="0" w:firstRowFirstColumn="0" w:firstRowLastColumn="0" w:lastRowFirstColumn="0" w:lastRowLastColumn="0"/>
            </w:pPr>
            <w:r>
              <w:t>Deposit</w:t>
            </w:r>
            <w:r w:rsidR="00686AC4">
              <w:t>-taking and management</w:t>
            </w:r>
          </w:p>
          <w:p w14:paraId="3C33BAD6" w14:textId="79B4320C" w:rsidR="0096400D" w:rsidRDefault="0096400D" w:rsidP="0096400D">
            <w:pPr>
              <w:pStyle w:val="ListBullet"/>
              <w:spacing w:before="120" w:after="120"/>
              <w:cnfStyle w:val="000000100000" w:firstRow="0" w:lastRow="0" w:firstColumn="0" w:lastColumn="0" w:oddVBand="0" w:evenVBand="0" w:oddHBand="1" w:evenHBand="0" w:firstRowFirstColumn="0" w:firstRowLastColumn="0" w:lastRowFirstColumn="0" w:lastRowLastColumn="0"/>
            </w:pPr>
            <w:r>
              <w:t>Payments</w:t>
            </w:r>
            <w:r w:rsidR="00686AC4">
              <w:t xml:space="preserve"> </w:t>
            </w:r>
          </w:p>
          <w:p w14:paraId="39A681CB" w14:textId="77777777" w:rsidR="00686AC4" w:rsidRDefault="00686AC4" w:rsidP="0096400D">
            <w:pPr>
              <w:pStyle w:val="ListBullet"/>
              <w:spacing w:before="120" w:after="120"/>
              <w:cnfStyle w:val="000000100000" w:firstRow="0" w:lastRow="0" w:firstColumn="0" w:lastColumn="0" w:oddVBand="0" w:evenVBand="0" w:oddHBand="1" w:evenHBand="0" w:firstRowFirstColumn="0" w:firstRowLastColumn="0" w:lastRowFirstColumn="0" w:lastRowLastColumn="0"/>
            </w:pPr>
            <w:r>
              <w:t>Custody</w:t>
            </w:r>
          </w:p>
          <w:p w14:paraId="0E8FF7AE" w14:textId="14F943B0" w:rsidR="004A7AFD" w:rsidRDefault="004A7AFD" w:rsidP="0096400D">
            <w:pPr>
              <w:pStyle w:val="ListBullet"/>
              <w:spacing w:before="120" w:after="120"/>
              <w:cnfStyle w:val="000000100000" w:firstRow="0" w:lastRow="0" w:firstColumn="0" w:lastColumn="0" w:oddVBand="0" w:evenVBand="0" w:oddHBand="1" w:evenHBand="0" w:firstRowFirstColumn="0" w:firstRowLastColumn="0" w:lastRowFirstColumn="0" w:lastRowLastColumn="0"/>
            </w:pPr>
            <w:r>
              <w:t>Settlements</w:t>
            </w:r>
          </w:p>
          <w:p w14:paraId="4D5B0D3E" w14:textId="77777777" w:rsidR="004A7AFD" w:rsidRDefault="004A7AFD" w:rsidP="0096400D">
            <w:pPr>
              <w:pStyle w:val="ListBullet"/>
              <w:spacing w:before="120" w:after="120"/>
              <w:cnfStyle w:val="000000100000" w:firstRow="0" w:lastRow="0" w:firstColumn="0" w:lastColumn="0" w:oddVBand="0" w:evenVBand="0" w:oddHBand="1" w:evenHBand="0" w:firstRowFirstColumn="0" w:firstRowLastColumn="0" w:lastRowFirstColumn="0" w:lastRowLastColumn="0"/>
            </w:pPr>
            <w:r>
              <w:t>Clearing</w:t>
            </w:r>
          </w:p>
          <w:p w14:paraId="0BBF0756" w14:textId="2084E530" w:rsidR="0096400D" w:rsidRPr="007D0A71" w:rsidRDefault="004A7AFD" w:rsidP="0096400D">
            <w:pPr>
              <w:pStyle w:val="ListBullet"/>
              <w:spacing w:before="120" w:after="120"/>
              <w:cnfStyle w:val="000000100000" w:firstRow="0" w:lastRow="0" w:firstColumn="0" w:lastColumn="0" w:oddVBand="0" w:evenVBand="0" w:oddHBand="1" w:evenHBand="0" w:firstRowFirstColumn="0" w:firstRowLastColumn="0" w:lastRowFirstColumn="0" w:lastRowLastColumn="0"/>
            </w:pPr>
            <w:r>
              <w:t>Customer enquiries</w:t>
            </w:r>
          </w:p>
        </w:tc>
        <w:tc>
          <w:tcPr>
            <w:tcW w:w="0" w:type="dxa"/>
          </w:tcPr>
          <w:p w14:paraId="4433B06F" w14:textId="6A30F697" w:rsidR="00E0081B" w:rsidRPr="00916D58" w:rsidRDefault="00916D58" w:rsidP="0096400D">
            <w:pPr>
              <w:pStyle w:val="ListBullet"/>
              <w:spacing w:before="120" w:after="120"/>
              <w:cnfStyle w:val="000000100000" w:firstRow="0" w:lastRow="0" w:firstColumn="0" w:lastColumn="0" w:oddVBand="0" w:evenVBand="0" w:oddHBand="1" w:evenHBand="0" w:firstRowFirstColumn="0" w:firstRowLastColumn="0" w:lastRowFirstColumn="0" w:lastRowLastColumn="0"/>
            </w:pPr>
            <w:r w:rsidRPr="00916D58">
              <w:t>Very l</w:t>
            </w:r>
            <w:r w:rsidR="00E0081B" w:rsidRPr="00916D58">
              <w:t>arge deposit book</w:t>
            </w:r>
          </w:p>
          <w:p w14:paraId="3A892D7B" w14:textId="24C94B6D" w:rsidR="007D0A71" w:rsidRPr="007D0A71" w:rsidRDefault="007D0A71" w:rsidP="004A7AFD">
            <w:pPr>
              <w:pStyle w:val="ListBullet"/>
              <w:numPr>
                <w:ilvl w:val="0"/>
                <w:numId w:val="0"/>
              </w:numPr>
              <w:spacing w:before="120" w:after="120"/>
              <w:cnfStyle w:val="000000100000" w:firstRow="0" w:lastRow="0" w:firstColumn="0" w:lastColumn="0" w:oddVBand="0" w:evenVBand="0" w:oddHBand="1" w:evenHBand="0" w:firstRowFirstColumn="0" w:firstRowLastColumn="0" w:lastRowFirstColumn="0" w:lastRowLastColumn="0"/>
            </w:pPr>
          </w:p>
        </w:tc>
      </w:tr>
    </w:tbl>
    <w:p w14:paraId="7A7CB1E3" w14:textId="25F706D3" w:rsidR="00CF2317" w:rsidRDefault="00CF2317" w:rsidP="00764632">
      <w:pPr>
        <w:pStyle w:val="Heading2Numbers"/>
        <w:numPr>
          <w:ilvl w:val="0"/>
          <w:numId w:val="0"/>
        </w:numPr>
      </w:pPr>
      <w:r>
        <w:t>Tolerance levels</w:t>
      </w:r>
    </w:p>
    <w:p w14:paraId="57ECC4A7" w14:textId="55A11077" w:rsidR="002609E8" w:rsidRDefault="008A37BD" w:rsidP="002609E8">
      <w:pPr>
        <w:numPr>
          <w:ilvl w:val="0"/>
          <w:numId w:val="0"/>
        </w:numPr>
      </w:pPr>
      <w:r>
        <w:t xml:space="preserve">Under </w:t>
      </w:r>
      <w:r w:rsidR="004A6345">
        <w:t>draft</w:t>
      </w:r>
      <w:r>
        <w:t xml:space="preserve"> CPS 230, </w:t>
      </w:r>
      <w:r w:rsidR="00AB7CB3">
        <w:t>APRA-regulated entit</w:t>
      </w:r>
      <w:r w:rsidR="00F36ADD">
        <w:t xml:space="preserve">ies would </w:t>
      </w:r>
      <w:r>
        <w:t>be required to</w:t>
      </w:r>
      <w:r w:rsidR="00F36ADD" w:rsidDel="0035336D">
        <w:t xml:space="preserve"> </w:t>
      </w:r>
      <w:r w:rsidR="00F36ADD">
        <w:t>set</w:t>
      </w:r>
      <w:r w:rsidR="00AB7CB3">
        <w:t xml:space="preserve"> Board-approved tolerance levels for each </w:t>
      </w:r>
      <w:r>
        <w:t xml:space="preserve">of their </w:t>
      </w:r>
      <w:r w:rsidR="00F36ADD">
        <w:t>critical</w:t>
      </w:r>
      <w:r w:rsidR="00AB7CB3">
        <w:t xml:space="preserve"> operation</w:t>
      </w:r>
      <w:r>
        <w:t>s</w:t>
      </w:r>
      <w:r w:rsidR="00AB7CB3">
        <w:t xml:space="preserve">. </w:t>
      </w:r>
      <w:r w:rsidR="004A6345">
        <w:t>Draft</w:t>
      </w:r>
      <w:r w:rsidR="00F401BA">
        <w:t xml:space="preserve"> </w:t>
      </w:r>
      <w:r w:rsidR="00AB7CB3">
        <w:t xml:space="preserve">CPS 230 </w:t>
      </w:r>
      <w:r w:rsidR="004C61A1">
        <w:t>specifies</w:t>
      </w:r>
      <w:r w:rsidR="00AB7CB3">
        <w:t xml:space="preserve"> the nature of tolerance levels </w:t>
      </w:r>
      <w:r w:rsidR="004C61A1">
        <w:t>that must be set</w:t>
      </w:r>
      <w:r w:rsidR="00CD37E5">
        <w:t xml:space="preserve"> as</w:t>
      </w:r>
      <w:r w:rsidR="004C61A1">
        <w:t>:</w:t>
      </w:r>
    </w:p>
    <w:p w14:paraId="306CC66C" w14:textId="1F017D46" w:rsidR="00AB7CB3" w:rsidRDefault="00F401BA" w:rsidP="00AB7CB3">
      <w:pPr>
        <w:pStyle w:val="ListBullet"/>
      </w:pPr>
      <w:r>
        <w:t xml:space="preserve">the </w:t>
      </w:r>
      <w:r w:rsidR="00AB7CB3">
        <w:t xml:space="preserve">maximum period of time an entity would tolerate a disruption to the </w:t>
      </w:r>
      <w:proofErr w:type="gramStart"/>
      <w:r w:rsidR="00AB7CB3">
        <w:t>operation</w:t>
      </w:r>
      <w:r w:rsidR="00E8738F">
        <w:t>;</w:t>
      </w:r>
      <w:proofErr w:type="gramEnd"/>
    </w:p>
    <w:p w14:paraId="1C5C64A0" w14:textId="77777777" w:rsidR="00E8738F" w:rsidRPr="00E8738F" w:rsidRDefault="00E8738F" w:rsidP="00E8738F">
      <w:pPr>
        <w:pStyle w:val="ListBullet"/>
      </w:pPr>
      <w:r w:rsidRPr="00E8738F">
        <w:t xml:space="preserve">the maximum extent of data loss the entity would accept </w:t>
      </w:r>
      <w:proofErr w:type="gramStart"/>
      <w:r w:rsidRPr="00E8738F">
        <w:t>as a result of</w:t>
      </w:r>
      <w:proofErr w:type="gramEnd"/>
      <w:r w:rsidRPr="00E8738F">
        <w:t xml:space="preserve"> a disruption; and</w:t>
      </w:r>
    </w:p>
    <w:p w14:paraId="1F8D123D" w14:textId="77777777" w:rsidR="00E8738F" w:rsidRPr="00E8738F" w:rsidRDefault="00E8738F" w:rsidP="00E8738F">
      <w:pPr>
        <w:pStyle w:val="ListBullet"/>
      </w:pPr>
      <w:r w:rsidRPr="00E8738F">
        <w:t>minimum service levels the entity would maintain while operating under alternative arrangements during a disruption.</w:t>
      </w:r>
    </w:p>
    <w:p w14:paraId="3AA3B2B8" w14:textId="42B657E4" w:rsidR="00416C57" w:rsidRPr="0038123B" w:rsidRDefault="00AB469D" w:rsidP="00C65DBD">
      <w:r>
        <w:t>The setting of tolerance levels is intended to be customer and outcomes-focussed</w:t>
      </w:r>
      <w:r w:rsidR="008A37BD">
        <w:t>;</w:t>
      </w:r>
      <w:r>
        <w:t xml:space="preserve"> it is these factors that a</w:t>
      </w:r>
      <w:r w:rsidR="00E8738F">
        <w:t>n entity</w:t>
      </w:r>
      <w:r>
        <w:t xml:space="preserve"> would be expected to have front-of-mind when determining</w:t>
      </w:r>
      <w:r w:rsidR="0035336D">
        <w:t xml:space="preserve"> tolerance</w:t>
      </w:r>
      <w:r>
        <w:t xml:space="preserve"> levels for </w:t>
      </w:r>
      <w:r w:rsidR="00E8738F">
        <w:t>critical</w:t>
      </w:r>
      <w:r>
        <w:t xml:space="preserve"> operations. </w:t>
      </w:r>
      <w:r w:rsidR="007B29E6">
        <w:t xml:space="preserve">APRA may also </w:t>
      </w:r>
      <w:r w:rsidR="00C65DBD">
        <w:t>set</w:t>
      </w:r>
      <w:r w:rsidR="007B29E6">
        <w:t xml:space="preserve"> tolerance levels in circumstances where </w:t>
      </w:r>
      <w:r w:rsidR="00C65DBD">
        <w:t>there are heightened risks or material weaknesses, including at a system level.</w:t>
      </w:r>
      <w:r w:rsidR="0028540D">
        <w:rPr>
          <w:rStyle w:val="FootnoteReference"/>
        </w:rPr>
        <w:footnoteReference w:id="9"/>
      </w:r>
    </w:p>
    <w:tbl>
      <w:tblPr>
        <w:tblStyle w:val="TableGrid"/>
        <w:tblW w:w="9026" w:type="dxa"/>
        <w:tblLayout w:type="fixed"/>
        <w:tblLook w:val="04A0" w:firstRow="1" w:lastRow="0" w:firstColumn="1" w:lastColumn="0" w:noHBand="0" w:noVBand="1"/>
      </w:tblPr>
      <w:tblGrid>
        <w:gridCol w:w="9026"/>
      </w:tblGrid>
      <w:tr w:rsidR="00805A1C" w:rsidRPr="00D86DB0" w14:paraId="0ABD2548" w14:textId="77777777" w:rsidTr="001E4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E2F3FA" w:themeFill="accent6" w:themeFillTint="33"/>
          </w:tcPr>
          <w:p w14:paraId="173FEEE9" w14:textId="5049AD69" w:rsidR="00805A1C" w:rsidRPr="00C6127A" w:rsidRDefault="00805A1C" w:rsidP="00805A1C">
            <w:pPr>
              <w:rPr>
                <w:color w:val="000000"/>
              </w:rPr>
            </w:pPr>
            <w:r w:rsidRPr="00C6127A">
              <w:rPr>
                <w:noProof/>
              </w:rPr>
              <w:drawing>
                <wp:inline distT="0" distB="0" distL="0" distR="0" wp14:anchorId="42D4E35D" wp14:editId="7C234C76">
                  <wp:extent cx="403225" cy="389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225" cy="389890"/>
                          </a:xfrm>
                          <a:prstGeom prst="rect">
                            <a:avLst/>
                          </a:prstGeom>
                          <a:noFill/>
                          <a:ln>
                            <a:noFill/>
                          </a:ln>
                        </pic:spPr>
                      </pic:pic>
                    </a:graphicData>
                  </a:graphic>
                </wp:inline>
              </w:drawing>
            </w:r>
            <w:r w:rsidRPr="00C6127A">
              <w:rPr>
                <w:color w:val="000000"/>
              </w:rPr>
              <w:t xml:space="preserve"> </w:t>
            </w:r>
            <w:r w:rsidRPr="00C6127A">
              <w:rPr>
                <w:rStyle w:val="Heading3Char"/>
              </w:rPr>
              <w:t>Examples of tolerance levels</w:t>
            </w:r>
          </w:p>
        </w:tc>
      </w:tr>
      <w:tr w:rsidR="0020343F" w:rsidRPr="00D86DB0" w14:paraId="0021F372" w14:textId="77777777" w:rsidTr="001E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E2F3FA" w:themeFill="accent6" w:themeFillTint="33"/>
          </w:tcPr>
          <w:p w14:paraId="38F296C1" w14:textId="7C6F3F62" w:rsidR="00FB1B4F" w:rsidRPr="00FB1B4F" w:rsidRDefault="003A504C" w:rsidP="0020343F">
            <w:pPr>
              <w:rPr>
                <w:color w:val="000000"/>
              </w:rPr>
            </w:pPr>
            <w:r>
              <w:rPr>
                <w:color w:val="000000"/>
              </w:rPr>
              <w:t xml:space="preserve">For payments, an entity may set tolerance levels for a disruption measured </w:t>
            </w:r>
            <w:r w:rsidR="00F4596F">
              <w:rPr>
                <w:color w:val="000000"/>
              </w:rPr>
              <w:t xml:space="preserve">in </w:t>
            </w:r>
            <w:r>
              <w:rPr>
                <w:color w:val="000000"/>
              </w:rPr>
              <w:t xml:space="preserve">hours or days. This may depend on the type of payment service and the granularity of the level. Tolerance levels are akin to a risk appetite for </w:t>
            </w:r>
            <w:r w:rsidR="00B601EA">
              <w:rPr>
                <w:color w:val="000000"/>
              </w:rPr>
              <w:t>disruption and</w:t>
            </w:r>
            <w:r>
              <w:rPr>
                <w:color w:val="000000"/>
              </w:rPr>
              <w:t xml:space="preserve"> should be clearly justified and subject to challenge and review.</w:t>
            </w:r>
          </w:p>
          <w:p w14:paraId="6267E0A0" w14:textId="77777777" w:rsidR="00FB1B4F" w:rsidRPr="00FB1B4F" w:rsidRDefault="00FB1B4F" w:rsidP="0020343F">
            <w:pPr>
              <w:rPr>
                <w:color w:val="000000"/>
              </w:rPr>
            </w:pPr>
          </w:p>
          <w:p w14:paraId="3DF1CBBD" w14:textId="60054FD5" w:rsidR="0020343F" w:rsidRPr="003A504C" w:rsidRDefault="003A504C" w:rsidP="0020343F">
            <w:pPr>
              <w:rPr>
                <w:color w:val="000000"/>
              </w:rPr>
            </w:pPr>
            <w:r>
              <w:rPr>
                <w:color w:val="000000"/>
              </w:rPr>
              <w:t xml:space="preserve">APRA expects that entities will set and </w:t>
            </w:r>
            <w:r w:rsidR="001830B5">
              <w:rPr>
                <w:color w:val="000000"/>
              </w:rPr>
              <w:t>regularly reassess</w:t>
            </w:r>
            <w:r>
              <w:rPr>
                <w:color w:val="000000"/>
              </w:rPr>
              <w:t xml:space="preserve"> tolerance levels, as they learn lessons from actual disruptions, testing and </w:t>
            </w:r>
            <w:r w:rsidR="00487D64">
              <w:rPr>
                <w:color w:val="000000"/>
              </w:rPr>
              <w:t>the development of industry practices. In the UK, a recent review of tolerance levels for payments revealed a wide range: from one working day for some payment</w:t>
            </w:r>
            <w:r w:rsidR="00C70839">
              <w:rPr>
                <w:color w:val="000000"/>
              </w:rPr>
              <w:t xml:space="preserve"> processe</w:t>
            </w:r>
            <w:r w:rsidR="00487D64">
              <w:rPr>
                <w:color w:val="000000"/>
              </w:rPr>
              <w:t>s to 24 hours</w:t>
            </w:r>
            <w:r w:rsidR="00C70839">
              <w:rPr>
                <w:color w:val="000000"/>
              </w:rPr>
              <w:t xml:space="preserve"> to two weeks</w:t>
            </w:r>
            <w:r w:rsidR="00487D64">
              <w:rPr>
                <w:color w:val="000000"/>
              </w:rPr>
              <w:t xml:space="preserve"> for others.</w:t>
            </w:r>
            <w:r w:rsidR="00C70839">
              <w:rPr>
                <w:rStyle w:val="FootnoteReference"/>
                <w:color w:val="000000"/>
              </w:rPr>
              <w:footnoteReference w:id="10"/>
            </w:r>
            <w:r w:rsidR="00487D64">
              <w:rPr>
                <w:color w:val="000000"/>
              </w:rPr>
              <w:t xml:space="preserve"> </w:t>
            </w:r>
          </w:p>
        </w:tc>
      </w:tr>
    </w:tbl>
    <w:p w14:paraId="2A65FDC3" w14:textId="679859C8" w:rsidR="002609E8" w:rsidRDefault="002609E8" w:rsidP="00C84ECF">
      <w:pPr>
        <w:pStyle w:val="Heading2Numbers"/>
        <w:numPr>
          <w:ilvl w:val="0"/>
          <w:numId w:val="0"/>
        </w:numPr>
      </w:pPr>
      <w:r>
        <w:t>Business continuity plan</w:t>
      </w:r>
    </w:p>
    <w:p w14:paraId="5C657F07" w14:textId="1AA5AEA2" w:rsidR="0038123B" w:rsidRDefault="00C342BF" w:rsidP="002609E8">
      <w:pPr>
        <w:numPr>
          <w:ilvl w:val="0"/>
          <w:numId w:val="0"/>
        </w:numPr>
      </w:pPr>
      <w:r>
        <w:t>As with the requirements under existing CPS 232</w:t>
      </w:r>
      <w:r w:rsidR="00E0722B">
        <w:t xml:space="preserve"> and </w:t>
      </w:r>
      <w:r>
        <w:t xml:space="preserve">SPS 232 to maintain a business continuity plan (BCP), </w:t>
      </w:r>
      <w:r w:rsidR="004A6345">
        <w:t>draft</w:t>
      </w:r>
      <w:r>
        <w:t xml:space="preserve"> CPS 230 also requires an APRA-regulated entity to</w:t>
      </w:r>
      <w:r w:rsidR="00F401BA">
        <w:t xml:space="preserve"> </w:t>
      </w:r>
      <w:r w:rsidR="00E4538B">
        <w:t>maintain</w:t>
      </w:r>
      <w:r w:rsidR="00E0722B">
        <w:t xml:space="preserve"> a</w:t>
      </w:r>
      <w:r>
        <w:t xml:space="preserve"> BCP </w:t>
      </w:r>
      <w:r w:rsidR="00E4538B">
        <w:t xml:space="preserve">for </w:t>
      </w:r>
      <w:r>
        <w:t xml:space="preserve">its </w:t>
      </w:r>
      <w:r w:rsidR="00E0722B">
        <w:t>critical</w:t>
      </w:r>
      <w:r w:rsidR="00E4538B">
        <w:t xml:space="preserve"> operations. </w:t>
      </w:r>
      <w:r w:rsidR="0038123B">
        <w:t>The BCP must set out how the entity would recover critical operations within tolerance levels in the event of a severe but plausible disruption.</w:t>
      </w:r>
    </w:p>
    <w:p w14:paraId="30856E76" w14:textId="5E3834CB" w:rsidR="002609E8" w:rsidRDefault="00E4538B" w:rsidP="002609E8">
      <w:pPr>
        <w:numPr>
          <w:ilvl w:val="0"/>
          <w:numId w:val="0"/>
        </w:numPr>
      </w:pPr>
      <w:r>
        <w:t xml:space="preserve">While </w:t>
      </w:r>
      <w:r w:rsidR="004A6345">
        <w:t>draft</w:t>
      </w:r>
      <w:r w:rsidR="00F401BA">
        <w:t xml:space="preserve"> </w:t>
      </w:r>
      <w:r>
        <w:t xml:space="preserve">CPS 230 sets out the key matters that a BCP must address, </w:t>
      </w:r>
      <w:r w:rsidR="001B1A82">
        <w:t xml:space="preserve">an </w:t>
      </w:r>
      <w:r>
        <w:t xml:space="preserve">APRA-regulated entity </w:t>
      </w:r>
      <w:r w:rsidR="00F401BA">
        <w:t xml:space="preserve">is responsible for </w:t>
      </w:r>
      <w:r>
        <w:t>ensur</w:t>
      </w:r>
      <w:r w:rsidR="00F401BA">
        <w:t>ing</w:t>
      </w:r>
      <w:r>
        <w:t xml:space="preserve"> its BCP is fit-for-purpose and is sufficiently </w:t>
      </w:r>
      <w:r w:rsidR="006719C4">
        <w:t>comprehensive</w:t>
      </w:r>
      <w:r>
        <w:t xml:space="preserve"> to </w:t>
      </w:r>
      <w:r w:rsidR="006719C4">
        <w:t xml:space="preserve">be useful in </w:t>
      </w:r>
      <w:r>
        <w:t xml:space="preserve">appropriately responding to a disruption. The nature, complexity and size of an entity’s operations </w:t>
      </w:r>
      <w:r w:rsidR="00F401BA">
        <w:t>are</w:t>
      </w:r>
      <w:r>
        <w:t xml:space="preserve"> </w:t>
      </w:r>
      <w:r w:rsidR="0038123B">
        <w:t>key</w:t>
      </w:r>
      <w:r w:rsidR="003A0F99">
        <w:t xml:space="preserve"> considerations </w:t>
      </w:r>
      <w:r>
        <w:t xml:space="preserve">in the development and maintenance of </w:t>
      </w:r>
      <w:r w:rsidR="006719C4">
        <w:t>a</w:t>
      </w:r>
      <w:r>
        <w:t xml:space="preserve"> BCP. While</w:t>
      </w:r>
      <w:r w:rsidR="006719C4">
        <w:t xml:space="preserve"> </w:t>
      </w:r>
      <w:r w:rsidR="004A6345">
        <w:t>draft</w:t>
      </w:r>
      <w:r w:rsidR="00F401BA">
        <w:t xml:space="preserve"> </w:t>
      </w:r>
      <w:r>
        <w:t xml:space="preserve">CPS 230 is framed in the context of a </w:t>
      </w:r>
      <w:r w:rsidR="006719C4">
        <w:t xml:space="preserve">single </w:t>
      </w:r>
      <w:r>
        <w:t xml:space="preserve">BCP, this does not prevent an entity from having multiple BCPs </w:t>
      </w:r>
      <w:r w:rsidR="0038123B">
        <w:t>with</w:t>
      </w:r>
      <w:r w:rsidR="00CE78A0">
        <w:t>,</w:t>
      </w:r>
      <w:r>
        <w:t xml:space="preserve"> for example</w:t>
      </w:r>
      <w:r w:rsidR="00CE78A0">
        <w:t>,</w:t>
      </w:r>
      <w:r>
        <w:t xml:space="preserve"> </w:t>
      </w:r>
      <w:r w:rsidR="0038123B">
        <w:t>detailed plans</w:t>
      </w:r>
      <w:r>
        <w:t xml:space="preserve"> for each </w:t>
      </w:r>
      <w:r w:rsidR="001B1A82">
        <w:t>critical</w:t>
      </w:r>
      <w:r>
        <w:t xml:space="preserve"> operation.</w:t>
      </w:r>
    </w:p>
    <w:p w14:paraId="2801931A" w14:textId="784591DA" w:rsidR="002609E8" w:rsidRPr="002609E8" w:rsidRDefault="008E6955" w:rsidP="00C84ECF">
      <w:pPr>
        <w:pStyle w:val="Heading2Numbers"/>
        <w:numPr>
          <w:ilvl w:val="0"/>
          <w:numId w:val="0"/>
        </w:numPr>
      </w:pPr>
      <w:r>
        <w:t>T</w:t>
      </w:r>
      <w:r w:rsidR="002609E8">
        <w:t xml:space="preserve">esting </w:t>
      </w:r>
      <w:r>
        <w:t>and review</w:t>
      </w:r>
    </w:p>
    <w:p w14:paraId="25ECB3AD" w14:textId="4B46CCA7" w:rsidR="00DA488F" w:rsidRDefault="004A6345" w:rsidP="00DA488F">
      <w:pPr>
        <w:numPr>
          <w:ilvl w:val="0"/>
          <w:numId w:val="0"/>
        </w:numPr>
      </w:pPr>
      <w:r>
        <w:t>Draft</w:t>
      </w:r>
      <w:r w:rsidR="00D20A41">
        <w:t xml:space="preserve"> CPS 230 </w:t>
      </w:r>
      <w:r w:rsidR="005B729D">
        <w:t>requires</w:t>
      </w:r>
      <w:r w:rsidR="00C3122D">
        <w:t xml:space="preserve"> </w:t>
      </w:r>
      <w:r w:rsidR="005B729D">
        <w:t xml:space="preserve">an APRA-regulated entity to </w:t>
      </w:r>
      <w:r w:rsidR="00451BE0">
        <w:t>have a systemic testing program for its BCP that covers all critical operations and include</w:t>
      </w:r>
      <w:r w:rsidR="00A66426">
        <w:t>s</w:t>
      </w:r>
      <w:r w:rsidR="00451BE0">
        <w:t xml:space="preserve"> </w:t>
      </w:r>
      <w:r w:rsidR="009518A0">
        <w:t>an annual business continuity exercise</w:t>
      </w:r>
      <w:r w:rsidR="00451BE0">
        <w:t>. The testing program would be tailored to cover the material risks of the entity and include</w:t>
      </w:r>
      <w:r w:rsidR="009518A0">
        <w:t xml:space="preserve"> a range of severe but plausible scenarios that </w:t>
      </w:r>
      <w:r w:rsidR="00D20A41">
        <w:t>c</w:t>
      </w:r>
      <w:r w:rsidR="009518A0">
        <w:t xml:space="preserve">ould impact </w:t>
      </w:r>
      <w:r w:rsidR="0052478F">
        <w:t xml:space="preserve">its </w:t>
      </w:r>
      <w:r w:rsidR="008E6955">
        <w:t>critical</w:t>
      </w:r>
      <w:r w:rsidR="009518A0">
        <w:t xml:space="preserve"> operations. Such exercises </w:t>
      </w:r>
      <w:r w:rsidR="008E6955">
        <w:t>would</w:t>
      </w:r>
      <w:r w:rsidR="009518A0">
        <w:t xml:space="preserve"> test the overall effectiveness of </w:t>
      </w:r>
      <w:r w:rsidR="00D20A41">
        <w:t>an</w:t>
      </w:r>
      <w:r w:rsidR="009518A0">
        <w:t xml:space="preserve"> entity’s BCP and the entity’s ability to maintain essential business operations within tolerance levels. Th</w:t>
      </w:r>
      <w:r w:rsidR="00787CD6">
        <w:t>e</w:t>
      </w:r>
      <w:r w:rsidR="009518A0">
        <w:t xml:space="preserve"> testing requirement is intended to highlight </w:t>
      </w:r>
      <w:r w:rsidR="00DA488F">
        <w:t>any</w:t>
      </w:r>
      <w:r w:rsidR="009518A0">
        <w:t xml:space="preserve"> deficiencies with an entity’s BCP so that it is properly prepared should a</w:t>
      </w:r>
      <w:r w:rsidR="005B729D">
        <w:t>n actual</w:t>
      </w:r>
      <w:r w:rsidR="009518A0">
        <w:t xml:space="preserve"> </w:t>
      </w:r>
      <w:r w:rsidR="00DA488F">
        <w:t>disruption occur</w:t>
      </w:r>
      <w:r w:rsidR="009518A0">
        <w:t>.</w:t>
      </w:r>
    </w:p>
    <w:p w14:paraId="034F052C" w14:textId="2D4E2923" w:rsidR="0029489C" w:rsidRDefault="004A6345" w:rsidP="0029489C">
      <w:pPr>
        <w:numPr>
          <w:ilvl w:val="0"/>
          <w:numId w:val="0"/>
        </w:numPr>
      </w:pPr>
      <w:r>
        <w:t>Draft</w:t>
      </w:r>
      <w:r w:rsidR="001C6191">
        <w:t xml:space="preserve"> CPS 230</w:t>
      </w:r>
      <w:r w:rsidR="00DA488F">
        <w:t xml:space="preserve"> </w:t>
      </w:r>
      <w:r w:rsidR="001C6191">
        <w:t xml:space="preserve">includes </w:t>
      </w:r>
      <w:r w:rsidR="001C6191" w:rsidRPr="00CF3E6A">
        <w:t>audit requirements</w:t>
      </w:r>
      <w:r w:rsidR="00DA488F">
        <w:t>, as</w:t>
      </w:r>
      <w:r w:rsidR="001C6191" w:rsidRPr="00CF3E6A">
        <w:t xml:space="preserve"> currently</w:t>
      </w:r>
      <w:r w:rsidR="001C6191">
        <w:t xml:space="preserve"> set out</w:t>
      </w:r>
      <w:r w:rsidR="001C6191" w:rsidRPr="00CF3E6A">
        <w:t xml:space="preserve"> in CPS</w:t>
      </w:r>
      <w:r w:rsidR="00DA488F">
        <w:t xml:space="preserve"> </w:t>
      </w:r>
      <w:r w:rsidR="002B7CAD">
        <w:t xml:space="preserve">232 </w:t>
      </w:r>
      <w:r w:rsidR="00DA488F">
        <w:t xml:space="preserve">and </w:t>
      </w:r>
      <w:r w:rsidR="001C6191" w:rsidRPr="00CF3E6A">
        <w:t>SPS 23</w:t>
      </w:r>
      <w:r w:rsidR="00DA488F">
        <w:t>2</w:t>
      </w:r>
      <w:r w:rsidR="001C6191" w:rsidRPr="00CF3E6A">
        <w:t xml:space="preserve">. </w:t>
      </w:r>
      <w:r w:rsidR="0029489C">
        <w:t xml:space="preserve">An </w:t>
      </w:r>
      <w:r w:rsidR="001C6191">
        <w:t xml:space="preserve">APRA-regulated entity </w:t>
      </w:r>
      <w:r w:rsidR="00F976E8">
        <w:t>would</w:t>
      </w:r>
      <w:r w:rsidR="0029489C">
        <w:t xml:space="preserve"> also </w:t>
      </w:r>
      <w:r w:rsidR="00F976E8">
        <w:t xml:space="preserve">be required to </w:t>
      </w:r>
      <w:r w:rsidR="001C6191" w:rsidRPr="00CF3E6A">
        <w:t xml:space="preserve">submit </w:t>
      </w:r>
      <w:r w:rsidR="001C6191">
        <w:t>its</w:t>
      </w:r>
      <w:r w:rsidR="001C6191" w:rsidRPr="00CF3E6A">
        <w:t xml:space="preserve"> BCP to APRA on an annual basis</w:t>
      </w:r>
      <w:r w:rsidR="00F976E8">
        <w:t>, and</w:t>
      </w:r>
      <w:r w:rsidR="001C6191" w:rsidRPr="00CF3E6A">
        <w:t xml:space="preserve"> notify APRA as soon as possible, and no later than 24 hours, of a material disruption to a </w:t>
      </w:r>
      <w:r w:rsidR="007D4493">
        <w:t>critical</w:t>
      </w:r>
      <w:r w:rsidR="001C6191" w:rsidRPr="00CF3E6A">
        <w:t xml:space="preserve"> operation or if it has activated its BCP. The notification </w:t>
      </w:r>
      <w:r w:rsidR="00F976E8">
        <w:t>would</w:t>
      </w:r>
      <w:r w:rsidR="001C6191" w:rsidRPr="00CF3E6A">
        <w:t xml:space="preserve"> cover the nature of the disruption, the action being taken, the likely impact on the entity’s business operations and the timeframe for returning to normal operations</w:t>
      </w:r>
      <w:r w:rsidR="0029489C">
        <w:t>.</w:t>
      </w:r>
    </w:p>
    <w:p w14:paraId="4ABF858C" w14:textId="77777777" w:rsidR="001C6191" w:rsidRDefault="001C6191" w:rsidP="009E585F">
      <w:pPr>
        <w:numPr>
          <w:ilvl w:val="0"/>
          <w:numId w:val="0"/>
        </w:numPr>
      </w:pPr>
    </w:p>
    <w:p w14:paraId="000024F4" w14:textId="5C0357A2" w:rsidR="009E585F" w:rsidRDefault="00EF5F08" w:rsidP="00EF5F08">
      <w:pPr>
        <w:pStyle w:val="Heading1Numbers"/>
      </w:pPr>
      <w:bookmarkStart w:id="11" w:name="_Toc109287992"/>
      <w:r>
        <w:t>Service provider</w:t>
      </w:r>
      <w:r w:rsidR="002C5E80">
        <w:t>s</w:t>
      </w:r>
      <w:bookmarkEnd w:id="11"/>
    </w:p>
    <w:p w14:paraId="10C8000D" w14:textId="630F6F90" w:rsidR="002C5E80" w:rsidRPr="00E50B5B" w:rsidRDefault="004A6345" w:rsidP="0008593A">
      <w:pPr>
        <w:rPr>
          <w:rFonts w:ascii="Arial" w:hAnsi="Arial"/>
        </w:rPr>
      </w:pPr>
      <w:r>
        <w:t>Draft</w:t>
      </w:r>
      <w:r w:rsidR="00117C47">
        <w:t xml:space="preserve"> </w:t>
      </w:r>
      <w:r w:rsidR="004505AF">
        <w:t xml:space="preserve">CPS 230 incorporates </w:t>
      </w:r>
      <w:r w:rsidR="00AB54FB">
        <w:t xml:space="preserve">and updates requirements </w:t>
      </w:r>
      <w:r w:rsidR="004E27A1">
        <w:t>for the use of</w:t>
      </w:r>
      <w:r w:rsidR="00AB54FB">
        <w:t xml:space="preserve"> service providers</w:t>
      </w:r>
      <w:r w:rsidR="00CC36ED">
        <w:t>,</w:t>
      </w:r>
      <w:r w:rsidR="004E27A1">
        <w:t xml:space="preserve"> with a focus on th</w:t>
      </w:r>
      <w:r w:rsidR="00CF3A1D">
        <w:t>ose deemed to be</w:t>
      </w:r>
      <w:r w:rsidR="004E27A1">
        <w:t xml:space="preserve"> material</w:t>
      </w:r>
      <w:r w:rsidR="00AB54FB">
        <w:t>. While</w:t>
      </w:r>
      <w:r w:rsidR="00CC36ED">
        <w:t xml:space="preserve"> the</w:t>
      </w:r>
      <w:r w:rsidR="00AB54FB" w:rsidDel="00117C47">
        <w:t xml:space="preserve"> </w:t>
      </w:r>
      <w:r w:rsidR="00AB54FB">
        <w:t>existing</w:t>
      </w:r>
      <w:r w:rsidR="00CC36ED">
        <w:t xml:space="preserve"> standards,</w:t>
      </w:r>
      <w:r w:rsidR="00AB54FB">
        <w:t xml:space="preserve"> CPS</w:t>
      </w:r>
      <w:r w:rsidR="00CC27DE">
        <w:t> </w:t>
      </w:r>
      <w:r w:rsidR="002C5E80">
        <w:t xml:space="preserve">231 and </w:t>
      </w:r>
      <w:r w:rsidR="00AB54FB">
        <w:t>SPS 231</w:t>
      </w:r>
      <w:r w:rsidR="00CC36ED">
        <w:t>,</w:t>
      </w:r>
      <w:r w:rsidR="00AB54FB">
        <w:t xml:space="preserve"> set out requirements for outsourcing </w:t>
      </w:r>
      <w:r w:rsidR="00117C47">
        <w:t>(activities that the entity could undertake itself)</w:t>
      </w:r>
      <w:r w:rsidR="00B536C1">
        <w:t xml:space="preserve">, </w:t>
      </w:r>
      <w:r>
        <w:t>draft</w:t>
      </w:r>
      <w:r w:rsidR="00C53E3B">
        <w:t xml:space="preserve"> </w:t>
      </w:r>
      <w:r w:rsidR="00B536C1">
        <w:t xml:space="preserve">CPS 230 </w:t>
      </w:r>
      <w:r w:rsidR="00117C47">
        <w:t>emphasises the broader</w:t>
      </w:r>
      <w:r w:rsidR="00B536C1" w:rsidDel="00117C47">
        <w:t xml:space="preserve"> </w:t>
      </w:r>
      <w:r w:rsidR="00B536C1">
        <w:t>use of service providers</w:t>
      </w:r>
      <w:r w:rsidR="00117C47">
        <w:t xml:space="preserve">, </w:t>
      </w:r>
      <w:r w:rsidR="00B536C1">
        <w:t>reflect</w:t>
      </w:r>
      <w:r w:rsidR="00117C47">
        <w:t>ing</w:t>
      </w:r>
      <w:r w:rsidR="00B536C1">
        <w:t xml:space="preserve"> the increased reliance on </w:t>
      </w:r>
      <w:r w:rsidR="00CC36ED">
        <w:t>third</w:t>
      </w:r>
      <w:r w:rsidR="00B536C1">
        <w:t xml:space="preserve"> parties </w:t>
      </w:r>
      <w:r w:rsidR="00DF0C11">
        <w:t xml:space="preserve">to </w:t>
      </w:r>
      <w:r w:rsidR="001830B5">
        <w:t>undertake critical operations</w:t>
      </w:r>
      <w:r w:rsidR="00B536C1">
        <w:t>.</w:t>
      </w:r>
    </w:p>
    <w:p w14:paraId="6E683696" w14:textId="66A110C8" w:rsidR="006428CA" w:rsidRPr="00A75B06" w:rsidRDefault="00A75B06" w:rsidP="00585E90">
      <w:pPr>
        <w:rPr>
          <w:rFonts w:ascii="Arial" w:hAnsi="Arial"/>
        </w:rPr>
      </w:pPr>
      <w:r>
        <w:t>This</w:t>
      </w:r>
      <w:r w:rsidR="006428CA">
        <w:t xml:space="preserve"> shift from focusing purely on outsourcing arrangements to a more expansive range of service offerings reflect</w:t>
      </w:r>
      <w:r>
        <w:t>s</w:t>
      </w:r>
      <w:r w:rsidR="006428CA">
        <w:t xml:space="preserve"> the variety of delivery models now used by regulated entities. Furthermore, the proposed standard </w:t>
      </w:r>
      <w:r w:rsidR="00DF0C11">
        <w:t>also</w:t>
      </w:r>
      <w:r w:rsidR="006428CA">
        <w:t xml:space="preserve"> </w:t>
      </w:r>
      <w:r w:rsidR="00DF0C11">
        <w:t>broadens</w:t>
      </w:r>
      <w:r w:rsidR="006428CA">
        <w:t xml:space="preserve"> from focusing on the outsourcing policy, upfront due </w:t>
      </w:r>
      <w:proofErr w:type="gramStart"/>
      <w:r w:rsidR="006428CA">
        <w:t>diligence</w:t>
      </w:r>
      <w:proofErr w:type="gramEnd"/>
      <w:r w:rsidR="006428CA">
        <w:t xml:space="preserve"> and service level agreements to risk management at all stages of a service provider arrangement</w:t>
      </w:r>
      <w:r w:rsidR="00C97EE1">
        <w:t xml:space="preserve"> -</w:t>
      </w:r>
      <w:r w:rsidR="006428CA">
        <w:t xml:space="preserve"> from initiation through to exiting the arrangement.</w:t>
      </w:r>
    </w:p>
    <w:p w14:paraId="139F11B5" w14:textId="2912CC9E" w:rsidR="009B38BC" w:rsidRDefault="009B38BC" w:rsidP="00C97EE1">
      <w:pPr>
        <w:pStyle w:val="Heading2Numbers"/>
        <w:numPr>
          <w:ilvl w:val="0"/>
          <w:numId w:val="0"/>
        </w:numPr>
      </w:pPr>
      <w:r>
        <w:t>Material service providers</w:t>
      </w:r>
    </w:p>
    <w:p w14:paraId="51408DBC" w14:textId="47A0BA43" w:rsidR="00B536C1" w:rsidRDefault="004A6345" w:rsidP="003A3DD0">
      <w:r>
        <w:t>Draft</w:t>
      </w:r>
      <w:r w:rsidR="00117C47">
        <w:t xml:space="preserve"> </w:t>
      </w:r>
      <w:r w:rsidR="000814AA">
        <w:t>CPS 230</w:t>
      </w:r>
      <w:r w:rsidR="00DF0C11">
        <w:t xml:space="preserve"> would</w:t>
      </w:r>
      <w:r w:rsidR="000814AA">
        <w:t xml:space="preserve"> require an APRA-regulated entity to identify its </w:t>
      </w:r>
      <w:r w:rsidR="00060341">
        <w:t xml:space="preserve">material service providers and manage the risks associated with the use of these providers. </w:t>
      </w:r>
      <w:r w:rsidR="00853868">
        <w:t>A</w:t>
      </w:r>
      <w:r w:rsidR="00060341">
        <w:t xml:space="preserve"> material service provider</w:t>
      </w:r>
      <w:r w:rsidR="00853868">
        <w:t xml:space="preserve"> is</w:t>
      </w:r>
      <w:r w:rsidR="00060341" w:rsidDel="00853868">
        <w:t xml:space="preserve"> </w:t>
      </w:r>
      <w:r w:rsidR="00060341">
        <w:t xml:space="preserve">one on which an entity relies on to undertake </w:t>
      </w:r>
      <w:r w:rsidR="005825F0">
        <w:t>a critical</w:t>
      </w:r>
      <w:r w:rsidR="00060341">
        <w:t xml:space="preserve"> operation or that could expose </w:t>
      </w:r>
      <w:r w:rsidR="00DF0C11">
        <w:t>it</w:t>
      </w:r>
      <w:r w:rsidR="00060341">
        <w:t xml:space="preserve"> to material operational risk.</w:t>
      </w:r>
      <w:r w:rsidR="00DF0C11">
        <w:t xml:space="preserve"> </w:t>
      </w:r>
      <w:r>
        <w:t>Draft</w:t>
      </w:r>
      <w:r w:rsidR="00853868">
        <w:t xml:space="preserve"> </w:t>
      </w:r>
      <w:r w:rsidR="00C113CE">
        <w:t xml:space="preserve">CPS 230 </w:t>
      </w:r>
      <w:r w:rsidR="00AF4030">
        <w:t>includes</w:t>
      </w:r>
      <w:r w:rsidR="00C113CE">
        <w:t xml:space="preserve"> a list of </w:t>
      </w:r>
      <w:r w:rsidR="00DF0C11">
        <w:t xml:space="preserve">the types of </w:t>
      </w:r>
      <w:r w:rsidR="00C113CE">
        <w:t>service</w:t>
      </w:r>
      <w:r w:rsidR="00474AF1">
        <w:t>s</w:t>
      </w:r>
      <w:r w:rsidR="00C113CE">
        <w:t xml:space="preserve"> </w:t>
      </w:r>
      <w:r w:rsidR="00CC27DE">
        <w:t xml:space="preserve">that </w:t>
      </w:r>
      <w:r w:rsidR="00DF0C11">
        <w:t>would be classified as</w:t>
      </w:r>
      <w:r w:rsidR="00B966B2">
        <w:t xml:space="preserve"> material</w:t>
      </w:r>
      <w:r w:rsidR="00E25105">
        <w:t xml:space="preserve"> (refer Table 6)</w:t>
      </w:r>
      <w:r w:rsidR="00B966B2" w:rsidDel="00C53E3B">
        <w:t>.</w:t>
      </w:r>
      <w:r w:rsidR="00DF0C11" w:rsidRPr="00DF0C11">
        <w:t xml:space="preserve"> </w:t>
      </w:r>
      <w:r w:rsidR="00E25105">
        <w:t>There may be other service providers that an entity uses that they determine to be material to their operations.</w:t>
      </w:r>
    </w:p>
    <w:p w14:paraId="54362B2E" w14:textId="07897450" w:rsidR="006E0E0D" w:rsidRDefault="001E6C87" w:rsidP="006E0E0D">
      <w:pPr>
        <w:pStyle w:val="Numberedtableheading"/>
      </w:pPr>
      <w:r>
        <w:t>S</w:t>
      </w:r>
      <w:r w:rsidR="00973DBC">
        <w:t>ervices</w:t>
      </w:r>
      <w:r w:rsidR="006E0E0D">
        <w:t xml:space="preserve"> that </w:t>
      </w:r>
      <w:r w:rsidR="00E25105">
        <w:t xml:space="preserve">would be </w:t>
      </w:r>
      <w:r w:rsidR="006E0E0D">
        <w:t>material</w:t>
      </w:r>
    </w:p>
    <w:tbl>
      <w:tblPr>
        <w:tblStyle w:val="TableGrid"/>
        <w:tblW w:w="0" w:type="auto"/>
        <w:tblLook w:val="04A0" w:firstRow="1" w:lastRow="0" w:firstColumn="1" w:lastColumn="0" w:noHBand="0" w:noVBand="1"/>
      </w:tblPr>
      <w:tblGrid>
        <w:gridCol w:w="3008"/>
        <w:gridCol w:w="3009"/>
        <w:gridCol w:w="3009"/>
      </w:tblGrid>
      <w:tr w:rsidR="006E0E0D" w:rsidRPr="006E0E0D" w14:paraId="2A314C29" w14:textId="77777777" w:rsidTr="006E0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7F8A2006" w14:textId="64AF7429" w:rsidR="006E0E0D" w:rsidRPr="006E0E0D" w:rsidRDefault="006E0E0D" w:rsidP="00855641">
            <w:pPr>
              <w:pStyle w:val="APRANORMAL"/>
              <w:jc w:val="center"/>
              <w:rPr>
                <w:b/>
              </w:rPr>
            </w:pPr>
            <w:r>
              <w:rPr>
                <w:b/>
              </w:rPr>
              <w:t>Banking</w:t>
            </w:r>
          </w:p>
        </w:tc>
        <w:tc>
          <w:tcPr>
            <w:tcW w:w="3009" w:type="dxa"/>
          </w:tcPr>
          <w:p w14:paraId="70FB718D" w14:textId="4710AAF3" w:rsidR="006E0E0D" w:rsidRPr="006E0E0D" w:rsidRDefault="006E0E0D" w:rsidP="00855641">
            <w:pPr>
              <w:pStyle w:val="APRANORMAL"/>
              <w:jc w:val="center"/>
              <w:cnfStyle w:val="100000000000" w:firstRow="1" w:lastRow="0" w:firstColumn="0" w:lastColumn="0" w:oddVBand="0" w:evenVBand="0" w:oddHBand="0" w:evenHBand="0" w:firstRowFirstColumn="0" w:firstRowLastColumn="0" w:lastRowFirstColumn="0" w:lastRowLastColumn="0"/>
              <w:rPr>
                <w:b/>
              </w:rPr>
            </w:pPr>
            <w:r>
              <w:rPr>
                <w:b/>
              </w:rPr>
              <w:t>Insurance</w:t>
            </w:r>
          </w:p>
        </w:tc>
        <w:tc>
          <w:tcPr>
            <w:tcW w:w="3009" w:type="dxa"/>
          </w:tcPr>
          <w:p w14:paraId="7940134C" w14:textId="7D0191C3" w:rsidR="006E0E0D" w:rsidRPr="006E0E0D" w:rsidRDefault="006E0E0D" w:rsidP="00855641">
            <w:pPr>
              <w:pStyle w:val="APRANORMAL"/>
              <w:jc w:val="center"/>
              <w:cnfStyle w:val="100000000000" w:firstRow="1" w:lastRow="0" w:firstColumn="0" w:lastColumn="0" w:oddVBand="0" w:evenVBand="0" w:oddHBand="0" w:evenHBand="0" w:firstRowFirstColumn="0" w:firstRowLastColumn="0" w:lastRowFirstColumn="0" w:lastRowLastColumn="0"/>
              <w:rPr>
                <w:b/>
              </w:rPr>
            </w:pPr>
            <w:r>
              <w:rPr>
                <w:b/>
              </w:rPr>
              <w:t>Superannuation</w:t>
            </w:r>
          </w:p>
        </w:tc>
      </w:tr>
      <w:tr w:rsidR="00982C01" w14:paraId="51FB56E5" w14:textId="77777777" w:rsidTr="006E0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08E6982C" w14:textId="3F3FE207" w:rsidR="00982C01" w:rsidRDefault="000E156E" w:rsidP="00E83EB5">
            <w:pPr>
              <w:pStyle w:val="APRANORMAL"/>
              <w:jc w:val="center"/>
            </w:pPr>
            <w:r>
              <w:t>Services supporting c</w:t>
            </w:r>
            <w:r w:rsidR="00982C01">
              <w:t>ritical operations</w:t>
            </w:r>
          </w:p>
        </w:tc>
        <w:tc>
          <w:tcPr>
            <w:tcW w:w="3009" w:type="dxa"/>
          </w:tcPr>
          <w:p w14:paraId="11688077" w14:textId="10CEEC87" w:rsidR="00982C01" w:rsidRDefault="000E156E" w:rsidP="00E83EB5">
            <w:pPr>
              <w:pStyle w:val="APRANORMAL"/>
              <w:jc w:val="center"/>
              <w:cnfStyle w:val="000000100000" w:firstRow="0" w:lastRow="0" w:firstColumn="0" w:lastColumn="0" w:oddVBand="0" w:evenVBand="0" w:oddHBand="1" w:evenHBand="0" w:firstRowFirstColumn="0" w:firstRowLastColumn="0" w:lastRowFirstColumn="0" w:lastRowLastColumn="0"/>
            </w:pPr>
            <w:r>
              <w:t>Services supporting c</w:t>
            </w:r>
            <w:r w:rsidR="00982C01">
              <w:t>ritical operations</w:t>
            </w:r>
          </w:p>
        </w:tc>
        <w:tc>
          <w:tcPr>
            <w:tcW w:w="3009" w:type="dxa"/>
          </w:tcPr>
          <w:p w14:paraId="71151CB6" w14:textId="6D54C38B" w:rsidR="00982C01" w:rsidRPr="00982C01" w:rsidRDefault="000E156E" w:rsidP="00982C01">
            <w:pPr>
              <w:pStyle w:val="APRANORMAL"/>
              <w:jc w:val="center"/>
              <w:cnfStyle w:val="000000100000" w:firstRow="0" w:lastRow="0" w:firstColumn="0" w:lastColumn="0" w:oddVBand="0" w:evenVBand="0" w:oddHBand="1" w:evenHBand="0" w:firstRowFirstColumn="0" w:firstRowLastColumn="0" w:lastRowFirstColumn="0" w:lastRowLastColumn="0"/>
            </w:pPr>
            <w:r>
              <w:t>Services supporting c</w:t>
            </w:r>
            <w:r w:rsidR="00982C01" w:rsidRPr="00982C01">
              <w:t>ritical operations</w:t>
            </w:r>
          </w:p>
        </w:tc>
      </w:tr>
      <w:tr w:rsidR="006E0E0D" w14:paraId="2447876F" w14:textId="77777777" w:rsidTr="006E0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40439CFB" w14:textId="3A829645" w:rsidR="006E0E0D" w:rsidRDefault="006E0E0D" w:rsidP="00E83EB5">
            <w:pPr>
              <w:pStyle w:val="APRANORMAL"/>
              <w:jc w:val="center"/>
            </w:pPr>
            <w:r>
              <w:t>Risk management</w:t>
            </w:r>
          </w:p>
        </w:tc>
        <w:tc>
          <w:tcPr>
            <w:tcW w:w="3009" w:type="dxa"/>
          </w:tcPr>
          <w:p w14:paraId="7CEA2C16" w14:textId="66652224" w:rsidR="006E0E0D" w:rsidRDefault="006E0E0D" w:rsidP="00E83EB5">
            <w:pPr>
              <w:pStyle w:val="APRANORMAL"/>
              <w:jc w:val="center"/>
              <w:cnfStyle w:val="000000010000" w:firstRow="0" w:lastRow="0" w:firstColumn="0" w:lastColumn="0" w:oddVBand="0" w:evenVBand="0" w:oddHBand="0" w:evenHBand="1" w:firstRowFirstColumn="0" w:firstRowLastColumn="0" w:lastRowFirstColumn="0" w:lastRowLastColumn="0"/>
            </w:pPr>
            <w:r>
              <w:t>Risk management</w:t>
            </w:r>
          </w:p>
        </w:tc>
        <w:tc>
          <w:tcPr>
            <w:tcW w:w="3009" w:type="dxa"/>
          </w:tcPr>
          <w:p w14:paraId="3EAA3F34" w14:textId="293AFEBB" w:rsidR="006E0E0D" w:rsidRDefault="006E0E0D" w:rsidP="00E83EB5">
            <w:pPr>
              <w:pStyle w:val="APRANORMAL"/>
              <w:jc w:val="center"/>
              <w:cnfStyle w:val="000000010000" w:firstRow="0" w:lastRow="0" w:firstColumn="0" w:lastColumn="0" w:oddVBand="0" w:evenVBand="0" w:oddHBand="0" w:evenHBand="1" w:firstRowFirstColumn="0" w:firstRowLastColumn="0" w:lastRowFirstColumn="0" w:lastRowLastColumn="0"/>
            </w:pPr>
            <w:r>
              <w:t>Risk management</w:t>
            </w:r>
          </w:p>
        </w:tc>
      </w:tr>
      <w:tr w:rsidR="00703A0F" w14:paraId="7FE96615" w14:textId="77777777" w:rsidTr="006E0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301B3C0C" w14:textId="562CD15C" w:rsidR="00703A0F" w:rsidRDefault="00703A0F" w:rsidP="00E83EB5">
            <w:pPr>
              <w:pStyle w:val="APRANORMAL"/>
              <w:jc w:val="center"/>
            </w:pPr>
            <w:r>
              <w:t>Core technology services</w:t>
            </w:r>
          </w:p>
        </w:tc>
        <w:tc>
          <w:tcPr>
            <w:tcW w:w="3009" w:type="dxa"/>
          </w:tcPr>
          <w:p w14:paraId="1FDB6B3B" w14:textId="003D5598" w:rsidR="00703A0F" w:rsidRDefault="00703A0F" w:rsidP="00E83EB5">
            <w:pPr>
              <w:pStyle w:val="APRANORMAL"/>
              <w:jc w:val="center"/>
              <w:cnfStyle w:val="000000100000" w:firstRow="0" w:lastRow="0" w:firstColumn="0" w:lastColumn="0" w:oddVBand="0" w:evenVBand="0" w:oddHBand="1" w:evenHBand="0" w:firstRowFirstColumn="0" w:firstRowLastColumn="0" w:lastRowFirstColumn="0" w:lastRowLastColumn="0"/>
            </w:pPr>
            <w:r>
              <w:t>Core technology services</w:t>
            </w:r>
          </w:p>
        </w:tc>
        <w:tc>
          <w:tcPr>
            <w:tcW w:w="3009" w:type="dxa"/>
          </w:tcPr>
          <w:p w14:paraId="3FAD8C3A" w14:textId="4C09691B" w:rsidR="00703A0F" w:rsidRPr="00703A0F" w:rsidRDefault="00703A0F" w:rsidP="00E83EB5">
            <w:pPr>
              <w:pStyle w:val="APRANORMAL"/>
              <w:jc w:val="center"/>
              <w:cnfStyle w:val="000000100000" w:firstRow="0" w:lastRow="0" w:firstColumn="0" w:lastColumn="0" w:oddVBand="0" w:evenVBand="0" w:oddHBand="1" w:evenHBand="0" w:firstRowFirstColumn="0" w:firstRowLastColumn="0" w:lastRowFirstColumn="0" w:lastRowLastColumn="0"/>
            </w:pPr>
            <w:r w:rsidRPr="00703A0F">
              <w:t>Core technology services</w:t>
            </w:r>
          </w:p>
        </w:tc>
      </w:tr>
      <w:tr w:rsidR="006E0E0D" w14:paraId="48B2FDE4" w14:textId="77777777" w:rsidTr="006E0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6723631F" w14:textId="13CD4293" w:rsidR="006E0E0D" w:rsidRDefault="006E0E0D" w:rsidP="00E83EB5">
            <w:pPr>
              <w:pStyle w:val="APRANORMAL"/>
              <w:jc w:val="center"/>
            </w:pPr>
            <w:r>
              <w:t>Internal audit</w:t>
            </w:r>
          </w:p>
        </w:tc>
        <w:tc>
          <w:tcPr>
            <w:tcW w:w="3009" w:type="dxa"/>
          </w:tcPr>
          <w:p w14:paraId="539E8622" w14:textId="522B1C7C" w:rsidR="006E0E0D" w:rsidRDefault="006E0E0D" w:rsidP="00E83EB5">
            <w:pPr>
              <w:pStyle w:val="APRANORMAL"/>
              <w:jc w:val="center"/>
              <w:cnfStyle w:val="000000010000" w:firstRow="0" w:lastRow="0" w:firstColumn="0" w:lastColumn="0" w:oddVBand="0" w:evenVBand="0" w:oddHBand="0" w:evenHBand="1" w:firstRowFirstColumn="0" w:firstRowLastColumn="0" w:lastRowFirstColumn="0" w:lastRowLastColumn="0"/>
            </w:pPr>
            <w:r>
              <w:t>Internal audit</w:t>
            </w:r>
          </w:p>
        </w:tc>
        <w:tc>
          <w:tcPr>
            <w:tcW w:w="3009" w:type="dxa"/>
          </w:tcPr>
          <w:p w14:paraId="038CB972" w14:textId="2DD94493" w:rsidR="006E0E0D" w:rsidRDefault="006E0E0D" w:rsidP="00E83EB5">
            <w:pPr>
              <w:pStyle w:val="APRANORMAL"/>
              <w:jc w:val="center"/>
              <w:cnfStyle w:val="000000010000" w:firstRow="0" w:lastRow="0" w:firstColumn="0" w:lastColumn="0" w:oddVBand="0" w:evenVBand="0" w:oddHBand="0" w:evenHBand="1" w:firstRowFirstColumn="0" w:firstRowLastColumn="0" w:lastRowFirstColumn="0" w:lastRowLastColumn="0"/>
            </w:pPr>
            <w:r>
              <w:t>Internal audit</w:t>
            </w:r>
          </w:p>
        </w:tc>
      </w:tr>
      <w:tr w:rsidR="006E0E0D" w14:paraId="3EA1B0C0" w14:textId="77777777" w:rsidTr="006E0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33870850" w14:textId="6D4E383F" w:rsidR="006E0E0D" w:rsidRDefault="006E0E0D" w:rsidP="00E83EB5">
            <w:pPr>
              <w:pStyle w:val="APRANORMAL"/>
              <w:jc w:val="center"/>
            </w:pPr>
            <w:r>
              <w:t>Credit assessment</w:t>
            </w:r>
          </w:p>
        </w:tc>
        <w:tc>
          <w:tcPr>
            <w:tcW w:w="3009" w:type="dxa"/>
          </w:tcPr>
          <w:p w14:paraId="5E56C618" w14:textId="1ABBD593" w:rsidR="006E0E0D" w:rsidRDefault="006E0E0D" w:rsidP="00E83EB5">
            <w:pPr>
              <w:pStyle w:val="APRANORMAL"/>
              <w:jc w:val="center"/>
              <w:cnfStyle w:val="000000100000" w:firstRow="0" w:lastRow="0" w:firstColumn="0" w:lastColumn="0" w:oddVBand="0" w:evenVBand="0" w:oddHBand="1" w:evenHBand="0" w:firstRowFirstColumn="0" w:firstRowLastColumn="0" w:lastRowFirstColumn="0" w:lastRowLastColumn="0"/>
            </w:pPr>
            <w:r>
              <w:t>Underwriting</w:t>
            </w:r>
          </w:p>
        </w:tc>
        <w:tc>
          <w:tcPr>
            <w:tcW w:w="3009" w:type="dxa"/>
          </w:tcPr>
          <w:p w14:paraId="41FA692D" w14:textId="00C2820D" w:rsidR="006E0E0D" w:rsidRDefault="006E0E0D" w:rsidP="00E83EB5">
            <w:pPr>
              <w:pStyle w:val="APRANORMAL"/>
              <w:jc w:val="center"/>
              <w:cnfStyle w:val="000000100000" w:firstRow="0" w:lastRow="0" w:firstColumn="0" w:lastColumn="0" w:oddVBand="0" w:evenVBand="0" w:oddHBand="1" w:evenHBand="0" w:firstRowFirstColumn="0" w:firstRowLastColumn="0" w:lastRowFirstColumn="0" w:lastRowLastColumn="0"/>
            </w:pPr>
            <w:r>
              <w:t>Fund administration</w:t>
            </w:r>
          </w:p>
        </w:tc>
      </w:tr>
      <w:tr w:rsidR="006E0E0D" w14:paraId="61AB377D" w14:textId="77777777" w:rsidTr="00CF2F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62D20A7C" w14:textId="6FDC571E" w:rsidR="006E0E0D" w:rsidRDefault="00982C01" w:rsidP="00E83EB5">
            <w:pPr>
              <w:pStyle w:val="APRANORMAL"/>
              <w:jc w:val="center"/>
            </w:pPr>
            <w:r>
              <w:t>Funding and liquidity management</w:t>
            </w:r>
          </w:p>
        </w:tc>
        <w:tc>
          <w:tcPr>
            <w:tcW w:w="3009" w:type="dxa"/>
          </w:tcPr>
          <w:p w14:paraId="2EE925DE" w14:textId="28F23866" w:rsidR="006E0E0D" w:rsidRDefault="006E0E0D" w:rsidP="00E83EB5">
            <w:pPr>
              <w:pStyle w:val="APRANORMAL"/>
              <w:jc w:val="center"/>
              <w:cnfStyle w:val="000000010000" w:firstRow="0" w:lastRow="0" w:firstColumn="0" w:lastColumn="0" w:oddVBand="0" w:evenVBand="0" w:oddHBand="0" w:evenHBand="1" w:firstRowFirstColumn="0" w:firstRowLastColumn="0" w:lastRowFirstColumn="0" w:lastRowLastColumn="0"/>
            </w:pPr>
            <w:r>
              <w:t>Claims management</w:t>
            </w:r>
          </w:p>
        </w:tc>
        <w:tc>
          <w:tcPr>
            <w:tcW w:w="3009" w:type="dxa"/>
          </w:tcPr>
          <w:p w14:paraId="415E81ED" w14:textId="1CCE4DED" w:rsidR="006E0E0D" w:rsidRDefault="006E0E0D" w:rsidP="00E83EB5">
            <w:pPr>
              <w:pStyle w:val="APRANORMAL"/>
              <w:jc w:val="center"/>
              <w:cnfStyle w:val="000000010000" w:firstRow="0" w:lastRow="0" w:firstColumn="0" w:lastColumn="0" w:oddVBand="0" w:evenVBand="0" w:oddHBand="0" w:evenHBand="1" w:firstRowFirstColumn="0" w:firstRowLastColumn="0" w:lastRowFirstColumn="0" w:lastRowLastColumn="0"/>
            </w:pPr>
            <w:r>
              <w:t>Custodial services</w:t>
            </w:r>
          </w:p>
        </w:tc>
      </w:tr>
      <w:tr w:rsidR="00703A0F" w14:paraId="607F5D4A" w14:textId="77777777" w:rsidTr="006E0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0214A811" w14:textId="721E34AA" w:rsidR="00703A0F" w:rsidRDefault="003F45E5" w:rsidP="00E83EB5">
            <w:pPr>
              <w:pStyle w:val="APRANORMAL"/>
              <w:jc w:val="center"/>
            </w:pPr>
            <w:r>
              <w:t>Mortgage broker</w:t>
            </w:r>
            <w:r w:rsidR="00AC3520">
              <w:t>age</w:t>
            </w:r>
          </w:p>
        </w:tc>
        <w:tc>
          <w:tcPr>
            <w:tcW w:w="3009" w:type="dxa"/>
          </w:tcPr>
          <w:p w14:paraId="6D804780" w14:textId="75CB0736" w:rsidR="00703A0F" w:rsidRDefault="00703A0F" w:rsidP="00E83EB5">
            <w:pPr>
              <w:pStyle w:val="APRANORMAL"/>
              <w:jc w:val="center"/>
              <w:cnfStyle w:val="000000100000" w:firstRow="0" w:lastRow="0" w:firstColumn="0" w:lastColumn="0" w:oddVBand="0" w:evenVBand="0" w:oddHBand="1" w:evenHBand="0" w:firstRowFirstColumn="0" w:firstRowLastColumn="0" w:lastRowFirstColumn="0" w:lastRowLastColumn="0"/>
            </w:pPr>
            <w:r>
              <w:t>Insurance brokerage</w:t>
            </w:r>
          </w:p>
        </w:tc>
        <w:tc>
          <w:tcPr>
            <w:tcW w:w="3009" w:type="dxa"/>
          </w:tcPr>
          <w:p w14:paraId="6D43E399" w14:textId="18F93698" w:rsidR="00703A0F" w:rsidRDefault="00703A0F" w:rsidP="00E83EB5">
            <w:pPr>
              <w:pStyle w:val="APRANORMAL"/>
              <w:jc w:val="center"/>
              <w:cnfStyle w:val="000000100000" w:firstRow="0" w:lastRow="0" w:firstColumn="0" w:lastColumn="0" w:oddVBand="0" w:evenVBand="0" w:oddHBand="1" w:evenHBand="0" w:firstRowFirstColumn="0" w:firstRowLastColumn="0" w:lastRowFirstColumn="0" w:lastRowLastColumn="0"/>
            </w:pPr>
            <w:r>
              <w:t>Investment management</w:t>
            </w:r>
          </w:p>
        </w:tc>
      </w:tr>
      <w:tr w:rsidR="00703A0F" w14:paraId="41A91DC9" w14:textId="77777777" w:rsidTr="00CF2F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3A412104" w14:textId="77777777" w:rsidR="00703A0F" w:rsidRDefault="00703A0F" w:rsidP="00E83EB5">
            <w:pPr>
              <w:pStyle w:val="APRANORMAL"/>
              <w:jc w:val="center"/>
            </w:pPr>
          </w:p>
        </w:tc>
        <w:tc>
          <w:tcPr>
            <w:tcW w:w="3009" w:type="dxa"/>
          </w:tcPr>
          <w:p w14:paraId="6F9C6341" w14:textId="5451E06F" w:rsidR="00703A0F" w:rsidRDefault="00703A0F" w:rsidP="00E83EB5">
            <w:pPr>
              <w:pStyle w:val="APRANORMAL"/>
              <w:jc w:val="center"/>
              <w:cnfStyle w:val="000000010000" w:firstRow="0" w:lastRow="0" w:firstColumn="0" w:lastColumn="0" w:oddVBand="0" w:evenVBand="0" w:oddHBand="0" w:evenHBand="1" w:firstRowFirstColumn="0" w:firstRowLastColumn="0" w:lastRowFirstColumn="0" w:lastRowLastColumn="0"/>
            </w:pPr>
            <w:r>
              <w:t>Reinsurance</w:t>
            </w:r>
          </w:p>
        </w:tc>
        <w:tc>
          <w:tcPr>
            <w:tcW w:w="3009" w:type="dxa"/>
          </w:tcPr>
          <w:p w14:paraId="5D98956B" w14:textId="1989EDDB" w:rsidR="00703A0F" w:rsidRDefault="00703A0F" w:rsidP="00E83EB5">
            <w:pPr>
              <w:pStyle w:val="APRANORMAL"/>
              <w:jc w:val="center"/>
              <w:cnfStyle w:val="000000010000" w:firstRow="0" w:lastRow="0" w:firstColumn="0" w:lastColumn="0" w:oddVBand="0" w:evenVBand="0" w:oddHBand="0" w:evenHBand="1" w:firstRowFirstColumn="0" w:firstRowLastColumn="0" w:lastRowFirstColumn="0" w:lastRowLastColumn="0"/>
            </w:pPr>
            <w:r>
              <w:t>Arrangements with promoters and financial planners</w:t>
            </w:r>
          </w:p>
        </w:tc>
      </w:tr>
    </w:tbl>
    <w:p w14:paraId="7C6DCA53" w14:textId="6EF65CD5" w:rsidR="00693215" w:rsidRDefault="00693215" w:rsidP="00693215">
      <w:pPr>
        <w:numPr>
          <w:ilvl w:val="0"/>
          <w:numId w:val="0"/>
        </w:numPr>
      </w:pPr>
    </w:p>
    <w:p w14:paraId="23B0AEFD" w14:textId="728F8F0C" w:rsidR="009B38BC" w:rsidRDefault="00DA741D" w:rsidP="00764632">
      <w:pPr>
        <w:pStyle w:val="Heading2Numbers"/>
        <w:numPr>
          <w:ilvl w:val="0"/>
          <w:numId w:val="0"/>
        </w:numPr>
        <w:spacing w:before="560"/>
      </w:pPr>
      <w:r>
        <w:t>Managing risks associated with service providers</w:t>
      </w:r>
    </w:p>
    <w:p w14:paraId="676A7A12" w14:textId="2A8CF1F1" w:rsidR="00AF4030" w:rsidRPr="00AF4030" w:rsidRDefault="00853868" w:rsidP="00131527">
      <w:pPr>
        <w:numPr>
          <w:ilvl w:val="0"/>
          <w:numId w:val="0"/>
        </w:numPr>
      </w:pPr>
      <w:r>
        <w:t>A</w:t>
      </w:r>
      <w:r w:rsidR="001D53D6">
        <w:t xml:space="preserve"> Board-approved policy on the</w:t>
      </w:r>
      <w:r w:rsidR="00A70AF8">
        <w:t xml:space="preserve"> management of </w:t>
      </w:r>
      <w:r w:rsidR="001D53D6">
        <w:t xml:space="preserve">service providers is critical </w:t>
      </w:r>
      <w:r w:rsidR="00CF3A1D">
        <w:t>for managing</w:t>
      </w:r>
      <w:r w:rsidR="001D53D6">
        <w:t xml:space="preserve"> risks associated with reliance on service providers</w:t>
      </w:r>
      <w:r w:rsidR="00DA741D">
        <w:t>,</w:t>
      </w:r>
      <w:r w:rsidR="001D53D6">
        <w:t xml:space="preserve"> whether related or unrelated to the entity. </w:t>
      </w:r>
      <w:r w:rsidR="00544CDF">
        <w:t>A</w:t>
      </w:r>
      <w:r w:rsidR="008A76CD">
        <w:t>n</w:t>
      </w:r>
      <w:r>
        <w:t xml:space="preserve"> </w:t>
      </w:r>
      <w:r w:rsidR="00403AFF">
        <w:t>APRA</w:t>
      </w:r>
      <w:r w:rsidR="001D53D6">
        <w:t xml:space="preserve"> regulated </w:t>
      </w:r>
      <w:r w:rsidR="008A76CD">
        <w:t>entity’s</w:t>
      </w:r>
      <w:r w:rsidR="001D53D6">
        <w:t xml:space="preserve"> service provider management policy</w:t>
      </w:r>
      <w:r w:rsidR="00011344">
        <w:t xml:space="preserve"> </w:t>
      </w:r>
      <w:r w:rsidR="00544CDF">
        <w:t>would</w:t>
      </w:r>
      <w:r w:rsidR="00403AFF">
        <w:t xml:space="preserve"> </w:t>
      </w:r>
      <w:r w:rsidR="00544CDF">
        <w:t>cover its</w:t>
      </w:r>
      <w:r w:rsidR="00011344">
        <w:t xml:space="preserve"> approach to </w:t>
      </w:r>
      <w:proofErr w:type="gramStart"/>
      <w:r w:rsidR="00011344">
        <w:t>entering into</w:t>
      </w:r>
      <w:proofErr w:type="gramEnd"/>
      <w:r w:rsidR="00011344">
        <w:t>, monitoring and exiting arrangements and, crucially, how the entity will manage the risks associated with the use of service providers.</w:t>
      </w:r>
    </w:p>
    <w:p w14:paraId="4D68B374" w14:textId="64356FFF" w:rsidR="00011344" w:rsidRDefault="00544CDF" w:rsidP="00011344">
      <w:r>
        <w:t>All</w:t>
      </w:r>
      <w:r w:rsidR="00270B8A">
        <w:t xml:space="preserve"> arrangements involving material service providers </w:t>
      </w:r>
      <w:r>
        <w:t>would be</w:t>
      </w:r>
      <w:r w:rsidR="00893095">
        <w:t xml:space="preserve"> formalised through a binding legal agreement. </w:t>
      </w:r>
      <w:r w:rsidR="009629D7">
        <w:t>Draft</w:t>
      </w:r>
      <w:r w:rsidR="00D01D0C">
        <w:t xml:space="preserve"> </w:t>
      </w:r>
      <w:r w:rsidR="00893095">
        <w:t xml:space="preserve">CPS 230 includes key criteria </w:t>
      </w:r>
      <w:r>
        <w:t>to</w:t>
      </w:r>
      <w:r w:rsidR="00893095">
        <w:t xml:space="preserve"> be addressed as part of the legal agreement and matters </w:t>
      </w:r>
      <w:r>
        <w:t>that</w:t>
      </w:r>
      <w:r w:rsidR="00893095">
        <w:t xml:space="preserve"> APRA considers </w:t>
      </w:r>
      <w:r w:rsidR="00A37350">
        <w:t xml:space="preserve">are sufficiently material to </w:t>
      </w:r>
      <w:r>
        <w:t>need to be included</w:t>
      </w:r>
      <w:r w:rsidR="00D01D0C">
        <w:t xml:space="preserve">. </w:t>
      </w:r>
      <w:r>
        <w:t>The legal agreements</w:t>
      </w:r>
      <w:r w:rsidR="00D01D0C">
        <w:t xml:space="preserve"> ensure that</w:t>
      </w:r>
      <w:r w:rsidR="00A37350" w:rsidDel="00D01D0C">
        <w:t xml:space="preserve"> </w:t>
      </w:r>
      <w:r w:rsidR="00A37350">
        <w:t>each part</w:t>
      </w:r>
      <w:r w:rsidR="00D01D0C">
        <w:t>y’s</w:t>
      </w:r>
      <w:r w:rsidR="00A37350">
        <w:t xml:space="preserve"> obligations </w:t>
      </w:r>
      <w:r w:rsidR="00D01D0C">
        <w:t xml:space="preserve">are </w:t>
      </w:r>
      <w:r w:rsidR="00B601EA">
        <w:t>clear and</w:t>
      </w:r>
      <w:r w:rsidR="00A37350">
        <w:t xml:space="preserve"> limit</w:t>
      </w:r>
      <w:r w:rsidR="00B808E8">
        <w:t>s</w:t>
      </w:r>
      <w:r w:rsidR="00A37350">
        <w:t xml:space="preserve"> </w:t>
      </w:r>
      <w:r w:rsidR="00B808E8">
        <w:t xml:space="preserve">legal </w:t>
      </w:r>
      <w:r w:rsidR="00A37350">
        <w:t>risk to the extent practical</w:t>
      </w:r>
      <w:r w:rsidR="00893095">
        <w:t>.</w:t>
      </w:r>
    </w:p>
    <w:tbl>
      <w:tblPr>
        <w:tblStyle w:val="TableGrid"/>
        <w:tblW w:w="9026" w:type="dxa"/>
        <w:tblLayout w:type="fixed"/>
        <w:tblLook w:val="04A0" w:firstRow="1" w:lastRow="0" w:firstColumn="1" w:lastColumn="0" w:noHBand="0" w:noVBand="1"/>
      </w:tblPr>
      <w:tblGrid>
        <w:gridCol w:w="9026"/>
      </w:tblGrid>
      <w:tr w:rsidR="00805A1C" w:rsidRPr="00D86DB0" w14:paraId="5554A6F3" w14:textId="77777777" w:rsidTr="001E4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E2F3FA" w:themeFill="accent6" w:themeFillTint="33"/>
          </w:tcPr>
          <w:p w14:paraId="7BD92B07" w14:textId="6288ABBE" w:rsidR="00805A1C" w:rsidRPr="00C6127A" w:rsidRDefault="00805A1C" w:rsidP="00CA603B">
            <w:pPr>
              <w:rPr>
                <w:color w:val="000000"/>
              </w:rPr>
            </w:pPr>
            <w:r w:rsidRPr="00C6127A">
              <w:rPr>
                <w:noProof/>
              </w:rPr>
              <w:drawing>
                <wp:inline distT="0" distB="0" distL="0" distR="0" wp14:anchorId="01B7934D" wp14:editId="7A9AB082">
                  <wp:extent cx="403225" cy="3898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225" cy="389890"/>
                          </a:xfrm>
                          <a:prstGeom prst="rect">
                            <a:avLst/>
                          </a:prstGeom>
                          <a:noFill/>
                          <a:ln>
                            <a:noFill/>
                          </a:ln>
                        </pic:spPr>
                      </pic:pic>
                    </a:graphicData>
                  </a:graphic>
                </wp:inline>
              </w:drawing>
            </w:r>
            <w:r w:rsidR="00CA603B" w:rsidRPr="00C6127A">
              <w:rPr>
                <w:color w:val="000000"/>
              </w:rPr>
              <w:t xml:space="preserve"> </w:t>
            </w:r>
            <w:r w:rsidR="00CA603B" w:rsidRPr="00C6127A">
              <w:rPr>
                <w:rStyle w:val="Heading3Char"/>
              </w:rPr>
              <w:t>Fourth party risk management</w:t>
            </w:r>
          </w:p>
        </w:tc>
      </w:tr>
      <w:tr w:rsidR="00C70812" w:rsidRPr="00D86DB0" w14:paraId="33D50F7E" w14:textId="77777777" w:rsidTr="001E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E2F3FA" w:themeFill="accent6" w:themeFillTint="33"/>
          </w:tcPr>
          <w:p w14:paraId="6F8C001A" w14:textId="204B203D" w:rsidR="005058FA" w:rsidRDefault="00544CDF" w:rsidP="0042210C">
            <w:r>
              <w:t>With an</w:t>
            </w:r>
            <w:r w:rsidR="005058FA" w:rsidRPr="00EF5F08">
              <w:t xml:space="preserve"> increasing </w:t>
            </w:r>
            <w:r w:rsidR="005058FA">
              <w:t>reliance on s</w:t>
            </w:r>
            <w:r w:rsidR="005058FA" w:rsidRPr="00EF5F08">
              <w:t>ervice providers</w:t>
            </w:r>
            <w:r w:rsidR="005058FA">
              <w:t>,</w:t>
            </w:r>
            <w:r w:rsidR="005058FA" w:rsidRPr="00EF5F08">
              <w:t xml:space="preserve"> </w:t>
            </w:r>
            <w:r>
              <w:t>there is</w:t>
            </w:r>
            <w:r w:rsidR="005058FA" w:rsidRPr="00EF5F08">
              <w:t xml:space="preserve"> </w:t>
            </w:r>
            <w:r w:rsidR="005058FA">
              <w:t>greater</w:t>
            </w:r>
            <w:r w:rsidR="005058FA" w:rsidRPr="00EF5F08">
              <w:t xml:space="preserve"> </w:t>
            </w:r>
            <w:r>
              <w:t xml:space="preserve">complexity in </w:t>
            </w:r>
            <w:r w:rsidR="005058FA" w:rsidRPr="00EF5F08">
              <w:t>supply chain</w:t>
            </w:r>
            <w:r>
              <w:t>s;</w:t>
            </w:r>
            <w:r w:rsidR="005058FA">
              <w:t xml:space="preserve"> </w:t>
            </w:r>
            <w:proofErr w:type="gramStart"/>
            <w:r w:rsidR="005058FA" w:rsidRPr="00EF5F08">
              <w:t>a number of</w:t>
            </w:r>
            <w:proofErr w:type="gramEnd"/>
            <w:r w:rsidR="005058FA" w:rsidRPr="00EF5F08">
              <w:t xml:space="preserve"> service providers </w:t>
            </w:r>
            <w:r w:rsidR="00B220FE">
              <w:t>may</w:t>
            </w:r>
            <w:r w:rsidR="005058FA" w:rsidRPr="00EF5F08">
              <w:t xml:space="preserve"> be involved in providing a service to an APRA-regulated </w:t>
            </w:r>
            <w:r w:rsidR="005058FA">
              <w:t>entity</w:t>
            </w:r>
            <w:r w:rsidR="005058FA" w:rsidRPr="00EF5F08">
              <w:t xml:space="preserve">. </w:t>
            </w:r>
            <w:r w:rsidR="00B220FE">
              <w:t xml:space="preserve">A </w:t>
            </w:r>
            <w:r w:rsidR="005058FA" w:rsidRPr="00EF5F08" w:rsidDel="006F5CAC">
              <w:t xml:space="preserve">regulated </w:t>
            </w:r>
            <w:r w:rsidR="005058FA">
              <w:t>entity</w:t>
            </w:r>
            <w:r w:rsidR="005058FA" w:rsidRPr="00EF5F08">
              <w:t xml:space="preserve"> </w:t>
            </w:r>
            <w:r w:rsidR="00B220FE">
              <w:t>may have</w:t>
            </w:r>
            <w:r w:rsidR="005058FA" w:rsidRPr="00EF5F08">
              <w:t xml:space="preserve"> a direct agreement with a service provider</w:t>
            </w:r>
            <w:r w:rsidR="00B220FE">
              <w:t xml:space="preserve"> (a third party)</w:t>
            </w:r>
            <w:r w:rsidR="005058FA" w:rsidRPr="00EF5F08">
              <w:t xml:space="preserve"> who, in turn, is reliant on another service provider for the provision of a service</w:t>
            </w:r>
            <w:r w:rsidR="00B220FE">
              <w:t xml:space="preserve"> (a fourth party)</w:t>
            </w:r>
            <w:r w:rsidR="005058FA" w:rsidRPr="00EF5F08">
              <w:t xml:space="preserve">. In certain cases, these </w:t>
            </w:r>
            <w:r w:rsidR="00B220FE">
              <w:t>fourth party</w:t>
            </w:r>
            <w:r w:rsidR="005058FA" w:rsidRPr="00EF5F08">
              <w:t xml:space="preserve"> service providers can, in turn, be reliant upon yet another service provider. This can result in APRA-regulated </w:t>
            </w:r>
            <w:r w:rsidR="005058FA">
              <w:t>entitie</w:t>
            </w:r>
            <w:r w:rsidR="005058FA" w:rsidRPr="00EF5F08">
              <w:t xml:space="preserve">s </w:t>
            </w:r>
            <w:r w:rsidR="005058FA">
              <w:t xml:space="preserve">relying </w:t>
            </w:r>
            <w:r w:rsidR="005058FA" w:rsidRPr="00EF5F08">
              <w:t xml:space="preserve">on </w:t>
            </w:r>
            <w:r w:rsidR="00B220FE">
              <w:t xml:space="preserve">downstream </w:t>
            </w:r>
            <w:r w:rsidR="005058FA" w:rsidRPr="00EF5F08">
              <w:t xml:space="preserve">service providers </w:t>
            </w:r>
            <w:r w:rsidR="005058FA">
              <w:t xml:space="preserve">without a direct agreement in place, which can impede </w:t>
            </w:r>
            <w:r w:rsidR="005058FA" w:rsidRPr="00EF5F08">
              <w:t>the</w:t>
            </w:r>
            <w:r w:rsidR="005058FA">
              <w:t>ir</w:t>
            </w:r>
            <w:r w:rsidR="005058FA" w:rsidRPr="00EF5F08">
              <w:t xml:space="preserve"> ability to </w:t>
            </w:r>
            <w:r w:rsidR="00B220FE">
              <w:t>manage risks in the</w:t>
            </w:r>
            <w:r w:rsidR="005058FA" w:rsidRPr="00EF5F08">
              <w:t xml:space="preserve"> supply chain.</w:t>
            </w:r>
          </w:p>
          <w:p w14:paraId="7D20802D" w14:textId="77777777" w:rsidR="0042210C" w:rsidRPr="00EF5F08" w:rsidRDefault="0042210C" w:rsidP="00C6127A"/>
          <w:p w14:paraId="79B51AE0" w14:textId="03632BF4" w:rsidR="00C70812" w:rsidRPr="00E044D2" w:rsidRDefault="009629D7" w:rsidP="00C6127A">
            <w:r>
              <w:t>Draft</w:t>
            </w:r>
            <w:r w:rsidR="005058FA">
              <w:t xml:space="preserve"> CPS 230 </w:t>
            </w:r>
            <w:r w:rsidR="00B220FE">
              <w:t xml:space="preserve">would </w:t>
            </w:r>
            <w:r w:rsidR="005058FA">
              <w:t>require</w:t>
            </w:r>
            <w:r w:rsidR="005058FA" w:rsidDel="009010CD">
              <w:t xml:space="preserve"> </w:t>
            </w:r>
            <w:r w:rsidR="005058FA">
              <w:t>a regulated entity’s service provider management policy</w:t>
            </w:r>
            <w:r w:rsidR="009010CD">
              <w:t xml:space="preserve"> to</w:t>
            </w:r>
            <w:r w:rsidR="005058FA">
              <w:t xml:space="preserve"> set out </w:t>
            </w:r>
            <w:r w:rsidR="00B220FE">
              <w:t>its</w:t>
            </w:r>
            <w:r w:rsidR="005058FA">
              <w:t xml:space="preserve"> approach to managing risks with fourth parties</w:t>
            </w:r>
            <w:r w:rsidR="005058FA" w:rsidRPr="00EF5F08">
              <w:t>.</w:t>
            </w:r>
            <w:r w:rsidR="00746DEC">
              <w:rPr>
                <w:rStyle w:val="FootnoteReference"/>
              </w:rPr>
              <w:footnoteReference w:id="11"/>
            </w:r>
            <w:r w:rsidR="005058FA" w:rsidRPr="00EF5F08">
              <w:t xml:space="preserve"> </w:t>
            </w:r>
            <w:r w:rsidR="00B220FE">
              <w:t xml:space="preserve">APRA expects that entities would also seek to be aware of, and manage, the risks associated with any further downstream service providers, to maintain </w:t>
            </w:r>
            <w:r w:rsidR="005058FA">
              <w:t xml:space="preserve">a thorough understanding of </w:t>
            </w:r>
            <w:r w:rsidR="00746DEC">
              <w:t>the</w:t>
            </w:r>
            <w:r w:rsidR="005058FA">
              <w:t xml:space="preserve"> supply chain and potential issues that could affect the entity’s ability to </w:t>
            </w:r>
            <w:r w:rsidR="00746DEC">
              <w:t>maintain critical operations</w:t>
            </w:r>
            <w:r w:rsidR="005058FA">
              <w:t>.</w:t>
            </w:r>
          </w:p>
        </w:tc>
      </w:tr>
    </w:tbl>
    <w:p w14:paraId="74EC27DC" w14:textId="77777777" w:rsidR="00C70812" w:rsidRDefault="007E4E85" w:rsidP="00C70812">
      <w:pPr>
        <w:pStyle w:val="Heading2Numbers"/>
        <w:numPr>
          <w:ilvl w:val="0"/>
          <w:numId w:val="0"/>
        </w:numPr>
      </w:pPr>
      <w:r>
        <w:t>Monitoring and notifications</w:t>
      </w:r>
    </w:p>
    <w:p w14:paraId="6F8567E2" w14:textId="04095A51" w:rsidR="00C70812" w:rsidRDefault="00C70812" w:rsidP="00C70812">
      <w:r w:rsidRPr="00CF3E6A">
        <w:t xml:space="preserve">APRA has sought to balance notification requirements and the need to provide documents or other information, to minimise the </w:t>
      </w:r>
      <w:r w:rsidR="00544CDF">
        <w:t>compliance impact</w:t>
      </w:r>
      <w:r w:rsidRPr="00CF3E6A">
        <w:t xml:space="preserve"> both in terms of time and cost on </w:t>
      </w:r>
      <w:r w:rsidR="001830B5">
        <w:t>regulated entities</w:t>
      </w:r>
      <w:r w:rsidRPr="00CF3E6A">
        <w:t xml:space="preserve">. </w:t>
      </w:r>
      <w:r w:rsidR="00544CDF">
        <w:t>N</w:t>
      </w:r>
      <w:r w:rsidRPr="00CF3E6A">
        <w:t xml:space="preserve">otification </w:t>
      </w:r>
      <w:r w:rsidR="00B601EA">
        <w:t>is</w:t>
      </w:r>
      <w:r w:rsidR="00544CDF">
        <w:t xml:space="preserve"> only needed where there are</w:t>
      </w:r>
      <w:r w:rsidRPr="00CF3E6A">
        <w:t xml:space="preserve"> matter</w:t>
      </w:r>
      <w:r w:rsidR="00544CDF">
        <w:t>s</w:t>
      </w:r>
      <w:r w:rsidRPr="00CF3E6A">
        <w:t xml:space="preserve"> that APRA </w:t>
      </w:r>
      <w:r>
        <w:t xml:space="preserve">supervisors </w:t>
      </w:r>
      <w:r w:rsidRPr="00CF3E6A">
        <w:t>should reasonably be made aware of, and which could have broader systemic implications.</w:t>
      </w:r>
    </w:p>
    <w:p w14:paraId="6BEF44BB" w14:textId="61BFB4DC" w:rsidR="00C70812" w:rsidRDefault="001830B5" w:rsidP="00C70812">
      <w:r>
        <w:t xml:space="preserve">Under </w:t>
      </w:r>
      <w:r w:rsidR="00462377">
        <w:t>draft</w:t>
      </w:r>
      <w:r>
        <w:t xml:space="preserve"> CPS</w:t>
      </w:r>
      <w:r w:rsidR="00462377">
        <w:t xml:space="preserve"> 230</w:t>
      </w:r>
      <w:r>
        <w:t xml:space="preserve">, an </w:t>
      </w:r>
      <w:r w:rsidR="009010CD">
        <w:t>e</w:t>
      </w:r>
      <w:r w:rsidR="00C70812">
        <w:t>ntit</w:t>
      </w:r>
      <w:r w:rsidR="009010CD">
        <w:t>y</w:t>
      </w:r>
      <w:r w:rsidR="00C70812">
        <w:t xml:space="preserve"> would be required to:</w:t>
      </w:r>
    </w:p>
    <w:p w14:paraId="794C490C" w14:textId="7536570F" w:rsidR="0029489C" w:rsidRDefault="0029489C" w:rsidP="0029489C">
      <w:pPr>
        <w:pStyle w:val="ListBullet"/>
      </w:pPr>
      <w:r w:rsidRPr="00CF3E6A">
        <w:t>submit its register of material service providers to APRA on an annual basis</w:t>
      </w:r>
      <w:r>
        <w:t xml:space="preserve">; </w:t>
      </w:r>
    </w:p>
    <w:p w14:paraId="7E9B458F" w14:textId="20316A6B" w:rsidR="0029489C" w:rsidRDefault="0029489C" w:rsidP="0029489C">
      <w:pPr>
        <w:pStyle w:val="ListBullet"/>
      </w:pPr>
      <w:r>
        <w:t>notify APRA as soon as possible</w:t>
      </w:r>
      <w:r w:rsidR="00544CDF">
        <w:t>,</w:t>
      </w:r>
      <w:r>
        <w:t xml:space="preserve"> and not more than 20 business days</w:t>
      </w:r>
      <w:r w:rsidR="00544CDF">
        <w:t>,</w:t>
      </w:r>
      <w:r>
        <w:t xml:space="preserve"> after entering </w:t>
      </w:r>
      <w:r w:rsidR="00812766">
        <w:t xml:space="preserve">into </w:t>
      </w:r>
      <w:r>
        <w:t xml:space="preserve">or materially changing an agreement </w:t>
      </w:r>
      <w:r w:rsidR="009960D2">
        <w:t>for the provision of</w:t>
      </w:r>
      <w:r>
        <w:t xml:space="preserve"> a service on which </w:t>
      </w:r>
      <w:r w:rsidR="009960D2">
        <w:t xml:space="preserve">the </w:t>
      </w:r>
      <w:r>
        <w:t xml:space="preserve">entity relies to undertake </w:t>
      </w:r>
      <w:r w:rsidR="008D6F10">
        <w:t>a</w:t>
      </w:r>
      <w:r>
        <w:t xml:space="preserve"> </w:t>
      </w:r>
      <w:r w:rsidR="00180D6E">
        <w:t xml:space="preserve">critical </w:t>
      </w:r>
      <w:proofErr w:type="gramStart"/>
      <w:r>
        <w:t>operation</w:t>
      </w:r>
      <w:r w:rsidR="00180D6E">
        <w:t>;</w:t>
      </w:r>
      <w:proofErr w:type="gramEnd"/>
      <w:r w:rsidR="00180D6E">
        <w:t xml:space="preserve"> and</w:t>
      </w:r>
    </w:p>
    <w:p w14:paraId="25C88BBE" w14:textId="77777777" w:rsidR="0029489C" w:rsidRPr="00CF3E6A" w:rsidRDefault="0029489C" w:rsidP="0029489C">
      <w:pPr>
        <w:pStyle w:val="ListBullet"/>
      </w:pPr>
      <w:r>
        <w:t xml:space="preserve">notify APRA prior to entering into any </w:t>
      </w:r>
      <w:r w:rsidRPr="00544CDF">
        <w:t>offshoring</w:t>
      </w:r>
      <w:r>
        <w:t xml:space="preserve"> agreement with a material service provider,</w:t>
      </w:r>
      <w:r w:rsidRPr="006E5C7B">
        <w:t xml:space="preserve"> </w:t>
      </w:r>
      <w:r>
        <w:t xml:space="preserve">or when there is a significant change proposed to the agreement, </w:t>
      </w:r>
      <w:r w:rsidRPr="006E5C7B">
        <w:t xml:space="preserve">including </w:t>
      </w:r>
      <w:r>
        <w:t xml:space="preserve">in circumstances </w:t>
      </w:r>
      <w:r w:rsidRPr="006E5C7B">
        <w:t xml:space="preserve">where data or personnel </w:t>
      </w:r>
      <w:r>
        <w:t>relevant to the service being provided</w:t>
      </w:r>
      <w:r w:rsidRPr="006E5C7B">
        <w:t xml:space="preserve"> will be located offshore</w:t>
      </w:r>
      <w:r w:rsidRPr="00CF3E6A">
        <w:t>.</w:t>
      </w:r>
    </w:p>
    <w:p w14:paraId="7C77BC7D" w14:textId="3EC46AD5" w:rsidR="00AE4C44" w:rsidRDefault="00AE4C44" w:rsidP="00AE4C44">
      <w:r w:rsidRPr="00CF3E6A">
        <w:t xml:space="preserve">Submitting the register of material service providers </w:t>
      </w:r>
      <w:r w:rsidR="0011365F">
        <w:t>will</w:t>
      </w:r>
      <w:r w:rsidRPr="00CF3E6A">
        <w:t xml:space="preserve"> </w:t>
      </w:r>
      <w:r w:rsidR="00544CDF">
        <w:t>enable</w:t>
      </w:r>
      <w:r w:rsidRPr="00CF3E6A">
        <w:t xml:space="preserve"> APRA to assess the nature and extent of service providers relied on by each industry, with a view to</w:t>
      </w:r>
      <w:r w:rsidRPr="00CF3E6A" w:rsidDel="00AD1F82">
        <w:t xml:space="preserve"> </w:t>
      </w:r>
      <w:r w:rsidRPr="00CF3E6A">
        <w:t xml:space="preserve">identifying and responding to potential </w:t>
      </w:r>
      <w:r w:rsidR="00544CDF">
        <w:t>systemic</w:t>
      </w:r>
      <w:r w:rsidRPr="00CF3E6A">
        <w:t xml:space="preserve"> issues. For example, concentration risk could arise where multiple entities are reliant on a single provider or a small number of providers for a particular service. While</w:t>
      </w:r>
      <w:r w:rsidRPr="00CF3E6A" w:rsidDel="00AD1F82">
        <w:t xml:space="preserve"> </w:t>
      </w:r>
      <w:r w:rsidRPr="00CF3E6A">
        <w:t xml:space="preserve">such concentration </w:t>
      </w:r>
      <w:r w:rsidR="00544CDF">
        <w:t>may be</w:t>
      </w:r>
      <w:r w:rsidRPr="00CF3E6A">
        <w:t xml:space="preserve"> unavoidable, awareness of such risks will allow consideration</w:t>
      </w:r>
      <w:r w:rsidR="00CC27DE">
        <w:t xml:space="preserve"> of</w:t>
      </w:r>
      <w:r w:rsidRPr="00CF3E6A">
        <w:t xml:space="preserve"> actions</w:t>
      </w:r>
      <w:r w:rsidR="00544CDF">
        <w:t xml:space="preserve"> that</w:t>
      </w:r>
      <w:r w:rsidRPr="00CF3E6A">
        <w:t xml:space="preserve"> could reasonably be taken to mitigate the risk or deal with issues should they arise.</w:t>
      </w:r>
    </w:p>
    <w:p w14:paraId="676326B0" w14:textId="128A48A5" w:rsidR="00B7463C" w:rsidRDefault="00B7463C" w:rsidP="00B7463C">
      <w:pPr>
        <w:pStyle w:val="Heading2Numbers"/>
        <w:numPr>
          <w:ilvl w:val="0"/>
          <w:numId w:val="0"/>
        </w:numPr>
      </w:pPr>
      <w:r>
        <w:t xml:space="preserve">Service providers in </w:t>
      </w:r>
      <w:r w:rsidR="001830B5">
        <w:t>superannuation</w:t>
      </w:r>
    </w:p>
    <w:p w14:paraId="61D0290B" w14:textId="75DA9017" w:rsidR="00B7463C" w:rsidRDefault="0029518B" w:rsidP="00B7463C">
      <w:r>
        <w:t>T</w:t>
      </w:r>
      <w:r w:rsidR="00B7463C">
        <w:t xml:space="preserve">he duties of RSE licensees under the </w:t>
      </w:r>
      <w:r w:rsidR="00B7463C" w:rsidRPr="00093469">
        <w:rPr>
          <w:i/>
        </w:rPr>
        <w:t>Superannuation Industry (Supervision) Act 1993</w:t>
      </w:r>
      <w:r w:rsidR="00B7463C">
        <w:t xml:space="preserve"> (SIS Act) and the </w:t>
      </w:r>
      <w:r>
        <w:t xml:space="preserve">focus on the </w:t>
      </w:r>
      <w:r w:rsidR="00B7463C">
        <w:t>delivery of outcomes to members makes o</w:t>
      </w:r>
      <w:r w:rsidR="00B7463C" w:rsidRPr="00DF532D">
        <w:t xml:space="preserve">perational risk </w:t>
      </w:r>
      <w:r w:rsidR="00194A13">
        <w:t xml:space="preserve">management </w:t>
      </w:r>
      <w:r>
        <w:t>particularly important</w:t>
      </w:r>
      <w:r w:rsidR="00B7463C" w:rsidRPr="00DF532D">
        <w:t xml:space="preserve"> </w:t>
      </w:r>
      <w:r>
        <w:t xml:space="preserve">in </w:t>
      </w:r>
      <w:r w:rsidR="001830B5">
        <w:t>superannuation</w:t>
      </w:r>
      <w:r w:rsidR="00B7463C" w:rsidRPr="00DF532D">
        <w:t>.</w:t>
      </w:r>
    </w:p>
    <w:p w14:paraId="09C3758C" w14:textId="26A8FA8D" w:rsidR="00B7463C" w:rsidRDefault="00B7463C" w:rsidP="00B7463C">
      <w:r>
        <w:t xml:space="preserve">RSE licensees have typically outsourced many material business activities </w:t>
      </w:r>
      <w:r w:rsidRPr="00DF532D">
        <w:t>to service providers</w:t>
      </w:r>
      <w:r w:rsidR="0029518B">
        <w:t>,</w:t>
      </w:r>
      <w:r>
        <w:t xml:space="preserve"> </w:t>
      </w:r>
      <w:r w:rsidRPr="00DF532D">
        <w:t>including related parties</w:t>
      </w:r>
      <w:r>
        <w:t>. These service providers</w:t>
      </w:r>
      <w:r w:rsidRPr="00DF532D">
        <w:t xml:space="preserve"> play a crucial role in </w:t>
      </w:r>
      <w:r>
        <w:t>the RSE licensee’s business</w:t>
      </w:r>
      <w:r w:rsidRPr="00DF532D">
        <w:t xml:space="preserve"> operations. </w:t>
      </w:r>
      <w:r>
        <w:t>Given this, it is important that an RSE licensee board review</w:t>
      </w:r>
      <w:r w:rsidR="0029518B">
        <w:t>s</w:t>
      </w:r>
      <w:r w:rsidDel="00540F62">
        <w:t xml:space="preserve"> </w:t>
      </w:r>
      <w:r>
        <w:t xml:space="preserve">risk and performance reporting on service provider </w:t>
      </w:r>
      <w:r w:rsidR="00B601EA">
        <w:t>arrangements and</w:t>
      </w:r>
      <w:r>
        <w:t xml:space="preserve"> ensure</w:t>
      </w:r>
      <w:r w:rsidR="0029518B">
        <w:t>s</w:t>
      </w:r>
      <w:r>
        <w:t xml:space="preserve"> that the RSE licensee continues to meet its obligations under the SIS Act.</w:t>
      </w:r>
    </w:p>
    <w:p w14:paraId="2A813A93" w14:textId="02A8D496" w:rsidR="00B7463C" w:rsidRPr="001B5896" w:rsidRDefault="00B7463C" w:rsidP="00B7463C">
      <w:r w:rsidRPr="005B7437">
        <w:t xml:space="preserve">RSE licensees’ </w:t>
      </w:r>
      <w:r w:rsidR="001830B5">
        <w:t xml:space="preserve">statutory </w:t>
      </w:r>
      <w:r w:rsidRPr="005B7437">
        <w:t xml:space="preserve">duty to prioritise the interests of </w:t>
      </w:r>
      <w:proofErr w:type="gramStart"/>
      <w:r w:rsidRPr="005B7437">
        <w:t>members</w:t>
      </w:r>
      <w:r w:rsidR="0029518B">
        <w:t>,</w:t>
      </w:r>
      <w:r w:rsidRPr="005B7437">
        <w:t xml:space="preserve"> and</w:t>
      </w:r>
      <w:proofErr w:type="gramEnd"/>
      <w:r w:rsidRPr="005B7437">
        <w:t xml:space="preserve"> manage actual and perceived conflicts</w:t>
      </w:r>
      <w:r w:rsidR="0029518B">
        <w:t xml:space="preserve"> </w:t>
      </w:r>
      <w:r w:rsidR="0029518B" w:rsidRPr="005B7437">
        <w:t xml:space="preserve">is unique </w:t>
      </w:r>
      <w:r w:rsidR="0029518B">
        <w:t>to</w:t>
      </w:r>
      <w:r w:rsidR="0029518B" w:rsidRPr="005B7437">
        <w:t xml:space="preserve"> superannuation</w:t>
      </w:r>
      <w:r w:rsidRPr="005B7437">
        <w:t xml:space="preserve"> (</w:t>
      </w:r>
      <w:r>
        <w:t xml:space="preserve">refer to </w:t>
      </w:r>
      <w:r w:rsidRPr="005B7437">
        <w:t xml:space="preserve">s. 52(2)(d) of the SIS Act and </w:t>
      </w:r>
      <w:r w:rsidR="001512F0">
        <w:rPr>
          <w:i/>
        </w:rPr>
        <w:t xml:space="preserve">Prudential Standard SPS 521 Conflicts of Interest </w:t>
      </w:r>
      <w:r w:rsidR="001512F0">
        <w:t>(</w:t>
      </w:r>
      <w:r w:rsidRPr="0044267F" w:rsidDel="007B5DA3">
        <w:t>SPS 521</w:t>
      </w:r>
      <w:r w:rsidR="001512F0">
        <w:t>)</w:t>
      </w:r>
      <w:r w:rsidR="0029518B">
        <w:t>)</w:t>
      </w:r>
      <w:r w:rsidRPr="005B7437">
        <w:t xml:space="preserve">. </w:t>
      </w:r>
      <w:r>
        <w:t>Managing</w:t>
      </w:r>
      <w:r w:rsidDel="007B5DA3">
        <w:t xml:space="preserve"> </w:t>
      </w:r>
      <w:r>
        <w:t xml:space="preserve">conflicts is particularly important </w:t>
      </w:r>
      <w:r w:rsidR="0011365F">
        <w:t>with respect to</w:t>
      </w:r>
      <w:r>
        <w:t xml:space="preserve"> service provider arrangements, with a strong onus on the board to </w:t>
      </w:r>
      <w:r w:rsidR="0029518B">
        <w:t>oversee</w:t>
      </w:r>
      <w:r>
        <w:t xml:space="preserve"> the performance of service providers </w:t>
      </w:r>
      <w:r w:rsidR="00F1681E">
        <w:t>to</w:t>
      </w:r>
      <w:r>
        <w:t xml:space="preserve"> fulfil </w:t>
      </w:r>
      <w:r w:rsidR="0029518B">
        <w:t>their</w:t>
      </w:r>
      <w:r>
        <w:t xml:space="preserve"> obligations under the SIS Act. This is reflected </w:t>
      </w:r>
      <w:r w:rsidR="0029518B">
        <w:t xml:space="preserve">in </w:t>
      </w:r>
      <w:r w:rsidR="009629D7">
        <w:t>draft</w:t>
      </w:r>
      <w:r>
        <w:t xml:space="preserve"> CPS 230</w:t>
      </w:r>
      <w:r w:rsidR="0029518B">
        <w:t>, including</w:t>
      </w:r>
      <w:r w:rsidR="004D7EC5">
        <w:t xml:space="preserve"> </w:t>
      </w:r>
      <w:r w:rsidR="00F1681E">
        <w:t>a</w:t>
      </w:r>
      <w:r w:rsidR="004D7EC5">
        <w:t xml:space="preserve"> requirement for an entity to be</w:t>
      </w:r>
      <w:r>
        <w:t xml:space="preserve"> able to terminate </w:t>
      </w:r>
      <w:r w:rsidR="004D7EC5">
        <w:t>an</w:t>
      </w:r>
      <w:r>
        <w:t xml:space="preserve"> agreement in a situation where </w:t>
      </w:r>
      <w:r w:rsidR="004D7EC5">
        <w:t>it</w:t>
      </w:r>
      <w:r>
        <w:t xml:space="preserve"> is inconsistent with the best financial interest duty.</w:t>
      </w:r>
    </w:p>
    <w:p w14:paraId="07F36C83" w14:textId="32EC5DA0" w:rsidR="00B256EE" w:rsidRDefault="009629D7" w:rsidP="00272AC0">
      <w:r>
        <w:t>Draft</w:t>
      </w:r>
      <w:r w:rsidR="00600012" w:rsidRPr="00FC45CF">
        <w:t xml:space="preserve"> CPS 230 </w:t>
      </w:r>
      <w:r w:rsidR="00600012">
        <w:t xml:space="preserve">has also been informed by </w:t>
      </w:r>
      <w:r w:rsidR="00600012" w:rsidRPr="00FC45CF">
        <w:t xml:space="preserve">findings from </w:t>
      </w:r>
      <w:r w:rsidR="00600012">
        <w:t xml:space="preserve">the </w:t>
      </w:r>
      <w:r w:rsidR="00600012" w:rsidRPr="00FC45CF">
        <w:t>APRA</w:t>
      </w:r>
      <w:r w:rsidR="00600012">
        <w:t>-</w:t>
      </w:r>
      <w:r w:rsidR="00600012" w:rsidRPr="00FC45CF">
        <w:t xml:space="preserve">commissioned review of </w:t>
      </w:r>
      <w:r w:rsidR="00600012" w:rsidRPr="00851C89">
        <w:t>outsourcing arrangements of ten selected RSE</w:t>
      </w:r>
      <w:r w:rsidR="00600012">
        <w:t xml:space="preserve"> licensee</w:t>
      </w:r>
      <w:r w:rsidR="00600012" w:rsidRPr="00851C89">
        <w:t>s</w:t>
      </w:r>
      <w:r w:rsidR="008D6F10">
        <w:t xml:space="preserve"> in 2018</w:t>
      </w:r>
      <w:r w:rsidR="00600012" w:rsidRPr="00851C89">
        <w:t>.</w:t>
      </w:r>
      <w:r w:rsidR="00FC7387">
        <w:rPr>
          <w:rStyle w:val="FootnoteReference"/>
        </w:rPr>
        <w:footnoteReference w:id="12"/>
      </w:r>
      <w:r w:rsidR="00600012" w:rsidRPr="00915EAB">
        <w:t xml:space="preserve"> </w:t>
      </w:r>
      <w:r w:rsidR="00600012" w:rsidRPr="00FC7387">
        <w:rPr>
          <w:rFonts w:cs="Arial"/>
        </w:rPr>
        <w:t>While the review observed strong compliance with SPS 231</w:t>
      </w:r>
      <w:r w:rsidR="00600012" w:rsidRPr="00FC7387">
        <w:rPr>
          <w:rFonts w:cs="Arial"/>
          <w:i/>
        </w:rPr>
        <w:t xml:space="preserve"> </w:t>
      </w:r>
      <w:r w:rsidR="00600012" w:rsidRPr="00FC7387">
        <w:rPr>
          <w:rFonts w:cs="Arial"/>
        </w:rPr>
        <w:t xml:space="preserve">and </w:t>
      </w:r>
      <w:r w:rsidR="00600012" w:rsidRPr="00FC7387">
        <w:rPr>
          <w:rFonts w:cs="Arial"/>
          <w:i/>
        </w:rPr>
        <w:t xml:space="preserve">Prudential Standard SPS 521 Conflicts of Interest, </w:t>
      </w:r>
      <w:r w:rsidR="00600012" w:rsidRPr="00FC7387">
        <w:rPr>
          <w:rFonts w:cs="Arial"/>
        </w:rPr>
        <w:t xml:space="preserve">and </w:t>
      </w:r>
      <w:r w:rsidR="00600012" w:rsidRPr="00FC45CF">
        <w:t>an uplift in board oversight, several areas for improvement were identified. These included</w:t>
      </w:r>
      <w:r w:rsidR="001A7769">
        <w:t xml:space="preserve"> </w:t>
      </w:r>
      <w:r w:rsidR="00FC7387">
        <w:t xml:space="preserve">the need for </w:t>
      </w:r>
      <w:r w:rsidR="00600012">
        <w:t>a genuine assessment of service providers</w:t>
      </w:r>
      <w:r w:rsidR="00600012" w:rsidRPr="00FC45CF">
        <w:t xml:space="preserve">, </w:t>
      </w:r>
      <w:r w:rsidR="00600012">
        <w:t>robust performance monitoring</w:t>
      </w:r>
      <w:r w:rsidR="00600012" w:rsidRPr="00FC45CF">
        <w:t xml:space="preserve"> </w:t>
      </w:r>
      <w:r w:rsidR="00600012">
        <w:t>and</w:t>
      </w:r>
      <w:r w:rsidR="001A7769">
        <w:t xml:space="preserve"> </w:t>
      </w:r>
      <w:r w:rsidR="00600012" w:rsidRPr="00FC45CF">
        <w:t>functional independence to oversee service providers.</w:t>
      </w:r>
    </w:p>
    <w:p w14:paraId="43ED1AFE" w14:textId="34BCD88E" w:rsidR="009E585F" w:rsidRDefault="00B661CC" w:rsidP="00B661CC">
      <w:pPr>
        <w:pStyle w:val="Heading1Numbers"/>
      </w:pPr>
      <w:bookmarkStart w:id="12" w:name="_Toc109287993"/>
      <w:r>
        <w:t>Consultation and next steps</w:t>
      </w:r>
      <w:bookmarkEnd w:id="12"/>
    </w:p>
    <w:p w14:paraId="793CBBAF" w14:textId="373D4AE6" w:rsidR="00032377" w:rsidRPr="00B661CC" w:rsidRDefault="00032377" w:rsidP="00032377">
      <w:pPr>
        <w:pStyle w:val="Heading2"/>
      </w:pPr>
      <w:bookmarkStart w:id="13" w:name="_Toc72858875"/>
      <w:r>
        <w:t>Request for submissions</w:t>
      </w:r>
    </w:p>
    <w:p w14:paraId="29F92242" w14:textId="1501FC8F" w:rsidR="00032377" w:rsidRDefault="00032377" w:rsidP="00032377">
      <w:pPr>
        <w:spacing w:after="0"/>
      </w:pPr>
      <w:r w:rsidRPr="00B661CC">
        <w:t xml:space="preserve">APRA invites written submissions on the proposals set out in this </w:t>
      </w:r>
      <w:r>
        <w:t>D</w:t>
      </w:r>
      <w:r w:rsidRPr="00B661CC">
        <w:t xml:space="preserve">iscussion </w:t>
      </w:r>
      <w:r>
        <w:t>P</w:t>
      </w:r>
      <w:r w:rsidRPr="00B661CC">
        <w:t xml:space="preserve">aper and the accompanying </w:t>
      </w:r>
      <w:r w:rsidR="009629D7">
        <w:t>draft</w:t>
      </w:r>
      <w:r w:rsidR="009629D7" w:rsidRPr="00B661CC">
        <w:t xml:space="preserve"> </w:t>
      </w:r>
      <w:r>
        <w:t xml:space="preserve">CPS 230. </w:t>
      </w:r>
      <w:r w:rsidRPr="00B661CC">
        <w:t xml:space="preserve">Written submissions should be sent to </w:t>
      </w:r>
      <w:hyperlink r:id="rId21" w:history="1">
        <w:r w:rsidRPr="00B661CC">
          <w:rPr>
            <w:rStyle w:val="Hyperlink"/>
          </w:rPr>
          <w:t>PolicyDevelopment@apra.gov.au</w:t>
        </w:r>
      </w:hyperlink>
      <w:r w:rsidRPr="00B661CC">
        <w:t xml:space="preserve"> by </w:t>
      </w:r>
      <w:r w:rsidR="00CD06D1" w:rsidRPr="00E62355">
        <w:t>2</w:t>
      </w:r>
      <w:r w:rsidR="00D34117" w:rsidRPr="00E62355">
        <w:t>1</w:t>
      </w:r>
      <w:r w:rsidRPr="00E62355">
        <w:t xml:space="preserve"> October 2022</w:t>
      </w:r>
      <w:r w:rsidRPr="00B661CC">
        <w:t xml:space="preserve"> and addressed to</w:t>
      </w:r>
      <w:r>
        <w:t xml:space="preserve"> the General Manager, Policy, APRA.</w:t>
      </w:r>
    </w:p>
    <w:p w14:paraId="55A41737" w14:textId="77777777" w:rsidR="00032377" w:rsidRDefault="00032377" w:rsidP="00032377">
      <w:pPr>
        <w:spacing w:after="0"/>
      </w:pPr>
    </w:p>
    <w:p w14:paraId="131B7FA3" w14:textId="56109B7E" w:rsidR="00032377" w:rsidRDefault="00032377" w:rsidP="00032377">
      <w:pPr>
        <w:pStyle w:val="APRANORMAL"/>
        <w:jc w:val="both"/>
        <w:rPr>
          <w:rStyle w:val="APRANORMALChar"/>
        </w:rPr>
      </w:pPr>
      <w:r>
        <w:rPr>
          <w:rStyle w:val="APRANORMALChar"/>
        </w:rPr>
        <w:t xml:space="preserve">Following review of feedback and submissions received, APRA plans to finalise the standard in early 2023 and release draft guidance for consultation. </w:t>
      </w:r>
      <w:r w:rsidR="0011365F">
        <w:rPr>
          <w:rStyle w:val="APRANORMALChar"/>
        </w:rPr>
        <w:t>The p</w:t>
      </w:r>
      <w:r>
        <w:rPr>
          <w:rStyle w:val="APRANORMALChar"/>
        </w:rPr>
        <w:t>roposed CPS 230 would come into effect from 1 January 2024.</w:t>
      </w:r>
    </w:p>
    <w:p w14:paraId="217743A0" w14:textId="77777777" w:rsidR="002808B6" w:rsidRDefault="002808B6" w:rsidP="002808B6">
      <w:pPr>
        <w:pStyle w:val="Heading2Numbers"/>
        <w:numPr>
          <w:ilvl w:val="0"/>
          <w:numId w:val="0"/>
        </w:numPr>
      </w:pPr>
      <w:r>
        <w:t>Consultation questions</w:t>
      </w:r>
    </w:p>
    <w:p w14:paraId="776A1994" w14:textId="562A0E48" w:rsidR="002808B6" w:rsidRPr="002808B6" w:rsidRDefault="002808B6" w:rsidP="002808B6">
      <w:r w:rsidRPr="002808B6">
        <w:t>APRA welcomes feedback on the proposed requirements</w:t>
      </w:r>
      <w:r>
        <w:t xml:space="preserve"> in CPS 230</w:t>
      </w:r>
      <w:r w:rsidRPr="002808B6">
        <w:t xml:space="preserve">. The following questions are intended to identify specific areas for feedback that would assist APRA in finalising </w:t>
      </w:r>
      <w:r>
        <w:t>the</w:t>
      </w:r>
      <w:r w:rsidRPr="002808B6">
        <w:t xml:space="preserve"> requirements. They are intended to support, but not limit, responses.</w:t>
      </w:r>
    </w:p>
    <w:p w14:paraId="3C643568" w14:textId="77777777" w:rsidR="002808B6" w:rsidRDefault="002808B6" w:rsidP="002808B6">
      <w:pPr>
        <w:pStyle w:val="Numberedtableheading"/>
      </w:pPr>
      <w:r>
        <w:t>Key questions</w:t>
      </w:r>
    </w:p>
    <w:tbl>
      <w:tblPr>
        <w:tblStyle w:val="TableOption2"/>
        <w:tblW w:w="0" w:type="auto"/>
        <w:tblLayout w:type="fixed"/>
        <w:tblLook w:val="0480" w:firstRow="0" w:lastRow="0" w:firstColumn="1" w:lastColumn="0" w:noHBand="0" w:noVBand="1"/>
      </w:tblPr>
      <w:tblGrid>
        <w:gridCol w:w="2127"/>
        <w:gridCol w:w="6899"/>
      </w:tblGrid>
      <w:tr w:rsidR="008D6F10" w:rsidRPr="0086042F" w14:paraId="2334E368" w14:textId="77777777" w:rsidTr="00130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6B42A9A" w14:textId="21354A48" w:rsidR="008D6F10" w:rsidRPr="0086042F" w:rsidRDefault="00186061" w:rsidP="0013024E">
            <w:pPr>
              <w:keepNext/>
              <w:numPr>
                <w:ilvl w:val="0"/>
                <w:numId w:val="0"/>
              </w:numPr>
              <w:spacing w:before="120" w:after="120"/>
              <w:rPr>
                <w:rFonts w:ascii="DIN OT Medium" w:hAnsi="DIN OT Medium"/>
              </w:rPr>
            </w:pPr>
            <w:r>
              <w:rPr>
                <w:rFonts w:ascii="DIN OT Medium" w:hAnsi="DIN OT Medium"/>
              </w:rPr>
              <w:t>Overall</w:t>
            </w:r>
            <w:r w:rsidR="008D6F10" w:rsidRPr="0086042F">
              <w:rPr>
                <w:rFonts w:ascii="DIN OT Medium" w:hAnsi="DIN OT Medium"/>
              </w:rPr>
              <w:t xml:space="preserve"> design</w:t>
            </w:r>
          </w:p>
        </w:tc>
        <w:tc>
          <w:tcPr>
            <w:tcW w:w="6899" w:type="dxa"/>
          </w:tcPr>
          <w:p w14:paraId="5FF66871" w14:textId="5E8A7108" w:rsidR="00A70733" w:rsidRDefault="00A70733" w:rsidP="00CF37E7">
            <w:pPr>
              <w:numPr>
                <w:ilvl w:val="1"/>
                <w:numId w:val="4"/>
              </w:numPr>
              <w:spacing w:before="120" w:after="120"/>
              <w:cnfStyle w:val="000000100000" w:firstRow="0" w:lastRow="0" w:firstColumn="0" w:lastColumn="0" w:oddVBand="0" w:evenVBand="0" w:oddHBand="1" w:evenHBand="0" w:firstRowFirstColumn="0" w:firstRowLastColumn="0" w:lastRowFirstColumn="0" w:lastRowLastColumn="0"/>
            </w:pPr>
            <w:r>
              <w:t>Is a single cross-industry standard for operational risk management supported?</w:t>
            </w:r>
          </w:p>
          <w:p w14:paraId="2596FAAF" w14:textId="02F15859" w:rsidR="004C23B9" w:rsidRDefault="00962FDB" w:rsidP="00CF37E7">
            <w:pPr>
              <w:numPr>
                <w:ilvl w:val="1"/>
                <w:numId w:val="4"/>
              </w:numPr>
              <w:spacing w:before="120" w:after="120"/>
              <w:cnfStyle w:val="000000100000" w:firstRow="0" w:lastRow="0" w:firstColumn="0" w:lastColumn="0" w:oddVBand="0" w:evenVBand="0" w:oddHBand="1" w:evenHBand="0" w:firstRowFirstColumn="0" w:firstRowLastColumn="0" w:lastRowFirstColumn="0" w:lastRowLastColumn="0"/>
            </w:pPr>
            <w:r>
              <w:t>A</w:t>
            </w:r>
            <w:r w:rsidR="004C23B9">
              <w:t>re the</w:t>
            </w:r>
            <w:r>
              <w:t>re</w:t>
            </w:r>
            <w:r w:rsidR="004C23B9">
              <w:t xml:space="preserve"> specific topics or areas on which guidance would be </w:t>
            </w:r>
            <w:r w:rsidR="00EB69FC">
              <w:t xml:space="preserve">particularly </w:t>
            </w:r>
            <w:r w:rsidR="004C23B9">
              <w:t>useful</w:t>
            </w:r>
            <w:r w:rsidR="00EB69FC">
              <w:t xml:space="preserve"> to assist in implementation</w:t>
            </w:r>
            <w:r w:rsidR="004C23B9">
              <w:t>?</w:t>
            </w:r>
          </w:p>
          <w:p w14:paraId="451B59A8" w14:textId="2672D45F" w:rsidR="001830B5" w:rsidRDefault="00CD06D1" w:rsidP="00CF37E7">
            <w:pPr>
              <w:numPr>
                <w:ilvl w:val="1"/>
                <w:numId w:val="4"/>
              </w:numPr>
              <w:spacing w:before="120" w:after="120"/>
              <w:cnfStyle w:val="000000100000" w:firstRow="0" w:lastRow="0" w:firstColumn="0" w:lastColumn="0" w:oddVBand="0" w:evenVBand="0" w:oddHBand="1" w:evenHBand="0" w:firstRowFirstColumn="0" w:firstRowLastColumn="0" w:lastRowFirstColumn="0" w:lastRowLastColumn="0"/>
            </w:pPr>
            <w:r w:rsidRPr="00962FDB">
              <w:rPr>
                <w:iCs/>
              </w:rPr>
              <w:t>How could proportionality be enhanced in the standard, and is there any merit in different requirements for SFI</w:t>
            </w:r>
            <w:r w:rsidR="001512F0">
              <w:rPr>
                <w:iCs/>
              </w:rPr>
              <w:t>s</w:t>
            </w:r>
            <w:r w:rsidRPr="00962FDB">
              <w:rPr>
                <w:iCs/>
              </w:rPr>
              <w:t xml:space="preserve"> and </w:t>
            </w:r>
            <w:r w:rsidR="001512F0">
              <w:rPr>
                <w:iCs/>
              </w:rPr>
              <w:t>n</w:t>
            </w:r>
            <w:r w:rsidRPr="00962FDB">
              <w:rPr>
                <w:iCs/>
              </w:rPr>
              <w:t>on-SFIs?</w:t>
            </w:r>
          </w:p>
          <w:p w14:paraId="0979DD8B" w14:textId="4C1E6AA7" w:rsidR="008D6F10" w:rsidRPr="001830B5" w:rsidRDefault="001830B5" w:rsidP="00CF37E7">
            <w:pPr>
              <w:numPr>
                <w:ilvl w:val="1"/>
                <w:numId w:val="4"/>
              </w:numPr>
              <w:spacing w:before="120" w:after="120"/>
              <w:cnfStyle w:val="000000100000" w:firstRow="0" w:lastRow="0" w:firstColumn="0" w:lastColumn="0" w:oddVBand="0" w:evenVBand="0" w:oddHBand="1" w:evenHBand="0" w:firstRowFirstColumn="0" w:firstRowLastColumn="0" w:lastRowFirstColumn="0" w:lastRowLastColumn="0"/>
            </w:pPr>
            <w:r w:rsidRPr="0086042F">
              <w:t xml:space="preserve">What are the estimated compliance costs </w:t>
            </w:r>
            <w:r>
              <w:t xml:space="preserve">and impacts </w:t>
            </w:r>
            <w:r w:rsidRPr="0086042F">
              <w:t xml:space="preserve">to meet the new </w:t>
            </w:r>
            <w:r>
              <w:t xml:space="preserve">and enhanced </w:t>
            </w:r>
            <w:r w:rsidRPr="0086042F">
              <w:t xml:space="preserve">requirements? </w:t>
            </w:r>
          </w:p>
        </w:tc>
      </w:tr>
      <w:tr w:rsidR="008D6F10" w:rsidRPr="0086042F" w14:paraId="133A9283" w14:textId="77777777" w:rsidTr="00130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F04D251" w14:textId="5668A3CD" w:rsidR="008D6F10" w:rsidRPr="0086042F" w:rsidRDefault="000D4C7D" w:rsidP="0013024E">
            <w:pPr>
              <w:keepNext/>
              <w:numPr>
                <w:ilvl w:val="0"/>
                <w:numId w:val="0"/>
              </w:numPr>
              <w:spacing w:before="120" w:after="120"/>
              <w:rPr>
                <w:rFonts w:ascii="DIN OT Medium" w:hAnsi="DIN OT Medium"/>
              </w:rPr>
            </w:pPr>
            <w:r>
              <w:rPr>
                <w:rFonts w:ascii="DIN OT Medium" w:hAnsi="DIN OT Medium"/>
              </w:rPr>
              <w:t>Specific</w:t>
            </w:r>
            <w:r w:rsidR="008D6F10">
              <w:rPr>
                <w:rFonts w:ascii="DIN OT Medium" w:hAnsi="DIN OT Medium"/>
              </w:rPr>
              <w:t xml:space="preserve"> requirements</w:t>
            </w:r>
          </w:p>
        </w:tc>
        <w:tc>
          <w:tcPr>
            <w:tcW w:w="6899" w:type="dxa"/>
            <w:shd w:val="clear" w:color="auto" w:fill="EAECEE" w:themeFill="accent4" w:themeFillTint="33"/>
          </w:tcPr>
          <w:p w14:paraId="28D6E05F" w14:textId="50A88FAE" w:rsidR="000D4C7D" w:rsidRDefault="004470AE" w:rsidP="00CF37E7">
            <w:pPr>
              <w:numPr>
                <w:ilvl w:val="1"/>
                <w:numId w:val="4"/>
              </w:numPr>
              <w:spacing w:before="120" w:after="120"/>
              <w:cnfStyle w:val="000000010000" w:firstRow="0" w:lastRow="0" w:firstColumn="0" w:lastColumn="0" w:oddVBand="0" w:evenVBand="0" w:oddHBand="0" w:evenHBand="1" w:firstRowFirstColumn="0" w:firstRowLastColumn="0" w:lastRowFirstColumn="0" w:lastRowLastColumn="0"/>
            </w:pPr>
            <w:r>
              <w:t>How could APRA improve</w:t>
            </w:r>
            <w:r w:rsidR="000D4C7D">
              <w:t xml:space="preserve"> the definitions of critical operations, tolerance levels and material service providers?</w:t>
            </w:r>
          </w:p>
          <w:p w14:paraId="4ACCCEC0" w14:textId="61D50CCB" w:rsidR="000D4C7D" w:rsidRDefault="00413AE5" w:rsidP="00CF37E7">
            <w:pPr>
              <w:numPr>
                <w:ilvl w:val="1"/>
                <w:numId w:val="4"/>
              </w:numPr>
              <w:spacing w:before="120" w:after="120"/>
              <w:cnfStyle w:val="000000010000" w:firstRow="0" w:lastRow="0" w:firstColumn="0" w:lastColumn="0" w:oddVBand="0" w:evenVBand="0" w:oddHBand="0" w:evenHBand="1" w:firstRowFirstColumn="0" w:firstRowLastColumn="0" w:lastRowFirstColumn="0" w:lastRowLastColumn="0"/>
            </w:pPr>
            <w:r>
              <w:t>What</w:t>
            </w:r>
            <w:r w:rsidR="004470AE">
              <w:t xml:space="preserve"> additions or amendments </w:t>
            </w:r>
            <w:r>
              <w:t xml:space="preserve">should be made </w:t>
            </w:r>
            <w:r w:rsidR="004470AE">
              <w:t>to</w:t>
            </w:r>
            <w:r w:rsidR="000D4C7D">
              <w:t xml:space="preserve"> the </w:t>
            </w:r>
            <w:r>
              <w:t xml:space="preserve">lists of </w:t>
            </w:r>
            <w:r w:rsidR="004470AE">
              <w:t>specified critical</w:t>
            </w:r>
            <w:r w:rsidR="000D4C7D">
              <w:t xml:space="preserve"> operations </w:t>
            </w:r>
            <w:r w:rsidR="004470AE">
              <w:t>and material service providers</w:t>
            </w:r>
            <w:r w:rsidR="000D4C7D">
              <w:t xml:space="preserve">? </w:t>
            </w:r>
          </w:p>
          <w:p w14:paraId="5238FF5C" w14:textId="77777777" w:rsidR="008D6F10" w:rsidRDefault="008D6F10" w:rsidP="00CF37E7">
            <w:pPr>
              <w:numPr>
                <w:ilvl w:val="1"/>
                <w:numId w:val="4"/>
              </w:numPr>
              <w:spacing w:before="120" w:after="120"/>
              <w:cnfStyle w:val="000000010000" w:firstRow="0" w:lastRow="0" w:firstColumn="0" w:lastColumn="0" w:oddVBand="0" w:evenVBand="0" w:oddHBand="0" w:evenHBand="1" w:firstRowFirstColumn="0" w:firstRowLastColumn="0" w:lastRowFirstColumn="0" w:lastRowLastColumn="0"/>
            </w:pPr>
            <w:r>
              <w:t xml:space="preserve">Are the notification requirements </w:t>
            </w:r>
            <w:r w:rsidR="00186061">
              <w:t xml:space="preserve">and the time periods </w:t>
            </w:r>
            <w:r>
              <w:t>reasonable?</w:t>
            </w:r>
          </w:p>
          <w:p w14:paraId="70B60DC1" w14:textId="67C119C3" w:rsidR="000D4C7D" w:rsidRPr="000D4C7D" w:rsidRDefault="00413AE5" w:rsidP="00CF37E7">
            <w:pPr>
              <w:numPr>
                <w:ilvl w:val="1"/>
                <w:numId w:val="4"/>
              </w:numPr>
              <w:spacing w:before="120" w:after="120"/>
              <w:cnfStyle w:val="000000010000" w:firstRow="0" w:lastRow="0" w:firstColumn="0" w:lastColumn="0" w:oddVBand="0" w:evenVBand="0" w:oddHBand="0" w:evenHBand="1" w:firstRowFirstColumn="0" w:firstRowLastColumn="0" w:lastRowFirstColumn="0" w:lastRowLastColumn="0"/>
            </w:pPr>
            <w:r>
              <w:t>What</w:t>
            </w:r>
            <w:r w:rsidR="000D4C7D">
              <w:t xml:space="preserve"> form of transition </w:t>
            </w:r>
            <w:r w:rsidR="00A24D79">
              <w:t xml:space="preserve">arrangements and timeframe would be needed </w:t>
            </w:r>
            <w:r w:rsidR="000D4C7D">
              <w:t>to renegotiate contracts with existing service providers</w:t>
            </w:r>
            <w:r w:rsidR="00A24D79">
              <w:t xml:space="preserve"> (if required)</w:t>
            </w:r>
            <w:r w:rsidR="000D4C7D">
              <w:t>?</w:t>
            </w:r>
          </w:p>
        </w:tc>
      </w:tr>
    </w:tbl>
    <w:p w14:paraId="05FA8749" w14:textId="7377A342" w:rsidR="001F49E3" w:rsidRPr="00B661CC" w:rsidRDefault="003A24C6" w:rsidP="001F49E3">
      <w:pPr>
        <w:pStyle w:val="Heading3"/>
      </w:pPr>
      <w:bookmarkStart w:id="14" w:name="_Toc72858876"/>
      <w:bookmarkEnd w:id="13"/>
      <w:r>
        <w:t>Request for cost-benefit analysis information</w:t>
      </w:r>
    </w:p>
    <w:p w14:paraId="77249FA2" w14:textId="1A4C729B" w:rsidR="001F49E3" w:rsidRPr="00B661CC" w:rsidRDefault="001F49E3" w:rsidP="001F49E3">
      <w:r w:rsidRPr="00B661CC">
        <w:t xml:space="preserve">APRA </w:t>
      </w:r>
      <w:r w:rsidR="003A24C6">
        <w:t>requests</w:t>
      </w:r>
      <w:r w:rsidR="003A24C6" w:rsidRPr="00B661CC">
        <w:t xml:space="preserve"> </w:t>
      </w:r>
      <w:r w:rsidRPr="00B661CC">
        <w:t xml:space="preserve">that all </w:t>
      </w:r>
      <w:r w:rsidR="003A24C6">
        <w:t>interested</w:t>
      </w:r>
      <w:r w:rsidRPr="00B661CC">
        <w:t xml:space="preserve"> stakeholders use this consultation opportunity to provide information on the compliance impact of the propos</w:t>
      </w:r>
      <w:r w:rsidR="003A24C6">
        <w:t>ed changes</w:t>
      </w:r>
      <w:r w:rsidRPr="00B661CC">
        <w:t xml:space="preserve"> and any other substantive costs associated with the changes. Compliance costs are defined as direct costs to businesses of performing activities associated with complying with government regulation. Specifically, information is sought on any </w:t>
      </w:r>
      <w:r w:rsidR="003A24C6">
        <w:t>increases or decreases</w:t>
      </w:r>
      <w:r w:rsidR="003A24C6" w:rsidRPr="00B661CC">
        <w:t xml:space="preserve"> </w:t>
      </w:r>
      <w:r w:rsidRPr="00B661CC">
        <w:t xml:space="preserve">to compliance costs incurred by businesses </w:t>
      </w:r>
      <w:proofErr w:type="gramStart"/>
      <w:r w:rsidRPr="00B661CC">
        <w:t>as a result of</w:t>
      </w:r>
      <w:proofErr w:type="gramEnd"/>
      <w:r w:rsidRPr="00B661CC">
        <w:t xml:space="preserve"> APRA’s proposals.</w:t>
      </w:r>
    </w:p>
    <w:p w14:paraId="530CF8D2" w14:textId="715BE2C4" w:rsidR="001F49E3" w:rsidRPr="00B661CC" w:rsidRDefault="001F49E3" w:rsidP="001F49E3">
      <w:r w:rsidRPr="00B661CC">
        <w:t xml:space="preserve">Consistent with the Government’s approach, APRA will use the methodology behind the Commonwealth Regulatory Burden Measure to assess compliance costs. This tool is designed to capture the relevant costs in a structured way, including a separate assessment of upfront costs and ongoing costs. It is available at </w:t>
      </w:r>
      <w:hyperlink r:id="rId22" w:history="1">
        <w:r w:rsidRPr="00B661CC">
          <w:rPr>
            <w:rStyle w:val="Hyperlink"/>
          </w:rPr>
          <w:t>https://rbm.obpr.gov.au/</w:t>
        </w:r>
      </w:hyperlink>
      <w:r w:rsidRPr="00B661CC">
        <w:t>.</w:t>
      </w:r>
    </w:p>
    <w:p w14:paraId="673AD8BA" w14:textId="25DCD870" w:rsidR="003A24C6" w:rsidRDefault="003A24C6" w:rsidP="001F49E3">
      <w:r>
        <w:t>R</w:t>
      </w:r>
      <w:r w:rsidR="001F49E3" w:rsidRPr="00B661CC">
        <w:t>espondents</w:t>
      </w:r>
      <w:r>
        <w:t xml:space="preserve"> are requested to</w:t>
      </w:r>
      <w:r w:rsidR="001F49E3" w:rsidRPr="00B661CC">
        <w:t xml:space="preserve"> use this methodology to estimate costs to ensure the data supplied to APRA can be aggregated and used in an industry-wide assessment. When submitting their costs assessment to APRA, respondents </w:t>
      </w:r>
      <w:r>
        <w:t>are asked to</w:t>
      </w:r>
      <w:r w:rsidRPr="00B661CC">
        <w:t xml:space="preserve"> </w:t>
      </w:r>
      <w:r w:rsidR="001F49E3" w:rsidRPr="00B661CC">
        <w:t>include any assumptions made and, where relevant, any limitations inherent in their assessment.</w:t>
      </w:r>
    </w:p>
    <w:p w14:paraId="33B26A94" w14:textId="0226AEF6" w:rsidR="001F49E3" w:rsidRPr="00B661CC" w:rsidRDefault="001F49E3" w:rsidP="001F49E3">
      <w:r w:rsidRPr="00B661CC">
        <w:t xml:space="preserve">Feedback should address the additional costs incurred </w:t>
      </w:r>
      <w:proofErr w:type="gramStart"/>
      <w:r w:rsidRPr="00B661CC">
        <w:t>as a result of</w:t>
      </w:r>
      <w:proofErr w:type="gramEnd"/>
      <w:r w:rsidRPr="00B661CC">
        <w:t xml:space="preserve"> complying with APRA’s requirements, not activities that </w:t>
      </w:r>
      <w:r w:rsidR="003A24C6">
        <w:t>entities</w:t>
      </w:r>
      <w:r w:rsidR="003A24C6" w:rsidRPr="00B661CC">
        <w:t xml:space="preserve"> </w:t>
      </w:r>
      <w:r w:rsidRPr="00B661CC">
        <w:t xml:space="preserve">would undertake </w:t>
      </w:r>
      <w:r w:rsidR="003A24C6">
        <w:t>regardless of</w:t>
      </w:r>
      <w:r w:rsidRPr="00B661CC">
        <w:t xml:space="preserve"> regulatory requirements in their ordinary course of business.</w:t>
      </w:r>
    </w:p>
    <w:p w14:paraId="5DAACE7E" w14:textId="4897E12C" w:rsidR="00B661CC" w:rsidRPr="00B661CC" w:rsidRDefault="00B661CC" w:rsidP="00764632">
      <w:pPr>
        <w:pStyle w:val="Heading2"/>
      </w:pPr>
      <w:r w:rsidRPr="00B661CC">
        <w:t>Important disclosure notice — publication of submissions</w:t>
      </w:r>
      <w:bookmarkEnd w:id="14"/>
    </w:p>
    <w:p w14:paraId="7DC241FE" w14:textId="538A4462" w:rsidR="00B661CC" w:rsidRPr="00B661CC" w:rsidRDefault="00B661CC" w:rsidP="00C3122D">
      <w:r w:rsidRPr="00B661CC">
        <w:t>All information in submissions will be made available to the public on the APRA website unless a respondent expressly requests that all or part of the submission is to remain in confidence. Automatically generated confidentiality statements in emails do not suffice for this purpose.</w:t>
      </w:r>
      <w:r w:rsidR="002D51A7">
        <w:t xml:space="preserve"> </w:t>
      </w:r>
      <w:r w:rsidRPr="00B661CC">
        <w:t>Respondents who would like part of their submission to remain in confidence should provide this information marked as confidential in a separate attachment.</w:t>
      </w:r>
    </w:p>
    <w:p w14:paraId="372F1769" w14:textId="7A6E4BE6" w:rsidR="00B661CC" w:rsidRDefault="00B661CC" w:rsidP="00C3122D">
      <w:r w:rsidRPr="00B661CC">
        <w:t xml:space="preserve">Submissions may be the subject of a request for access made under the </w:t>
      </w:r>
      <w:r w:rsidRPr="002D51A7">
        <w:rPr>
          <w:i/>
        </w:rPr>
        <w:t>Freedom of Information Act 1982</w:t>
      </w:r>
      <w:r w:rsidRPr="00B661CC">
        <w:t xml:space="preserve"> (FOIA). APRA will determine such requests, if any, in accordance with the provisions of the FOIA. Information in the submission about any APRA-regulated entity that is not in the public domain and that is identified as confidential will be protected by section 56 of the </w:t>
      </w:r>
      <w:r w:rsidRPr="00764632">
        <w:rPr>
          <w:i/>
        </w:rPr>
        <w:t>Australian Prudential Regulation Authority Act 1998</w:t>
      </w:r>
      <w:r w:rsidRPr="00B661CC">
        <w:t xml:space="preserve"> and will therefore be exempt from production under the FOIA.</w:t>
      </w:r>
    </w:p>
    <w:p w14:paraId="3E46ADCF" w14:textId="7462B0C3" w:rsidR="003A473C" w:rsidRDefault="00B661CC" w:rsidP="003A473C">
      <w:pPr>
        <w:pStyle w:val="AttachmentHeading"/>
      </w:pPr>
      <w:bookmarkStart w:id="15" w:name="_Toc109287994"/>
      <w:r>
        <w:t>Policy options</w:t>
      </w:r>
      <w:bookmarkEnd w:id="15"/>
    </w:p>
    <w:p w14:paraId="28E27647" w14:textId="65922EA7" w:rsidR="00480AC3" w:rsidRDefault="00B661CC" w:rsidP="00B661CC">
      <w:pPr>
        <w:numPr>
          <w:ilvl w:val="0"/>
          <w:numId w:val="0"/>
        </w:numPr>
      </w:pPr>
      <w:r w:rsidRPr="00B661CC">
        <w:t xml:space="preserve">APRA </w:t>
      </w:r>
      <w:r w:rsidR="00EC610A">
        <w:t>initiated</w:t>
      </w:r>
      <w:r w:rsidRPr="00B661CC">
        <w:t xml:space="preserve"> consultation on updating its </w:t>
      </w:r>
      <w:r w:rsidR="00EC610A" w:rsidRPr="00B661CC">
        <w:t xml:space="preserve">requirements </w:t>
      </w:r>
      <w:r w:rsidR="00EC610A">
        <w:t xml:space="preserve">for </w:t>
      </w:r>
      <w:r w:rsidRPr="00B661CC">
        <w:t xml:space="preserve">operational </w:t>
      </w:r>
      <w:r w:rsidR="00D8591B">
        <w:t>resilience</w:t>
      </w:r>
      <w:r w:rsidRPr="00B661CC">
        <w:t xml:space="preserve"> in 2018</w:t>
      </w:r>
      <w:r w:rsidR="00276CBF">
        <w:t>,</w:t>
      </w:r>
      <w:r w:rsidRPr="00B661CC">
        <w:t xml:space="preserve"> with the release of a discussion paper and draft prudential standard on information security management.</w:t>
      </w:r>
      <w:r w:rsidR="00D8591B">
        <w:t xml:space="preserve"> </w:t>
      </w:r>
      <w:r w:rsidRPr="00B661CC">
        <w:t>As APRA noted at that time, its preferred approach was to prioritise information security given the heightened risk in th</w:t>
      </w:r>
      <w:r w:rsidR="006648A4">
        <w:t>at</w:t>
      </w:r>
      <w:r w:rsidRPr="00B661CC">
        <w:t xml:space="preserve"> area</w:t>
      </w:r>
      <w:r w:rsidR="00EC610A">
        <w:t>.</w:t>
      </w:r>
    </w:p>
    <w:p w14:paraId="4899FEBD" w14:textId="02643383" w:rsidR="00B661CC" w:rsidRPr="00B661CC" w:rsidRDefault="00EC610A" w:rsidP="00B661CC">
      <w:pPr>
        <w:numPr>
          <w:ilvl w:val="0"/>
          <w:numId w:val="0"/>
        </w:numPr>
      </w:pPr>
      <w:r>
        <w:t>F</w:t>
      </w:r>
      <w:r w:rsidR="00B661CC" w:rsidRPr="00B661CC">
        <w:t>ollowing on from this</w:t>
      </w:r>
      <w:r>
        <w:t>,</w:t>
      </w:r>
      <w:r w:rsidR="00B661CC" w:rsidRPr="00B661CC">
        <w:t xml:space="preserve"> APRA </w:t>
      </w:r>
      <w:r>
        <w:t>noted that it would</w:t>
      </w:r>
      <w:r w:rsidR="00B661CC" w:rsidRPr="00B661CC">
        <w:t xml:space="preserve"> consult on prudential requirements on the management of operational risk more broadly</w:t>
      </w:r>
      <w:r>
        <w:t xml:space="preserve">, </w:t>
      </w:r>
      <w:r w:rsidR="00B661CC" w:rsidRPr="00B661CC">
        <w:t>includ</w:t>
      </w:r>
      <w:r>
        <w:t>ing</w:t>
      </w:r>
      <w:r w:rsidR="00B661CC" w:rsidRPr="00B661CC">
        <w:t xml:space="preserve"> updated requirements </w:t>
      </w:r>
      <w:r>
        <w:t>for</w:t>
      </w:r>
      <w:r w:rsidR="00B661CC" w:rsidRPr="00B661CC">
        <w:t xml:space="preserve"> business continuity and outsourcing. This </w:t>
      </w:r>
      <w:r w:rsidR="004833F0">
        <w:t>D</w:t>
      </w:r>
      <w:r w:rsidR="0010000D">
        <w:t>iscussion</w:t>
      </w:r>
      <w:r w:rsidR="00B661CC" w:rsidRPr="00B661CC">
        <w:t xml:space="preserve"> </w:t>
      </w:r>
      <w:r w:rsidR="004833F0">
        <w:t>P</w:t>
      </w:r>
      <w:r w:rsidR="00B661CC" w:rsidRPr="00B661CC">
        <w:t xml:space="preserve">aper is the second stage in that stepped process to updating the prudential framework for operational </w:t>
      </w:r>
      <w:r>
        <w:t>resilience</w:t>
      </w:r>
      <w:r w:rsidR="00B661CC" w:rsidRPr="00B661CC">
        <w:t>.</w:t>
      </w:r>
    </w:p>
    <w:p w14:paraId="6771DA9F" w14:textId="6ABEDA75" w:rsidR="00D8591B" w:rsidRDefault="00B661CC" w:rsidP="00B661CC">
      <w:pPr>
        <w:numPr>
          <w:ilvl w:val="0"/>
          <w:numId w:val="0"/>
        </w:numPr>
      </w:pPr>
      <w:r w:rsidRPr="00B661CC">
        <w:t xml:space="preserve">The discussion paper </w:t>
      </w:r>
      <w:r w:rsidR="00EC610A">
        <w:t xml:space="preserve">in 2018 </w:t>
      </w:r>
      <w:r w:rsidRPr="00B661CC">
        <w:t>outlined three</w:t>
      </w:r>
      <w:r w:rsidR="00EC610A">
        <w:t xml:space="preserve"> policy</w:t>
      </w:r>
      <w:r w:rsidRPr="00B661CC">
        <w:t xml:space="preserve"> options for </w:t>
      </w:r>
      <w:r w:rsidR="00EC610A">
        <w:t xml:space="preserve">developing and </w:t>
      </w:r>
      <w:r w:rsidRPr="00B661CC">
        <w:t xml:space="preserve">updating prudential standards and guidance on operational </w:t>
      </w:r>
      <w:r w:rsidR="00EC610A">
        <w:t>resilience</w:t>
      </w:r>
      <w:r w:rsidRPr="00B661CC">
        <w:t>.</w:t>
      </w:r>
      <w:r w:rsidR="00EC610A">
        <w:rPr>
          <w:rStyle w:val="FootnoteReference"/>
        </w:rPr>
        <w:footnoteReference w:id="13"/>
      </w:r>
      <w:r w:rsidRPr="00B661CC">
        <w:t xml:space="preserve"> Those three options </w:t>
      </w:r>
      <w:r w:rsidR="00D8591B">
        <w:t>are summarised in the table below.</w:t>
      </w:r>
    </w:p>
    <w:p w14:paraId="15DCF6C2" w14:textId="77777777" w:rsidR="00D8591B" w:rsidRDefault="00D8591B" w:rsidP="00D8591B">
      <w:pPr>
        <w:pStyle w:val="Numberedtableheading"/>
      </w:pPr>
      <w:r>
        <w:t>Policy options</w:t>
      </w:r>
    </w:p>
    <w:tbl>
      <w:tblPr>
        <w:tblStyle w:val="TableGrid"/>
        <w:tblW w:w="0" w:type="auto"/>
        <w:tblLook w:val="04A0" w:firstRow="1" w:lastRow="0" w:firstColumn="1" w:lastColumn="0" w:noHBand="0" w:noVBand="1"/>
      </w:tblPr>
      <w:tblGrid>
        <w:gridCol w:w="2410"/>
        <w:gridCol w:w="6521"/>
      </w:tblGrid>
      <w:tr w:rsidR="00EC610A" w:rsidRPr="00F43186" w14:paraId="2F8696AD" w14:textId="77777777" w:rsidTr="00480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002060"/>
          </w:tcPr>
          <w:p w14:paraId="74820A11" w14:textId="24A3F1E7" w:rsidR="00EC610A" w:rsidRPr="00480AC3" w:rsidRDefault="00EC610A" w:rsidP="001E4586">
            <w:pPr>
              <w:rPr>
                <w:b/>
              </w:rPr>
            </w:pPr>
            <w:r w:rsidRPr="00480AC3">
              <w:rPr>
                <w:b/>
              </w:rPr>
              <w:t>Option</w:t>
            </w:r>
          </w:p>
        </w:tc>
        <w:tc>
          <w:tcPr>
            <w:tcW w:w="6521" w:type="dxa"/>
            <w:shd w:val="clear" w:color="auto" w:fill="002060"/>
          </w:tcPr>
          <w:p w14:paraId="3BC92B15" w14:textId="57C24A32" w:rsidR="00EC610A" w:rsidRPr="00480AC3" w:rsidRDefault="00EC610A" w:rsidP="001E4586">
            <w:pPr>
              <w:cnfStyle w:val="100000000000" w:firstRow="1" w:lastRow="0" w:firstColumn="0" w:lastColumn="0" w:oddVBand="0" w:evenVBand="0" w:oddHBand="0" w:evenHBand="0" w:firstRowFirstColumn="0" w:firstRowLastColumn="0" w:lastRowFirstColumn="0" w:lastRowLastColumn="0"/>
              <w:rPr>
                <w:b/>
              </w:rPr>
            </w:pPr>
            <w:r w:rsidRPr="00480AC3">
              <w:rPr>
                <w:b/>
              </w:rPr>
              <w:t>Approach</w:t>
            </w:r>
          </w:p>
        </w:tc>
      </w:tr>
      <w:tr w:rsidR="00D8591B" w:rsidRPr="00F43186" w14:paraId="5138B843" w14:textId="77777777" w:rsidTr="00480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002060"/>
          </w:tcPr>
          <w:p w14:paraId="4A4C924F" w14:textId="77777777" w:rsidR="00480AC3" w:rsidRDefault="00D8591B" w:rsidP="001E4586">
            <w:pPr>
              <w:rPr>
                <w:b/>
              </w:rPr>
            </w:pPr>
            <w:r w:rsidRPr="00142577">
              <w:rPr>
                <w:b/>
              </w:rPr>
              <w:t>Option 1</w:t>
            </w:r>
            <w:r w:rsidR="00EC610A">
              <w:rPr>
                <w:b/>
              </w:rPr>
              <w:t>:</w:t>
            </w:r>
          </w:p>
          <w:p w14:paraId="58F320A7" w14:textId="546BE567" w:rsidR="00D8591B" w:rsidRPr="00142577" w:rsidRDefault="00480AC3" w:rsidP="001E4586">
            <w:pPr>
              <w:rPr>
                <w:b/>
              </w:rPr>
            </w:pPr>
            <w:r>
              <w:rPr>
                <w:b/>
              </w:rPr>
              <w:t>S</w:t>
            </w:r>
            <w:r w:rsidR="00EC610A">
              <w:rPr>
                <w:b/>
              </w:rPr>
              <w:t>tatus quo</w:t>
            </w:r>
          </w:p>
        </w:tc>
        <w:tc>
          <w:tcPr>
            <w:tcW w:w="6521" w:type="dxa"/>
            <w:shd w:val="clear" w:color="auto" w:fill="C1C8CE" w:themeFill="accent4" w:themeFillTint="99"/>
          </w:tcPr>
          <w:p w14:paraId="02389F02" w14:textId="0DA45B58" w:rsidR="00D8591B" w:rsidRPr="00142577" w:rsidRDefault="009D786A" w:rsidP="001E4586">
            <w:pPr>
              <w:cnfStyle w:val="000000100000" w:firstRow="0" w:lastRow="0" w:firstColumn="0" w:lastColumn="0" w:oddVBand="0" w:evenVBand="0" w:oddHBand="1" w:evenHBand="0" w:firstRowFirstColumn="0" w:firstRowLastColumn="0" w:lastRowFirstColumn="0" w:lastRowLastColumn="0"/>
              <w:rPr>
                <w:color w:val="auto"/>
              </w:rPr>
            </w:pPr>
            <w:r w:rsidRPr="00DB723B">
              <w:rPr>
                <w:color w:val="000000" w:themeColor="text1"/>
              </w:rPr>
              <w:t>Continue with the existing standards and guidance, relying on supervisory discretion to address any deficiencies in the risk management practices of entities.</w:t>
            </w:r>
          </w:p>
        </w:tc>
      </w:tr>
      <w:tr w:rsidR="00D8591B" w14:paraId="3A92664F" w14:textId="77777777" w:rsidTr="00480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002060"/>
          </w:tcPr>
          <w:p w14:paraId="0DA3BB24" w14:textId="77777777" w:rsidR="00480AC3" w:rsidRDefault="00D8591B" w:rsidP="001E4586">
            <w:pPr>
              <w:rPr>
                <w:b/>
              </w:rPr>
            </w:pPr>
            <w:r w:rsidRPr="00142577">
              <w:rPr>
                <w:b/>
              </w:rPr>
              <w:t>Option 2</w:t>
            </w:r>
            <w:r w:rsidR="00480AC3">
              <w:rPr>
                <w:b/>
              </w:rPr>
              <w:t>:</w:t>
            </w:r>
          </w:p>
          <w:p w14:paraId="0801C673" w14:textId="4C1646B7" w:rsidR="00D8591B" w:rsidRPr="00142577" w:rsidRDefault="00480AC3" w:rsidP="001E4586">
            <w:pPr>
              <w:rPr>
                <w:b/>
              </w:rPr>
            </w:pPr>
            <w:r>
              <w:rPr>
                <w:b/>
              </w:rPr>
              <w:t>Stepped approach</w:t>
            </w:r>
          </w:p>
        </w:tc>
        <w:tc>
          <w:tcPr>
            <w:tcW w:w="6521" w:type="dxa"/>
          </w:tcPr>
          <w:p w14:paraId="4726E7AB" w14:textId="7D7EA65B" w:rsidR="00D8591B" w:rsidRDefault="009D786A" w:rsidP="001E4586">
            <w:pPr>
              <w:cnfStyle w:val="000000010000" w:firstRow="0" w:lastRow="0" w:firstColumn="0" w:lastColumn="0" w:oddVBand="0" w:evenVBand="0" w:oddHBand="0" w:evenHBand="1" w:firstRowFirstColumn="0" w:firstRowLastColumn="0" w:lastRowFirstColumn="0" w:lastRowLastColumn="0"/>
            </w:pPr>
            <w:r>
              <w:t>Introduce prudential requirements on information security</w:t>
            </w:r>
            <w:r w:rsidR="00EC610A">
              <w:t>,</w:t>
            </w:r>
            <w:r>
              <w:t xml:space="preserve"> ahead of other requirements on the qualitative management of operational risk.</w:t>
            </w:r>
          </w:p>
        </w:tc>
      </w:tr>
      <w:tr w:rsidR="00D8591B" w14:paraId="6BA17420" w14:textId="77777777" w:rsidTr="00764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002060"/>
          </w:tcPr>
          <w:p w14:paraId="22F653A8" w14:textId="77777777" w:rsidR="00480AC3" w:rsidRDefault="00D8591B" w:rsidP="001E4586">
            <w:pPr>
              <w:rPr>
                <w:b/>
              </w:rPr>
            </w:pPr>
            <w:r>
              <w:rPr>
                <w:b/>
              </w:rPr>
              <w:t>Option 3</w:t>
            </w:r>
            <w:r w:rsidR="00480AC3">
              <w:rPr>
                <w:b/>
              </w:rPr>
              <w:t>:</w:t>
            </w:r>
          </w:p>
          <w:p w14:paraId="37A2D9EB" w14:textId="3DB34F4F" w:rsidR="00D8591B" w:rsidRPr="00142577" w:rsidRDefault="00480AC3" w:rsidP="001E4586">
            <w:pPr>
              <w:rPr>
                <w:b/>
              </w:rPr>
            </w:pPr>
            <w:r>
              <w:rPr>
                <w:b/>
              </w:rPr>
              <w:t>Simultaneous approach</w:t>
            </w:r>
          </w:p>
        </w:tc>
        <w:tc>
          <w:tcPr>
            <w:tcW w:w="0" w:type="dxa"/>
            <w:shd w:val="clear" w:color="auto" w:fill="C1C8CE" w:themeFill="accent4" w:themeFillTint="99"/>
          </w:tcPr>
          <w:p w14:paraId="7D8ED57F" w14:textId="1A91226A" w:rsidR="00D8591B" w:rsidRDefault="009D786A" w:rsidP="001E4586">
            <w:pPr>
              <w:cnfStyle w:val="000000100000" w:firstRow="0" w:lastRow="0" w:firstColumn="0" w:lastColumn="0" w:oddVBand="0" w:evenVBand="0" w:oddHBand="1" w:evenHBand="0" w:firstRowFirstColumn="0" w:firstRowLastColumn="0" w:lastRowFirstColumn="0" w:lastRowLastColumn="0"/>
            </w:pPr>
            <w:r>
              <w:t>Introduce a prudential standard on the qualitative management of operational risk, which includes revised content on business continuity and outsourcing, and new content on information security.</w:t>
            </w:r>
          </w:p>
        </w:tc>
      </w:tr>
    </w:tbl>
    <w:p w14:paraId="7168CB3C" w14:textId="6568083F" w:rsidR="001E348F" w:rsidRPr="00B661CC" w:rsidRDefault="001E348F" w:rsidP="00356E14">
      <w:pPr>
        <w:pStyle w:val="Heading3"/>
      </w:pPr>
      <w:r>
        <w:t>Option 1</w:t>
      </w:r>
      <w:r w:rsidR="00356E14">
        <w:t xml:space="preserve"> – </w:t>
      </w:r>
      <w:r w:rsidR="00480AC3">
        <w:t>Status quo</w:t>
      </w:r>
    </w:p>
    <w:p w14:paraId="48DD6C3E" w14:textId="09240C93" w:rsidR="00B661CC" w:rsidRPr="00B661CC" w:rsidRDefault="00B94843" w:rsidP="00356E14">
      <w:pPr>
        <w:pStyle w:val="ListBullet"/>
        <w:numPr>
          <w:ilvl w:val="0"/>
          <w:numId w:val="0"/>
        </w:numPr>
        <w:rPr>
          <w:lang w:val="en-GB"/>
        </w:rPr>
      </w:pPr>
      <w:r>
        <w:rPr>
          <w:lang w:val="en-GB"/>
        </w:rPr>
        <w:t>Under this option, APRA-regulated entities would c</w:t>
      </w:r>
      <w:r w:rsidR="00B661CC" w:rsidRPr="00B661CC">
        <w:rPr>
          <w:lang w:val="en-GB"/>
        </w:rPr>
        <w:t xml:space="preserve">ontinue </w:t>
      </w:r>
      <w:r>
        <w:rPr>
          <w:lang w:val="en-GB"/>
        </w:rPr>
        <w:t>to follow</w:t>
      </w:r>
      <w:r w:rsidR="00B661CC" w:rsidRPr="00B661CC">
        <w:rPr>
          <w:lang w:val="en-GB"/>
        </w:rPr>
        <w:t xml:space="preserve"> existing standards and guidance, </w:t>
      </w:r>
      <w:r>
        <w:rPr>
          <w:lang w:val="en-GB"/>
        </w:rPr>
        <w:t xml:space="preserve">and APRA would </w:t>
      </w:r>
      <w:r w:rsidR="00B661CC" w:rsidRPr="00B661CC">
        <w:rPr>
          <w:lang w:val="en-GB"/>
        </w:rPr>
        <w:t>rely on supervisory discretion to address any deficiencies in risk management practices</w:t>
      </w:r>
      <w:r w:rsidR="00480AC3">
        <w:rPr>
          <w:lang w:val="en-GB"/>
        </w:rPr>
        <w:t>.</w:t>
      </w:r>
      <w:r>
        <w:rPr>
          <w:lang w:val="en-GB"/>
        </w:rPr>
        <w:t xml:space="preserve"> This may, however, lead to inconsistencies across entities and the potential for minimum expectations not being met across the industry.</w:t>
      </w:r>
    </w:p>
    <w:p w14:paraId="78A5D5A0" w14:textId="3780B729" w:rsidR="00356E14" w:rsidRPr="00B661CC" w:rsidRDefault="00356E14" w:rsidP="00356E14">
      <w:pPr>
        <w:pStyle w:val="Heading3"/>
      </w:pPr>
      <w:r>
        <w:t>Option 2</w:t>
      </w:r>
      <w:r w:rsidR="00F55397">
        <w:t xml:space="preserve"> – </w:t>
      </w:r>
      <w:r w:rsidR="009D786A">
        <w:t>S</w:t>
      </w:r>
      <w:r w:rsidR="00F55397">
        <w:t>tepped approach</w:t>
      </w:r>
    </w:p>
    <w:p w14:paraId="718E551F" w14:textId="64E7F45D" w:rsidR="00B661CC" w:rsidRPr="00B661CC" w:rsidRDefault="00B94843" w:rsidP="00356E14">
      <w:pPr>
        <w:pStyle w:val="ListBullet"/>
        <w:numPr>
          <w:ilvl w:val="0"/>
          <w:numId w:val="0"/>
        </w:numPr>
        <w:rPr>
          <w:lang w:val="en-GB"/>
        </w:rPr>
      </w:pPr>
      <w:r>
        <w:rPr>
          <w:lang w:val="en-GB"/>
        </w:rPr>
        <w:t>Under this option, APRA would p</w:t>
      </w:r>
      <w:r w:rsidR="00B661CC" w:rsidRPr="00B661CC">
        <w:rPr>
          <w:lang w:val="en-GB"/>
        </w:rPr>
        <w:t>rioritise information security management and introduce prudential requirements on information security</w:t>
      </w:r>
      <w:r>
        <w:rPr>
          <w:lang w:val="en-GB"/>
        </w:rPr>
        <w:t xml:space="preserve">, and then develop standards for operational risk </w:t>
      </w:r>
      <w:r w:rsidR="00194A13">
        <w:rPr>
          <w:lang w:val="en-GB"/>
        </w:rPr>
        <w:t xml:space="preserve">management </w:t>
      </w:r>
      <w:r>
        <w:rPr>
          <w:lang w:val="en-GB"/>
        </w:rPr>
        <w:t>more broadly</w:t>
      </w:r>
      <w:r w:rsidR="00B661CC" w:rsidRPr="00B661CC">
        <w:rPr>
          <w:lang w:val="en-GB"/>
        </w:rPr>
        <w:t>. Th</w:t>
      </w:r>
      <w:r w:rsidR="0080194F">
        <w:rPr>
          <w:lang w:val="en-GB"/>
        </w:rPr>
        <w:t>is</w:t>
      </w:r>
      <w:r w:rsidR="00B661CC" w:rsidRPr="00B661CC">
        <w:rPr>
          <w:lang w:val="en-GB"/>
        </w:rPr>
        <w:t xml:space="preserve"> option will focus industry’s attention on the highest priority risk</w:t>
      </w:r>
      <w:r w:rsidR="0080194F">
        <w:rPr>
          <w:lang w:val="en-GB"/>
        </w:rPr>
        <w:t xml:space="preserve"> area</w:t>
      </w:r>
      <w:r w:rsidR="00B661CC" w:rsidRPr="00B661CC">
        <w:rPr>
          <w:lang w:val="en-GB"/>
        </w:rPr>
        <w:t>; APRA considers that an information security event could have a material impact on an entity</w:t>
      </w:r>
      <w:r w:rsidR="00480AC3">
        <w:rPr>
          <w:lang w:val="en-GB"/>
        </w:rPr>
        <w:t>.</w:t>
      </w:r>
    </w:p>
    <w:p w14:paraId="7DE3ACBF" w14:textId="6558A534" w:rsidR="00356E14" w:rsidRPr="00356E14" w:rsidRDefault="00356E14" w:rsidP="00356E14">
      <w:pPr>
        <w:pStyle w:val="Heading3"/>
      </w:pPr>
      <w:r w:rsidRPr="00356E14">
        <w:t xml:space="preserve">Option </w:t>
      </w:r>
      <w:r>
        <w:t>3</w:t>
      </w:r>
      <w:r w:rsidR="00F55397">
        <w:t xml:space="preserve"> </w:t>
      </w:r>
      <w:r w:rsidR="009D786A">
        <w:t>–</w:t>
      </w:r>
      <w:r w:rsidR="00F55397">
        <w:t xml:space="preserve"> </w:t>
      </w:r>
      <w:r w:rsidR="009D786A">
        <w:t>Simultaneous approach</w:t>
      </w:r>
    </w:p>
    <w:p w14:paraId="7C6474DA" w14:textId="3E52EB9D" w:rsidR="00B661CC" w:rsidRPr="00B661CC" w:rsidRDefault="0080194F" w:rsidP="00356E14">
      <w:pPr>
        <w:pStyle w:val="ListBullet"/>
        <w:numPr>
          <w:ilvl w:val="0"/>
          <w:numId w:val="0"/>
        </w:numPr>
        <w:rPr>
          <w:lang w:val="en-GB"/>
        </w:rPr>
      </w:pPr>
      <w:r>
        <w:rPr>
          <w:lang w:val="en-GB"/>
        </w:rPr>
        <w:t>Under this option, APRA would i</w:t>
      </w:r>
      <w:r w:rsidR="00B661CC" w:rsidRPr="00B661CC">
        <w:rPr>
          <w:lang w:val="en-GB"/>
        </w:rPr>
        <w:t>ntroduce new prudential standards on operational risk management, and information security, and revise prudential standards on business continuity and outsourcing.</w:t>
      </w:r>
    </w:p>
    <w:p w14:paraId="34F5028B" w14:textId="326AE8AD" w:rsidR="00AD393D" w:rsidRDefault="00B661CC" w:rsidP="008B60E1">
      <w:pPr>
        <w:numPr>
          <w:ilvl w:val="0"/>
          <w:numId w:val="0"/>
        </w:numPr>
      </w:pPr>
      <w:r w:rsidRPr="00B661CC">
        <w:t xml:space="preserve">APRA noted in </w:t>
      </w:r>
      <w:r w:rsidR="0080194F">
        <w:t>its</w:t>
      </w:r>
      <w:r w:rsidRPr="00B661CC">
        <w:t xml:space="preserve"> discussion paper </w:t>
      </w:r>
      <w:r w:rsidR="0080194F">
        <w:t xml:space="preserve">in 2018 </w:t>
      </w:r>
      <w:r w:rsidRPr="00B661CC">
        <w:t xml:space="preserve">that its preferred approach was </w:t>
      </w:r>
      <w:r w:rsidR="007701A2">
        <w:t>O</w:t>
      </w:r>
      <w:r w:rsidRPr="00B661CC">
        <w:t>ption 2</w:t>
      </w:r>
      <w:r w:rsidR="0080194F">
        <w:t xml:space="preserve">: </w:t>
      </w:r>
      <w:r w:rsidR="001512F0">
        <w:t>S</w:t>
      </w:r>
      <w:r w:rsidRPr="00B661CC">
        <w:t xml:space="preserve">tepped approach. </w:t>
      </w:r>
      <w:r w:rsidR="009629D7">
        <w:t>Draft</w:t>
      </w:r>
      <w:r w:rsidR="0080194F">
        <w:t xml:space="preserve"> CPS 230 is consistent with this approach. </w:t>
      </w:r>
      <w:r w:rsidRPr="00B661CC">
        <w:t xml:space="preserve">As noted </w:t>
      </w:r>
      <w:r w:rsidR="0080194F">
        <w:t>above</w:t>
      </w:r>
      <w:r w:rsidRPr="00B661CC">
        <w:t xml:space="preserve">, APRA invites respondents, as part of their submission, to provide information on the compliance impact of </w:t>
      </w:r>
      <w:r w:rsidR="009629D7">
        <w:t>draft</w:t>
      </w:r>
      <w:r w:rsidR="0080194F">
        <w:t xml:space="preserve"> CPS 230</w:t>
      </w:r>
      <w:r w:rsidRPr="00B661CC">
        <w:t>, and any other substantive costs associated with the propos</w:t>
      </w:r>
      <w:r w:rsidR="0080194F">
        <w:t>ed requirements</w:t>
      </w:r>
      <w:r w:rsidRPr="00B661CC">
        <w:t>.</w:t>
      </w:r>
    </w:p>
    <w:p w14:paraId="366F541B" w14:textId="77777777" w:rsidR="00691276" w:rsidRDefault="00691276" w:rsidP="000E6973">
      <w:pPr>
        <w:numPr>
          <w:ilvl w:val="0"/>
          <w:numId w:val="0"/>
        </w:numPr>
      </w:pPr>
    </w:p>
    <w:p w14:paraId="67FA5FD4" w14:textId="77777777" w:rsidR="000E6973" w:rsidRDefault="000E6973" w:rsidP="000E6973">
      <w:pPr>
        <w:numPr>
          <w:ilvl w:val="0"/>
          <w:numId w:val="0"/>
        </w:numPr>
      </w:pPr>
    </w:p>
    <w:p w14:paraId="0B3B47EC" w14:textId="77777777" w:rsidR="000E6973" w:rsidRDefault="000E6973" w:rsidP="000E6973">
      <w:pPr>
        <w:numPr>
          <w:ilvl w:val="0"/>
          <w:numId w:val="0"/>
        </w:numPr>
      </w:pPr>
    </w:p>
    <w:p w14:paraId="2B5BE560" w14:textId="77777777" w:rsidR="000E6973" w:rsidRDefault="000E6973" w:rsidP="000E6973">
      <w:pPr>
        <w:numPr>
          <w:ilvl w:val="0"/>
          <w:numId w:val="0"/>
        </w:numPr>
        <w:sectPr w:rsidR="000E6973" w:rsidSect="00AD7CB0">
          <w:footerReference w:type="default" r:id="rId23"/>
          <w:headerReference w:type="first" r:id="rId24"/>
          <w:pgSz w:w="11906" w:h="16838" w:code="9"/>
          <w:pgMar w:top="1440" w:right="1440" w:bottom="1440" w:left="1440" w:header="567" w:footer="567" w:gutter="0"/>
          <w:pgNumType w:start="1"/>
          <w:cols w:space="708"/>
          <w:titlePg/>
          <w:docGrid w:linePitch="360"/>
        </w:sectPr>
      </w:pPr>
    </w:p>
    <w:p w14:paraId="7F7B658B" w14:textId="77777777" w:rsidR="00F366D7" w:rsidRDefault="00F366D7" w:rsidP="00691276"/>
    <w:p w14:paraId="3BF38540" w14:textId="77777777" w:rsidR="00F366D7" w:rsidRPr="00F366D7" w:rsidRDefault="00F366D7" w:rsidP="00F366D7"/>
    <w:p w14:paraId="084BB68E" w14:textId="77777777" w:rsidR="00F366D7" w:rsidRPr="00F366D7" w:rsidRDefault="00F366D7" w:rsidP="00F366D7"/>
    <w:p w14:paraId="5BA711F1" w14:textId="77777777" w:rsidR="00F366D7" w:rsidRPr="00F366D7" w:rsidRDefault="00F366D7" w:rsidP="00F366D7"/>
    <w:p w14:paraId="336838C5" w14:textId="77777777" w:rsidR="00F366D7" w:rsidRPr="00F366D7" w:rsidRDefault="00F366D7" w:rsidP="00F366D7"/>
    <w:p w14:paraId="4056BED3" w14:textId="77777777" w:rsidR="00F366D7" w:rsidRPr="00F366D7" w:rsidRDefault="00F366D7" w:rsidP="00F366D7"/>
    <w:p w14:paraId="5AE375A6" w14:textId="77777777" w:rsidR="00F366D7" w:rsidRPr="00F366D7" w:rsidRDefault="00F366D7" w:rsidP="00F366D7"/>
    <w:p w14:paraId="632548B4" w14:textId="77777777" w:rsidR="00F366D7" w:rsidRPr="00F366D7" w:rsidRDefault="00F366D7" w:rsidP="00F366D7"/>
    <w:p w14:paraId="286314B5" w14:textId="77777777" w:rsidR="00F366D7" w:rsidRPr="00F366D7" w:rsidRDefault="00F366D7" w:rsidP="00F366D7"/>
    <w:p w14:paraId="7C1E2C22" w14:textId="77777777" w:rsidR="00F366D7" w:rsidRPr="00F366D7" w:rsidRDefault="00F366D7" w:rsidP="00F366D7"/>
    <w:p w14:paraId="2C900006" w14:textId="77777777" w:rsidR="00F366D7" w:rsidRPr="00F366D7" w:rsidRDefault="00F366D7" w:rsidP="00F366D7"/>
    <w:p w14:paraId="2B5DC0C5" w14:textId="77777777" w:rsidR="00F366D7" w:rsidRPr="00F366D7" w:rsidRDefault="00F366D7" w:rsidP="00F366D7"/>
    <w:p w14:paraId="46B91032" w14:textId="77777777" w:rsidR="00F366D7" w:rsidRDefault="00F366D7" w:rsidP="00F366D7"/>
    <w:p w14:paraId="44AF24B5" w14:textId="77777777" w:rsidR="003A473C" w:rsidRPr="00F366D7" w:rsidRDefault="003A473C" w:rsidP="00F366D7"/>
    <w:sectPr w:rsidR="003A473C" w:rsidRPr="00F366D7" w:rsidSect="00AD7CB0">
      <w:headerReference w:type="first" r:id="rId25"/>
      <w:pgSz w:w="11906" w:h="16838" w:code="9"/>
      <w:pgMar w:top="1440" w:right="1440" w:bottom="1440" w:left="1440"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A6707" w14:textId="77777777" w:rsidR="003E6581" w:rsidRPr="000D4EDE" w:rsidRDefault="003E6581" w:rsidP="000D4EDE">
      <w:r>
        <w:separator/>
      </w:r>
    </w:p>
    <w:p w14:paraId="532F3429" w14:textId="77777777" w:rsidR="003E6581" w:rsidRDefault="003E6581"/>
    <w:p w14:paraId="54F0E0B6" w14:textId="77777777" w:rsidR="003E6581" w:rsidRDefault="003E6581"/>
  </w:endnote>
  <w:endnote w:type="continuationSeparator" w:id="0">
    <w:p w14:paraId="13323370" w14:textId="77777777" w:rsidR="003E6581" w:rsidRPr="000D4EDE" w:rsidRDefault="003E6581" w:rsidP="000D4EDE">
      <w:r>
        <w:continuationSeparator/>
      </w:r>
    </w:p>
    <w:p w14:paraId="07EC13CD" w14:textId="77777777" w:rsidR="003E6581" w:rsidRDefault="003E6581"/>
    <w:p w14:paraId="06C05739" w14:textId="77777777" w:rsidR="003E6581" w:rsidRDefault="003E6581"/>
  </w:endnote>
  <w:endnote w:type="continuationNotice" w:id="1">
    <w:p w14:paraId="500DA86F" w14:textId="77777777" w:rsidR="003E6581" w:rsidRDefault="003E65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DIN OT">
    <w:panose1 w:val="020B0504020201010104"/>
    <w:charset w:val="00"/>
    <w:family w:val="swiss"/>
    <w:pitch w:val="variable"/>
    <w:sig w:usb0="800000EF" w:usb1="4000A47B" w:usb2="00000000" w:usb3="00000000" w:csb0="00000001" w:csb1="00000000"/>
  </w:font>
  <w:font w:name="DIN OT Light">
    <w:panose1 w:val="020B0504020201010104"/>
    <w:charset w:val="00"/>
    <w:family w:val="swiss"/>
    <w:pitch w:val="variable"/>
    <w:sig w:usb0="800000EF" w:usb1="4000A47B" w:usb2="00000000" w:usb3="00000000" w:csb0="00000001" w:csb1="00000000"/>
  </w:font>
  <w:font w:name="DIN OT Medium">
    <w:panose1 w:val="020B0604020201010104"/>
    <w:charset w:val="00"/>
    <w:family w:val="swiss"/>
    <w:pitch w:val="variable"/>
    <w:sig w:usb0="800000EF" w:usb1="4000A47B" w:usb2="00000000" w:usb3="00000000" w:csb0="00000001" w:csb1="00000000"/>
  </w:font>
  <w:font w:name="DIN Offc Medium">
    <w:altName w:val="Calibri"/>
    <w:charset w:val="00"/>
    <w:family w:val="swiss"/>
    <w:pitch w:val="variable"/>
    <w:sig w:usb0="800000EF" w:usb1="4000A47B"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FF148" w14:textId="77777777" w:rsidR="00C3122D" w:rsidRDefault="00C3122D" w:rsidP="002A641A">
    <w:pPr>
      <w:pStyle w:val="Footer"/>
    </w:pPr>
    <w:r w:rsidRPr="002A641A">
      <w:ptab w:relativeTo="margin" w:alignment="left" w:leader="none"/>
    </w:r>
    <w:r w:rsidRPr="00BB2437">
      <w:t xml:space="preserve">AUSTRALIAN PRUDENTIAL REGULATION AUTHORITY </w:t>
    </w:r>
    <w:r>
      <w:ptab w:relativeTo="margin" w:alignment="right" w:leader="none"/>
    </w:r>
    <w:r>
      <w:fldChar w:fldCharType="begin"/>
    </w:r>
    <w:r>
      <w:instrText xml:space="preserve"> PAGE  \* Arabic  \* MERGEFORMAT </w:instrText>
    </w:r>
    <w:r>
      <w:fldChar w:fldCharType="separate"/>
    </w:r>
    <w:r>
      <w:rPr>
        <w:noProof/>
      </w:rPr>
      <w:t>2</w:t>
    </w:r>
    <w:r>
      <w:fldChar w:fldCharType="end"/>
    </w:r>
  </w:p>
  <w:p w14:paraId="77B823F4" w14:textId="77777777" w:rsidR="00C3122D" w:rsidRDefault="00C3122D" w:rsidP="00553DCD">
    <w:pPr>
      <w:numPr>
        <w:ilvl w:val="0"/>
        <w:numId w:val="0"/>
      </w:numPr>
    </w:pPr>
    <w:r>
      <w:rPr>
        <w:noProof/>
        <w:lang w:eastAsia="en-AU"/>
      </w:rPr>
      <mc:AlternateContent>
        <mc:Choice Requires="wpg">
          <w:drawing>
            <wp:anchor distT="0" distB="0" distL="114300" distR="114300" simplePos="0" relativeHeight="251658240" behindDoc="0" locked="0" layoutInCell="1" allowOverlap="1" wp14:anchorId="7A3B704C" wp14:editId="7A3B704D">
              <wp:simplePos x="0" y="0"/>
              <wp:positionH relativeFrom="column">
                <wp:posOffset>-914400</wp:posOffset>
              </wp:positionH>
              <wp:positionV relativeFrom="paragraph">
                <wp:posOffset>419735</wp:posOffset>
              </wp:positionV>
              <wp:extent cx="15120000" cy="277200"/>
              <wp:effectExtent l="0" t="0" r="5715" b="8890"/>
              <wp:wrapNone/>
              <wp:docPr id="1" name="Group 1" descr="Footer Banner" title="Footer Banner"/>
              <wp:cNvGraphicFramePr/>
              <a:graphic xmlns:a="http://schemas.openxmlformats.org/drawingml/2006/main">
                <a:graphicData uri="http://schemas.microsoft.com/office/word/2010/wordprocessingGroup">
                  <wpg:wgp>
                    <wpg:cNvGrpSpPr/>
                    <wpg:grpSpPr>
                      <a:xfrm>
                        <a:off x="0" y="0"/>
                        <a:ext cx="15120000" cy="277200"/>
                        <a:chOff x="0" y="0"/>
                        <a:chExt cx="15120000" cy="277200"/>
                      </a:xfrm>
                    </wpg:grpSpPr>
                    <wps:wsp>
                      <wps:cNvPr id="5" name="Rectangle 5" descr="Footer Banner" title="Footer Banner"/>
                      <wps:cNvSpPr/>
                      <wps:spPr>
                        <a:xfrm>
                          <a:off x="0" y="0"/>
                          <a:ext cx="15120000" cy="27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descr="Footer Banner" title="Footer Banner"/>
                      <wps:cNvSpPr/>
                      <wps:spPr>
                        <a:xfrm>
                          <a:off x="914400" y="0"/>
                          <a:ext cx="2732400" cy="27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589B73" id="Group 1" o:spid="_x0000_s1026" alt="Title: Footer Banner - Description: Footer Banner" style="position:absolute;margin-left:-1in;margin-top:33.05pt;width:1190.55pt;height:21.85pt;z-index:251658240" coordsize="151200,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">
              <v:rect id="Rectangle 5" o:spid="_x0000_s1027" alt="Footer Banner" style="position:absolute;width:151200;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" fillcolor="#00a9e0 [3205]" stroked="f" strokeweight="2pt"/>
              <v:rect id="Rectangle 3" o:spid="_x0000_s1028" alt="Footer Banner" style="position:absolute;left:9144;width:27324;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" fillcolor="#012169 [3204]" stroked="f" strokeweight="2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DD0CA" w14:textId="77777777" w:rsidR="003E6581" w:rsidRDefault="00E97349">
      <w:r>
        <w:separator/>
      </w:r>
    </w:p>
  </w:footnote>
  <w:footnote w:type="continuationSeparator" w:id="0">
    <w:p w14:paraId="0573E70D" w14:textId="77777777" w:rsidR="003E6581" w:rsidRPr="000D4EDE" w:rsidRDefault="003E6581" w:rsidP="000D4EDE">
      <w:r>
        <w:continuationSeparator/>
      </w:r>
    </w:p>
    <w:p w14:paraId="4A7383A3" w14:textId="77777777" w:rsidR="003E6581" w:rsidRDefault="003E6581"/>
    <w:p w14:paraId="4C8DDA9B" w14:textId="77777777" w:rsidR="003E6581" w:rsidRDefault="003E6581"/>
  </w:footnote>
  <w:footnote w:type="continuationNotice" w:id="1">
    <w:p w14:paraId="4FF334E5" w14:textId="77777777" w:rsidR="003E6581" w:rsidRDefault="003E6581">
      <w:pPr>
        <w:spacing w:after="0"/>
      </w:pPr>
    </w:p>
  </w:footnote>
  <w:footnote w:id="2">
    <w:p w14:paraId="064323AD" w14:textId="092858F7" w:rsidR="00593B56" w:rsidRPr="00593B56" w:rsidRDefault="00593B56">
      <w:pPr>
        <w:pStyle w:val="FootnoteText"/>
        <w:rPr>
          <w:lang w:val="en-US"/>
        </w:rPr>
      </w:pPr>
      <w:r>
        <w:rPr>
          <w:rStyle w:val="FootnoteReference"/>
        </w:rPr>
        <w:footnoteRef/>
      </w:r>
      <w:r>
        <w:t xml:space="preserve"> </w:t>
      </w:r>
      <w:r w:rsidR="008E3C3B">
        <w:t xml:space="preserve">  </w:t>
      </w:r>
      <w:r>
        <w:rPr>
          <w:lang w:val="en-US"/>
        </w:rPr>
        <w:t xml:space="preserve">The other material risks </w:t>
      </w:r>
      <w:r w:rsidR="002E64B3">
        <w:rPr>
          <w:lang w:val="en-US"/>
        </w:rPr>
        <w:t xml:space="preserve">defined </w:t>
      </w:r>
      <w:r w:rsidR="007F6805">
        <w:rPr>
          <w:lang w:val="en-US"/>
        </w:rPr>
        <w:t xml:space="preserve"> </w:t>
      </w:r>
      <w:r>
        <w:rPr>
          <w:lang w:val="en-US"/>
        </w:rPr>
        <w:t xml:space="preserve">in CPS 220 </w:t>
      </w:r>
      <w:r w:rsidR="002E64B3">
        <w:rPr>
          <w:lang w:val="en-US"/>
        </w:rPr>
        <w:t xml:space="preserve">are </w:t>
      </w:r>
      <w:r>
        <w:rPr>
          <w:lang w:val="en-US"/>
        </w:rPr>
        <w:t xml:space="preserve">credit risk, market and investment risk, liquidity risk, insurance risk </w:t>
      </w:r>
      <w:r w:rsidR="002E64B3">
        <w:rPr>
          <w:lang w:val="en-US"/>
        </w:rPr>
        <w:t xml:space="preserve">and </w:t>
      </w:r>
      <w:r>
        <w:rPr>
          <w:lang w:val="en-US"/>
        </w:rPr>
        <w:t>strategic risk</w:t>
      </w:r>
      <w:r w:rsidR="008E3C3B">
        <w:rPr>
          <w:lang w:val="en-US"/>
        </w:rPr>
        <w:t>.</w:t>
      </w:r>
      <w:r w:rsidR="00C01A84">
        <w:rPr>
          <w:lang w:val="en-US"/>
        </w:rPr>
        <w:t xml:space="preserve"> For an RSE licensee, the other material risks </w:t>
      </w:r>
      <w:r w:rsidR="002E64B3">
        <w:rPr>
          <w:lang w:val="en-US"/>
        </w:rPr>
        <w:t xml:space="preserve">defined </w:t>
      </w:r>
      <w:r w:rsidR="007F6805">
        <w:rPr>
          <w:lang w:val="en-US"/>
        </w:rPr>
        <w:t xml:space="preserve"> </w:t>
      </w:r>
      <w:r w:rsidR="00C01A84">
        <w:rPr>
          <w:lang w:val="en-US"/>
        </w:rPr>
        <w:t xml:space="preserve">in SPS 220 are governance risk, investment governance risk, liquidity risk, </w:t>
      </w:r>
      <w:r w:rsidR="002E64B3">
        <w:rPr>
          <w:lang w:val="en-US"/>
        </w:rPr>
        <w:t>insurance risk and strategic and tactical risks.</w:t>
      </w:r>
    </w:p>
  </w:footnote>
  <w:footnote w:id="3">
    <w:p w14:paraId="11FE5EBD" w14:textId="09494971" w:rsidR="00A62138" w:rsidRDefault="00A62138">
      <w:pPr>
        <w:pStyle w:val="FootnoteText"/>
      </w:pPr>
      <w:r>
        <w:rPr>
          <w:rStyle w:val="FootnoteReference"/>
        </w:rPr>
        <w:footnoteRef/>
      </w:r>
      <w:r>
        <w:t xml:space="preserve"> </w:t>
      </w:r>
      <w:r w:rsidR="000B755B">
        <w:tab/>
      </w:r>
      <w:r>
        <w:t xml:space="preserve">See also </w:t>
      </w:r>
      <w:hyperlink r:id="rId1" w:history="1">
        <w:r w:rsidR="00183582" w:rsidRPr="004F4424">
          <w:rPr>
            <w:rStyle w:val="Hyperlink"/>
          </w:rPr>
          <w:t>https://www.apra.gov.au/news-and-publications/how-to-manage-compliance-risk-and-stay-out-of-headlines</w:t>
        </w:r>
      </w:hyperlink>
      <w:r w:rsidR="00183582">
        <w:t xml:space="preserve"> </w:t>
      </w:r>
    </w:p>
  </w:footnote>
  <w:footnote w:id="4">
    <w:p w14:paraId="504529F3" w14:textId="725D159E" w:rsidR="00B4173A" w:rsidRPr="00B91C91" w:rsidRDefault="00B4173A" w:rsidP="00B91C91">
      <w:pPr>
        <w:pStyle w:val="FootnoteText"/>
        <w:rPr>
          <w:lang w:val="en-US"/>
        </w:rPr>
      </w:pPr>
      <w:r w:rsidRPr="00B91C91">
        <w:rPr>
          <w:rStyle w:val="FootnoteReference"/>
        </w:rPr>
        <w:footnoteRef/>
      </w:r>
      <w:r w:rsidR="00A97E38" w:rsidRPr="00B91C91">
        <w:rPr>
          <w:lang w:val="en-US"/>
        </w:rPr>
        <w:t xml:space="preserve"> </w:t>
      </w:r>
      <w:r w:rsidR="00B91C91">
        <w:rPr>
          <w:lang w:val="en-US"/>
        </w:rPr>
        <w:t xml:space="preserve">  </w:t>
      </w:r>
      <w:r w:rsidR="00A97E38" w:rsidRPr="00B91C91">
        <w:rPr>
          <w:lang w:val="en-US"/>
        </w:rPr>
        <w:t>See</w:t>
      </w:r>
      <w:r w:rsidR="00B91C91" w:rsidRPr="00B91C91">
        <w:rPr>
          <w:lang w:val="en-US"/>
        </w:rPr>
        <w:t xml:space="preserve"> </w:t>
      </w:r>
      <w:hyperlink r:id="rId2" w:history="1">
        <w:r w:rsidR="00B91C91" w:rsidRPr="00B91C91">
          <w:rPr>
            <w:rStyle w:val="Hyperlink"/>
            <w:color w:val="000000"/>
          </w:rPr>
          <w:t>Core principles for effective banking supervision (bis.org)</w:t>
        </w:r>
      </w:hyperlink>
      <w:r w:rsidR="00B91C91">
        <w:t>,</w:t>
      </w:r>
      <w:r w:rsidR="00A97E38" w:rsidRPr="00B91C91">
        <w:rPr>
          <w:lang w:val="en-US"/>
        </w:rPr>
        <w:t xml:space="preserve"> </w:t>
      </w:r>
      <w:hyperlink r:id="rId3" w:history="1">
        <w:r w:rsidR="00A97E38" w:rsidRPr="00B91C91">
          <w:rPr>
            <w:rStyle w:val="Hyperlink"/>
            <w:color w:val="000000"/>
          </w:rPr>
          <w:t>Principles for operational resilience (bis.org)</w:t>
        </w:r>
      </w:hyperlink>
      <w:r w:rsidR="00A97E38" w:rsidRPr="00B91C91">
        <w:t xml:space="preserve">, </w:t>
      </w:r>
      <w:hyperlink r:id="rId4" w:history="1">
        <w:r w:rsidR="00A97E38" w:rsidRPr="00B91C91">
          <w:rPr>
            <w:rStyle w:val="Hyperlink"/>
            <w:color w:val="000000"/>
          </w:rPr>
          <w:t>Principles for the Sound Management of Operational Risk (bis.org)</w:t>
        </w:r>
      </w:hyperlink>
    </w:p>
  </w:footnote>
  <w:footnote w:id="5">
    <w:p w14:paraId="1373D444" w14:textId="30D09194" w:rsidR="00941A9D" w:rsidRPr="00941A9D" w:rsidRDefault="00941A9D">
      <w:pPr>
        <w:pStyle w:val="FootnoteText"/>
        <w:rPr>
          <w:lang w:val="en-US"/>
        </w:rPr>
      </w:pPr>
      <w:r>
        <w:rPr>
          <w:rStyle w:val="FootnoteReference"/>
        </w:rPr>
        <w:footnoteRef/>
      </w:r>
      <w:r>
        <w:t xml:space="preserve"> </w:t>
      </w:r>
      <w:r w:rsidR="007B5D4C">
        <w:t xml:space="preserve">  </w:t>
      </w:r>
      <w:r w:rsidR="00317EF6">
        <w:t xml:space="preserve">For ADIs, these are set out in </w:t>
      </w:r>
      <w:r w:rsidR="00317EF6">
        <w:rPr>
          <w:i/>
        </w:rPr>
        <w:t xml:space="preserve">Prudential Standard APS 115 Capital Adequacy: Standardised Measurement Approach to Operational Risk </w:t>
      </w:r>
      <w:r w:rsidR="00317EF6">
        <w:t>(APS 115), which took effect on 1 January 2022.</w:t>
      </w:r>
      <w:r w:rsidR="007B5D4C">
        <w:t xml:space="preserve"> </w:t>
      </w:r>
      <w:r w:rsidR="007B5D4C">
        <w:rPr>
          <w:lang w:val="en-US"/>
        </w:rPr>
        <w:t>APS 115</w:t>
      </w:r>
      <w:r w:rsidR="00E93DF5">
        <w:rPr>
          <w:lang w:val="en-US"/>
        </w:rPr>
        <w:t xml:space="preserve"> applies to </w:t>
      </w:r>
      <w:r w:rsidR="005C6C39">
        <w:rPr>
          <w:lang w:val="en-US"/>
        </w:rPr>
        <w:t>all</w:t>
      </w:r>
      <w:r w:rsidR="007B5D4C">
        <w:rPr>
          <w:lang w:val="en-US"/>
        </w:rPr>
        <w:t xml:space="preserve"> ADIs </w:t>
      </w:r>
      <w:r w:rsidR="00E93DF5">
        <w:rPr>
          <w:lang w:val="en-US"/>
        </w:rPr>
        <w:t>from</w:t>
      </w:r>
      <w:r w:rsidR="00BC59E2">
        <w:rPr>
          <w:lang w:val="en-US"/>
        </w:rPr>
        <w:t xml:space="preserve"> 1 January 2023, with the </w:t>
      </w:r>
      <w:r w:rsidR="005C6C39">
        <w:rPr>
          <w:lang w:val="en-US"/>
        </w:rPr>
        <w:t xml:space="preserve">exception of </w:t>
      </w:r>
      <w:r w:rsidR="00BC59E2">
        <w:rPr>
          <w:lang w:val="en-US"/>
        </w:rPr>
        <w:t>non-</w:t>
      </w:r>
      <w:r w:rsidR="005C6C39">
        <w:rPr>
          <w:lang w:val="en-US"/>
        </w:rPr>
        <w:t>SFIs</w:t>
      </w:r>
      <w:r w:rsidR="007B5D4C">
        <w:rPr>
          <w:lang w:val="en-US"/>
        </w:rPr>
        <w:t>.</w:t>
      </w:r>
      <w:r w:rsidR="00E93DF5">
        <w:rPr>
          <w:lang w:val="en-US"/>
        </w:rPr>
        <w:t xml:space="preserve"> </w:t>
      </w:r>
      <w:r w:rsidR="005C6C39">
        <w:rPr>
          <w:lang w:val="en-US"/>
        </w:rPr>
        <w:t>N</w:t>
      </w:r>
      <w:r w:rsidR="00BC59E2">
        <w:rPr>
          <w:lang w:val="en-US"/>
        </w:rPr>
        <w:t xml:space="preserve">on-SFI ADIs may apply a simplified approach to calculate capital </w:t>
      </w:r>
      <w:r w:rsidR="00E93DF5">
        <w:rPr>
          <w:lang w:val="en-US"/>
        </w:rPr>
        <w:t>(</w:t>
      </w:r>
      <w:r w:rsidR="00BC59E2">
        <w:rPr>
          <w:lang w:val="en-US"/>
        </w:rPr>
        <w:t xml:space="preserve">as set out in Attachment of A of APS 110 </w:t>
      </w:r>
      <w:r w:rsidR="00E93DF5">
        <w:rPr>
          <w:lang w:val="en-US"/>
        </w:rPr>
        <w:t>(</w:t>
      </w:r>
      <w:r w:rsidR="00BC59E2">
        <w:rPr>
          <w:lang w:val="en-US"/>
        </w:rPr>
        <w:t>2023).</w:t>
      </w:r>
      <w:r w:rsidR="00317EF6" w:rsidRPr="00317EF6">
        <w:t xml:space="preserve"> </w:t>
      </w:r>
      <w:r w:rsidR="00317EF6">
        <w:t xml:space="preserve">For insurers, </w:t>
      </w:r>
      <w:r w:rsidR="001E3CDE">
        <w:t>capital requirements</w:t>
      </w:r>
      <w:r w:rsidR="00317EF6">
        <w:t xml:space="preserve"> are set out in </w:t>
      </w:r>
      <w:r w:rsidR="00317EF6">
        <w:rPr>
          <w:i/>
        </w:rPr>
        <w:t>Prudential Standard GPS 118 Capital Adequacy Operational Risk Charge</w:t>
      </w:r>
      <w:r w:rsidR="00317EF6">
        <w:t xml:space="preserve">, </w:t>
      </w:r>
      <w:r w:rsidR="00317EF6">
        <w:rPr>
          <w:i/>
        </w:rPr>
        <w:t>Prudential Standard LPS 118 Capital Adequacy Operational Risk Charge</w:t>
      </w:r>
      <w:r w:rsidR="00317EF6">
        <w:t xml:space="preserve"> and the upcoming equivalent standard for Private Health Insurers.</w:t>
      </w:r>
    </w:p>
  </w:footnote>
  <w:footnote w:id="6">
    <w:p w14:paraId="42D21F79" w14:textId="524FA4D6" w:rsidR="00350097" w:rsidRPr="00E43AA2" w:rsidRDefault="00350097" w:rsidP="00350097">
      <w:pPr>
        <w:pStyle w:val="FootnoteText"/>
      </w:pPr>
      <w:r w:rsidRPr="00E43AA2">
        <w:rPr>
          <w:rStyle w:val="FootnoteReference"/>
        </w:rPr>
        <w:footnoteRef/>
      </w:r>
      <w:r w:rsidRPr="00E43AA2">
        <w:t xml:space="preserve"> </w:t>
      </w:r>
      <w:r>
        <w:t xml:space="preserve">  </w:t>
      </w:r>
      <w:r w:rsidR="001E3CDE">
        <w:t xml:space="preserve">Current requirements for the ORFR are set out in </w:t>
      </w:r>
      <w:r w:rsidR="001E3CDE" w:rsidRPr="00FA7B36" w:rsidDel="00DF7AE0">
        <w:rPr>
          <w:i/>
        </w:rPr>
        <w:t xml:space="preserve">Prudential Standard SPS 114 Operational Risk Financial </w:t>
      </w:r>
      <w:r w:rsidR="001E3CDE" w:rsidRPr="00FA7B36">
        <w:rPr>
          <w:i/>
        </w:rPr>
        <w:t>Requirements</w:t>
      </w:r>
      <w:r w:rsidR="001E3CDE">
        <w:t xml:space="preserve"> (SPS 114)</w:t>
      </w:r>
      <w:r w:rsidR="001E3CDE" w:rsidRPr="00BB031D">
        <w:t>.</w:t>
      </w:r>
      <w:r w:rsidR="001E3CDE" w:rsidRPr="00DF532D">
        <w:t xml:space="preserve"> </w:t>
      </w:r>
      <w:r w:rsidRPr="00E43AA2">
        <w:t xml:space="preserve">Recognising the link between the ORFR and these broader operational risk reforms, </w:t>
      </w:r>
      <w:r w:rsidR="009629D7">
        <w:t>draft</w:t>
      </w:r>
      <w:r w:rsidR="009629D7" w:rsidRPr="00E43AA2">
        <w:t xml:space="preserve"> </w:t>
      </w:r>
      <w:r w:rsidRPr="00E43AA2">
        <w:t>CPS 230 notes that APRA may require an RSE licensee to meet an ORFR target amount determined by APRA under SPS 114.</w:t>
      </w:r>
      <w:r>
        <w:t xml:space="preserve"> See </w:t>
      </w:r>
      <w:hyperlink r:id="rId5" w:history="1">
        <w:r w:rsidR="00F262D7" w:rsidRPr="00F262D7">
          <w:rPr>
            <w:rStyle w:val="Hyperlink"/>
          </w:rPr>
          <w:t>https://www.apra.gov.au/strengthening-financial-resilience-superannuation</w:t>
        </w:r>
      </w:hyperlink>
      <w:r w:rsidR="00F262D7">
        <w:rPr>
          <w:rStyle w:val="Hyperlink"/>
        </w:rPr>
        <w:t xml:space="preserve">  </w:t>
      </w:r>
    </w:p>
  </w:footnote>
  <w:footnote w:id="7">
    <w:p w14:paraId="6AFECBB0" w14:textId="4C6D950F" w:rsidR="003A29B0" w:rsidRDefault="003A29B0" w:rsidP="003A29B0">
      <w:pPr>
        <w:pStyle w:val="FootnoteText"/>
      </w:pPr>
      <w:r>
        <w:rPr>
          <w:rStyle w:val="FootnoteReference"/>
        </w:rPr>
        <w:footnoteRef/>
      </w:r>
      <w:r>
        <w:t xml:space="preserve"> </w:t>
      </w:r>
      <w:r>
        <w:tab/>
        <w:t xml:space="preserve">Refer to  </w:t>
      </w:r>
      <w:hyperlink r:id="rId6" w:history="1">
        <w:r>
          <w:rPr>
            <w:rStyle w:val="Hyperlink"/>
          </w:rPr>
          <w:t>Letter to industry - Crypto-assets risk management and policy expectations</w:t>
        </w:r>
      </w:hyperlink>
      <w:r>
        <w:t>, APRA 21 April 2022</w:t>
      </w:r>
    </w:p>
    <w:p w14:paraId="4BD908D0" w14:textId="77777777" w:rsidR="003A29B0" w:rsidRDefault="003A29B0" w:rsidP="003A29B0">
      <w:pPr>
        <w:pStyle w:val="FootnoteText"/>
      </w:pPr>
    </w:p>
  </w:footnote>
  <w:footnote w:id="8">
    <w:p w14:paraId="1723698E" w14:textId="6AEC15F3" w:rsidR="001E6B5F" w:rsidRPr="001E6B5F" w:rsidRDefault="001E6B5F" w:rsidP="001E6B5F">
      <w:pPr>
        <w:pStyle w:val="FootnoteText"/>
      </w:pPr>
      <w:r w:rsidRPr="001E6B5F">
        <w:rPr>
          <w:rStyle w:val="FootnoteReference"/>
        </w:rPr>
        <w:footnoteRef/>
      </w:r>
      <w:r w:rsidRPr="001E6B5F">
        <w:t xml:space="preserve"> </w:t>
      </w:r>
      <w:r>
        <w:t xml:space="preserve">  ‘</w:t>
      </w:r>
      <w:r w:rsidRPr="001E6B5F">
        <w:t>Critical business operations</w:t>
      </w:r>
      <w:r>
        <w:t>’</w:t>
      </w:r>
      <w:r w:rsidRPr="001E6B5F">
        <w:t xml:space="preserve"> are currently defined </w:t>
      </w:r>
      <w:r>
        <w:t xml:space="preserve">in CPS 232 as </w:t>
      </w:r>
      <w:r w:rsidRPr="001E6B5F">
        <w:t>the business functions, resources and infrastructure that may, if disrupted, have a material impact on the institution’s business functions, reputation, profitability, depositors and/or policyholders.</w:t>
      </w:r>
    </w:p>
  </w:footnote>
  <w:footnote w:id="9">
    <w:p w14:paraId="342A98EB" w14:textId="547389C5" w:rsidR="0028540D" w:rsidRPr="0028540D" w:rsidRDefault="0028540D">
      <w:pPr>
        <w:pStyle w:val="FootnoteText"/>
        <w:rPr>
          <w:lang w:val="en-US"/>
        </w:rPr>
      </w:pPr>
      <w:r>
        <w:rPr>
          <w:rStyle w:val="FootnoteReference"/>
        </w:rPr>
        <w:footnoteRef/>
      </w:r>
      <w:r>
        <w:t xml:space="preserve">   </w:t>
      </w:r>
      <w:r w:rsidR="00CD37E5">
        <w:rPr>
          <w:lang w:val="en-US"/>
        </w:rPr>
        <w:t>As part of CPS 232, APRA-regulated entities are currently required to set recovery objectives: pre-defined goals for recovering critical business operations to a specified level of service within a defined period following a disruption</w:t>
      </w:r>
      <w:r>
        <w:rPr>
          <w:lang w:val="en-US"/>
        </w:rPr>
        <w:t>.</w:t>
      </w:r>
      <w:r w:rsidR="00CD37E5">
        <w:rPr>
          <w:lang w:val="en-US"/>
        </w:rPr>
        <w:t xml:space="preserve"> Tolerance levels are a similar concept</w:t>
      </w:r>
      <w:r w:rsidR="003A504C">
        <w:rPr>
          <w:lang w:val="en-US"/>
        </w:rPr>
        <w:t xml:space="preserve">, but have been updated to specifically include data loss. </w:t>
      </w:r>
      <w:r w:rsidR="009629D7">
        <w:rPr>
          <w:lang w:val="en-US"/>
        </w:rPr>
        <w:t>Draft</w:t>
      </w:r>
      <w:r w:rsidR="003A504C">
        <w:rPr>
          <w:lang w:val="en-US"/>
        </w:rPr>
        <w:t xml:space="preserve"> CPS 230 also clarifies that APRA expects an entity to maintain critical operations within tolerance levels, rather than these just being an implicit part of business continuity planning.</w:t>
      </w:r>
    </w:p>
  </w:footnote>
  <w:footnote w:id="10">
    <w:p w14:paraId="3A0DA081" w14:textId="3CABF543" w:rsidR="00C70839" w:rsidRPr="00C70839" w:rsidRDefault="00C70839">
      <w:pPr>
        <w:pStyle w:val="FootnoteText"/>
      </w:pPr>
      <w:r>
        <w:rPr>
          <w:rStyle w:val="FootnoteReference"/>
        </w:rPr>
        <w:footnoteRef/>
      </w:r>
      <w:r>
        <w:t xml:space="preserve">   </w:t>
      </w:r>
      <w:hyperlink r:id="rId7" w:history="1">
        <w:r w:rsidR="00ED4347">
          <w:rPr>
            <w:rStyle w:val="Hyperlink"/>
          </w:rPr>
          <w:t>Operational resilience: next steps on the PRA's supervisory roadmap</w:t>
        </w:r>
      </w:hyperlink>
      <w:r w:rsidR="00ED4347">
        <w:t xml:space="preserve"> </w:t>
      </w:r>
      <w:r>
        <w:t>PRA, 28 April 2022.</w:t>
      </w:r>
    </w:p>
  </w:footnote>
  <w:footnote w:id="11">
    <w:p w14:paraId="2FB8362A" w14:textId="27728236" w:rsidR="00746DEC" w:rsidRDefault="00746DEC">
      <w:pPr>
        <w:pStyle w:val="FootnoteText"/>
      </w:pPr>
      <w:r>
        <w:rPr>
          <w:rStyle w:val="FootnoteReference"/>
        </w:rPr>
        <w:footnoteRef/>
      </w:r>
      <w:r>
        <w:t xml:space="preserve">   </w:t>
      </w:r>
      <w:r w:rsidRPr="00746DEC">
        <w:t>Currently, CPS 231 and SPS 231 require sub-contracting to be addressed in an outsourcing contract, with an indemnity to the effect that any sub-contracting by a third-party service provider is the responsibility of the third-party service provider.</w:t>
      </w:r>
    </w:p>
  </w:footnote>
  <w:footnote w:id="12">
    <w:p w14:paraId="7AD3AE32" w14:textId="0D6AD059" w:rsidR="00FC7387" w:rsidRPr="00FC7387" w:rsidRDefault="00FC7387">
      <w:pPr>
        <w:pStyle w:val="FootnoteText"/>
        <w:rPr>
          <w:lang w:val="en-US"/>
        </w:rPr>
      </w:pPr>
      <w:r>
        <w:rPr>
          <w:rStyle w:val="FootnoteReference"/>
        </w:rPr>
        <w:footnoteRef/>
      </w:r>
      <w:r>
        <w:t xml:space="preserve">  </w:t>
      </w:r>
      <w:r w:rsidRPr="00FC7387">
        <w:t>The thematic review was undertaken in response to observations made by the Royal Commission regarding deficiencies in the management of outsourcing arrangements in superannuation, including the identification and management of conflicts of interest connected with related party outsourcing arrangements.</w:t>
      </w:r>
    </w:p>
  </w:footnote>
  <w:footnote w:id="13">
    <w:p w14:paraId="36CFA979" w14:textId="2964727F" w:rsidR="00EC610A" w:rsidRPr="00EC610A" w:rsidRDefault="00EC610A">
      <w:pPr>
        <w:pStyle w:val="FootnoteText"/>
      </w:pPr>
      <w:r>
        <w:rPr>
          <w:rStyle w:val="FootnoteReference"/>
        </w:rPr>
        <w:footnoteRef/>
      </w:r>
      <w:r>
        <w:t xml:space="preserve">  </w:t>
      </w:r>
      <w:hyperlink r:id="rId8" w:history="1">
        <w:r w:rsidR="0040004E" w:rsidRPr="00C6127A">
          <w:rPr>
            <w:rStyle w:val="APRANORMALChar"/>
          </w:rPr>
          <w:t>Information security management: a new cross-industry prudential standard</w:t>
        </w:r>
      </w:hyperlink>
      <w:r>
        <w:t xml:space="preserve"> </w:t>
      </w:r>
      <w:r w:rsidR="0040004E">
        <w:t xml:space="preserve"> </w:t>
      </w:r>
      <w:r>
        <w:t xml:space="preserve">, APRA, 7 March 2018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44F1C" w14:textId="77777777" w:rsidR="00C3122D" w:rsidRDefault="00C3122D">
    <w:pPr>
      <w:pStyle w:val="Header"/>
    </w:pPr>
    <w:r>
      <w:rPr>
        <w:noProof/>
        <w:lang w:eastAsia="en-AU"/>
      </w:rPr>
      <w:drawing>
        <wp:anchor distT="0" distB="0" distL="114300" distR="114300" simplePos="0" relativeHeight="251658243" behindDoc="1" locked="0" layoutInCell="1" allowOverlap="1" wp14:anchorId="7A3B704E" wp14:editId="082E056A">
          <wp:simplePos x="0" y="0"/>
          <wp:positionH relativeFrom="page">
            <wp:posOffset>0</wp:posOffset>
          </wp:positionH>
          <wp:positionV relativeFrom="page">
            <wp:posOffset>4763</wp:posOffset>
          </wp:positionV>
          <wp:extent cx="7560000" cy="10685124"/>
          <wp:effectExtent l="0" t="0" r="3175"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nk-Cov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12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87F77" w14:textId="77777777" w:rsidR="00C3122D" w:rsidRDefault="00C3122D">
    <w:pPr>
      <w:pStyle w:val="Header"/>
    </w:pPr>
    <w:r w:rsidRPr="00F366D7">
      <w:rPr>
        <w:noProof/>
        <w:lang w:eastAsia="en-AU"/>
      </w:rPr>
      <mc:AlternateContent>
        <mc:Choice Requires="wps">
          <w:drawing>
            <wp:anchor distT="0" distB="0" distL="114300" distR="114300" simplePos="0" relativeHeight="251658241" behindDoc="0" locked="0" layoutInCell="1" allowOverlap="1" wp14:anchorId="7A3B7050" wp14:editId="7A3B7051">
              <wp:simplePos x="0" y="0"/>
              <wp:positionH relativeFrom="column">
                <wp:posOffset>-942975</wp:posOffset>
              </wp:positionH>
              <wp:positionV relativeFrom="paragraph">
                <wp:posOffset>-350520</wp:posOffset>
              </wp:positionV>
              <wp:extent cx="7586663" cy="10667365"/>
              <wp:effectExtent l="0" t="0" r="14605" b="19685"/>
              <wp:wrapNone/>
              <wp:docPr id="35" name="Rectangle 35"/>
              <wp:cNvGraphicFramePr/>
              <a:graphic xmlns:a="http://schemas.openxmlformats.org/drawingml/2006/main">
                <a:graphicData uri="http://schemas.microsoft.com/office/word/2010/wordprocessingShape">
                  <wps:wsp>
                    <wps:cNvSpPr/>
                    <wps:spPr>
                      <a:xfrm>
                        <a:off x="0" y="0"/>
                        <a:ext cx="7586663" cy="106673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4B5B6A" id="Rectangle 35" o:spid="_x0000_s1026" style="position:absolute;margin-left:-74.25pt;margin-top:-27.6pt;width:597.4pt;height:839.9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" fillcolor="#012169 [3204]" strokecolor="#001034 [1604]" strokeweight="2pt"/>
          </w:pict>
        </mc:Fallback>
      </mc:AlternateContent>
    </w:r>
    <w:r w:rsidRPr="00F366D7">
      <w:rPr>
        <w:noProof/>
        <w:lang w:eastAsia="en-AU"/>
      </w:rPr>
      <w:drawing>
        <wp:anchor distT="0" distB="0" distL="114300" distR="114300" simplePos="0" relativeHeight="251658242" behindDoc="0" locked="0" layoutInCell="1" allowOverlap="1" wp14:anchorId="7A3B7052" wp14:editId="7A3B7053">
          <wp:simplePos x="0" y="0"/>
          <wp:positionH relativeFrom="margin">
            <wp:posOffset>1408430</wp:posOffset>
          </wp:positionH>
          <wp:positionV relativeFrom="margin">
            <wp:posOffset>4164965</wp:posOffset>
          </wp:positionV>
          <wp:extent cx="2857500" cy="73342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PRA_logo_White.png"/>
                  <pic:cNvPicPr/>
                </pic:nvPicPr>
                <pic:blipFill>
                  <a:blip r:embed="rId1">
                    <a:extLst>
                      <a:ext uri="{28A0092B-C50C-407E-A947-70E740481C1C}">
                        <a14:useLocalDpi xmlns:a14="http://schemas.microsoft.com/office/drawing/2010/main" val="0"/>
                      </a:ext>
                    </a:extLst>
                  </a:blip>
                  <a:stretch>
                    <a:fillRect/>
                  </a:stretch>
                </pic:blipFill>
                <pic:spPr>
                  <a:xfrm>
                    <a:off x="0" y="0"/>
                    <a:ext cx="2857500" cy="7334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8"/>
    <w:multiLevelType w:val="singleLevel"/>
    <w:tmpl w:val="AC92ED90"/>
    <w:lvl w:ilvl="0">
      <w:start w:val="1"/>
      <w:numFmt w:val="decimal"/>
      <w:lvlText w:val="%1."/>
      <w:lvlJc w:val="left"/>
      <w:pPr>
        <w:tabs>
          <w:tab w:val="num" w:pos="360"/>
        </w:tabs>
        <w:ind w:left="360" w:hanging="360"/>
      </w:pPr>
    </w:lvl>
  </w:abstractNum>
  <w:abstractNum w:abstractNumId="3" w15:restartNumberingAfterBreak="0">
    <w:nsid w:val="01776129"/>
    <w:multiLevelType w:val="hybridMultilevel"/>
    <w:tmpl w:val="2E3885DE"/>
    <w:lvl w:ilvl="0" w:tplc="4D169E66">
      <w:start w:val="1"/>
      <w:numFmt w:val="bullet"/>
      <w:pStyle w:val="BULLET2"/>
      <w:lvlText w:val="―"/>
      <w:lvlJc w:val="left"/>
      <w:pPr>
        <w:ind w:left="785" w:hanging="360"/>
      </w:pPr>
      <w:rPr>
        <w:rFonts w:ascii="Trebuchet MS" w:hAnsi="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6463545"/>
    <w:multiLevelType w:val="multilevel"/>
    <w:tmpl w:val="6CF0D0C2"/>
    <w:lvl w:ilvl="0">
      <w:start w:val="1"/>
      <w:numFmt w:val="decimal"/>
      <w:lvlText w:val="%1."/>
      <w:lvlJc w:val="left"/>
      <w:pPr>
        <w:tabs>
          <w:tab w:val="num" w:pos="6237"/>
        </w:tabs>
        <w:ind w:left="6237" w:hanging="567"/>
      </w:pPr>
      <w:rPr>
        <w:rFonts w:hint="default"/>
      </w:rPr>
    </w:lvl>
    <w:lvl w:ilvl="1">
      <w:start w:val="1"/>
      <w:numFmt w:val="lowerLetter"/>
      <w:lvlText w:val="(%2)"/>
      <w:lvlJc w:val="left"/>
      <w:pPr>
        <w:tabs>
          <w:tab w:val="num" w:pos="1417"/>
        </w:tabs>
        <w:ind w:left="1417" w:hanging="567"/>
      </w:pPr>
      <w:rPr>
        <w:rFonts w:hint="default"/>
        <w:b w:val="0"/>
        <w:i w:val="0"/>
      </w:rPr>
    </w:lvl>
    <w:lvl w:ilvl="2">
      <w:start w:val="1"/>
      <w:numFmt w:val="lowerRoman"/>
      <w:lvlText w:val="(%3)"/>
      <w:lvlJc w:val="left"/>
      <w:pPr>
        <w:tabs>
          <w:tab w:val="num" w:pos="1701"/>
        </w:tabs>
        <w:ind w:left="1701" w:hanging="567"/>
      </w:pPr>
      <w:rPr>
        <w:rFonts w:hint="default"/>
      </w:rPr>
    </w:lvl>
    <w:lvl w:ilvl="3">
      <w:start w:val="1"/>
      <w:numFmt w:val="upperLetter"/>
      <w:lvlText w:val="(%4)"/>
      <w:lvlJc w:val="left"/>
      <w:pPr>
        <w:tabs>
          <w:tab w:val="num" w:pos="2268"/>
        </w:tabs>
        <w:ind w:left="2268"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9AE53F4"/>
    <w:multiLevelType w:val="multilevel"/>
    <w:tmpl w:val="73EC9368"/>
    <w:lvl w:ilvl="0">
      <w:start w:val="1"/>
      <w:numFmt w:val="decimal"/>
      <w:pStyle w:val="ListNumber"/>
      <w:lvlText w:val="%1."/>
      <w:lvlJc w:val="left"/>
      <w:pPr>
        <w:tabs>
          <w:tab w:val="num" w:pos="851"/>
        </w:tabs>
        <w:ind w:left="851" w:hanging="851"/>
      </w:pPr>
      <w:rPr>
        <w:rFonts w:hint="default"/>
        <w:spacing w:val="0"/>
      </w:rPr>
    </w:lvl>
    <w:lvl w:ilvl="1">
      <w:start w:val="1"/>
      <w:numFmt w:val="decimal"/>
      <w:pStyle w:val="ListNumber2"/>
      <w:lvlText w:val="%1.%2."/>
      <w:lvlJc w:val="left"/>
      <w:pPr>
        <w:tabs>
          <w:tab w:val="num" w:pos="1701"/>
        </w:tabs>
        <w:ind w:left="1701" w:hanging="850"/>
      </w:pPr>
      <w:rPr>
        <w:rFonts w:hint="default"/>
        <w:spacing w:val="0"/>
      </w:rPr>
    </w:lvl>
    <w:lvl w:ilvl="2">
      <w:start w:val="1"/>
      <w:numFmt w:val="decimal"/>
      <w:pStyle w:val="ListNumber3"/>
      <w:lvlText w:val="%1.%2.%3."/>
      <w:lvlJc w:val="left"/>
      <w:pPr>
        <w:tabs>
          <w:tab w:val="num" w:pos="2552"/>
        </w:tabs>
        <w:ind w:left="2552" w:hanging="851"/>
      </w:pPr>
      <w:rPr>
        <w:rFonts w:hint="default"/>
        <w:spacing w:val="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E1409B1"/>
    <w:multiLevelType w:val="multilevel"/>
    <w:tmpl w:val="0C09001F"/>
    <w:numStyleLink w:val="111111"/>
  </w:abstractNum>
  <w:abstractNum w:abstractNumId="8" w15:restartNumberingAfterBreak="0">
    <w:nsid w:val="255444F2"/>
    <w:multiLevelType w:val="multilevel"/>
    <w:tmpl w:val="0C09001F"/>
    <w:styleLink w:val="111111"/>
    <w:lvl w:ilvl="0">
      <w:start w:val="1"/>
      <w:numFmt w:val="decimal"/>
      <w:pStyle w:val="NumberedLis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01F50AC"/>
    <w:multiLevelType w:val="multilevel"/>
    <w:tmpl w:val="AC5E151C"/>
    <w:styleLink w:val="BulletList"/>
    <w:lvl w:ilvl="0">
      <w:start w:val="1"/>
      <w:numFmt w:val="bullet"/>
      <w:pStyle w:val="ListBullet"/>
      <w:lvlText w:val=""/>
      <w:lvlJc w:val="left"/>
      <w:pPr>
        <w:tabs>
          <w:tab w:val="num" w:pos="425"/>
        </w:tabs>
        <w:ind w:left="425" w:hanging="425"/>
      </w:pPr>
      <w:rPr>
        <w:rFonts w:ascii="Symbol" w:hAnsi="Symbol" w:hint="default"/>
        <w:color w:val="000000" w:themeColor="text1"/>
      </w:rPr>
    </w:lvl>
    <w:lvl w:ilvl="1">
      <w:start w:val="1"/>
      <w:numFmt w:val="bullet"/>
      <w:pStyle w:val="ListBullet2"/>
      <w:lvlText w:val="-"/>
      <w:lvlJc w:val="left"/>
      <w:pPr>
        <w:tabs>
          <w:tab w:val="num" w:pos="851"/>
        </w:tabs>
        <w:ind w:left="851" w:hanging="426"/>
      </w:pPr>
      <w:rPr>
        <w:rFonts w:ascii="Arial" w:hAnsi="Arial" w:hint="default"/>
        <w:color w:val="000000" w:themeColor="text1"/>
      </w:rPr>
    </w:lvl>
    <w:lvl w:ilvl="2">
      <w:start w:val="1"/>
      <w:numFmt w:val="bullet"/>
      <w:pStyle w:val="ListBullet3"/>
      <w:lvlText w:val="o"/>
      <w:lvlJc w:val="left"/>
      <w:pPr>
        <w:tabs>
          <w:tab w:val="num" w:pos="1276"/>
        </w:tabs>
        <w:ind w:left="1276" w:hanging="425"/>
      </w:pPr>
      <w:rPr>
        <w:rFonts w:ascii="Courier New" w:hAnsi="Courier New" w:hint="default"/>
        <w:color w:val="000000" w:themeColor="text1"/>
      </w:rPr>
    </w:lvl>
    <w:lvl w:ilvl="3">
      <w:start w:val="1"/>
      <w:numFmt w:val="none"/>
      <w:suff w:val="nothing"/>
      <w:lvlText w:val=""/>
      <w:lvlJc w:val="left"/>
      <w:pPr>
        <w:ind w:left="425" w:firstLine="0"/>
      </w:pPr>
      <w:rPr>
        <w:rFonts w:hint="default"/>
      </w:rPr>
    </w:lvl>
    <w:lvl w:ilvl="4">
      <w:start w:val="1"/>
      <w:numFmt w:val="none"/>
      <w:suff w:val="nothing"/>
      <w:lvlText w:val=""/>
      <w:lvlJc w:val="left"/>
      <w:pPr>
        <w:ind w:left="425" w:firstLine="0"/>
      </w:pPr>
      <w:rPr>
        <w:rFonts w:hint="default"/>
      </w:rPr>
    </w:lvl>
    <w:lvl w:ilvl="5">
      <w:start w:val="1"/>
      <w:numFmt w:val="none"/>
      <w:suff w:val="nothing"/>
      <w:lvlText w:val=""/>
      <w:lvlJc w:val="left"/>
      <w:pPr>
        <w:ind w:left="425" w:firstLine="0"/>
      </w:pPr>
      <w:rPr>
        <w:rFonts w:hint="default"/>
      </w:rPr>
    </w:lvl>
    <w:lvl w:ilvl="6">
      <w:start w:val="1"/>
      <w:numFmt w:val="none"/>
      <w:suff w:val="nothing"/>
      <w:lvlText w:val=""/>
      <w:lvlJc w:val="left"/>
      <w:pPr>
        <w:ind w:left="425" w:firstLine="0"/>
      </w:pPr>
      <w:rPr>
        <w:rFonts w:hint="default"/>
      </w:rPr>
    </w:lvl>
    <w:lvl w:ilvl="7">
      <w:start w:val="1"/>
      <w:numFmt w:val="none"/>
      <w:suff w:val="nothing"/>
      <w:lvlText w:val=""/>
      <w:lvlJc w:val="left"/>
      <w:pPr>
        <w:ind w:left="425" w:firstLine="0"/>
      </w:pPr>
      <w:rPr>
        <w:rFonts w:hint="default"/>
      </w:rPr>
    </w:lvl>
    <w:lvl w:ilvl="8">
      <w:start w:val="1"/>
      <w:numFmt w:val="none"/>
      <w:suff w:val="nothing"/>
      <w:lvlText w:val=""/>
      <w:lvlJc w:val="left"/>
      <w:pPr>
        <w:ind w:left="425" w:firstLine="0"/>
      </w:pPr>
      <w:rPr>
        <w:rFonts w:hint="default"/>
      </w:rPr>
    </w:lvl>
  </w:abstractNum>
  <w:abstractNum w:abstractNumId="10" w15:restartNumberingAfterBreak="0">
    <w:nsid w:val="401F291E"/>
    <w:multiLevelType w:val="multilevel"/>
    <w:tmpl w:val="B7B08072"/>
    <w:lvl w:ilvl="0">
      <w:start w:val="1"/>
      <w:numFmt w:val="decimal"/>
      <w:pStyle w:val="PSBodyTextL1"/>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Letter"/>
      <w:pStyle w:val="PSBodyTextL3"/>
      <w:lvlText w:val="(%3)"/>
      <w:lvlJc w:val="left"/>
      <w:pPr>
        <w:tabs>
          <w:tab w:val="num" w:pos="1701"/>
        </w:tabs>
        <w:ind w:left="1701" w:hanging="567"/>
      </w:pPr>
      <w:rPr>
        <w:rFonts w:ascii="Times New Roman" w:eastAsiaTheme="minorHAnsi" w:hAnsi="Times New Roman" w:cstheme="minorBidi" w:hint="default"/>
      </w:rPr>
    </w:lvl>
    <w:lvl w:ilvl="3">
      <w:start w:val="1"/>
      <w:numFmt w:val="upperLetter"/>
      <w:pStyle w:val="PSBodyTextL4"/>
      <w:lvlText w:val="(%4)"/>
      <w:lvlJc w:val="left"/>
      <w:pPr>
        <w:tabs>
          <w:tab w:val="num" w:pos="2268"/>
        </w:tabs>
        <w:ind w:left="2268"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0FE1B54"/>
    <w:multiLevelType w:val="multilevel"/>
    <w:tmpl w:val="2334ED86"/>
    <w:lvl w:ilvl="0">
      <w:start w:val="1"/>
      <w:numFmt w:val="decimal"/>
      <w:pStyle w:val="Heading1Numbers"/>
      <w:suff w:val="nothing"/>
      <w:lvlText w:val="Chapter %1 - "/>
      <w:lvlJc w:val="left"/>
      <w:pPr>
        <w:ind w:left="1986" w:firstLine="0"/>
      </w:pPr>
      <w:rPr>
        <w:rFonts w:hint="default"/>
      </w:rPr>
    </w:lvl>
    <w:lvl w:ilvl="1">
      <w:start w:val="1"/>
      <w:numFmt w:val="decimal"/>
      <w:pStyle w:val="Heading2Numbers"/>
      <w:lvlText w:val="%1.%2"/>
      <w:lvlJc w:val="left"/>
      <w:pPr>
        <w:tabs>
          <w:tab w:val="num" w:pos="2268"/>
        </w:tabs>
        <w:ind w:left="2268" w:hanging="851"/>
      </w:pPr>
      <w:rPr>
        <w:b w:val="0"/>
        <w:bCs w:val="0"/>
        <w:i w:val="0"/>
        <w:iCs w:val="0"/>
        <w:caps w:val="0"/>
        <w:smallCaps w:val="0"/>
        <w:strike w:val="0"/>
        <w:dstrike w:val="0"/>
        <w:outline w:val="0"/>
        <w:shadow w:val="0"/>
        <w:emboss w:val="0"/>
        <w:imprint w:val="0"/>
        <w:noProof w:val="0"/>
        <w:vanish w:val="0"/>
        <w:color w:val="00206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s"/>
      <w:lvlText w:val="%1.%2.%3"/>
      <w:lvlJc w:val="left"/>
      <w:pPr>
        <w:tabs>
          <w:tab w:val="num" w:pos="1276"/>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4BC03DC3"/>
    <w:multiLevelType w:val="hybridMultilevel"/>
    <w:tmpl w:val="92B004A2"/>
    <w:lvl w:ilvl="0" w:tplc="1284BFEE">
      <w:start w:val="1"/>
      <w:numFmt w:val="decimal"/>
      <w:pStyle w:val="Numberedfigureheading"/>
      <w:lvlText w:val="Figure %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40E5588"/>
    <w:multiLevelType w:val="multilevel"/>
    <w:tmpl w:val="060A2B94"/>
    <w:lvl w:ilvl="0">
      <w:start w:val="1"/>
      <w:numFmt w:val="decimal"/>
      <w:lvlText w:val="%1."/>
      <w:lvlJc w:val="left"/>
      <w:pPr>
        <w:tabs>
          <w:tab w:val="num" w:pos="851"/>
        </w:tabs>
        <w:ind w:left="425" w:hanging="425"/>
      </w:pPr>
      <w:rPr>
        <w:rFonts w:hint="default"/>
      </w:rPr>
    </w:lvl>
    <w:lvl w:ilvl="1">
      <w:start w:val="1"/>
      <w:numFmt w:val="decimal"/>
      <w:lvlText w:val="%1.%2."/>
      <w:lvlJc w:val="left"/>
      <w:pPr>
        <w:tabs>
          <w:tab w:val="num" w:pos="1276"/>
        </w:tabs>
        <w:ind w:left="851" w:hanging="426"/>
      </w:pPr>
      <w:rPr>
        <w:rFonts w:hint="default"/>
      </w:rPr>
    </w:lvl>
    <w:lvl w:ilvl="2">
      <w:start w:val="1"/>
      <w:numFmt w:val="decimal"/>
      <w:lvlText w:val="%1.%2.%3."/>
      <w:lvlJc w:val="left"/>
      <w:pPr>
        <w:tabs>
          <w:tab w:val="num" w:pos="1276"/>
        </w:tabs>
        <w:ind w:left="1276" w:hanging="425"/>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5D526774"/>
    <w:multiLevelType w:val="multilevel"/>
    <w:tmpl w:val="7CC65220"/>
    <w:lvl w:ilvl="0">
      <w:start w:val="1"/>
      <w:numFmt w:val="upperLetter"/>
      <w:pStyle w:val="AttachmentHeading"/>
      <w:suff w:val="space"/>
      <w:lvlText w:val="Attachment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69B17A3F"/>
    <w:multiLevelType w:val="multilevel"/>
    <w:tmpl w:val="4218048E"/>
    <w:lvl w:ilvl="0">
      <w:start w:val="1"/>
      <w:numFmt w:val="none"/>
      <w:pStyle w:val="Normal"/>
      <w:suff w:val="nothing"/>
      <w:lvlText w:val=""/>
      <w:lvlJc w:val="left"/>
      <w:pPr>
        <w:ind w:left="0" w:firstLine="0"/>
      </w:pPr>
      <w:rPr>
        <w:rFonts w:hint="default"/>
      </w:rPr>
    </w:lvl>
    <w:lvl w:ilvl="1">
      <w:start w:val="1"/>
      <w:numFmt w:val="decimal"/>
      <w:pStyle w:val="List"/>
      <w:lvlText w:val="%2."/>
      <w:lvlJc w:val="left"/>
      <w:pPr>
        <w:tabs>
          <w:tab w:val="num" w:pos="425"/>
        </w:tabs>
        <w:ind w:left="425" w:hanging="425"/>
      </w:pPr>
      <w:rPr>
        <w:rFonts w:hint="default"/>
      </w:rPr>
    </w:lvl>
    <w:lvl w:ilvl="2">
      <w:start w:val="1"/>
      <w:numFmt w:val="lowerLetter"/>
      <w:pStyle w:val="List2"/>
      <w:lvlText w:val="%3)"/>
      <w:lvlJc w:val="left"/>
      <w:pPr>
        <w:tabs>
          <w:tab w:val="num" w:pos="851"/>
        </w:tabs>
        <w:ind w:left="851" w:hanging="426"/>
      </w:pPr>
      <w:rPr>
        <w:rFonts w:hint="default"/>
      </w:rPr>
    </w:lvl>
    <w:lvl w:ilvl="3">
      <w:start w:val="1"/>
      <w:numFmt w:val="lowerRoman"/>
      <w:pStyle w:val="List3"/>
      <w:lvlText w:val="%4)"/>
      <w:lvlJc w:val="left"/>
      <w:pPr>
        <w:tabs>
          <w:tab w:val="num" w:pos="1276"/>
        </w:tabs>
        <w:ind w:left="1276" w:hanging="425"/>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7C0E6E8A"/>
    <w:multiLevelType w:val="hybridMultilevel"/>
    <w:tmpl w:val="B4D04064"/>
    <w:lvl w:ilvl="0" w:tplc="899ED676">
      <w:start w:val="1"/>
      <w:numFmt w:val="decimal"/>
      <w:pStyle w:val="Numberedtableheading"/>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64220107">
    <w:abstractNumId w:val="1"/>
  </w:num>
  <w:num w:numId="2" w16cid:durableId="1470707452">
    <w:abstractNumId w:val="0"/>
  </w:num>
  <w:num w:numId="3" w16cid:durableId="1823614387">
    <w:abstractNumId w:val="4"/>
  </w:num>
  <w:num w:numId="4" w16cid:durableId="293410704">
    <w:abstractNumId w:val="15"/>
  </w:num>
  <w:num w:numId="5" w16cid:durableId="2009361464">
    <w:abstractNumId w:val="11"/>
  </w:num>
  <w:num w:numId="6" w16cid:durableId="963583034">
    <w:abstractNumId w:val="9"/>
  </w:num>
  <w:num w:numId="7" w16cid:durableId="1125274198">
    <w:abstractNumId w:val="6"/>
  </w:num>
  <w:num w:numId="8" w16cid:durableId="151262299">
    <w:abstractNumId w:val="14"/>
  </w:num>
  <w:num w:numId="9" w16cid:durableId="159858908">
    <w:abstractNumId w:val="16"/>
  </w:num>
  <w:num w:numId="10" w16cid:durableId="270362185">
    <w:abstractNumId w:val="12"/>
  </w:num>
  <w:num w:numId="11" w16cid:durableId="524245407">
    <w:abstractNumId w:val="11"/>
  </w:num>
  <w:num w:numId="12" w16cid:durableId="16053775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22850124">
    <w:abstractNumId w:val="3"/>
  </w:num>
  <w:num w:numId="14" w16cid:durableId="1032150729">
    <w:abstractNumId w:val="8"/>
  </w:num>
  <w:num w:numId="15" w16cid:durableId="5598440">
    <w:abstractNumId w:val="7"/>
  </w:num>
  <w:num w:numId="16" w16cid:durableId="1375274324">
    <w:abstractNumId w:val="5"/>
  </w:num>
  <w:num w:numId="17" w16cid:durableId="1708724645">
    <w:abstractNumId w:val="9"/>
  </w:num>
  <w:num w:numId="18" w16cid:durableId="1311444593">
    <w:abstractNumId w:val="11"/>
  </w:num>
  <w:num w:numId="19" w16cid:durableId="1108039331">
    <w:abstractNumId w:val="11"/>
  </w:num>
  <w:num w:numId="20" w16cid:durableId="40253497">
    <w:abstractNumId w:val="10"/>
  </w:num>
  <w:num w:numId="21" w16cid:durableId="1898516017">
    <w:abstractNumId w:val="9"/>
  </w:num>
  <w:num w:numId="22" w16cid:durableId="1828352746">
    <w:abstractNumId w:val="9"/>
  </w:num>
  <w:num w:numId="23" w16cid:durableId="1692562373">
    <w:abstractNumId w:val="9"/>
  </w:num>
  <w:num w:numId="24" w16cid:durableId="1254359345">
    <w:abstractNumId w:val="9"/>
  </w:num>
  <w:num w:numId="25" w16cid:durableId="482504394">
    <w:abstractNumId w:val="9"/>
  </w:num>
  <w:num w:numId="26" w16cid:durableId="1092822868">
    <w:abstractNumId w:val="11"/>
  </w:num>
  <w:num w:numId="27" w16cid:durableId="994603194">
    <w:abstractNumId w:val="13"/>
  </w:num>
  <w:num w:numId="28" w16cid:durableId="932056141">
    <w:abstractNumId w:val="2"/>
  </w:num>
  <w:num w:numId="29" w16cid:durableId="1075316766">
    <w:abstractNumId w:val="9"/>
  </w:num>
  <w:num w:numId="30" w16cid:durableId="210656461">
    <w:abstractNumId w:val="9"/>
  </w:num>
  <w:num w:numId="31" w16cid:durableId="1070271675">
    <w:abstractNumId w:val="12"/>
  </w:num>
  <w:num w:numId="32" w16cid:durableId="35205414">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SortMethod w:val="0004"/>
  <w:documentProtection w:formatting="1" w:enforcement="0"/>
  <w:styleLockTheme/>
  <w:styleLockQFSet/>
  <w:defaultTabStop w:val="425"/>
  <w:characterSpacingControl w:val="doNotCompress"/>
  <w:hdrShapeDefaults>
    <o:shapedefaults v:ext="edit" spidmax="88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5DD"/>
    <w:rsid w:val="000002C6"/>
    <w:rsid w:val="0000233F"/>
    <w:rsid w:val="00003A57"/>
    <w:rsid w:val="000059EB"/>
    <w:rsid w:val="00005A9D"/>
    <w:rsid w:val="00005D98"/>
    <w:rsid w:val="0000673B"/>
    <w:rsid w:val="0000676C"/>
    <w:rsid w:val="00006CCD"/>
    <w:rsid w:val="00006DEC"/>
    <w:rsid w:val="00007262"/>
    <w:rsid w:val="000078D8"/>
    <w:rsid w:val="00011344"/>
    <w:rsid w:val="00011874"/>
    <w:rsid w:val="00011C96"/>
    <w:rsid w:val="0001306B"/>
    <w:rsid w:val="00013FBB"/>
    <w:rsid w:val="000141B9"/>
    <w:rsid w:val="00014B42"/>
    <w:rsid w:val="00014DB5"/>
    <w:rsid w:val="00015694"/>
    <w:rsid w:val="00017132"/>
    <w:rsid w:val="000207DD"/>
    <w:rsid w:val="00022041"/>
    <w:rsid w:val="00022D39"/>
    <w:rsid w:val="00022FCB"/>
    <w:rsid w:val="00023202"/>
    <w:rsid w:val="000245A6"/>
    <w:rsid w:val="00026252"/>
    <w:rsid w:val="00027F49"/>
    <w:rsid w:val="00030015"/>
    <w:rsid w:val="000302F5"/>
    <w:rsid w:val="000303CB"/>
    <w:rsid w:val="000304CE"/>
    <w:rsid w:val="00030887"/>
    <w:rsid w:val="00031D6D"/>
    <w:rsid w:val="00032053"/>
    <w:rsid w:val="00032377"/>
    <w:rsid w:val="000326A7"/>
    <w:rsid w:val="00032EE1"/>
    <w:rsid w:val="0003326A"/>
    <w:rsid w:val="00034171"/>
    <w:rsid w:val="00034A19"/>
    <w:rsid w:val="00036F9E"/>
    <w:rsid w:val="00037E3D"/>
    <w:rsid w:val="00040797"/>
    <w:rsid w:val="0004098C"/>
    <w:rsid w:val="00040C34"/>
    <w:rsid w:val="00040FC6"/>
    <w:rsid w:val="000413B3"/>
    <w:rsid w:val="00041A23"/>
    <w:rsid w:val="00044A31"/>
    <w:rsid w:val="00045085"/>
    <w:rsid w:val="000452A0"/>
    <w:rsid w:val="00045723"/>
    <w:rsid w:val="00045901"/>
    <w:rsid w:val="000462D7"/>
    <w:rsid w:val="00046544"/>
    <w:rsid w:val="00047E8F"/>
    <w:rsid w:val="00050ED1"/>
    <w:rsid w:val="0005350E"/>
    <w:rsid w:val="00053BBA"/>
    <w:rsid w:val="000554DA"/>
    <w:rsid w:val="00056118"/>
    <w:rsid w:val="000562D3"/>
    <w:rsid w:val="00057104"/>
    <w:rsid w:val="0005727C"/>
    <w:rsid w:val="000573E5"/>
    <w:rsid w:val="0005770C"/>
    <w:rsid w:val="00057B67"/>
    <w:rsid w:val="00057B71"/>
    <w:rsid w:val="00060341"/>
    <w:rsid w:val="00061E23"/>
    <w:rsid w:val="0006260F"/>
    <w:rsid w:val="00062922"/>
    <w:rsid w:val="00063268"/>
    <w:rsid w:val="000636DD"/>
    <w:rsid w:val="00063B54"/>
    <w:rsid w:val="00065076"/>
    <w:rsid w:val="00065B50"/>
    <w:rsid w:val="000662E0"/>
    <w:rsid w:val="0007202C"/>
    <w:rsid w:val="0007219A"/>
    <w:rsid w:val="00072B30"/>
    <w:rsid w:val="0007319C"/>
    <w:rsid w:val="000732AA"/>
    <w:rsid w:val="00073B11"/>
    <w:rsid w:val="0007437F"/>
    <w:rsid w:val="00074E19"/>
    <w:rsid w:val="000767DD"/>
    <w:rsid w:val="00080041"/>
    <w:rsid w:val="0008011A"/>
    <w:rsid w:val="000814AA"/>
    <w:rsid w:val="00081732"/>
    <w:rsid w:val="00081824"/>
    <w:rsid w:val="00081D4D"/>
    <w:rsid w:val="0008231D"/>
    <w:rsid w:val="00082C86"/>
    <w:rsid w:val="0008349D"/>
    <w:rsid w:val="00083B50"/>
    <w:rsid w:val="000845C3"/>
    <w:rsid w:val="00084F8B"/>
    <w:rsid w:val="000851D0"/>
    <w:rsid w:val="00085A2E"/>
    <w:rsid w:val="0008689D"/>
    <w:rsid w:val="00086CC3"/>
    <w:rsid w:val="00086D07"/>
    <w:rsid w:val="00086F71"/>
    <w:rsid w:val="00090DD2"/>
    <w:rsid w:val="00091C5E"/>
    <w:rsid w:val="0009277B"/>
    <w:rsid w:val="00093090"/>
    <w:rsid w:val="00093469"/>
    <w:rsid w:val="00093915"/>
    <w:rsid w:val="00093BF7"/>
    <w:rsid w:val="000949AD"/>
    <w:rsid w:val="00095109"/>
    <w:rsid w:val="00096B0F"/>
    <w:rsid w:val="0009772E"/>
    <w:rsid w:val="000A1530"/>
    <w:rsid w:val="000A161F"/>
    <w:rsid w:val="000A1649"/>
    <w:rsid w:val="000A2C5D"/>
    <w:rsid w:val="000A3F99"/>
    <w:rsid w:val="000A407F"/>
    <w:rsid w:val="000A490E"/>
    <w:rsid w:val="000A4CB0"/>
    <w:rsid w:val="000A5850"/>
    <w:rsid w:val="000A681E"/>
    <w:rsid w:val="000A7B9D"/>
    <w:rsid w:val="000B020B"/>
    <w:rsid w:val="000B04C5"/>
    <w:rsid w:val="000B0759"/>
    <w:rsid w:val="000B12AF"/>
    <w:rsid w:val="000B38B2"/>
    <w:rsid w:val="000B3A02"/>
    <w:rsid w:val="000B3DD4"/>
    <w:rsid w:val="000B546E"/>
    <w:rsid w:val="000B63B7"/>
    <w:rsid w:val="000B63CA"/>
    <w:rsid w:val="000B736F"/>
    <w:rsid w:val="000B74CA"/>
    <w:rsid w:val="000B752A"/>
    <w:rsid w:val="000B755B"/>
    <w:rsid w:val="000B7F8D"/>
    <w:rsid w:val="000C02E2"/>
    <w:rsid w:val="000C095E"/>
    <w:rsid w:val="000C14D9"/>
    <w:rsid w:val="000C15C7"/>
    <w:rsid w:val="000C1D31"/>
    <w:rsid w:val="000C3EE2"/>
    <w:rsid w:val="000C58D0"/>
    <w:rsid w:val="000D306D"/>
    <w:rsid w:val="000D3DA2"/>
    <w:rsid w:val="000D4633"/>
    <w:rsid w:val="000D4A72"/>
    <w:rsid w:val="000D4C7D"/>
    <w:rsid w:val="000D4EDE"/>
    <w:rsid w:val="000D56FE"/>
    <w:rsid w:val="000D73CF"/>
    <w:rsid w:val="000E156E"/>
    <w:rsid w:val="000E22C0"/>
    <w:rsid w:val="000E2460"/>
    <w:rsid w:val="000E277D"/>
    <w:rsid w:val="000E288C"/>
    <w:rsid w:val="000E3427"/>
    <w:rsid w:val="000E43AC"/>
    <w:rsid w:val="000E4DD9"/>
    <w:rsid w:val="000E54B4"/>
    <w:rsid w:val="000E6973"/>
    <w:rsid w:val="000E6E37"/>
    <w:rsid w:val="000E7073"/>
    <w:rsid w:val="000F0097"/>
    <w:rsid w:val="000F0E6F"/>
    <w:rsid w:val="000F422B"/>
    <w:rsid w:val="000F49D3"/>
    <w:rsid w:val="000F5234"/>
    <w:rsid w:val="000F5B98"/>
    <w:rsid w:val="000F72A8"/>
    <w:rsid w:val="0010000D"/>
    <w:rsid w:val="0010067D"/>
    <w:rsid w:val="00100C18"/>
    <w:rsid w:val="00100D63"/>
    <w:rsid w:val="0010168F"/>
    <w:rsid w:val="001018A5"/>
    <w:rsid w:val="0010458C"/>
    <w:rsid w:val="001056FF"/>
    <w:rsid w:val="001059FD"/>
    <w:rsid w:val="00106554"/>
    <w:rsid w:val="00106F56"/>
    <w:rsid w:val="001079CF"/>
    <w:rsid w:val="001109C1"/>
    <w:rsid w:val="0011365F"/>
    <w:rsid w:val="00114B79"/>
    <w:rsid w:val="00115A39"/>
    <w:rsid w:val="00115ECC"/>
    <w:rsid w:val="00116838"/>
    <w:rsid w:val="00116E52"/>
    <w:rsid w:val="00116F22"/>
    <w:rsid w:val="00117C47"/>
    <w:rsid w:val="00121436"/>
    <w:rsid w:val="0012247F"/>
    <w:rsid w:val="0012250F"/>
    <w:rsid w:val="00122525"/>
    <w:rsid w:val="00122C3C"/>
    <w:rsid w:val="00123576"/>
    <w:rsid w:val="001241CB"/>
    <w:rsid w:val="00124B21"/>
    <w:rsid w:val="00125639"/>
    <w:rsid w:val="00125F05"/>
    <w:rsid w:val="001271A9"/>
    <w:rsid w:val="00127267"/>
    <w:rsid w:val="001301E5"/>
    <w:rsid w:val="00131527"/>
    <w:rsid w:val="001327B3"/>
    <w:rsid w:val="001327B8"/>
    <w:rsid w:val="0013343F"/>
    <w:rsid w:val="0013471B"/>
    <w:rsid w:val="001352D4"/>
    <w:rsid w:val="00135463"/>
    <w:rsid w:val="0013559E"/>
    <w:rsid w:val="00137B0F"/>
    <w:rsid w:val="00137B6C"/>
    <w:rsid w:val="00137C6D"/>
    <w:rsid w:val="00140297"/>
    <w:rsid w:val="001404E5"/>
    <w:rsid w:val="00140F48"/>
    <w:rsid w:val="001412C6"/>
    <w:rsid w:val="00141695"/>
    <w:rsid w:val="001418F7"/>
    <w:rsid w:val="00141C22"/>
    <w:rsid w:val="00143F73"/>
    <w:rsid w:val="00144295"/>
    <w:rsid w:val="0014659E"/>
    <w:rsid w:val="00146AD8"/>
    <w:rsid w:val="00146C04"/>
    <w:rsid w:val="0015039D"/>
    <w:rsid w:val="0015055A"/>
    <w:rsid w:val="001511ED"/>
    <w:rsid w:val="001512F0"/>
    <w:rsid w:val="0015174C"/>
    <w:rsid w:val="00151D78"/>
    <w:rsid w:val="00152F1D"/>
    <w:rsid w:val="001543E5"/>
    <w:rsid w:val="00155440"/>
    <w:rsid w:val="0015554A"/>
    <w:rsid w:val="0015646C"/>
    <w:rsid w:val="00156A5F"/>
    <w:rsid w:val="00156C52"/>
    <w:rsid w:val="00157727"/>
    <w:rsid w:val="00157799"/>
    <w:rsid w:val="00157C98"/>
    <w:rsid w:val="001602F5"/>
    <w:rsid w:val="00160D6F"/>
    <w:rsid w:val="001612AC"/>
    <w:rsid w:val="001616CE"/>
    <w:rsid w:val="001620D7"/>
    <w:rsid w:val="0016272E"/>
    <w:rsid w:val="00162C18"/>
    <w:rsid w:val="001653B6"/>
    <w:rsid w:val="00165BF6"/>
    <w:rsid w:val="00166713"/>
    <w:rsid w:val="001669AD"/>
    <w:rsid w:val="00167479"/>
    <w:rsid w:val="00167485"/>
    <w:rsid w:val="00171269"/>
    <w:rsid w:val="00171BBA"/>
    <w:rsid w:val="00171C84"/>
    <w:rsid w:val="00172410"/>
    <w:rsid w:val="001749F9"/>
    <w:rsid w:val="00174B0F"/>
    <w:rsid w:val="00175CD9"/>
    <w:rsid w:val="0017634E"/>
    <w:rsid w:val="00176C9D"/>
    <w:rsid w:val="00177E6F"/>
    <w:rsid w:val="00180D6E"/>
    <w:rsid w:val="00181302"/>
    <w:rsid w:val="00181833"/>
    <w:rsid w:val="00182012"/>
    <w:rsid w:val="0018235E"/>
    <w:rsid w:val="001830B5"/>
    <w:rsid w:val="00183582"/>
    <w:rsid w:val="00184187"/>
    <w:rsid w:val="00184842"/>
    <w:rsid w:val="00184CF4"/>
    <w:rsid w:val="0018541D"/>
    <w:rsid w:val="00185D50"/>
    <w:rsid w:val="00185E0E"/>
    <w:rsid w:val="00186061"/>
    <w:rsid w:val="00186872"/>
    <w:rsid w:val="00190316"/>
    <w:rsid w:val="001906D1"/>
    <w:rsid w:val="001916AC"/>
    <w:rsid w:val="00194A13"/>
    <w:rsid w:val="00195E46"/>
    <w:rsid w:val="00196499"/>
    <w:rsid w:val="00197ACE"/>
    <w:rsid w:val="001A1AC4"/>
    <w:rsid w:val="001A2259"/>
    <w:rsid w:val="001A2D20"/>
    <w:rsid w:val="001A3887"/>
    <w:rsid w:val="001A4EA4"/>
    <w:rsid w:val="001A65BB"/>
    <w:rsid w:val="001A664F"/>
    <w:rsid w:val="001A6672"/>
    <w:rsid w:val="001A6C5D"/>
    <w:rsid w:val="001A6F09"/>
    <w:rsid w:val="001A7769"/>
    <w:rsid w:val="001A77D5"/>
    <w:rsid w:val="001A7E46"/>
    <w:rsid w:val="001B02B5"/>
    <w:rsid w:val="001B0458"/>
    <w:rsid w:val="001B04D0"/>
    <w:rsid w:val="001B1A82"/>
    <w:rsid w:val="001B1AF0"/>
    <w:rsid w:val="001B2DB7"/>
    <w:rsid w:val="001B2F1A"/>
    <w:rsid w:val="001B3A9F"/>
    <w:rsid w:val="001B4075"/>
    <w:rsid w:val="001B4337"/>
    <w:rsid w:val="001B4EE7"/>
    <w:rsid w:val="001B5488"/>
    <w:rsid w:val="001B5896"/>
    <w:rsid w:val="001B6D02"/>
    <w:rsid w:val="001B7015"/>
    <w:rsid w:val="001C03BD"/>
    <w:rsid w:val="001C1BEC"/>
    <w:rsid w:val="001C1DFC"/>
    <w:rsid w:val="001C223C"/>
    <w:rsid w:val="001C323F"/>
    <w:rsid w:val="001C3D85"/>
    <w:rsid w:val="001C6191"/>
    <w:rsid w:val="001C69E3"/>
    <w:rsid w:val="001C6A8A"/>
    <w:rsid w:val="001D0C02"/>
    <w:rsid w:val="001D175C"/>
    <w:rsid w:val="001D1ABF"/>
    <w:rsid w:val="001D1BB0"/>
    <w:rsid w:val="001D2166"/>
    <w:rsid w:val="001D220A"/>
    <w:rsid w:val="001D3D43"/>
    <w:rsid w:val="001D4C45"/>
    <w:rsid w:val="001D53D6"/>
    <w:rsid w:val="001D60E6"/>
    <w:rsid w:val="001D673D"/>
    <w:rsid w:val="001D6CC2"/>
    <w:rsid w:val="001E0F51"/>
    <w:rsid w:val="001E1193"/>
    <w:rsid w:val="001E1E6C"/>
    <w:rsid w:val="001E2AAA"/>
    <w:rsid w:val="001E2E37"/>
    <w:rsid w:val="001E348F"/>
    <w:rsid w:val="001E3CDE"/>
    <w:rsid w:val="001E3D2A"/>
    <w:rsid w:val="001E46EA"/>
    <w:rsid w:val="001E4A4A"/>
    <w:rsid w:val="001E55BF"/>
    <w:rsid w:val="001E58D3"/>
    <w:rsid w:val="001E5AA1"/>
    <w:rsid w:val="001E5F53"/>
    <w:rsid w:val="001E624B"/>
    <w:rsid w:val="001E64B4"/>
    <w:rsid w:val="001E6B5F"/>
    <w:rsid w:val="001E6C87"/>
    <w:rsid w:val="001E7B8A"/>
    <w:rsid w:val="001F05DF"/>
    <w:rsid w:val="001F096C"/>
    <w:rsid w:val="001F0EFC"/>
    <w:rsid w:val="001F1604"/>
    <w:rsid w:val="001F367A"/>
    <w:rsid w:val="001F40F8"/>
    <w:rsid w:val="001F49E3"/>
    <w:rsid w:val="001F61C1"/>
    <w:rsid w:val="001F6E1A"/>
    <w:rsid w:val="001F780A"/>
    <w:rsid w:val="001F7917"/>
    <w:rsid w:val="001F7F6F"/>
    <w:rsid w:val="002002DF"/>
    <w:rsid w:val="00200525"/>
    <w:rsid w:val="00200613"/>
    <w:rsid w:val="00201198"/>
    <w:rsid w:val="002012CF"/>
    <w:rsid w:val="00202014"/>
    <w:rsid w:val="00202E0E"/>
    <w:rsid w:val="002032B1"/>
    <w:rsid w:val="002032E9"/>
    <w:rsid w:val="0020343F"/>
    <w:rsid w:val="00203FEA"/>
    <w:rsid w:val="00204034"/>
    <w:rsid w:val="00204A2C"/>
    <w:rsid w:val="002112FA"/>
    <w:rsid w:val="0021150D"/>
    <w:rsid w:val="0021238B"/>
    <w:rsid w:val="002141E2"/>
    <w:rsid w:val="00214226"/>
    <w:rsid w:val="00214257"/>
    <w:rsid w:val="00214883"/>
    <w:rsid w:val="002167EA"/>
    <w:rsid w:val="00217E47"/>
    <w:rsid w:val="00220550"/>
    <w:rsid w:val="002269D3"/>
    <w:rsid w:val="002301A2"/>
    <w:rsid w:val="00230475"/>
    <w:rsid w:val="00231C5A"/>
    <w:rsid w:val="00231DF9"/>
    <w:rsid w:val="00231E61"/>
    <w:rsid w:val="00231EE0"/>
    <w:rsid w:val="00232EA2"/>
    <w:rsid w:val="00233350"/>
    <w:rsid w:val="00234861"/>
    <w:rsid w:val="00234D94"/>
    <w:rsid w:val="00236807"/>
    <w:rsid w:val="00236C2D"/>
    <w:rsid w:val="002373C1"/>
    <w:rsid w:val="002374B3"/>
    <w:rsid w:val="002374B7"/>
    <w:rsid w:val="0023762F"/>
    <w:rsid w:val="00237FEC"/>
    <w:rsid w:val="00240126"/>
    <w:rsid w:val="002404AF"/>
    <w:rsid w:val="00241B19"/>
    <w:rsid w:val="00241FCC"/>
    <w:rsid w:val="00242384"/>
    <w:rsid w:val="0024304D"/>
    <w:rsid w:val="00244826"/>
    <w:rsid w:val="002457EB"/>
    <w:rsid w:val="0024592F"/>
    <w:rsid w:val="002471B7"/>
    <w:rsid w:val="00247ACA"/>
    <w:rsid w:val="00250E07"/>
    <w:rsid w:val="00252066"/>
    <w:rsid w:val="00252E6A"/>
    <w:rsid w:val="00255A20"/>
    <w:rsid w:val="00255E43"/>
    <w:rsid w:val="00256625"/>
    <w:rsid w:val="00256B55"/>
    <w:rsid w:val="0025782A"/>
    <w:rsid w:val="00257BF6"/>
    <w:rsid w:val="002609E8"/>
    <w:rsid w:val="00263414"/>
    <w:rsid w:val="0026429D"/>
    <w:rsid w:val="00265D3A"/>
    <w:rsid w:val="002661A6"/>
    <w:rsid w:val="00266C23"/>
    <w:rsid w:val="00266D95"/>
    <w:rsid w:val="00270B8A"/>
    <w:rsid w:val="0027194D"/>
    <w:rsid w:val="00271EBC"/>
    <w:rsid w:val="00272AC0"/>
    <w:rsid w:val="0027333C"/>
    <w:rsid w:val="00274975"/>
    <w:rsid w:val="00274E1E"/>
    <w:rsid w:val="00275857"/>
    <w:rsid w:val="00275D60"/>
    <w:rsid w:val="002764F7"/>
    <w:rsid w:val="002766EC"/>
    <w:rsid w:val="00276CBF"/>
    <w:rsid w:val="00277D6C"/>
    <w:rsid w:val="00277DAF"/>
    <w:rsid w:val="0028049E"/>
    <w:rsid w:val="002808B6"/>
    <w:rsid w:val="00281E73"/>
    <w:rsid w:val="00281F25"/>
    <w:rsid w:val="00282863"/>
    <w:rsid w:val="002832B2"/>
    <w:rsid w:val="00283DF4"/>
    <w:rsid w:val="0028540D"/>
    <w:rsid w:val="00286356"/>
    <w:rsid w:val="00286EAD"/>
    <w:rsid w:val="00290078"/>
    <w:rsid w:val="00290793"/>
    <w:rsid w:val="00292726"/>
    <w:rsid w:val="0029389B"/>
    <w:rsid w:val="00293D0F"/>
    <w:rsid w:val="0029489C"/>
    <w:rsid w:val="00294EE3"/>
    <w:rsid w:val="0029518B"/>
    <w:rsid w:val="00295D8C"/>
    <w:rsid w:val="002974A4"/>
    <w:rsid w:val="002A094F"/>
    <w:rsid w:val="002A1894"/>
    <w:rsid w:val="002A1E68"/>
    <w:rsid w:val="002A2188"/>
    <w:rsid w:val="002A36F2"/>
    <w:rsid w:val="002A5D5C"/>
    <w:rsid w:val="002A641A"/>
    <w:rsid w:val="002A7D14"/>
    <w:rsid w:val="002B0913"/>
    <w:rsid w:val="002B0B79"/>
    <w:rsid w:val="002B1616"/>
    <w:rsid w:val="002B1EEB"/>
    <w:rsid w:val="002B1EF4"/>
    <w:rsid w:val="002B28E4"/>
    <w:rsid w:val="002B2DC1"/>
    <w:rsid w:val="002B3C7D"/>
    <w:rsid w:val="002B448D"/>
    <w:rsid w:val="002B45ED"/>
    <w:rsid w:val="002B6D73"/>
    <w:rsid w:val="002B7504"/>
    <w:rsid w:val="002B7A29"/>
    <w:rsid w:val="002B7CAD"/>
    <w:rsid w:val="002C0D97"/>
    <w:rsid w:val="002C1AAA"/>
    <w:rsid w:val="002C25F8"/>
    <w:rsid w:val="002C2D6A"/>
    <w:rsid w:val="002C4585"/>
    <w:rsid w:val="002C5E80"/>
    <w:rsid w:val="002C66D1"/>
    <w:rsid w:val="002C7065"/>
    <w:rsid w:val="002C77B6"/>
    <w:rsid w:val="002C7F4A"/>
    <w:rsid w:val="002D1065"/>
    <w:rsid w:val="002D1616"/>
    <w:rsid w:val="002D1A1D"/>
    <w:rsid w:val="002D2804"/>
    <w:rsid w:val="002D3C03"/>
    <w:rsid w:val="002D4B6C"/>
    <w:rsid w:val="002D4E55"/>
    <w:rsid w:val="002D51A7"/>
    <w:rsid w:val="002D5274"/>
    <w:rsid w:val="002D595E"/>
    <w:rsid w:val="002D7BA0"/>
    <w:rsid w:val="002E25D5"/>
    <w:rsid w:val="002E27D5"/>
    <w:rsid w:val="002E2AF1"/>
    <w:rsid w:val="002E3B45"/>
    <w:rsid w:val="002E55C3"/>
    <w:rsid w:val="002E610E"/>
    <w:rsid w:val="002E64B3"/>
    <w:rsid w:val="002E64E6"/>
    <w:rsid w:val="002E701E"/>
    <w:rsid w:val="002F0135"/>
    <w:rsid w:val="002F0C2C"/>
    <w:rsid w:val="002F1102"/>
    <w:rsid w:val="002F13DF"/>
    <w:rsid w:val="002F17FA"/>
    <w:rsid w:val="002F1B67"/>
    <w:rsid w:val="002F2A27"/>
    <w:rsid w:val="002F2EF2"/>
    <w:rsid w:val="002F6F01"/>
    <w:rsid w:val="00300655"/>
    <w:rsid w:val="00300ABE"/>
    <w:rsid w:val="003031DE"/>
    <w:rsid w:val="00303D18"/>
    <w:rsid w:val="00304F0D"/>
    <w:rsid w:val="003056E6"/>
    <w:rsid w:val="0030627E"/>
    <w:rsid w:val="00307ADD"/>
    <w:rsid w:val="00307E55"/>
    <w:rsid w:val="003100EF"/>
    <w:rsid w:val="0031066C"/>
    <w:rsid w:val="003106F1"/>
    <w:rsid w:val="00312A66"/>
    <w:rsid w:val="003130CA"/>
    <w:rsid w:val="0031537B"/>
    <w:rsid w:val="00315C19"/>
    <w:rsid w:val="00315E10"/>
    <w:rsid w:val="003174A6"/>
    <w:rsid w:val="00317BB3"/>
    <w:rsid w:val="00317EF6"/>
    <w:rsid w:val="00321582"/>
    <w:rsid w:val="0032180D"/>
    <w:rsid w:val="0032211F"/>
    <w:rsid w:val="003225F9"/>
    <w:rsid w:val="003226B8"/>
    <w:rsid w:val="00322B51"/>
    <w:rsid w:val="00326327"/>
    <w:rsid w:val="00330025"/>
    <w:rsid w:val="00330BB8"/>
    <w:rsid w:val="00332909"/>
    <w:rsid w:val="00333B51"/>
    <w:rsid w:val="00334B3E"/>
    <w:rsid w:val="00336995"/>
    <w:rsid w:val="0033737A"/>
    <w:rsid w:val="003414F5"/>
    <w:rsid w:val="00342831"/>
    <w:rsid w:val="003439D3"/>
    <w:rsid w:val="00343A5C"/>
    <w:rsid w:val="00343F08"/>
    <w:rsid w:val="003445BA"/>
    <w:rsid w:val="00344A94"/>
    <w:rsid w:val="00345D55"/>
    <w:rsid w:val="00346226"/>
    <w:rsid w:val="003468FD"/>
    <w:rsid w:val="00346C37"/>
    <w:rsid w:val="0034716B"/>
    <w:rsid w:val="00350097"/>
    <w:rsid w:val="0035336D"/>
    <w:rsid w:val="00355B66"/>
    <w:rsid w:val="00355D40"/>
    <w:rsid w:val="00355F4E"/>
    <w:rsid w:val="003567DD"/>
    <w:rsid w:val="00356E14"/>
    <w:rsid w:val="00357022"/>
    <w:rsid w:val="0035721A"/>
    <w:rsid w:val="00357C41"/>
    <w:rsid w:val="00360543"/>
    <w:rsid w:val="00361543"/>
    <w:rsid w:val="00362355"/>
    <w:rsid w:val="00362E5C"/>
    <w:rsid w:val="00363454"/>
    <w:rsid w:val="003634DB"/>
    <w:rsid w:val="00363949"/>
    <w:rsid w:val="00365AF5"/>
    <w:rsid w:val="00366A88"/>
    <w:rsid w:val="00366BDD"/>
    <w:rsid w:val="00370255"/>
    <w:rsid w:val="00370491"/>
    <w:rsid w:val="003713B9"/>
    <w:rsid w:val="00371AAC"/>
    <w:rsid w:val="00371F54"/>
    <w:rsid w:val="00373D2C"/>
    <w:rsid w:val="003751CA"/>
    <w:rsid w:val="0037553B"/>
    <w:rsid w:val="00375B60"/>
    <w:rsid w:val="00377195"/>
    <w:rsid w:val="00377367"/>
    <w:rsid w:val="0037770C"/>
    <w:rsid w:val="00377C8B"/>
    <w:rsid w:val="003801BF"/>
    <w:rsid w:val="0038123B"/>
    <w:rsid w:val="003819A7"/>
    <w:rsid w:val="003827E0"/>
    <w:rsid w:val="00382F4B"/>
    <w:rsid w:val="00383A95"/>
    <w:rsid w:val="00385CA0"/>
    <w:rsid w:val="00386B56"/>
    <w:rsid w:val="00390846"/>
    <w:rsid w:val="00391791"/>
    <w:rsid w:val="00394630"/>
    <w:rsid w:val="003966C1"/>
    <w:rsid w:val="00396C39"/>
    <w:rsid w:val="003A0F99"/>
    <w:rsid w:val="003A1419"/>
    <w:rsid w:val="003A1ED7"/>
    <w:rsid w:val="003A244D"/>
    <w:rsid w:val="003A24C6"/>
    <w:rsid w:val="003A2733"/>
    <w:rsid w:val="003A29B0"/>
    <w:rsid w:val="003A2A61"/>
    <w:rsid w:val="003A2CA3"/>
    <w:rsid w:val="003A3021"/>
    <w:rsid w:val="003A30D7"/>
    <w:rsid w:val="003A3620"/>
    <w:rsid w:val="003A473C"/>
    <w:rsid w:val="003A504C"/>
    <w:rsid w:val="003A627E"/>
    <w:rsid w:val="003A6A7C"/>
    <w:rsid w:val="003A79EE"/>
    <w:rsid w:val="003A7B6A"/>
    <w:rsid w:val="003B0A06"/>
    <w:rsid w:val="003B171E"/>
    <w:rsid w:val="003B318C"/>
    <w:rsid w:val="003B336F"/>
    <w:rsid w:val="003B4378"/>
    <w:rsid w:val="003B51A4"/>
    <w:rsid w:val="003B6CB1"/>
    <w:rsid w:val="003B6E16"/>
    <w:rsid w:val="003B7A7B"/>
    <w:rsid w:val="003C06C5"/>
    <w:rsid w:val="003C180A"/>
    <w:rsid w:val="003C1E25"/>
    <w:rsid w:val="003C2A5E"/>
    <w:rsid w:val="003C2C26"/>
    <w:rsid w:val="003C35CA"/>
    <w:rsid w:val="003C40C9"/>
    <w:rsid w:val="003C5798"/>
    <w:rsid w:val="003C6616"/>
    <w:rsid w:val="003D0368"/>
    <w:rsid w:val="003D0D4F"/>
    <w:rsid w:val="003D1FFF"/>
    <w:rsid w:val="003D201C"/>
    <w:rsid w:val="003D2174"/>
    <w:rsid w:val="003D221A"/>
    <w:rsid w:val="003D27CB"/>
    <w:rsid w:val="003D329D"/>
    <w:rsid w:val="003D46AE"/>
    <w:rsid w:val="003D49F3"/>
    <w:rsid w:val="003D6AB1"/>
    <w:rsid w:val="003E05AE"/>
    <w:rsid w:val="003E1BEC"/>
    <w:rsid w:val="003E2FB0"/>
    <w:rsid w:val="003E3023"/>
    <w:rsid w:val="003E6581"/>
    <w:rsid w:val="003E6BF6"/>
    <w:rsid w:val="003E7BAA"/>
    <w:rsid w:val="003F0F0D"/>
    <w:rsid w:val="003F3A0D"/>
    <w:rsid w:val="003F402E"/>
    <w:rsid w:val="003F45E5"/>
    <w:rsid w:val="003F4B43"/>
    <w:rsid w:val="003F4FC2"/>
    <w:rsid w:val="003F5909"/>
    <w:rsid w:val="003F6D15"/>
    <w:rsid w:val="003F6E87"/>
    <w:rsid w:val="003F767A"/>
    <w:rsid w:val="003F767F"/>
    <w:rsid w:val="0040004E"/>
    <w:rsid w:val="004005C1"/>
    <w:rsid w:val="004010BD"/>
    <w:rsid w:val="0040173E"/>
    <w:rsid w:val="00403AFF"/>
    <w:rsid w:val="00403BD0"/>
    <w:rsid w:val="00404C03"/>
    <w:rsid w:val="00405C55"/>
    <w:rsid w:val="0040719B"/>
    <w:rsid w:val="00410222"/>
    <w:rsid w:val="00411993"/>
    <w:rsid w:val="00413AE5"/>
    <w:rsid w:val="004165E9"/>
    <w:rsid w:val="00416C57"/>
    <w:rsid w:val="00416F15"/>
    <w:rsid w:val="00417622"/>
    <w:rsid w:val="00421A8A"/>
    <w:rsid w:val="0042210C"/>
    <w:rsid w:val="004233F0"/>
    <w:rsid w:val="00424639"/>
    <w:rsid w:val="00424F4B"/>
    <w:rsid w:val="00424FCA"/>
    <w:rsid w:val="00425AAB"/>
    <w:rsid w:val="004263B0"/>
    <w:rsid w:val="004266BA"/>
    <w:rsid w:val="00426A38"/>
    <w:rsid w:val="00426B79"/>
    <w:rsid w:val="0042786D"/>
    <w:rsid w:val="00431490"/>
    <w:rsid w:val="004319CD"/>
    <w:rsid w:val="00434946"/>
    <w:rsid w:val="00435288"/>
    <w:rsid w:val="00435339"/>
    <w:rsid w:val="004359E6"/>
    <w:rsid w:val="00440FED"/>
    <w:rsid w:val="00441004"/>
    <w:rsid w:val="004410DC"/>
    <w:rsid w:val="00441384"/>
    <w:rsid w:val="00442659"/>
    <w:rsid w:val="0044267F"/>
    <w:rsid w:val="00443D94"/>
    <w:rsid w:val="00444180"/>
    <w:rsid w:val="004443C9"/>
    <w:rsid w:val="0044447D"/>
    <w:rsid w:val="00445539"/>
    <w:rsid w:val="0044566E"/>
    <w:rsid w:val="004461DD"/>
    <w:rsid w:val="004470AE"/>
    <w:rsid w:val="004505AF"/>
    <w:rsid w:val="00450683"/>
    <w:rsid w:val="00450C67"/>
    <w:rsid w:val="004511A7"/>
    <w:rsid w:val="00451750"/>
    <w:rsid w:val="00451BE0"/>
    <w:rsid w:val="004520A3"/>
    <w:rsid w:val="004528C3"/>
    <w:rsid w:val="004529EF"/>
    <w:rsid w:val="0045310A"/>
    <w:rsid w:val="00453810"/>
    <w:rsid w:val="00453FB6"/>
    <w:rsid w:val="00456515"/>
    <w:rsid w:val="0045749F"/>
    <w:rsid w:val="00460CF7"/>
    <w:rsid w:val="00460E6B"/>
    <w:rsid w:val="00462377"/>
    <w:rsid w:val="00462D1C"/>
    <w:rsid w:val="00463108"/>
    <w:rsid w:val="00463E14"/>
    <w:rsid w:val="00463FA8"/>
    <w:rsid w:val="0046563A"/>
    <w:rsid w:val="004657BA"/>
    <w:rsid w:val="00465820"/>
    <w:rsid w:val="004662F4"/>
    <w:rsid w:val="00466648"/>
    <w:rsid w:val="00466C0B"/>
    <w:rsid w:val="004708A3"/>
    <w:rsid w:val="00470E21"/>
    <w:rsid w:val="00472CBC"/>
    <w:rsid w:val="00473AD0"/>
    <w:rsid w:val="00474AF1"/>
    <w:rsid w:val="004754CF"/>
    <w:rsid w:val="004758FE"/>
    <w:rsid w:val="00475B16"/>
    <w:rsid w:val="004765B3"/>
    <w:rsid w:val="00476729"/>
    <w:rsid w:val="004809E2"/>
    <w:rsid w:val="00480AC3"/>
    <w:rsid w:val="00481BCD"/>
    <w:rsid w:val="0048261A"/>
    <w:rsid w:val="004833F0"/>
    <w:rsid w:val="00484BF5"/>
    <w:rsid w:val="0048684F"/>
    <w:rsid w:val="00487C12"/>
    <w:rsid w:val="00487D64"/>
    <w:rsid w:val="004900C5"/>
    <w:rsid w:val="00490D5F"/>
    <w:rsid w:val="00491E03"/>
    <w:rsid w:val="00492542"/>
    <w:rsid w:val="00492BF5"/>
    <w:rsid w:val="00493DAA"/>
    <w:rsid w:val="0049411E"/>
    <w:rsid w:val="00494335"/>
    <w:rsid w:val="004949C2"/>
    <w:rsid w:val="00494C26"/>
    <w:rsid w:val="004955A7"/>
    <w:rsid w:val="00495A4C"/>
    <w:rsid w:val="00495AF8"/>
    <w:rsid w:val="00495E51"/>
    <w:rsid w:val="004967A1"/>
    <w:rsid w:val="00496CF9"/>
    <w:rsid w:val="0049724C"/>
    <w:rsid w:val="004A0529"/>
    <w:rsid w:val="004A184E"/>
    <w:rsid w:val="004A1F5F"/>
    <w:rsid w:val="004A3245"/>
    <w:rsid w:val="004A3B93"/>
    <w:rsid w:val="004A609B"/>
    <w:rsid w:val="004A6345"/>
    <w:rsid w:val="004A7AFD"/>
    <w:rsid w:val="004B1106"/>
    <w:rsid w:val="004B1307"/>
    <w:rsid w:val="004B17E3"/>
    <w:rsid w:val="004B2A70"/>
    <w:rsid w:val="004B30BF"/>
    <w:rsid w:val="004B3871"/>
    <w:rsid w:val="004B5112"/>
    <w:rsid w:val="004B584E"/>
    <w:rsid w:val="004B6601"/>
    <w:rsid w:val="004B682C"/>
    <w:rsid w:val="004C0890"/>
    <w:rsid w:val="004C08CB"/>
    <w:rsid w:val="004C0AE6"/>
    <w:rsid w:val="004C1106"/>
    <w:rsid w:val="004C1E4E"/>
    <w:rsid w:val="004C23B9"/>
    <w:rsid w:val="004C2F68"/>
    <w:rsid w:val="004C3B2B"/>
    <w:rsid w:val="004C4A1E"/>
    <w:rsid w:val="004C4A63"/>
    <w:rsid w:val="004C61A1"/>
    <w:rsid w:val="004C6605"/>
    <w:rsid w:val="004C684E"/>
    <w:rsid w:val="004C6975"/>
    <w:rsid w:val="004C6D4B"/>
    <w:rsid w:val="004C766B"/>
    <w:rsid w:val="004D060C"/>
    <w:rsid w:val="004D1532"/>
    <w:rsid w:val="004D22EA"/>
    <w:rsid w:val="004D2453"/>
    <w:rsid w:val="004D2B2F"/>
    <w:rsid w:val="004D2CAA"/>
    <w:rsid w:val="004D33E3"/>
    <w:rsid w:val="004D471E"/>
    <w:rsid w:val="004D55EC"/>
    <w:rsid w:val="004D60F0"/>
    <w:rsid w:val="004D6796"/>
    <w:rsid w:val="004D7EC5"/>
    <w:rsid w:val="004E0AE7"/>
    <w:rsid w:val="004E1977"/>
    <w:rsid w:val="004E2269"/>
    <w:rsid w:val="004E2700"/>
    <w:rsid w:val="004E27A1"/>
    <w:rsid w:val="004E3250"/>
    <w:rsid w:val="004E42A5"/>
    <w:rsid w:val="004E5783"/>
    <w:rsid w:val="004E63D2"/>
    <w:rsid w:val="004E7592"/>
    <w:rsid w:val="004E7B13"/>
    <w:rsid w:val="004E7DAB"/>
    <w:rsid w:val="004F128A"/>
    <w:rsid w:val="004F3339"/>
    <w:rsid w:val="004F3386"/>
    <w:rsid w:val="004F3522"/>
    <w:rsid w:val="004F4B40"/>
    <w:rsid w:val="004F56CB"/>
    <w:rsid w:val="004F70A2"/>
    <w:rsid w:val="004F723D"/>
    <w:rsid w:val="004F72A2"/>
    <w:rsid w:val="00501C03"/>
    <w:rsid w:val="005026D4"/>
    <w:rsid w:val="00502AFB"/>
    <w:rsid w:val="0050308C"/>
    <w:rsid w:val="00503A51"/>
    <w:rsid w:val="00503FF2"/>
    <w:rsid w:val="005058FA"/>
    <w:rsid w:val="00506774"/>
    <w:rsid w:val="00507619"/>
    <w:rsid w:val="00507DD5"/>
    <w:rsid w:val="00507EE1"/>
    <w:rsid w:val="0051023F"/>
    <w:rsid w:val="00510E6B"/>
    <w:rsid w:val="005113A6"/>
    <w:rsid w:val="00512309"/>
    <w:rsid w:val="00512472"/>
    <w:rsid w:val="00512964"/>
    <w:rsid w:val="00515095"/>
    <w:rsid w:val="00515198"/>
    <w:rsid w:val="00515E36"/>
    <w:rsid w:val="00515F91"/>
    <w:rsid w:val="005161E9"/>
    <w:rsid w:val="00516C9D"/>
    <w:rsid w:val="0051788B"/>
    <w:rsid w:val="00520478"/>
    <w:rsid w:val="00520CAD"/>
    <w:rsid w:val="00521228"/>
    <w:rsid w:val="00522471"/>
    <w:rsid w:val="00522AB2"/>
    <w:rsid w:val="00522D6D"/>
    <w:rsid w:val="005231A9"/>
    <w:rsid w:val="005232C2"/>
    <w:rsid w:val="0052364E"/>
    <w:rsid w:val="0052478F"/>
    <w:rsid w:val="00524B0F"/>
    <w:rsid w:val="00525BCC"/>
    <w:rsid w:val="0052763E"/>
    <w:rsid w:val="00527A87"/>
    <w:rsid w:val="005300A7"/>
    <w:rsid w:val="0053092B"/>
    <w:rsid w:val="00530FB5"/>
    <w:rsid w:val="0053136F"/>
    <w:rsid w:val="005315C7"/>
    <w:rsid w:val="00531608"/>
    <w:rsid w:val="00532963"/>
    <w:rsid w:val="005333B4"/>
    <w:rsid w:val="00537E79"/>
    <w:rsid w:val="00540849"/>
    <w:rsid w:val="00540BDF"/>
    <w:rsid w:val="00540D3B"/>
    <w:rsid w:val="00540E39"/>
    <w:rsid w:val="00540F62"/>
    <w:rsid w:val="00541D54"/>
    <w:rsid w:val="0054209F"/>
    <w:rsid w:val="00542522"/>
    <w:rsid w:val="00542824"/>
    <w:rsid w:val="0054298A"/>
    <w:rsid w:val="00544172"/>
    <w:rsid w:val="00544345"/>
    <w:rsid w:val="00544CDF"/>
    <w:rsid w:val="00544DB1"/>
    <w:rsid w:val="0054526E"/>
    <w:rsid w:val="00545CE1"/>
    <w:rsid w:val="00545D27"/>
    <w:rsid w:val="0054636D"/>
    <w:rsid w:val="005476B5"/>
    <w:rsid w:val="005476D2"/>
    <w:rsid w:val="0054789F"/>
    <w:rsid w:val="005500E3"/>
    <w:rsid w:val="0055041B"/>
    <w:rsid w:val="0055170A"/>
    <w:rsid w:val="00553224"/>
    <w:rsid w:val="005534C4"/>
    <w:rsid w:val="005535DB"/>
    <w:rsid w:val="0055389F"/>
    <w:rsid w:val="00553DCD"/>
    <w:rsid w:val="005549D7"/>
    <w:rsid w:val="00554D3A"/>
    <w:rsid w:val="00555801"/>
    <w:rsid w:val="00556F85"/>
    <w:rsid w:val="00557920"/>
    <w:rsid w:val="00557ADB"/>
    <w:rsid w:val="005602DA"/>
    <w:rsid w:val="005614F8"/>
    <w:rsid w:val="00562087"/>
    <w:rsid w:val="0056338A"/>
    <w:rsid w:val="00563560"/>
    <w:rsid w:val="00563E99"/>
    <w:rsid w:val="0056482B"/>
    <w:rsid w:val="005678FC"/>
    <w:rsid w:val="0057042A"/>
    <w:rsid w:val="00570EB0"/>
    <w:rsid w:val="00570EE6"/>
    <w:rsid w:val="005712B5"/>
    <w:rsid w:val="00571F92"/>
    <w:rsid w:val="00573317"/>
    <w:rsid w:val="00573327"/>
    <w:rsid w:val="00573522"/>
    <w:rsid w:val="00573B89"/>
    <w:rsid w:val="005740FB"/>
    <w:rsid w:val="0057513B"/>
    <w:rsid w:val="00576CF4"/>
    <w:rsid w:val="005774BE"/>
    <w:rsid w:val="0058026A"/>
    <w:rsid w:val="00580641"/>
    <w:rsid w:val="005825F0"/>
    <w:rsid w:val="00582CD1"/>
    <w:rsid w:val="005833E9"/>
    <w:rsid w:val="005834ED"/>
    <w:rsid w:val="00583C02"/>
    <w:rsid w:val="005855A6"/>
    <w:rsid w:val="00585E90"/>
    <w:rsid w:val="00585EE0"/>
    <w:rsid w:val="00586FE2"/>
    <w:rsid w:val="00587A4A"/>
    <w:rsid w:val="005913E9"/>
    <w:rsid w:val="00591BEB"/>
    <w:rsid w:val="00592312"/>
    <w:rsid w:val="00592DE7"/>
    <w:rsid w:val="00592F64"/>
    <w:rsid w:val="00593153"/>
    <w:rsid w:val="00593922"/>
    <w:rsid w:val="00593B2F"/>
    <w:rsid w:val="00593B56"/>
    <w:rsid w:val="0059421C"/>
    <w:rsid w:val="00594AB3"/>
    <w:rsid w:val="00595389"/>
    <w:rsid w:val="005971F3"/>
    <w:rsid w:val="005A01CA"/>
    <w:rsid w:val="005A2877"/>
    <w:rsid w:val="005A3891"/>
    <w:rsid w:val="005A3A5F"/>
    <w:rsid w:val="005A3F63"/>
    <w:rsid w:val="005A59D0"/>
    <w:rsid w:val="005B073E"/>
    <w:rsid w:val="005B227F"/>
    <w:rsid w:val="005B2609"/>
    <w:rsid w:val="005B358D"/>
    <w:rsid w:val="005B4162"/>
    <w:rsid w:val="005B4BC1"/>
    <w:rsid w:val="005B729D"/>
    <w:rsid w:val="005B7437"/>
    <w:rsid w:val="005B7801"/>
    <w:rsid w:val="005C10C6"/>
    <w:rsid w:val="005C1158"/>
    <w:rsid w:val="005C1CAD"/>
    <w:rsid w:val="005C2335"/>
    <w:rsid w:val="005C34C3"/>
    <w:rsid w:val="005C5058"/>
    <w:rsid w:val="005C5891"/>
    <w:rsid w:val="005C5B35"/>
    <w:rsid w:val="005C64C8"/>
    <w:rsid w:val="005C6851"/>
    <w:rsid w:val="005C6C39"/>
    <w:rsid w:val="005C7354"/>
    <w:rsid w:val="005C7F2E"/>
    <w:rsid w:val="005D0B23"/>
    <w:rsid w:val="005D189F"/>
    <w:rsid w:val="005D1AE3"/>
    <w:rsid w:val="005D34DF"/>
    <w:rsid w:val="005D3EDA"/>
    <w:rsid w:val="005D4B92"/>
    <w:rsid w:val="005D4C29"/>
    <w:rsid w:val="005D5FAE"/>
    <w:rsid w:val="005D6614"/>
    <w:rsid w:val="005D75D9"/>
    <w:rsid w:val="005E0C27"/>
    <w:rsid w:val="005E1343"/>
    <w:rsid w:val="005E4276"/>
    <w:rsid w:val="005E4BC9"/>
    <w:rsid w:val="005E6D47"/>
    <w:rsid w:val="005E6F55"/>
    <w:rsid w:val="005E7128"/>
    <w:rsid w:val="005F183F"/>
    <w:rsid w:val="005F29B7"/>
    <w:rsid w:val="005F3653"/>
    <w:rsid w:val="005F3BAD"/>
    <w:rsid w:val="005F5A6A"/>
    <w:rsid w:val="005F6A3B"/>
    <w:rsid w:val="005F7166"/>
    <w:rsid w:val="005F7FEE"/>
    <w:rsid w:val="00600012"/>
    <w:rsid w:val="0060030D"/>
    <w:rsid w:val="00601D30"/>
    <w:rsid w:val="006023DC"/>
    <w:rsid w:val="00602D39"/>
    <w:rsid w:val="00604BC7"/>
    <w:rsid w:val="00605C30"/>
    <w:rsid w:val="00606EB5"/>
    <w:rsid w:val="00606FC8"/>
    <w:rsid w:val="006079A3"/>
    <w:rsid w:val="00607AAB"/>
    <w:rsid w:val="0061089D"/>
    <w:rsid w:val="00610EFE"/>
    <w:rsid w:val="006117E3"/>
    <w:rsid w:val="00613F1F"/>
    <w:rsid w:val="006142D7"/>
    <w:rsid w:val="00614E00"/>
    <w:rsid w:val="006157C8"/>
    <w:rsid w:val="00615FB4"/>
    <w:rsid w:val="00616690"/>
    <w:rsid w:val="00616C90"/>
    <w:rsid w:val="00617492"/>
    <w:rsid w:val="00617FDA"/>
    <w:rsid w:val="00620536"/>
    <w:rsid w:val="0062116F"/>
    <w:rsid w:val="00621E14"/>
    <w:rsid w:val="00622160"/>
    <w:rsid w:val="00622BAE"/>
    <w:rsid w:val="00623A80"/>
    <w:rsid w:val="00623EA7"/>
    <w:rsid w:val="00623FD7"/>
    <w:rsid w:val="00624200"/>
    <w:rsid w:val="00626087"/>
    <w:rsid w:val="00626226"/>
    <w:rsid w:val="006275AC"/>
    <w:rsid w:val="00630251"/>
    <w:rsid w:val="0063073F"/>
    <w:rsid w:val="00630B6F"/>
    <w:rsid w:val="006322DC"/>
    <w:rsid w:val="006334BD"/>
    <w:rsid w:val="00633DBC"/>
    <w:rsid w:val="00633F77"/>
    <w:rsid w:val="006340B8"/>
    <w:rsid w:val="00634359"/>
    <w:rsid w:val="00634DA0"/>
    <w:rsid w:val="00634E4C"/>
    <w:rsid w:val="00636008"/>
    <w:rsid w:val="006367E1"/>
    <w:rsid w:val="00636B8B"/>
    <w:rsid w:val="00637633"/>
    <w:rsid w:val="006379B5"/>
    <w:rsid w:val="00637D02"/>
    <w:rsid w:val="0064040B"/>
    <w:rsid w:val="006415D4"/>
    <w:rsid w:val="00641EAA"/>
    <w:rsid w:val="006427FE"/>
    <w:rsid w:val="006428CA"/>
    <w:rsid w:val="00642938"/>
    <w:rsid w:val="0064311D"/>
    <w:rsid w:val="00643262"/>
    <w:rsid w:val="00643583"/>
    <w:rsid w:val="00643A44"/>
    <w:rsid w:val="00646422"/>
    <w:rsid w:val="00646695"/>
    <w:rsid w:val="00646B35"/>
    <w:rsid w:val="00647028"/>
    <w:rsid w:val="0064714A"/>
    <w:rsid w:val="006471AE"/>
    <w:rsid w:val="006506C1"/>
    <w:rsid w:val="00651840"/>
    <w:rsid w:val="00651A06"/>
    <w:rsid w:val="00651D34"/>
    <w:rsid w:val="006528CF"/>
    <w:rsid w:val="00652902"/>
    <w:rsid w:val="00654D83"/>
    <w:rsid w:val="00655AB8"/>
    <w:rsid w:val="00656225"/>
    <w:rsid w:val="00656ED6"/>
    <w:rsid w:val="0065747A"/>
    <w:rsid w:val="00660354"/>
    <w:rsid w:val="006611F3"/>
    <w:rsid w:val="00662E28"/>
    <w:rsid w:val="0066434E"/>
    <w:rsid w:val="006648A4"/>
    <w:rsid w:val="0066674D"/>
    <w:rsid w:val="00666A78"/>
    <w:rsid w:val="0066705C"/>
    <w:rsid w:val="006719C4"/>
    <w:rsid w:val="00671C73"/>
    <w:rsid w:val="00671F4B"/>
    <w:rsid w:val="00672A8D"/>
    <w:rsid w:val="00674135"/>
    <w:rsid w:val="006752AA"/>
    <w:rsid w:val="006759B4"/>
    <w:rsid w:val="0067627B"/>
    <w:rsid w:val="00676C12"/>
    <w:rsid w:val="006771EB"/>
    <w:rsid w:val="00677629"/>
    <w:rsid w:val="006805BB"/>
    <w:rsid w:val="00680A00"/>
    <w:rsid w:val="00681420"/>
    <w:rsid w:val="006820EA"/>
    <w:rsid w:val="00682267"/>
    <w:rsid w:val="00683540"/>
    <w:rsid w:val="00683939"/>
    <w:rsid w:val="00684A29"/>
    <w:rsid w:val="00685204"/>
    <w:rsid w:val="00685365"/>
    <w:rsid w:val="00686AC4"/>
    <w:rsid w:val="00690B62"/>
    <w:rsid w:val="00691276"/>
    <w:rsid w:val="00691F86"/>
    <w:rsid w:val="006922BB"/>
    <w:rsid w:val="00693215"/>
    <w:rsid w:val="0069375D"/>
    <w:rsid w:val="00693C15"/>
    <w:rsid w:val="00693C67"/>
    <w:rsid w:val="0069400C"/>
    <w:rsid w:val="0069407C"/>
    <w:rsid w:val="00694683"/>
    <w:rsid w:val="00694C76"/>
    <w:rsid w:val="0069574E"/>
    <w:rsid w:val="006957FB"/>
    <w:rsid w:val="006969C0"/>
    <w:rsid w:val="006A0290"/>
    <w:rsid w:val="006A1921"/>
    <w:rsid w:val="006A1D96"/>
    <w:rsid w:val="006A2303"/>
    <w:rsid w:val="006A30B0"/>
    <w:rsid w:val="006A3364"/>
    <w:rsid w:val="006A4EB7"/>
    <w:rsid w:val="006A52E0"/>
    <w:rsid w:val="006A5E80"/>
    <w:rsid w:val="006A6CE6"/>
    <w:rsid w:val="006B0284"/>
    <w:rsid w:val="006B1332"/>
    <w:rsid w:val="006B3586"/>
    <w:rsid w:val="006B4309"/>
    <w:rsid w:val="006B49D9"/>
    <w:rsid w:val="006B517F"/>
    <w:rsid w:val="006B5946"/>
    <w:rsid w:val="006B60FD"/>
    <w:rsid w:val="006B667C"/>
    <w:rsid w:val="006B6D1C"/>
    <w:rsid w:val="006B77F7"/>
    <w:rsid w:val="006B7ECE"/>
    <w:rsid w:val="006C1A1F"/>
    <w:rsid w:val="006C2A58"/>
    <w:rsid w:val="006C31C4"/>
    <w:rsid w:val="006C3B66"/>
    <w:rsid w:val="006C3F16"/>
    <w:rsid w:val="006C5758"/>
    <w:rsid w:val="006C5B78"/>
    <w:rsid w:val="006C6C47"/>
    <w:rsid w:val="006D14EE"/>
    <w:rsid w:val="006D2A45"/>
    <w:rsid w:val="006D2AC6"/>
    <w:rsid w:val="006D3B28"/>
    <w:rsid w:val="006D3B82"/>
    <w:rsid w:val="006D42C8"/>
    <w:rsid w:val="006D4AD9"/>
    <w:rsid w:val="006D4FBE"/>
    <w:rsid w:val="006D5D0A"/>
    <w:rsid w:val="006D71B8"/>
    <w:rsid w:val="006E00B9"/>
    <w:rsid w:val="006E055C"/>
    <w:rsid w:val="006E08EC"/>
    <w:rsid w:val="006E0C74"/>
    <w:rsid w:val="006E0D54"/>
    <w:rsid w:val="006E0E0D"/>
    <w:rsid w:val="006E1911"/>
    <w:rsid w:val="006E1E72"/>
    <w:rsid w:val="006E1F9C"/>
    <w:rsid w:val="006E24D7"/>
    <w:rsid w:val="006E2C5A"/>
    <w:rsid w:val="006E3367"/>
    <w:rsid w:val="006E366A"/>
    <w:rsid w:val="006E3C8C"/>
    <w:rsid w:val="006E4019"/>
    <w:rsid w:val="006E4272"/>
    <w:rsid w:val="006E53E9"/>
    <w:rsid w:val="006E6137"/>
    <w:rsid w:val="006E6721"/>
    <w:rsid w:val="006E77F3"/>
    <w:rsid w:val="006F145A"/>
    <w:rsid w:val="006F19DB"/>
    <w:rsid w:val="006F27CB"/>
    <w:rsid w:val="006F2AF1"/>
    <w:rsid w:val="006F359B"/>
    <w:rsid w:val="006F3B1E"/>
    <w:rsid w:val="006F41F9"/>
    <w:rsid w:val="006F4754"/>
    <w:rsid w:val="006F520A"/>
    <w:rsid w:val="006F5865"/>
    <w:rsid w:val="006F5CAC"/>
    <w:rsid w:val="006F688D"/>
    <w:rsid w:val="006F72F5"/>
    <w:rsid w:val="0070007F"/>
    <w:rsid w:val="00701EC6"/>
    <w:rsid w:val="007039C4"/>
    <w:rsid w:val="00703A0F"/>
    <w:rsid w:val="00705379"/>
    <w:rsid w:val="00706179"/>
    <w:rsid w:val="00706683"/>
    <w:rsid w:val="0070761E"/>
    <w:rsid w:val="00711091"/>
    <w:rsid w:val="00712511"/>
    <w:rsid w:val="00713707"/>
    <w:rsid w:val="00713B56"/>
    <w:rsid w:val="00713F11"/>
    <w:rsid w:val="0071473C"/>
    <w:rsid w:val="00714F78"/>
    <w:rsid w:val="007151EF"/>
    <w:rsid w:val="007152B0"/>
    <w:rsid w:val="007158DC"/>
    <w:rsid w:val="00716223"/>
    <w:rsid w:val="00716D68"/>
    <w:rsid w:val="007170F7"/>
    <w:rsid w:val="00717A4F"/>
    <w:rsid w:val="00717C66"/>
    <w:rsid w:val="00717D09"/>
    <w:rsid w:val="0072043C"/>
    <w:rsid w:val="0072146E"/>
    <w:rsid w:val="00722F9F"/>
    <w:rsid w:val="00723F84"/>
    <w:rsid w:val="007253B8"/>
    <w:rsid w:val="00731BBD"/>
    <w:rsid w:val="00732BF6"/>
    <w:rsid w:val="00732C1F"/>
    <w:rsid w:val="00732DAF"/>
    <w:rsid w:val="00733569"/>
    <w:rsid w:val="00733AD6"/>
    <w:rsid w:val="00734CB5"/>
    <w:rsid w:val="007353C8"/>
    <w:rsid w:val="007355A7"/>
    <w:rsid w:val="00735902"/>
    <w:rsid w:val="00736A86"/>
    <w:rsid w:val="00736E7D"/>
    <w:rsid w:val="007374E3"/>
    <w:rsid w:val="00737A39"/>
    <w:rsid w:val="007402D5"/>
    <w:rsid w:val="007426B6"/>
    <w:rsid w:val="0074270F"/>
    <w:rsid w:val="00742771"/>
    <w:rsid w:val="007434CD"/>
    <w:rsid w:val="00743959"/>
    <w:rsid w:val="00745B65"/>
    <w:rsid w:val="00745F6F"/>
    <w:rsid w:val="007468BB"/>
    <w:rsid w:val="00746DEC"/>
    <w:rsid w:val="00747546"/>
    <w:rsid w:val="00747610"/>
    <w:rsid w:val="007509A6"/>
    <w:rsid w:val="007509A7"/>
    <w:rsid w:val="00750DE9"/>
    <w:rsid w:val="0075132F"/>
    <w:rsid w:val="00751E0C"/>
    <w:rsid w:val="007524F8"/>
    <w:rsid w:val="007532AF"/>
    <w:rsid w:val="00753F83"/>
    <w:rsid w:val="007541B0"/>
    <w:rsid w:val="00754334"/>
    <w:rsid w:val="0075469B"/>
    <w:rsid w:val="00754905"/>
    <w:rsid w:val="00755163"/>
    <w:rsid w:val="007558AD"/>
    <w:rsid w:val="00756423"/>
    <w:rsid w:val="007568F8"/>
    <w:rsid w:val="00756AAB"/>
    <w:rsid w:val="00756FB9"/>
    <w:rsid w:val="0075757D"/>
    <w:rsid w:val="00757F63"/>
    <w:rsid w:val="00761454"/>
    <w:rsid w:val="00763489"/>
    <w:rsid w:val="0076369A"/>
    <w:rsid w:val="007636E6"/>
    <w:rsid w:val="00764355"/>
    <w:rsid w:val="007645AE"/>
    <w:rsid w:val="00764632"/>
    <w:rsid w:val="00764992"/>
    <w:rsid w:val="007658BE"/>
    <w:rsid w:val="00765AAB"/>
    <w:rsid w:val="007665C9"/>
    <w:rsid w:val="0076719F"/>
    <w:rsid w:val="007701A2"/>
    <w:rsid w:val="00770C81"/>
    <w:rsid w:val="00770EC1"/>
    <w:rsid w:val="0077127E"/>
    <w:rsid w:val="007734B3"/>
    <w:rsid w:val="00773716"/>
    <w:rsid w:val="00773D13"/>
    <w:rsid w:val="00774BF3"/>
    <w:rsid w:val="00774EAB"/>
    <w:rsid w:val="00774FC1"/>
    <w:rsid w:val="00775A26"/>
    <w:rsid w:val="00775AA0"/>
    <w:rsid w:val="00776076"/>
    <w:rsid w:val="007770FA"/>
    <w:rsid w:val="00777407"/>
    <w:rsid w:val="007774E6"/>
    <w:rsid w:val="00777F7B"/>
    <w:rsid w:val="007815EF"/>
    <w:rsid w:val="00783AD0"/>
    <w:rsid w:val="00784334"/>
    <w:rsid w:val="00784E29"/>
    <w:rsid w:val="00786E2E"/>
    <w:rsid w:val="00787CD6"/>
    <w:rsid w:val="0079064B"/>
    <w:rsid w:val="00791738"/>
    <w:rsid w:val="00791780"/>
    <w:rsid w:val="00792D37"/>
    <w:rsid w:val="007939F8"/>
    <w:rsid w:val="00793DBD"/>
    <w:rsid w:val="00793F02"/>
    <w:rsid w:val="0079543B"/>
    <w:rsid w:val="007977BC"/>
    <w:rsid w:val="007A0EB7"/>
    <w:rsid w:val="007A2285"/>
    <w:rsid w:val="007A411F"/>
    <w:rsid w:val="007A508E"/>
    <w:rsid w:val="007A5F3F"/>
    <w:rsid w:val="007A6B44"/>
    <w:rsid w:val="007A7C16"/>
    <w:rsid w:val="007B072D"/>
    <w:rsid w:val="007B0FB4"/>
    <w:rsid w:val="007B20B5"/>
    <w:rsid w:val="007B29E6"/>
    <w:rsid w:val="007B3755"/>
    <w:rsid w:val="007B3DC7"/>
    <w:rsid w:val="007B4AD9"/>
    <w:rsid w:val="007B57E1"/>
    <w:rsid w:val="007B5CDA"/>
    <w:rsid w:val="007B5D4C"/>
    <w:rsid w:val="007B5DA3"/>
    <w:rsid w:val="007B6871"/>
    <w:rsid w:val="007B6BDE"/>
    <w:rsid w:val="007B7281"/>
    <w:rsid w:val="007B7670"/>
    <w:rsid w:val="007C08B1"/>
    <w:rsid w:val="007C0FEC"/>
    <w:rsid w:val="007C1A10"/>
    <w:rsid w:val="007C1A7C"/>
    <w:rsid w:val="007C2862"/>
    <w:rsid w:val="007C2CC2"/>
    <w:rsid w:val="007C30E7"/>
    <w:rsid w:val="007C32B1"/>
    <w:rsid w:val="007C38BD"/>
    <w:rsid w:val="007C51A1"/>
    <w:rsid w:val="007C5293"/>
    <w:rsid w:val="007C704C"/>
    <w:rsid w:val="007C79AA"/>
    <w:rsid w:val="007D0A71"/>
    <w:rsid w:val="007D0B90"/>
    <w:rsid w:val="007D0FB0"/>
    <w:rsid w:val="007D288D"/>
    <w:rsid w:val="007D2A10"/>
    <w:rsid w:val="007D31DA"/>
    <w:rsid w:val="007D4397"/>
    <w:rsid w:val="007D4493"/>
    <w:rsid w:val="007D4AEC"/>
    <w:rsid w:val="007D59C5"/>
    <w:rsid w:val="007D5E07"/>
    <w:rsid w:val="007D6FE2"/>
    <w:rsid w:val="007D72C5"/>
    <w:rsid w:val="007D74BE"/>
    <w:rsid w:val="007E02A8"/>
    <w:rsid w:val="007E15D4"/>
    <w:rsid w:val="007E2EFC"/>
    <w:rsid w:val="007E35B9"/>
    <w:rsid w:val="007E446C"/>
    <w:rsid w:val="007E4BE2"/>
    <w:rsid w:val="007E4E85"/>
    <w:rsid w:val="007E525D"/>
    <w:rsid w:val="007E5D0C"/>
    <w:rsid w:val="007E6C2F"/>
    <w:rsid w:val="007E7567"/>
    <w:rsid w:val="007E7C7D"/>
    <w:rsid w:val="007E7F27"/>
    <w:rsid w:val="007F0323"/>
    <w:rsid w:val="007F0584"/>
    <w:rsid w:val="007F0F07"/>
    <w:rsid w:val="007F2EEB"/>
    <w:rsid w:val="007F2FB1"/>
    <w:rsid w:val="007F3456"/>
    <w:rsid w:val="007F379E"/>
    <w:rsid w:val="007F389E"/>
    <w:rsid w:val="007F4390"/>
    <w:rsid w:val="007F457F"/>
    <w:rsid w:val="007F471C"/>
    <w:rsid w:val="007F6805"/>
    <w:rsid w:val="007F7D29"/>
    <w:rsid w:val="00800193"/>
    <w:rsid w:val="00800C90"/>
    <w:rsid w:val="0080194F"/>
    <w:rsid w:val="00804F4C"/>
    <w:rsid w:val="00805A1C"/>
    <w:rsid w:val="008060EA"/>
    <w:rsid w:val="008071C6"/>
    <w:rsid w:val="008125F8"/>
    <w:rsid w:val="00812766"/>
    <w:rsid w:val="00814940"/>
    <w:rsid w:val="00817D7E"/>
    <w:rsid w:val="00820C67"/>
    <w:rsid w:val="00821A99"/>
    <w:rsid w:val="00821C9F"/>
    <w:rsid w:val="00822F41"/>
    <w:rsid w:val="00823093"/>
    <w:rsid w:val="00824488"/>
    <w:rsid w:val="00824AC8"/>
    <w:rsid w:val="00824BF5"/>
    <w:rsid w:val="008261AC"/>
    <w:rsid w:val="008264C4"/>
    <w:rsid w:val="0082707F"/>
    <w:rsid w:val="00830F59"/>
    <w:rsid w:val="00831B4E"/>
    <w:rsid w:val="00834CD0"/>
    <w:rsid w:val="00834CE0"/>
    <w:rsid w:val="00836289"/>
    <w:rsid w:val="00840632"/>
    <w:rsid w:val="0084110F"/>
    <w:rsid w:val="0084193B"/>
    <w:rsid w:val="00841C27"/>
    <w:rsid w:val="0084247D"/>
    <w:rsid w:val="00842BD5"/>
    <w:rsid w:val="0084304B"/>
    <w:rsid w:val="00843C2B"/>
    <w:rsid w:val="00843E79"/>
    <w:rsid w:val="0084454C"/>
    <w:rsid w:val="00844B1D"/>
    <w:rsid w:val="00844F5C"/>
    <w:rsid w:val="00845843"/>
    <w:rsid w:val="0084631E"/>
    <w:rsid w:val="008465DD"/>
    <w:rsid w:val="00846D34"/>
    <w:rsid w:val="0084767E"/>
    <w:rsid w:val="008479DB"/>
    <w:rsid w:val="008500F5"/>
    <w:rsid w:val="00851C89"/>
    <w:rsid w:val="0085293F"/>
    <w:rsid w:val="00853868"/>
    <w:rsid w:val="0085415C"/>
    <w:rsid w:val="00854FCC"/>
    <w:rsid w:val="00855641"/>
    <w:rsid w:val="008565B7"/>
    <w:rsid w:val="00857AE4"/>
    <w:rsid w:val="0086042F"/>
    <w:rsid w:val="0086098F"/>
    <w:rsid w:val="008628BA"/>
    <w:rsid w:val="00863020"/>
    <w:rsid w:val="0086316C"/>
    <w:rsid w:val="008637EC"/>
    <w:rsid w:val="00863B3F"/>
    <w:rsid w:val="00863C83"/>
    <w:rsid w:val="00863F79"/>
    <w:rsid w:val="0086489A"/>
    <w:rsid w:val="00866B20"/>
    <w:rsid w:val="00867033"/>
    <w:rsid w:val="00867088"/>
    <w:rsid w:val="00867AA5"/>
    <w:rsid w:val="00867B8C"/>
    <w:rsid w:val="00867BD3"/>
    <w:rsid w:val="00870BC6"/>
    <w:rsid w:val="0087301B"/>
    <w:rsid w:val="008738D3"/>
    <w:rsid w:val="00873E60"/>
    <w:rsid w:val="0087516C"/>
    <w:rsid w:val="00875178"/>
    <w:rsid w:val="00875DAD"/>
    <w:rsid w:val="00877B84"/>
    <w:rsid w:val="0088036D"/>
    <w:rsid w:val="00880BFA"/>
    <w:rsid w:val="00881155"/>
    <w:rsid w:val="0088160E"/>
    <w:rsid w:val="0088198B"/>
    <w:rsid w:val="00881F97"/>
    <w:rsid w:val="008825AC"/>
    <w:rsid w:val="00882892"/>
    <w:rsid w:val="008847E3"/>
    <w:rsid w:val="008847F5"/>
    <w:rsid w:val="00884C51"/>
    <w:rsid w:val="00885A14"/>
    <w:rsid w:val="0088689B"/>
    <w:rsid w:val="0088723A"/>
    <w:rsid w:val="00887BC9"/>
    <w:rsid w:val="00890FA0"/>
    <w:rsid w:val="00891DBE"/>
    <w:rsid w:val="008926A2"/>
    <w:rsid w:val="00892E92"/>
    <w:rsid w:val="00893095"/>
    <w:rsid w:val="00893E45"/>
    <w:rsid w:val="008947BF"/>
    <w:rsid w:val="0089525B"/>
    <w:rsid w:val="00896D15"/>
    <w:rsid w:val="00896D16"/>
    <w:rsid w:val="008976BB"/>
    <w:rsid w:val="00897B0E"/>
    <w:rsid w:val="008A0BD1"/>
    <w:rsid w:val="008A0CBE"/>
    <w:rsid w:val="008A1CA8"/>
    <w:rsid w:val="008A214D"/>
    <w:rsid w:val="008A3584"/>
    <w:rsid w:val="008A37BD"/>
    <w:rsid w:val="008A6348"/>
    <w:rsid w:val="008A72D2"/>
    <w:rsid w:val="008A74A3"/>
    <w:rsid w:val="008A76CD"/>
    <w:rsid w:val="008B1C8C"/>
    <w:rsid w:val="008B2092"/>
    <w:rsid w:val="008B2BF9"/>
    <w:rsid w:val="008B3364"/>
    <w:rsid w:val="008B34DC"/>
    <w:rsid w:val="008B3867"/>
    <w:rsid w:val="008B5430"/>
    <w:rsid w:val="008B5655"/>
    <w:rsid w:val="008B56A5"/>
    <w:rsid w:val="008B6868"/>
    <w:rsid w:val="008B6D24"/>
    <w:rsid w:val="008B743C"/>
    <w:rsid w:val="008C133E"/>
    <w:rsid w:val="008C21A1"/>
    <w:rsid w:val="008C2FFF"/>
    <w:rsid w:val="008C34F7"/>
    <w:rsid w:val="008C38CE"/>
    <w:rsid w:val="008C392E"/>
    <w:rsid w:val="008C5D20"/>
    <w:rsid w:val="008C6A43"/>
    <w:rsid w:val="008D06C1"/>
    <w:rsid w:val="008D080C"/>
    <w:rsid w:val="008D0F89"/>
    <w:rsid w:val="008D39DF"/>
    <w:rsid w:val="008D459B"/>
    <w:rsid w:val="008D50EA"/>
    <w:rsid w:val="008D603D"/>
    <w:rsid w:val="008D6437"/>
    <w:rsid w:val="008D66D1"/>
    <w:rsid w:val="008D6EDF"/>
    <w:rsid w:val="008D6F10"/>
    <w:rsid w:val="008E2566"/>
    <w:rsid w:val="008E2CE2"/>
    <w:rsid w:val="008E3C3B"/>
    <w:rsid w:val="008E3EF5"/>
    <w:rsid w:val="008E532C"/>
    <w:rsid w:val="008E677A"/>
    <w:rsid w:val="008E6955"/>
    <w:rsid w:val="008E69EC"/>
    <w:rsid w:val="008F0A4D"/>
    <w:rsid w:val="008F31D3"/>
    <w:rsid w:val="008F33B5"/>
    <w:rsid w:val="008F3A2F"/>
    <w:rsid w:val="008F3B2F"/>
    <w:rsid w:val="008F6084"/>
    <w:rsid w:val="008F65FF"/>
    <w:rsid w:val="008F6F29"/>
    <w:rsid w:val="008F712A"/>
    <w:rsid w:val="008F7B8B"/>
    <w:rsid w:val="00900C67"/>
    <w:rsid w:val="009010CD"/>
    <w:rsid w:val="00901B23"/>
    <w:rsid w:val="00902084"/>
    <w:rsid w:val="00902603"/>
    <w:rsid w:val="009036D7"/>
    <w:rsid w:val="00904A32"/>
    <w:rsid w:val="00906799"/>
    <w:rsid w:val="009074B2"/>
    <w:rsid w:val="00910200"/>
    <w:rsid w:val="009106DA"/>
    <w:rsid w:val="009114EC"/>
    <w:rsid w:val="009132B9"/>
    <w:rsid w:val="0091367E"/>
    <w:rsid w:val="00915529"/>
    <w:rsid w:val="00915C0C"/>
    <w:rsid w:val="00915EAB"/>
    <w:rsid w:val="00916AC0"/>
    <w:rsid w:val="00916B63"/>
    <w:rsid w:val="00916D58"/>
    <w:rsid w:val="00917195"/>
    <w:rsid w:val="00917605"/>
    <w:rsid w:val="00917AB2"/>
    <w:rsid w:val="00920179"/>
    <w:rsid w:val="00920ACB"/>
    <w:rsid w:val="00922193"/>
    <w:rsid w:val="00922968"/>
    <w:rsid w:val="00923E3C"/>
    <w:rsid w:val="00924152"/>
    <w:rsid w:val="00925111"/>
    <w:rsid w:val="00926072"/>
    <w:rsid w:val="009267BB"/>
    <w:rsid w:val="00927294"/>
    <w:rsid w:val="0093194D"/>
    <w:rsid w:val="00931DC8"/>
    <w:rsid w:val="00932445"/>
    <w:rsid w:val="009337AF"/>
    <w:rsid w:val="00933C8C"/>
    <w:rsid w:val="00934C3F"/>
    <w:rsid w:val="00934D2F"/>
    <w:rsid w:val="0093562D"/>
    <w:rsid w:val="009362CC"/>
    <w:rsid w:val="009367F1"/>
    <w:rsid w:val="00937ABB"/>
    <w:rsid w:val="009417AE"/>
    <w:rsid w:val="00941A9D"/>
    <w:rsid w:val="009424CF"/>
    <w:rsid w:val="0094295B"/>
    <w:rsid w:val="00943033"/>
    <w:rsid w:val="00944C35"/>
    <w:rsid w:val="00945635"/>
    <w:rsid w:val="00945B3F"/>
    <w:rsid w:val="00945D1B"/>
    <w:rsid w:val="00946C4E"/>
    <w:rsid w:val="00946FE8"/>
    <w:rsid w:val="00947899"/>
    <w:rsid w:val="0095058A"/>
    <w:rsid w:val="00950DCB"/>
    <w:rsid w:val="009518A0"/>
    <w:rsid w:val="00952C90"/>
    <w:rsid w:val="00952D47"/>
    <w:rsid w:val="00952D4C"/>
    <w:rsid w:val="00953192"/>
    <w:rsid w:val="00954B8C"/>
    <w:rsid w:val="009558B5"/>
    <w:rsid w:val="00955D5B"/>
    <w:rsid w:val="0095727C"/>
    <w:rsid w:val="009601D9"/>
    <w:rsid w:val="00960246"/>
    <w:rsid w:val="00960C05"/>
    <w:rsid w:val="009618BC"/>
    <w:rsid w:val="009626D7"/>
    <w:rsid w:val="009629D7"/>
    <w:rsid w:val="00962FDB"/>
    <w:rsid w:val="00963E05"/>
    <w:rsid w:val="0096400D"/>
    <w:rsid w:val="009663B6"/>
    <w:rsid w:val="00966A8A"/>
    <w:rsid w:val="00966E9E"/>
    <w:rsid w:val="0097188E"/>
    <w:rsid w:val="009720E1"/>
    <w:rsid w:val="00973B62"/>
    <w:rsid w:val="00973DBC"/>
    <w:rsid w:val="009740E8"/>
    <w:rsid w:val="00974291"/>
    <w:rsid w:val="009749C9"/>
    <w:rsid w:val="00974F0E"/>
    <w:rsid w:val="009754B4"/>
    <w:rsid w:val="009758AE"/>
    <w:rsid w:val="00975CD7"/>
    <w:rsid w:val="009760E4"/>
    <w:rsid w:val="00980F1D"/>
    <w:rsid w:val="00981912"/>
    <w:rsid w:val="00982A14"/>
    <w:rsid w:val="00982C01"/>
    <w:rsid w:val="00982E00"/>
    <w:rsid w:val="00984D53"/>
    <w:rsid w:val="00984EA6"/>
    <w:rsid w:val="009855CE"/>
    <w:rsid w:val="0098581D"/>
    <w:rsid w:val="009858ED"/>
    <w:rsid w:val="00985E70"/>
    <w:rsid w:val="00985F62"/>
    <w:rsid w:val="0098723B"/>
    <w:rsid w:val="00987744"/>
    <w:rsid w:val="0098783B"/>
    <w:rsid w:val="00990881"/>
    <w:rsid w:val="00991086"/>
    <w:rsid w:val="0099199A"/>
    <w:rsid w:val="0099243C"/>
    <w:rsid w:val="00993C2B"/>
    <w:rsid w:val="009960D2"/>
    <w:rsid w:val="009979F4"/>
    <w:rsid w:val="009A26D8"/>
    <w:rsid w:val="009A35D7"/>
    <w:rsid w:val="009A4242"/>
    <w:rsid w:val="009A45B2"/>
    <w:rsid w:val="009A5585"/>
    <w:rsid w:val="009A59D5"/>
    <w:rsid w:val="009A65A7"/>
    <w:rsid w:val="009A7982"/>
    <w:rsid w:val="009A7EC8"/>
    <w:rsid w:val="009B2CB7"/>
    <w:rsid w:val="009B38BC"/>
    <w:rsid w:val="009B3C9A"/>
    <w:rsid w:val="009B4048"/>
    <w:rsid w:val="009B4803"/>
    <w:rsid w:val="009B4ADA"/>
    <w:rsid w:val="009B5A37"/>
    <w:rsid w:val="009C13DB"/>
    <w:rsid w:val="009C1572"/>
    <w:rsid w:val="009C4911"/>
    <w:rsid w:val="009C49DF"/>
    <w:rsid w:val="009D0E93"/>
    <w:rsid w:val="009D1824"/>
    <w:rsid w:val="009D1993"/>
    <w:rsid w:val="009D2DDD"/>
    <w:rsid w:val="009D5D3B"/>
    <w:rsid w:val="009D786A"/>
    <w:rsid w:val="009E0236"/>
    <w:rsid w:val="009E0C10"/>
    <w:rsid w:val="009E0D6E"/>
    <w:rsid w:val="009E0F10"/>
    <w:rsid w:val="009E1980"/>
    <w:rsid w:val="009E1AE6"/>
    <w:rsid w:val="009E2185"/>
    <w:rsid w:val="009E3210"/>
    <w:rsid w:val="009E4116"/>
    <w:rsid w:val="009E576F"/>
    <w:rsid w:val="009E585F"/>
    <w:rsid w:val="009E5DD5"/>
    <w:rsid w:val="009E6F4B"/>
    <w:rsid w:val="009F07F1"/>
    <w:rsid w:val="009F1AD6"/>
    <w:rsid w:val="009F1D4D"/>
    <w:rsid w:val="009F276D"/>
    <w:rsid w:val="009F67E6"/>
    <w:rsid w:val="009F6994"/>
    <w:rsid w:val="009F7CCE"/>
    <w:rsid w:val="00A00C4D"/>
    <w:rsid w:val="00A05A8B"/>
    <w:rsid w:val="00A06856"/>
    <w:rsid w:val="00A06BF6"/>
    <w:rsid w:val="00A06C0C"/>
    <w:rsid w:val="00A06C3A"/>
    <w:rsid w:val="00A07A87"/>
    <w:rsid w:val="00A101A2"/>
    <w:rsid w:val="00A10DA6"/>
    <w:rsid w:val="00A11825"/>
    <w:rsid w:val="00A11BE1"/>
    <w:rsid w:val="00A11D38"/>
    <w:rsid w:val="00A11DDF"/>
    <w:rsid w:val="00A1201F"/>
    <w:rsid w:val="00A1213D"/>
    <w:rsid w:val="00A131AB"/>
    <w:rsid w:val="00A13CE8"/>
    <w:rsid w:val="00A151E9"/>
    <w:rsid w:val="00A1530C"/>
    <w:rsid w:val="00A155FD"/>
    <w:rsid w:val="00A15DBB"/>
    <w:rsid w:val="00A20720"/>
    <w:rsid w:val="00A2145F"/>
    <w:rsid w:val="00A21CAA"/>
    <w:rsid w:val="00A24D79"/>
    <w:rsid w:val="00A24E18"/>
    <w:rsid w:val="00A254CE"/>
    <w:rsid w:val="00A259F2"/>
    <w:rsid w:val="00A25C68"/>
    <w:rsid w:val="00A26622"/>
    <w:rsid w:val="00A2758A"/>
    <w:rsid w:val="00A302AD"/>
    <w:rsid w:val="00A31746"/>
    <w:rsid w:val="00A33219"/>
    <w:rsid w:val="00A33802"/>
    <w:rsid w:val="00A3437C"/>
    <w:rsid w:val="00A34A0D"/>
    <w:rsid w:val="00A3566C"/>
    <w:rsid w:val="00A35878"/>
    <w:rsid w:val="00A37162"/>
    <w:rsid w:val="00A37350"/>
    <w:rsid w:val="00A374E4"/>
    <w:rsid w:val="00A37E51"/>
    <w:rsid w:val="00A40FB0"/>
    <w:rsid w:val="00A41001"/>
    <w:rsid w:val="00A412B0"/>
    <w:rsid w:val="00A42190"/>
    <w:rsid w:val="00A4440D"/>
    <w:rsid w:val="00A44437"/>
    <w:rsid w:val="00A44908"/>
    <w:rsid w:val="00A4586A"/>
    <w:rsid w:val="00A47291"/>
    <w:rsid w:val="00A47A69"/>
    <w:rsid w:val="00A519AE"/>
    <w:rsid w:val="00A51E2D"/>
    <w:rsid w:val="00A52428"/>
    <w:rsid w:val="00A5319F"/>
    <w:rsid w:val="00A53319"/>
    <w:rsid w:val="00A5333C"/>
    <w:rsid w:val="00A53690"/>
    <w:rsid w:val="00A565C0"/>
    <w:rsid w:val="00A5671F"/>
    <w:rsid w:val="00A56F58"/>
    <w:rsid w:val="00A61084"/>
    <w:rsid w:val="00A617D8"/>
    <w:rsid w:val="00A62138"/>
    <w:rsid w:val="00A6232D"/>
    <w:rsid w:val="00A62777"/>
    <w:rsid w:val="00A62D31"/>
    <w:rsid w:val="00A63380"/>
    <w:rsid w:val="00A63BC8"/>
    <w:rsid w:val="00A64CAE"/>
    <w:rsid w:val="00A65460"/>
    <w:rsid w:val="00A65B74"/>
    <w:rsid w:val="00A66426"/>
    <w:rsid w:val="00A70733"/>
    <w:rsid w:val="00A70AF8"/>
    <w:rsid w:val="00A71019"/>
    <w:rsid w:val="00A72A45"/>
    <w:rsid w:val="00A72F5A"/>
    <w:rsid w:val="00A730AE"/>
    <w:rsid w:val="00A7367A"/>
    <w:rsid w:val="00A7537C"/>
    <w:rsid w:val="00A75B06"/>
    <w:rsid w:val="00A765F7"/>
    <w:rsid w:val="00A76E54"/>
    <w:rsid w:val="00A804B7"/>
    <w:rsid w:val="00A80A71"/>
    <w:rsid w:val="00A8129D"/>
    <w:rsid w:val="00A817A6"/>
    <w:rsid w:val="00A820A7"/>
    <w:rsid w:val="00A820C2"/>
    <w:rsid w:val="00A833E2"/>
    <w:rsid w:val="00A841D7"/>
    <w:rsid w:val="00A8429F"/>
    <w:rsid w:val="00A84704"/>
    <w:rsid w:val="00A865C7"/>
    <w:rsid w:val="00A872ED"/>
    <w:rsid w:val="00A87C3B"/>
    <w:rsid w:val="00A9087D"/>
    <w:rsid w:val="00A909CC"/>
    <w:rsid w:val="00A93F82"/>
    <w:rsid w:val="00A9426B"/>
    <w:rsid w:val="00A964A5"/>
    <w:rsid w:val="00A97A46"/>
    <w:rsid w:val="00A97E38"/>
    <w:rsid w:val="00A97E3B"/>
    <w:rsid w:val="00AA00CB"/>
    <w:rsid w:val="00AA0352"/>
    <w:rsid w:val="00AA0CA8"/>
    <w:rsid w:val="00AA20A1"/>
    <w:rsid w:val="00AA384E"/>
    <w:rsid w:val="00AA3A60"/>
    <w:rsid w:val="00AA41F2"/>
    <w:rsid w:val="00AA44CD"/>
    <w:rsid w:val="00AA5617"/>
    <w:rsid w:val="00AA680F"/>
    <w:rsid w:val="00AA6F80"/>
    <w:rsid w:val="00AA6FD2"/>
    <w:rsid w:val="00AB0022"/>
    <w:rsid w:val="00AB0263"/>
    <w:rsid w:val="00AB039E"/>
    <w:rsid w:val="00AB0DDB"/>
    <w:rsid w:val="00AB1F3C"/>
    <w:rsid w:val="00AB3B61"/>
    <w:rsid w:val="00AB4206"/>
    <w:rsid w:val="00AB469D"/>
    <w:rsid w:val="00AB47EA"/>
    <w:rsid w:val="00AB54FB"/>
    <w:rsid w:val="00AB57DA"/>
    <w:rsid w:val="00AB6E63"/>
    <w:rsid w:val="00AB7107"/>
    <w:rsid w:val="00AB73AB"/>
    <w:rsid w:val="00AB7BD3"/>
    <w:rsid w:val="00AB7CB3"/>
    <w:rsid w:val="00AC0470"/>
    <w:rsid w:val="00AC06A3"/>
    <w:rsid w:val="00AC07D3"/>
    <w:rsid w:val="00AC1433"/>
    <w:rsid w:val="00AC1C12"/>
    <w:rsid w:val="00AC24DD"/>
    <w:rsid w:val="00AC28E1"/>
    <w:rsid w:val="00AC2962"/>
    <w:rsid w:val="00AC3520"/>
    <w:rsid w:val="00AC45C4"/>
    <w:rsid w:val="00AC4EBF"/>
    <w:rsid w:val="00AC582B"/>
    <w:rsid w:val="00AC58AD"/>
    <w:rsid w:val="00AC5A98"/>
    <w:rsid w:val="00AC6BAB"/>
    <w:rsid w:val="00AC6E0E"/>
    <w:rsid w:val="00AC78AF"/>
    <w:rsid w:val="00AC7E54"/>
    <w:rsid w:val="00AD1443"/>
    <w:rsid w:val="00AD192B"/>
    <w:rsid w:val="00AD1F12"/>
    <w:rsid w:val="00AD1F82"/>
    <w:rsid w:val="00AD282F"/>
    <w:rsid w:val="00AD393D"/>
    <w:rsid w:val="00AD46EE"/>
    <w:rsid w:val="00AD4A6A"/>
    <w:rsid w:val="00AD5526"/>
    <w:rsid w:val="00AD578E"/>
    <w:rsid w:val="00AD7CB0"/>
    <w:rsid w:val="00AE0359"/>
    <w:rsid w:val="00AE0761"/>
    <w:rsid w:val="00AE15BD"/>
    <w:rsid w:val="00AE49AD"/>
    <w:rsid w:val="00AE4C44"/>
    <w:rsid w:val="00AE4E9A"/>
    <w:rsid w:val="00AE6A4E"/>
    <w:rsid w:val="00AE7AC6"/>
    <w:rsid w:val="00AE7B98"/>
    <w:rsid w:val="00AF0755"/>
    <w:rsid w:val="00AF129F"/>
    <w:rsid w:val="00AF1477"/>
    <w:rsid w:val="00AF1BC0"/>
    <w:rsid w:val="00AF24AD"/>
    <w:rsid w:val="00AF2844"/>
    <w:rsid w:val="00AF4030"/>
    <w:rsid w:val="00AF50F9"/>
    <w:rsid w:val="00AF5741"/>
    <w:rsid w:val="00AF5C08"/>
    <w:rsid w:val="00AF6329"/>
    <w:rsid w:val="00AF6791"/>
    <w:rsid w:val="00AF76F4"/>
    <w:rsid w:val="00B002E7"/>
    <w:rsid w:val="00B00DA5"/>
    <w:rsid w:val="00B012B9"/>
    <w:rsid w:val="00B024DE"/>
    <w:rsid w:val="00B051F9"/>
    <w:rsid w:val="00B06B29"/>
    <w:rsid w:val="00B07C9E"/>
    <w:rsid w:val="00B101A6"/>
    <w:rsid w:val="00B1111B"/>
    <w:rsid w:val="00B12705"/>
    <w:rsid w:val="00B12A2B"/>
    <w:rsid w:val="00B12D1B"/>
    <w:rsid w:val="00B12DC9"/>
    <w:rsid w:val="00B13A24"/>
    <w:rsid w:val="00B13F84"/>
    <w:rsid w:val="00B14604"/>
    <w:rsid w:val="00B15ABA"/>
    <w:rsid w:val="00B15C13"/>
    <w:rsid w:val="00B15F96"/>
    <w:rsid w:val="00B167BC"/>
    <w:rsid w:val="00B20DFD"/>
    <w:rsid w:val="00B220FE"/>
    <w:rsid w:val="00B22B76"/>
    <w:rsid w:val="00B2354B"/>
    <w:rsid w:val="00B24824"/>
    <w:rsid w:val="00B24923"/>
    <w:rsid w:val="00B24957"/>
    <w:rsid w:val="00B24980"/>
    <w:rsid w:val="00B24DD4"/>
    <w:rsid w:val="00B256EE"/>
    <w:rsid w:val="00B25A5D"/>
    <w:rsid w:val="00B3050B"/>
    <w:rsid w:val="00B32251"/>
    <w:rsid w:val="00B333D0"/>
    <w:rsid w:val="00B339E5"/>
    <w:rsid w:val="00B33E76"/>
    <w:rsid w:val="00B34339"/>
    <w:rsid w:val="00B35022"/>
    <w:rsid w:val="00B37023"/>
    <w:rsid w:val="00B37312"/>
    <w:rsid w:val="00B4090E"/>
    <w:rsid w:val="00B4173A"/>
    <w:rsid w:val="00B42B2F"/>
    <w:rsid w:val="00B43038"/>
    <w:rsid w:val="00B435AE"/>
    <w:rsid w:val="00B43B73"/>
    <w:rsid w:val="00B446A8"/>
    <w:rsid w:val="00B44900"/>
    <w:rsid w:val="00B467F6"/>
    <w:rsid w:val="00B472E1"/>
    <w:rsid w:val="00B50355"/>
    <w:rsid w:val="00B51318"/>
    <w:rsid w:val="00B520F3"/>
    <w:rsid w:val="00B52821"/>
    <w:rsid w:val="00B52971"/>
    <w:rsid w:val="00B52BF8"/>
    <w:rsid w:val="00B536C1"/>
    <w:rsid w:val="00B53E1B"/>
    <w:rsid w:val="00B54AA9"/>
    <w:rsid w:val="00B54D52"/>
    <w:rsid w:val="00B556BD"/>
    <w:rsid w:val="00B565FC"/>
    <w:rsid w:val="00B567F0"/>
    <w:rsid w:val="00B60059"/>
    <w:rsid w:val="00B601EA"/>
    <w:rsid w:val="00B60A87"/>
    <w:rsid w:val="00B60F8E"/>
    <w:rsid w:val="00B61942"/>
    <w:rsid w:val="00B6214D"/>
    <w:rsid w:val="00B62805"/>
    <w:rsid w:val="00B62E7F"/>
    <w:rsid w:val="00B63426"/>
    <w:rsid w:val="00B63B75"/>
    <w:rsid w:val="00B64824"/>
    <w:rsid w:val="00B653AA"/>
    <w:rsid w:val="00B66010"/>
    <w:rsid w:val="00B66123"/>
    <w:rsid w:val="00B661CC"/>
    <w:rsid w:val="00B703F9"/>
    <w:rsid w:val="00B70C6E"/>
    <w:rsid w:val="00B71099"/>
    <w:rsid w:val="00B71170"/>
    <w:rsid w:val="00B7343B"/>
    <w:rsid w:val="00B73F37"/>
    <w:rsid w:val="00B743E5"/>
    <w:rsid w:val="00B7463C"/>
    <w:rsid w:val="00B75BCC"/>
    <w:rsid w:val="00B77771"/>
    <w:rsid w:val="00B808E8"/>
    <w:rsid w:val="00B80BCE"/>
    <w:rsid w:val="00B81364"/>
    <w:rsid w:val="00B81524"/>
    <w:rsid w:val="00B81740"/>
    <w:rsid w:val="00B82359"/>
    <w:rsid w:val="00B83542"/>
    <w:rsid w:val="00B8400C"/>
    <w:rsid w:val="00B85D7B"/>
    <w:rsid w:val="00B866AD"/>
    <w:rsid w:val="00B900EA"/>
    <w:rsid w:val="00B90428"/>
    <w:rsid w:val="00B91069"/>
    <w:rsid w:val="00B91C91"/>
    <w:rsid w:val="00B92842"/>
    <w:rsid w:val="00B93B6D"/>
    <w:rsid w:val="00B93C2E"/>
    <w:rsid w:val="00B93F9D"/>
    <w:rsid w:val="00B94843"/>
    <w:rsid w:val="00B966B2"/>
    <w:rsid w:val="00B96FC2"/>
    <w:rsid w:val="00BA1FCD"/>
    <w:rsid w:val="00BA20EF"/>
    <w:rsid w:val="00BA2713"/>
    <w:rsid w:val="00BA2941"/>
    <w:rsid w:val="00BA4C61"/>
    <w:rsid w:val="00BA5F5C"/>
    <w:rsid w:val="00BA627A"/>
    <w:rsid w:val="00BA6BA0"/>
    <w:rsid w:val="00BB031D"/>
    <w:rsid w:val="00BB22FA"/>
    <w:rsid w:val="00BB2437"/>
    <w:rsid w:val="00BB2A6F"/>
    <w:rsid w:val="00BB373F"/>
    <w:rsid w:val="00BB3E47"/>
    <w:rsid w:val="00BB4EFA"/>
    <w:rsid w:val="00BB58BA"/>
    <w:rsid w:val="00BB6983"/>
    <w:rsid w:val="00BB7367"/>
    <w:rsid w:val="00BB78BA"/>
    <w:rsid w:val="00BB7EB9"/>
    <w:rsid w:val="00BC1503"/>
    <w:rsid w:val="00BC1DD1"/>
    <w:rsid w:val="00BC1F63"/>
    <w:rsid w:val="00BC233C"/>
    <w:rsid w:val="00BC4A1A"/>
    <w:rsid w:val="00BC59E2"/>
    <w:rsid w:val="00BC7B25"/>
    <w:rsid w:val="00BC7D22"/>
    <w:rsid w:val="00BC7F49"/>
    <w:rsid w:val="00BD12A1"/>
    <w:rsid w:val="00BD13D2"/>
    <w:rsid w:val="00BD1D09"/>
    <w:rsid w:val="00BD21B0"/>
    <w:rsid w:val="00BD22E7"/>
    <w:rsid w:val="00BD2D1F"/>
    <w:rsid w:val="00BD38A4"/>
    <w:rsid w:val="00BD4FDE"/>
    <w:rsid w:val="00BD7B83"/>
    <w:rsid w:val="00BD7ECA"/>
    <w:rsid w:val="00BE0D20"/>
    <w:rsid w:val="00BE22EE"/>
    <w:rsid w:val="00BE26F7"/>
    <w:rsid w:val="00BE2B47"/>
    <w:rsid w:val="00BE2C6D"/>
    <w:rsid w:val="00BE59E7"/>
    <w:rsid w:val="00BE5B8F"/>
    <w:rsid w:val="00BE6CE6"/>
    <w:rsid w:val="00BE73F6"/>
    <w:rsid w:val="00BE7D8A"/>
    <w:rsid w:val="00BF00A8"/>
    <w:rsid w:val="00BF17C6"/>
    <w:rsid w:val="00BF19B2"/>
    <w:rsid w:val="00BF1C83"/>
    <w:rsid w:val="00BF41C6"/>
    <w:rsid w:val="00BF6AC3"/>
    <w:rsid w:val="00BF6F09"/>
    <w:rsid w:val="00C00B60"/>
    <w:rsid w:val="00C00FDA"/>
    <w:rsid w:val="00C015AE"/>
    <w:rsid w:val="00C01A84"/>
    <w:rsid w:val="00C02EB9"/>
    <w:rsid w:val="00C02FE5"/>
    <w:rsid w:val="00C03311"/>
    <w:rsid w:val="00C0373C"/>
    <w:rsid w:val="00C0486E"/>
    <w:rsid w:val="00C04E4B"/>
    <w:rsid w:val="00C05F4D"/>
    <w:rsid w:val="00C10D2D"/>
    <w:rsid w:val="00C113CE"/>
    <w:rsid w:val="00C11531"/>
    <w:rsid w:val="00C11B56"/>
    <w:rsid w:val="00C11D9D"/>
    <w:rsid w:val="00C13A44"/>
    <w:rsid w:val="00C14C04"/>
    <w:rsid w:val="00C14FE3"/>
    <w:rsid w:val="00C153BA"/>
    <w:rsid w:val="00C16045"/>
    <w:rsid w:val="00C16FA4"/>
    <w:rsid w:val="00C17919"/>
    <w:rsid w:val="00C17E8F"/>
    <w:rsid w:val="00C207E7"/>
    <w:rsid w:val="00C21255"/>
    <w:rsid w:val="00C21869"/>
    <w:rsid w:val="00C21E27"/>
    <w:rsid w:val="00C21FA3"/>
    <w:rsid w:val="00C2332A"/>
    <w:rsid w:val="00C23F18"/>
    <w:rsid w:val="00C24B14"/>
    <w:rsid w:val="00C24B77"/>
    <w:rsid w:val="00C2508D"/>
    <w:rsid w:val="00C27F56"/>
    <w:rsid w:val="00C27FE1"/>
    <w:rsid w:val="00C30895"/>
    <w:rsid w:val="00C308A9"/>
    <w:rsid w:val="00C3122D"/>
    <w:rsid w:val="00C32B14"/>
    <w:rsid w:val="00C339FE"/>
    <w:rsid w:val="00C342BF"/>
    <w:rsid w:val="00C34554"/>
    <w:rsid w:val="00C36262"/>
    <w:rsid w:val="00C3696C"/>
    <w:rsid w:val="00C371F7"/>
    <w:rsid w:val="00C379AC"/>
    <w:rsid w:val="00C42269"/>
    <w:rsid w:val="00C42D9B"/>
    <w:rsid w:val="00C42EA5"/>
    <w:rsid w:val="00C4496F"/>
    <w:rsid w:val="00C44A6B"/>
    <w:rsid w:val="00C459C4"/>
    <w:rsid w:val="00C46C34"/>
    <w:rsid w:val="00C47962"/>
    <w:rsid w:val="00C47C54"/>
    <w:rsid w:val="00C5030C"/>
    <w:rsid w:val="00C50E68"/>
    <w:rsid w:val="00C511CF"/>
    <w:rsid w:val="00C529E8"/>
    <w:rsid w:val="00C52E2B"/>
    <w:rsid w:val="00C53E3B"/>
    <w:rsid w:val="00C5416E"/>
    <w:rsid w:val="00C54528"/>
    <w:rsid w:val="00C545C4"/>
    <w:rsid w:val="00C60144"/>
    <w:rsid w:val="00C6025D"/>
    <w:rsid w:val="00C60C99"/>
    <w:rsid w:val="00C6127A"/>
    <w:rsid w:val="00C62BF5"/>
    <w:rsid w:val="00C636DA"/>
    <w:rsid w:val="00C64073"/>
    <w:rsid w:val="00C64BDA"/>
    <w:rsid w:val="00C65DBD"/>
    <w:rsid w:val="00C65E63"/>
    <w:rsid w:val="00C66BD2"/>
    <w:rsid w:val="00C67E22"/>
    <w:rsid w:val="00C70668"/>
    <w:rsid w:val="00C70812"/>
    <w:rsid w:val="00C70839"/>
    <w:rsid w:val="00C70D52"/>
    <w:rsid w:val="00C7120F"/>
    <w:rsid w:val="00C71860"/>
    <w:rsid w:val="00C72271"/>
    <w:rsid w:val="00C725D4"/>
    <w:rsid w:val="00C72A17"/>
    <w:rsid w:val="00C72D82"/>
    <w:rsid w:val="00C73044"/>
    <w:rsid w:val="00C73283"/>
    <w:rsid w:val="00C736F6"/>
    <w:rsid w:val="00C73DE5"/>
    <w:rsid w:val="00C7443F"/>
    <w:rsid w:val="00C7558F"/>
    <w:rsid w:val="00C75D93"/>
    <w:rsid w:val="00C76175"/>
    <w:rsid w:val="00C76B4F"/>
    <w:rsid w:val="00C76D67"/>
    <w:rsid w:val="00C76D77"/>
    <w:rsid w:val="00C77864"/>
    <w:rsid w:val="00C8036F"/>
    <w:rsid w:val="00C80C35"/>
    <w:rsid w:val="00C81356"/>
    <w:rsid w:val="00C813CD"/>
    <w:rsid w:val="00C81670"/>
    <w:rsid w:val="00C81BE0"/>
    <w:rsid w:val="00C81D6C"/>
    <w:rsid w:val="00C824EC"/>
    <w:rsid w:val="00C84ECF"/>
    <w:rsid w:val="00C858D9"/>
    <w:rsid w:val="00C85A3C"/>
    <w:rsid w:val="00C867E0"/>
    <w:rsid w:val="00C87DA0"/>
    <w:rsid w:val="00C87EAD"/>
    <w:rsid w:val="00C90DBA"/>
    <w:rsid w:val="00C91E77"/>
    <w:rsid w:val="00C92947"/>
    <w:rsid w:val="00C9296E"/>
    <w:rsid w:val="00C93278"/>
    <w:rsid w:val="00C934BF"/>
    <w:rsid w:val="00C9630F"/>
    <w:rsid w:val="00C97016"/>
    <w:rsid w:val="00C9781B"/>
    <w:rsid w:val="00C97950"/>
    <w:rsid w:val="00C97EE1"/>
    <w:rsid w:val="00CA0F17"/>
    <w:rsid w:val="00CA34F2"/>
    <w:rsid w:val="00CA4E4D"/>
    <w:rsid w:val="00CA4EBE"/>
    <w:rsid w:val="00CA603B"/>
    <w:rsid w:val="00CA634B"/>
    <w:rsid w:val="00CA6376"/>
    <w:rsid w:val="00CA64A0"/>
    <w:rsid w:val="00CA67C7"/>
    <w:rsid w:val="00CA6FF9"/>
    <w:rsid w:val="00CB1817"/>
    <w:rsid w:val="00CB3612"/>
    <w:rsid w:val="00CB4238"/>
    <w:rsid w:val="00CB5938"/>
    <w:rsid w:val="00CB5B27"/>
    <w:rsid w:val="00CB5E59"/>
    <w:rsid w:val="00CB60A0"/>
    <w:rsid w:val="00CB73E1"/>
    <w:rsid w:val="00CB7890"/>
    <w:rsid w:val="00CC1A64"/>
    <w:rsid w:val="00CC2164"/>
    <w:rsid w:val="00CC2752"/>
    <w:rsid w:val="00CC27DE"/>
    <w:rsid w:val="00CC3251"/>
    <w:rsid w:val="00CC34EB"/>
    <w:rsid w:val="00CC36ED"/>
    <w:rsid w:val="00CC3D4F"/>
    <w:rsid w:val="00CC46DF"/>
    <w:rsid w:val="00CC66EA"/>
    <w:rsid w:val="00CC7E38"/>
    <w:rsid w:val="00CD0196"/>
    <w:rsid w:val="00CD06D1"/>
    <w:rsid w:val="00CD1B99"/>
    <w:rsid w:val="00CD1CBA"/>
    <w:rsid w:val="00CD3120"/>
    <w:rsid w:val="00CD37E5"/>
    <w:rsid w:val="00CD3A62"/>
    <w:rsid w:val="00CD3C17"/>
    <w:rsid w:val="00CD4A0C"/>
    <w:rsid w:val="00CD5361"/>
    <w:rsid w:val="00CD755C"/>
    <w:rsid w:val="00CE0421"/>
    <w:rsid w:val="00CE04AF"/>
    <w:rsid w:val="00CE0A8D"/>
    <w:rsid w:val="00CE0B4E"/>
    <w:rsid w:val="00CE1F9C"/>
    <w:rsid w:val="00CE21FC"/>
    <w:rsid w:val="00CE2D14"/>
    <w:rsid w:val="00CE2E48"/>
    <w:rsid w:val="00CE372C"/>
    <w:rsid w:val="00CE3811"/>
    <w:rsid w:val="00CE4E85"/>
    <w:rsid w:val="00CE78A0"/>
    <w:rsid w:val="00CF0184"/>
    <w:rsid w:val="00CF0443"/>
    <w:rsid w:val="00CF156C"/>
    <w:rsid w:val="00CF2317"/>
    <w:rsid w:val="00CF2FEF"/>
    <w:rsid w:val="00CF37E7"/>
    <w:rsid w:val="00CF3A1D"/>
    <w:rsid w:val="00CF3E5A"/>
    <w:rsid w:val="00CF3E6A"/>
    <w:rsid w:val="00CF4C49"/>
    <w:rsid w:val="00CF55F6"/>
    <w:rsid w:val="00CF59E0"/>
    <w:rsid w:val="00CF6672"/>
    <w:rsid w:val="00D0059C"/>
    <w:rsid w:val="00D00B9B"/>
    <w:rsid w:val="00D014C9"/>
    <w:rsid w:val="00D01D0C"/>
    <w:rsid w:val="00D021F7"/>
    <w:rsid w:val="00D02993"/>
    <w:rsid w:val="00D04732"/>
    <w:rsid w:val="00D052E8"/>
    <w:rsid w:val="00D053A7"/>
    <w:rsid w:val="00D0547C"/>
    <w:rsid w:val="00D06853"/>
    <w:rsid w:val="00D069C7"/>
    <w:rsid w:val="00D078A2"/>
    <w:rsid w:val="00D0792B"/>
    <w:rsid w:val="00D1217D"/>
    <w:rsid w:val="00D12FE8"/>
    <w:rsid w:val="00D13431"/>
    <w:rsid w:val="00D15EEF"/>
    <w:rsid w:val="00D17646"/>
    <w:rsid w:val="00D20A41"/>
    <w:rsid w:val="00D21123"/>
    <w:rsid w:val="00D2125F"/>
    <w:rsid w:val="00D224E8"/>
    <w:rsid w:val="00D22759"/>
    <w:rsid w:val="00D2342E"/>
    <w:rsid w:val="00D23EA2"/>
    <w:rsid w:val="00D26BB7"/>
    <w:rsid w:val="00D26C06"/>
    <w:rsid w:val="00D26CB3"/>
    <w:rsid w:val="00D27586"/>
    <w:rsid w:val="00D303E1"/>
    <w:rsid w:val="00D33063"/>
    <w:rsid w:val="00D3320F"/>
    <w:rsid w:val="00D34117"/>
    <w:rsid w:val="00D34517"/>
    <w:rsid w:val="00D34B65"/>
    <w:rsid w:val="00D367EB"/>
    <w:rsid w:val="00D36C91"/>
    <w:rsid w:val="00D37C54"/>
    <w:rsid w:val="00D4004D"/>
    <w:rsid w:val="00D4031C"/>
    <w:rsid w:val="00D41871"/>
    <w:rsid w:val="00D43494"/>
    <w:rsid w:val="00D44787"/>
    <w:rsid w:val="00D451BB"/>
    <w:rsid w:val="00D45954"/>
    <w:rsid w:val="00D45B23"/>
    <w:rsid w:val="00D461C2"/>
    <w:rsid w:val="00D467EA"/>
    <w:rsid w:val="00D4721E"/>
    <w:rsid w:val="00D505D4"/>
    <w:rsid w:val="00D51406"/>
    <w:rsid w:val="00D53F8E"/>
    <w:rsid w:val="00D5444C"/>
    <w:rsid w:val="00D54911"/>
    <w:rsid w:val="00D5495D"/>
    <w:rsid w:val="00D553FF"/>
    <w:rsid w:val="00D56A5E"/>
    <w:rsid w:val="00D57146"/>
    <w:rsid w:val="00D578B2"/>
    <w:rsid w:val="00D60B09"/>
    <w:rsid w:val="00D60B53"/>
    <w:rsid w:val="00D60F09"/>
    <w:rsid w:val="00D617DB"/>
    <w:rsid w:val="00D61AAE"/>
    <w:rsid w:val="00D624F8"/>
    <w:rsid w:val="00D62A7E"/>
    <w:rsid w:val="00D64CB8"/>
    <w:rsid w:val="00D65065"/>
    <w:rsid w:val="00D66F1E"/>
    <w:rsid w:val="00D67AB5"/>
    <w:rsid w:val="00D67ABF"/>
    <w:rsid w:val="00D71D62"/>
    <w:rsid w:val="00D729DD"/>
    <w:rsid w:val="00D72FD8"/>
    <w:rsid w:val="00D73016"/>
    <w:rsid w:val="00D744A7"/>
    <w:rsid w:val="00D74CA9"/>
    <w:rsid w:val="00D75525"/>
    <w:rsid w:val="00D75E7F"/>
    <w:rsid w:val="00D76AB5"/>
    <w:rsid w:val="00D77018"/>
    <w:rsid w:val="00D80D5F"/>
    <w:rsid w:val="00D813F0"/>
    <w:rsid w:val="00D82D93"/>
    <w:rsid w:val="00D834A1"/>
    <w:rsid w:val="00D8591B"/>
    <w:rsid w:val="00D868FB"/>
    <w:rsid w:val="00D86C7D"/>
    <w:rsid w:val="00D86DB0"/>
    <w:rsid w:val="00D86E6C"/>
    <w:rsid w:val="00D8722F"/>
    <w:rsid w:val="00D874CA"/>
    <w:rsid w:val="00D901D9"/>
    <w:rsid w:val="00D91D93"/>
    <w:rsid w:val="00D92314"/>
    <w:rsid w:val="00D92A45"/>
    <w:rsid w:val="00D93BC5"/>
    <w:rsid w:val="00D93E20"/>
    <w:rsid w:val="00D94E10"/>
    <w:rsid w:val="00D9532D"/>
    <w:rsid w:val="00D95EEA"/>
    <w:rsid w:val="00D966A8"/>
    <w:rsid w:val="00D9697A"/>
    <w:rsid w:val="00D97F26"/>
    <w:rsid w:val="00DA0745"/>
    <w:rsid w:val="00DA0D11"/>
    <w:rsid w:val="00DA0DC7"/>
    <w:rsid w:val="00DA0F99"/>
    <w:rsid w:val="00DA11F2"/>
    <w:rsid w:val="00DA1B86"/>
    <w:rsid w:val="00DA2DA9"/>
    <w:rsid w:val="00DA3B03"/>
    <w:rsid w:val="00DA488F"/>
    <w:rsid w:val="00DA4C48"/>
    <w:rsid w:val="00DA5695"/>
    <w:rsid w:val="00DA577B"/>
    <w:rsid w:val="00DA6CA1"/>
    <w:rsid w:val="00DA727D"/>
    <w:rsid w:val="00DA741D"/>
    <w:rsid w:val="00DA765F"/>
    <w:rsid w:val="00DA7DA7"/>
    <w:rsid w:val="00DB0160"/>
    <w:rsid w:val="00DB070D"/>
    <w:rsid w:val="00DB15BE"/>
    <w:rsid w:val="00DB1C7D"/>
    <w:rsid w:val="00DB1E53"/>
    <w:rsid w:val="00DB28BD"/>
    <w:rsid w:val="00DB2C3F"/>
    <w:rsid w:val="00DB3452"/>
    <w:rsid w:val="00DB34F0"/>
    <w:rsid w:val="00DB53A7"/>
    <w:rsid w:val="00DB5F86"/>
    <w:rsid w:val="00DB6002"/>
    <w:rsid w:val="00DB65D2"/>
    <w:rsid w:val="00DB723B"/>
    <w:rsid w:val="00DB7495"/>
    <w:rsid w:val="00DC03A7"/>
    <w:rsid w:val="00DC06D0"/>
    <w:rsid w:val="00DC3AED"/>
    <w:rsid w:val="00DC3DE3"/>
    <w:rsid w:val="00DC3FCB"/>
    <w:rsid w:val="00DC50DE"/>
    <w:rsid w:val="00DC5588"/>
    <w:rsid w:val="00DC5FC2"/>
    <w:rsid w:val="00DC6174"/>
    <w:rsid w:val="00DC66C7"/>
    <w:rsid w:val="00DC77B9"/>
    <w:rsid w:val="00DC7E45"/>
    <w:rsid w:val="00DD01CB"/>
    <w:rsid w:val="00DD170F"/>
    <w:rsid w:val="00DD2429"/>
    <w:rsid w:val="00DD2B86"/>
    <w:rsid w:val="00DD32D3"/>
    <w:rsid w:val="00DD50AD"/>
    <w:rsid w:val="00DD5719"/>
    <w:rsid w:val="00DD7254"/>
    <w:rsid w:val="00DE0A8A"/>
    <w:rsid w:val="00DE40C0"/>
    <w:rsid w:val="00DF0C11"/>
    <w:rsid w:val="00DF16F2"/>
    <w:rsid w:val="00DF18B8"/>
    <w:rsid w:val="00DF498A"/>
    <w:rsid w:val="00DF49A3"/>
    <w:rsid w:val="00DF532D"/>
    <w:rsid w:val="00DF5C4F"/>
    <w:rsid w:val="00DF68E4"/>
    <w:rsid w:val="00DF6E54"/>
    <w:rsid w:val="00DF7AE0"/>
    <w:rsid w:val="00E0081B"/>
    <w:rsid w:val="00E01734"/>
    <w:rsid w:val="00E03B5D"/>
    <w:rsid w:val="00E04187"/>
    <w:rsid w:val="00E04228"/>
    <w:rsid w:val="00E04457"/>
    <w:rsid w:val="00E044D2"/>
    <w:rsid w:val="00E04BBC"/>
    <w:rsid w:val="00E05186"/>
    <w:rsid w:val="00E052C0"/>
    <w:rsid w:val="00E06766"/>
    <w:rsid w:val="00E0722B"/>
    <w:rsid w:val="00E10450"/>
    <w:rsid w:val="00E106D4"/>
    <w:rsid w:val="00E11F70"/>
    <w:rsid w:val="00E124A5"/>
    <w:rsid w:val="00E12510"/>
    <w:rsid w:val="00E1478E"/>
    <w:rsid w:val="00E15324"/>
    <w:rsid w:val="00E157DD"/>
    <w:rsid w:val="00E15865"/>
    <w:rsid w:val="00E159D7"/>
    <w:rsid w:val="00E1606F"/>
    <w:rsid w:val="00E205C2"/>
    <w:rsid w:val="00E210A9"/>
    <w:rsid w:val="00E211C1"/>
    <w:rsid w:val="00E213AB"/>
    <w:rsid w:val="00E21653"/>
    <w:rsid w:val="00E21C9B"/>
    <w:rsid w:val="00E228C8"/>
    <w:rsid w:val="00E23F83"/>
    <w:rsid w:val="00E2414E"/>
    <w:rsid w:val="00E25105"/>
    <w:rsid w:val="00E25117"/>
    <w:rsid w:val="00E25993"/>
    <w:rsid w:val="00E2630B"/>
    <w:rsid w:val="00E26830"/>
    <w:rsid w:val="00E26FAF"/>
    <w:rsid w:val="00E31AE8"/>
    <w:rsid w:val="00E321D8"/>
    <w:rsid w:val="00E3283E"/>
    <w:rsid w:val="00E32BCB"/>
    <w:rsid w:val="00E34CE0"/>
    <w:rsid w:val="00E35120"/>
    <w:rsid w:val="00E35C2F"/>
    <w:rsid w:val="00E36CAB"/>
    <w:rsid w:val="00E40954"/>
    <w:rsid w:val="00E40B36"/>
    <w:rsid w:val="00E40C48"/>
    <w:rsid w:val="00E40DAD"/>
    <w:rsid w:val="00E42424"/>
    <w:rsid w:val="00E430A3"/>
    <w:rsid w:val="00E43333"/>
    <w:rsid w:val="00E43AA2"/>
    <w:rsid w:val="00E43B65"/>
    <w:rsid w:val="00E43E44"/>
    <w:rsid w:val="00E43F19"/>
    <w:rsid w:val="00E443B5"/>
    <w:rsid w:val="00E4538B"/>
    <w:rsid w:val="00E45504"/>
    <w:rsid w:val="00E46100"/>
    <w:rsid w:val="00E476C7"/>
    <w:rsid w:val="00E50B5B"/>
    <w:rsid w:val="00E51672"/>
    <w:rsid w:val="00E51F9E"/>
    <w:rsid w:val="00E522FC"/>
    <w:rsid w:val="00E5278B"/>
    <w:rsid w:val="00E527BC"/>
    <w:rsid w:val="00E54F28"/>
    <w:rsid w:val="00E55703"/>
    <w:rsid w:val="00E55905"/>
    <w:rsid w:val="00E55DCF"/>
    <w:rsid w:val="00E55EE5"/>
    <w:rsid w:val="00E5708F"/>
    <w:rsid w:val="00E57813"/>
    <w:rsid w:val="00E61784"/>
    <w:rsid w:val="00E62284"/>
    <w:rsid w:val="00E62355"/>
    <w:rsid w:val="00E625B3"/>
    <w:rsid w:val="00E646D5"/>
    <w:rsid w:val="00E64743"/>
    <w:rsid w:val="00E64A47"/>
    <w:rsid w:val="00E65320"/>
    <w:rsid w:val="00E6568E"/>
    <w:rsid w:val="00E6709E"/>
    <w:rsid w:val="00E70AF0"/>
    <w:rsid w:val="00E71A64"/>
    <w:rsid w:val="00E7257D"/>
    <w:rsid w:val="00E72777"/>
    <w:rsid w:val="00E728CB"/>
    <w:rsid w:val="00E729C4"/>
    <w:rsid w:val="00E72DEE"/>
    <w:rsid w:val="00E7336F"/>
    <w:rsid w:val="00E747C3"/>
    <w:rsid w:val="00E74F3B"/>
    <w:rsid w:val="00E752C7"/>
    <w:rsid w:val="00E75779"/>
    <w:rsid w:val="00E76262"/>
    <w:rsid w:val="00E76C66"/>
    <w:rsid w:val="00E776FB"/>
    <w:rsid w:val="00E816D4"/>
    <w:rsid w:val="00E8235E"/>
    <w:rsid w:val="00E8276E"/>
    <w:rsid w:val="00E834BD"/>
    <w:rsid w:val="00E83EB5"/>
    <w:rsid w:val="00E84A6B"/>
    <w:rsid w:val="00E8640F"/>
    <w:rsid w:val="00E8738F"/>
    <w:rsid w:val="00E910A2"/>
    <w:rsid w:val="00E91344"/>
    <w:rsid w:val="00E92385"/>
    <w:rsid w:val="00E92459"/>
    <w:rsid w:val="00E93DF5"/>
    <w:rsid w:val="00E93F74"/>
    <w:rsid w:val="00E94B95"/>
    <w:rsid w:val="00E94BBD"/>
    <w:rsid w:val="00E94C0E"/>
    <w:rsid w:val="00E95DC1"/>
    <w:rsid w:val="00E96DEA"/>
    <w:rsid w:val="00E96DEF"/>
    <w:rsid w:val="00E97349"/>
    <w:rsid w:val="00E97AFB"/>
    <w:rsid w:val="00EA0015"/>
    <w:rsid w:val="00EA1585"/>
    <w:rsid w:val="00EA232C"/>
    <w:rsid w:val="00EA48AE"/>
    <w:rsid w:val="00EA5181"/>
    <w:rsid w:val="00EA7723"/>
    <w:rsid w:val="00EB09E2"/>
    <w:rsid w:val="00EB14CC"/>
    <w:rsid w:val="00EB297B"/>
    <w:rsid w:val="00EB4596"/>
    <w:rsid w:val="00EB531B"/>
    <w:rsid w:val="00EB55D8"/>
    <w:rsid w:val="00EB5700"/>
    <w:rsid w:val="00EB69FC"/>
    <w:rsid w:val="00EB74A5"/>
    <w:rsid w:val="00EB7CEC"/>
    <w:rsid w:val="00EB7E01"/>
    <w:rsid w:val="00EC1114"/>
    <w:rsid w:val="00EC1EBF"/>
    <w:rsid w:val="00EC3638"/>
    <w:rsid w:val="00EC43E7"/>
    <w:rsid w:val="00EC4577"/>
    <w:rsid w:val="00EC4983"/>
    <w:rsid w:val="00EC57DC"/>
    <w:rsid w:val="00EC610A"/>
    <w:rsid w:val="00EC6E0A"/>
    <w:rsid w:val="00EC712E"/>
    <w:rsid w:val="00EC7761"/>
    <w:rsid w:val="00ED27FF"/>
    <w:rsid w:val="00ED2A47"/>
    <w:rsid w:val="00ED30B7"/>
    <w:rsid w:val="00ED325C"/>
    <w:rsid w:val="00ED3858"/>
    <w:rsid w:val="00ED3CD3"/>
    <w:rsid w:val="00ED4347"/>
    <w:rsid w:val="00ED4698"/>
    <w:rsid w:val="00ED50F0"/>
    <w:rsid w:val="00ED539B"/>
    <w:rsid w:val="00ED6420"/>
    <w:rsid w:val="00ED785B"/>
    <w:rsid w:val="00ED7BE3"/>
    <w:rsid w:val="00ED7C6B"/>
    <w:rsid w:val="00EE0126"/>
    <w:rsid w:val="00EE0E4B"/>
    <w:rsid w:val="00EE2524"/>
    <w:rsid w:val="00EE2C59"/>
    <w:rsid w:val="00EE30E3"/>
    <w:rsid w:val="00EE3717"/>
    <w:rsid w:val="00EE47FE"/>
    <w:rsid w:val="00EE4B84"/>
    <w:rsid w:val="00EE50C6"/>
    <w:rsid w:val="00EE53C0"/>
    <w:rsid w:val="00EE5AB7"/>
    <w:rsid w:val="00EE70EE"/>
    <w:rsid w:val="00EE766D"/>
    <w:rsid w:val="00EE77AA"/>
    <w:rsid w:val="00EE7B85"/>
    <w:rsid w:val="00EF2A15"/>
    <w:rsid w:val="00EF38AD"/>
    <w:rsid w:val="00EF4AFB"/>
    <w:rsid w:val="00EF5BFD"/>
    <w:rsid w:val="00EF5F08"/>
    <w:rsid w:val="00EF66A0"/>
    <w:rsid w:val="00EF7853"/>
    <w:rsid w:val="00EF7E2B"/>
    <w:rsid w:val="00F00470"/>
    <w:rsid w:val="00F014E2"/>
    <w:rsid w:val="00F01C6F"/>
    <w:rsid w:val="00F0412B"/>
    <w:rsid w:val="00F04430"/>
    <w:rsid w:val="00F0499E"/>
    <w:rsid w:val="00F0509B"/>
    <w:rsid w:val="00F06EE2"/>
    <w:rsid w:val="00F074A1"/>
    <w:rsid w:val="00F074DC"/>
    <w:rsid w:val="00F075B8"/>
    <w:rsid w:val="00F1182F"/>
    <w:rsid w:val="00F131E8"/>
    <w:rsid w:val="00F13F0D"/>
    <w:rsid w:val="00F1432A"/>
    <w:rsid w:val="00F15632"/>
    <w:rsid w:val="00F16036"/>
    <w:rsid w:val="00F1681E"/>
    <w:rsid w:val="00F16954"/>
    <w:rsid w:val="00F1697F"/>
    <w:rsid w:val="00F172BB"/>
    <w:rsid w:val="00F17535"/>
    <w:rsid w:val="00F17A86"/>
    <w:rsid w:val="00F219EC"/>
    <w:rsid w:val="00F24F8F"/>
    <w:rsid w:val="00F26262"/>
    <w:rsid w:val="00F262D7"/>
    <w:rsid w:val="00F26836"/>
    <w:rsid w:val="00F27B4B"/>
    <w:rsid w:val="00F3004E"/>
    <w:rsid w:val="00F30097"/>
    <w:rsid w:val="00F303B2"/>
    <w:rsid w:val="00F306AC"/>
    <w:rsid w:val="00F307E0"/>
    <w:rsid w:val="00F31637"/>
    <w:rsid w:val="00F32176"/>
    <w:rsid w:val="00F33737"/>
    <w:rsid w:val="00F34885"/>
    <w:rsid w:val="00F34D63"/>
    <w:rsid w:val="00F363BD"/>
    <w:rsid w:val="00F366D7"/>
    <w:rsid w:val="00F36A03"/>
    <w:rsid w:val="00F36ADD"/>
    <w:rsid w:val="00F37140"/>
    <w:rsid w:val="00F401BA"/>
    <w:rsid w:val="00F43448"/>
    <w:rsid w:val="00F442CF"/>
    <w:rsid w:val="00F44900"/>
    <w:rsid w:val="00F4596F"/>
    <w:rsid w:val="00F46C8B"/>
    <w:rsid w:val="00F478FC"/>
    <w:rsid w:val="00F47E23"/>
    <w:rsid w:val="00F52949"/>
    <w:rsid w:val="00F532C0"/>
    <w:rsid w:val="00F5391E"/>
    <w:rsid w:val="00F53DAB"/>
    <w:rsid w:val="00F5423B"/>
    <w:rsid w:val="00F5444D"/>
    <w:rsid w:val="00F55397"/>
    <w:rsid w:val="00F57636"/>
    <w:rsid w:val="00F57A09"/>
    <w:rsid w:val="00F57F7A"/>
    <w:rsid w:val="00F61362"/>
    <w:rsid w:val="00F6198D"/>
    <w:rsid w:val="00F62D33"/>
    <w:rsid w:val="00F63FC3"/>
    <w:rsid w:val="00F6570B"/>
    <w:rsid w:val="00F67401"/>
    <w:rsid w:val="00F67615"/>
    <w:rsid w:val="00F67782"/>
    <w:rsid w:val="00F7212F"/>
    <w:rsid w:val="00F74154"/>
    <w:rsid w:val="00F74821"/>
    <w:rsid w:val="00F76C98"/>
    <w:rsid w:val="00F77931"/>
    <w:rsid w:val="00F77E0F"/>
    <w:rsid w:val="00F803C4"/>
    <w:rsid w:val="00F804A7"/>
    <w:rsid w:val="00F804CD"/>
    <w:rsid w:val="00F80750"/>
    <w:rsid w:val="00F81887"/>
    <w:rsid w:val="00F81EAE"/>
    <w:rsid w:val="00F83306"/>
    <w:rsid w:val="00F8529B"/>
    <w:rsid w:val="00F85F59"/>
    <w:rsid w:val="00F864ED"/>
    <w:rsid w:val="00F86538"/>
    <w:rsid w:val="00F86717"/>
    <w:rsid w:val="00F86DD4"/>
    <w:rsid w:val="00F86EE9"/>
    <w:rsid w:val="00F8704D"/>
    <w:rsid w:val="00F90F12"/>
    <w:rsid w:val="00F91553"/>
    <w:rsid w:val="00F92B8E"/>
    <w:rsid w:val="00F935C9"/>
    <w:rsid w:val="00F94D90"/>
    <w:rsid w:val="00F95E25"/>
    <w:rsid w:val="00F96B42"/>
    <w:rsid w:val="00F976E8"/>
    <w:rsid w:val="00F97C7A"/>
    <w:rsid w:val="00FA005A"/>
    <w:rsid w:val="00FA08AB"/>
    <w:rsid w:val="00FA1517"/>
    <w:rsid w:val="00FA1D55"/>
    <w:rsid w:val="00FA2909"/>
    <w:rsid w:val="00FA2B8A"/>
    <w:rsid w:val="00FA3CEC"/>
    <w:rsid w:val="00FA4288"/>
    <w:rsid w:val="00FA4346"/>
    <w:rsid w:val="00FA6E21"/>
    <w:rsid w:val="00FA7B36"/>
    <w:rsid w:val="00FB0103"/>
    <w:rsid w:val="00FB04DE"/>
    <w:rsid w:val="00FB0B78"/>
    <w:rsid w:val="00FB1B4F"/>
    <w:rsid w:val="00FB3FE9"/>
    <w:rsid w:val="00FB4209"/>
    <w:rsid w:val="00FB4C4B"/>
    <w:rsid w:val="00FB4CF2"/>
    <w:rsid w:val="00FB5F02"/>
    <w:rsid w:val="00FB607B"/>
    <w:rsid w:val="00FB6A22"/>
    <w:rsid w:val="00FB712A"/>
    <w:rsid w:val="00FB7513"/>
    <w:rsid w:val="00FB7867"/>
    <w:rsid w:val="00FC0A4B"/>
    <w:rsid w:val="00FC1710"/>
    <w:rsid w:val="00FC1A3F"/>
    <w:rsid w:val="00FC398C"/>
    <w:rsid w:val="00FC45CF"/>
    <w:rsid w:val="00FC4845"/>
    <w:rsid w:val="00FC5128"/>
    <w:rsid w:val="00FC5F8E"/>
    <w:rsid w:val="00FC6A2C"/>
    <w:rsid w:val="00FC6B03"/>
    <w:rsid w:val="00FC726E"/>
    <w:rsid w:val="00FC7387"/>
    <w:rsid w:val="00FD0018"/>
    <w:rsid w:val="00FD05C9"/>
    <w:rsid w:val="00FD06D5"/>
    <w:rsid w:val="00FD2813"/>
    <w:rsid w:val="00FD28FF"/>
    <w:rsid w:val="00FD2EA4"/>
    <w:rsid w:val="00FD30ED"/>
    <w:rsid w:val="00FD3A2B"/>
    <w:rsid w:val="00FD4381"/>
    <w:rsid w:val="00FD4A2A"/>
    <w:rsid w:val="00FD68A1"/>
    <w:rsid w:val="00FD7640"/>
    <w:rsid w:val="00FD79B7"/>
    <w:rsid w:val="00FD7F77"/>
    <w:rsid w:val="00FE0837"/>
    <w:rsid w:val="00FE110C"/>
    <w:rsid w:val="00FE2B4A"/>
    <w:rsid w:val="00FE3921"/>
    <w:rsid w:val="00FE419E"/>
    <w:rsid w:val="00FE4AE0"/>
    <w:rsid w:val="00FE50CB"/>
    <w:rsid w:val="00FE5235"/>
    <w:rsid w:val="00FE59A6"/>
    <w:rsid w:val="00FF0E3E"/>
    <w:rsid w:val="00FF14C1"/>
    <w:rsid w:val="00FF2484"/>
    <w:rsid w:val="00FF4201"/>
    <w:rsid w:val="00FF4E47"/>
    <w:rsid w:val="00FF5507"/>
    <w:rsid w:val="00FF5956"/>
    <w:rsid w:val="00FF680E"/>
    <w:rsid w:val="00FF707F"/>
    <w:rsid w:val="00FF70F8"/>
    <w:rsid w:val="00FF7C81"/>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7A3B6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IN OT" w:eastAsiaTheme="minorHAnsi" w:hAnsi="DIN OT" w:cstheme="minorBidi"/>
        <w:color w:val="000000"/>
        <w:sz w:val="22"/>
        <w:szCs w:val="22"/>
        <w:lang w:val="en-AU" w:eastAsia="en-US" w:bidi="ar-SA"/>
      </w:rPr>
    </w:rPrDefault>
    <w:pPrDefault>
      <w:pPr>
        <w:spacing w:after="24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qFormat="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iPriority="17" w:unhideWhenUsed="1" w:qFormat="1"/>
    <w:lsdException w:name="List Bullet" w:uiPriority="12" w:unhideWhenUsed="1" w:qFormat="1"/>
    <w:lsdException w:name="List Number" w:qFormat="1"/>
    <w:lsdException w:name="List 2" w:semiHidden="1" w:uiPriority="17" w:unhideWhenUsed="1" w:qFormat="1"/>
    <w:lsdException w:name="List 3" w:semiHidden="1" w:uiPriority="17" w:unhideWhenUsed="1" w:qFormat="1"/>
    <w:lsdException w:name="List 4" w:semiHidden="1" w:unhideWhenUsed="1"/>
    <w:lsdException w:name="List 5" w:semiHidden="1" w:unhideWhenUsed="1"/>
    <w:lsdException w:name="List Bullet 2" w:uiPriority="12" w:unhideWhenUsed="1" w:qFormat="1"/>
    <w:lsdException w:name="List Bullet 3" w:uiPriority="12" w:unhideWhenUsed="1" w:qFormat="1"/>
    <w:lsdException w:name="List Bullet 4" w:semiHidden="1" w:qFormat="1"/>
    <w:lsdException w:name="List Bullet 5" w:semiHidden="1" w:unhideWhenUsed="1"/>
    <w:lsdException w:name="List Number 2" w:unhideWhenUsed="1" w:qFormat="1"/>
    <w:lsdException w:name="List Number 3" w:unhideWhenUsed="1" w:qFormat="1"/>
    <w:lsdException w:name="List Number 4" w:unhideWhenUsed="1" w:qFormat="1"/>
    <w:lsdException w:name="List Number 5" w:semiHidden="1" w:unhideWhenUsed="1"/>
    <w:lsdException w:name="Title" w:uiPriority="3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53192"/>
    <w:pPr>
      <w:numPr>
        <w:numId w:val="4"/>
      </w:numPr>
    </w:pPr>
    <w:rPr>
      <w:rFonts w:ascii="DIN OT Light" w:hAnsi="DIN OT Light"/>
    </w:rPr>
  </w:style>
  <w:style w:type="paragraph" w:styleId="Heading1">
    <w:name w:val="heading 1"/>
    <w:basedOn w:val="Normal"/>
    <w:next w:val="Normal"/>
    <w:link w:val="Heading1Char"/>
    <w:uiPriority w:val="9"/>
    <w:qFormat/>
    <w:rsid w:val="00BB2437"/>
    <w:pPr>
      <w:keepNext/>
      <w:keepLines/>
      <w:pageBreakBefore/>
      <w:numPr>
        <w:numId w:val="0"/>
      </w:numPr>
      <w:pBdr>
        <w:bottom w:val="single" w:sz="4" w:space="3" w:color="BFBFBF" w:themeColor="background1" w:themeShade="BF"/>
      </w:pBdr>
      <w:spacing w:after="480"/>
      <w:outlineLvl w:val="0"/>
    </w:pPr>
    <w:rPr>
      <w:rFonts w:ascii="DIN OT Medium" w:eastAsiaTheme="majorEastAsia" w:hAnsi="DIN OT Medium" w:cstheme="majorBidi"/>
      <w:bCs/>
      <w:color w:val="012169" w:themeColor="text2"/>
      <w:sz w:val="48"/>
      <w:szCs w:val="28"/>
    </w:rPr>
  </w:style>
  <w:style w:type="paragraph" w:styleId="Heading2">
    <w:name w:val="heading 2"/>
    <w:basedOn w:val="Normal"/>
    <w:next w:val="Normal"/>
    <w:link w:val="Heading2Char"/>
    <w:uiPriority w:val="9"/>
    <w:qFormat/>
    <w:rsid w:val="00F61362"/>
    <w:pPr>
      <w:keepNext/>
      <w:keepLines/>
      <w:numPr>
        <w:numId w:val="0"/>
      </w:numPr>
      <w:spacing w:before="320"/>
      <w:outlineLvl w:val="1"/>
    </w:pPr>
    <w:rPr>
      <w:rFonts w:ascii="DIN OT Medium" w:eastAsiaTheme="majorEastAsia" w:hAnsi="DIN OT Medium" w:cstheme="majorBidi"/>
      <w:bCs/>
      <w:color w:val="012169" w:themeColor="text2"/>
      <w:sz w:val="30"/>
      <w:szCs w:val="26"/>
    </w:rPr>
  </w:style>
  <w:style w:type="paragraph" w:styleId="Heading3">
    <w:name w:val="heading 3"/>
    <w:basedOn w:val="Normal"/>
    <w:next w:val="Normal"/>
    <w:link w:val="Heading3Char"/>
    <w:uiPriority w:val="9"/>
    <w:qFormat/>
    <w:rsid w:val="007568F8"/>
    <w:pPr>
      <w:keepNext/>
      <w:keepLines/>
      <w:numPr>
        <w:numId w:val="0"/>
      </w:numPr>
      <w:spacing w:before="280" w:after="120"/>
      <w:outlineLvl w:val="2"/>
    </w:pPr>
    <w:rPr>
      <w:rFonts w:ascii="DIN OT Medium" w:eastAsiaTheme="majorEastAsia" w:hAnsi="DIN OT Medium" w:cstheme="majorBidi"/>
      <w:bCs/>
      <w:color w:val="012169" w:themeColor="text2"/>
      <w:sz w:val="26"/>
    </w:rPr>
  </w:style>
  <w:style w:type="paragraph" w:styleId="Heading4">
    <w:name w:val="heading 4"/>
    <w:basedOn w:val="Normal"/>
    <w:next w:val="Normal"/>
    <w:link w:val="Heading4Char"/>
    <w:uiPriority w:val="9"/>
    <w:qFormat/>
    <w:rsid w:val="0016272E"/>
    <w:pPr>
      <w:keepNext/>
      <w:keepLines/>
      <w:numPr>
        <w:numId w:val="0"/>
      </w:numPr>
      <w:spacing w:before="240" w:after="120"/>
      <w:outlineLvl w:val="3"/>
    </w:pPr>
    <w:rPr>
      <w:rFonts w:ascii="DIN OT Medium" w:eastAsiaTheme="majorEastAsia" w:hAnsi="DIN OT Medium" w:cstheme="majorBidi"/>
      <w:bCs/>
      <w:i/>
      <w:iCs/>
      <w:color w:val="012169" w:themeColor="text2"/>
      <w:sz w:val="26"/>
    </w:rPr>
  </w:style>
  <w:style w:type="paragraph" w:styleId="Heading5">
    <w:name w:val="heading 5"/>
    <w:basedOn w:val="Normal"/>
    <w:next w:val="Normal"/>
    <w:link w:val="Heading5Char"/>
    <w:uiPriority w:val="9"/>
    <w:qFormat/>
    <w:rsid w:val="006C6C47"/>
    <w:pPr>
      <w:keepNext/>
      <w:keepLines/>
      <w:numPr>
        <w:numId w:val="0"/>
      </w:numPr>
      <w:spacing w:before="240" w:after="60"/>
      <w:outlineLvl w:val="4"/>
    </w:pPr>
    <w:rPr>
      <w:rFonts w:ascii="DIN OT Medium" w:eastAsiaTheme="majorEastAsia" w:hAnsi="DIN OT Medium" w:cstheme="majorBidi"/>
      <w:color w:val="000000" w:themeColor="text1"/>
    </w:rPr>
  </w:style>
  <w:style w:type="paragraph" w:styleId="Heading6">
    <w:name w:val="heading 6"/>
    <w:basedOn w:val="Normal"/>
    <w:next w:val="Normal"/>
    <w:link w:val="Heading6Char"/>
    <w:uiPriority w:val="9"/>
    <w:semiHidden/>
    <w:qFormat/>
    <w:rsid w:val="00BB6983"/>
    <w:pPr>
      <w:keepNext/>
      <w:keepLines/>
      <w:numPr>
        <w:numId w:val="0"/>
      </w:numPr>
      <w:spacing w:after="120" w:line="288" w:lineRule="auto"/>
      <w:outlineLvl w:val="5"/>
    </w:pPr>
    <w:rPr>
      <w:rFonts w:ascii="DIN Offc Medium" w:eastAsiaTheme="majorEastAsia" w:hAnsi="DIN Offc Medium" w:cstheme="majorBidi"/>
      <w:i/>
      <w:iCs/>
      <w:color w:val="012169" w:themeColor="text2"/>
    </w:rPr>
  </w:style>
  <w:style w:type="paragraph" w:styleId="Heading7">
    <w:name w:val="heading 7"/>
    <w:basedOn w:val="Normal"/>
    <w:next w:val="Normal"/>
    <w:link w:val="Heading7Char"/>
    <w:uiPriority w:val="9"/>
    <w:semiHidden/>
    <w:qFormat/>
    <w:rsid w:val="00BB6983"/>
    <w:pPr>
      <w:keepNext/>
      <w:keepLines/>
      <w:numPr>
        <w:numId w:val="0"/>
      </w:numPr>
      <w:spacing w:after="120" w:line="288" w:lineRule="auto"/>
      <w:outlineLvl w:val="6"/>
    </w:pPr>
    <w:rPr>
      <w:rFonts w:ascii="DIN Offc Medium" w:eastAsiaTheme="majorEastAsia" w:hAnsi="DIN Offc Medium" w:cstheme="majorBidi"/>
      <w:i/>
      <w:iCs/>
      <w:color w:val="012169" w:themeColor="text2"/>
    </w:rPr>
  </w:style>
  <w:style w:type="paragraph" w:styleId="Heading8">
    <w:name w:val="heading 8"/>
    <w:basedOn w:val="Normal"/>
    <w:next w:val="Normal"/>
    <w:link w:val="Heading8Char"/>
    <w:uiPriority w:val="9"/>
    <w:semiHidden/>
    <w:qFormat/>
    <w:rsid w:val="00BB6983"/>
    <w:pPr>
      <w:keepNext/>
      <w:keepLines/>
      <w:numPr>
        <w:numId w:val="0"/>
      </w:numPr>
      <w:spacing w:after="120" w:line="288" w:lineRule="auto"/>
      <w:outlineLvl w:val="7"/>
    </w:pPr>
    <w:rPr>
      <w:rFonts w:ascii="DIN Offc Medium" w:eastAsiaTheme="majorEastAsia" w:hAnsi="DIN Offc Medium" w:cstheme="majorBidi"/>
      <w:i/>
      <w:color w:val="012169" w:themeColor="text2"/>
    </w:rPr>
  </w:style>
  <w:style w:type="paragraph" w:styleId="Heading9">
    <w:name w:val="heading 9"/>
    <w:basedOn w:val="Normal"/>
    <w:next w:val="Normal"/>
    <w:link w:val="Heading9Char"/>
    <w:uiPriority w:val="9"/>
    <w:semiHidden/>
    <w:qFormat/>
    <w:rsid w:val="00BB6983"/>
    <w:pPr>
      <w:keepNext/>
      <w:keepLines/>
      <w:numPr>
        <w:numId w:val="0"/>
      </w:numPr>
      <w:spacing w:after="120" w:line="288" w:lineRule="auto"/>
      <w:outlineLvl w:val="8"/>
    </w:pPr>
    <w:rPr>
      <w:rFonts w:ascii="DIN Offc Medium" w:eastAsiaTheme="majorEastAsia" w:hAnsi="DIN Offc Medium" w:cstheme="majorBidi"/>
      <w:i/>
      <w:iCs/>
      <w:color w:val="012169"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437"/>
    <w:rPr>
      <w:rFonts w:ascii="DIN OT Medium" w:eastAsiaTheme="majorEastAsia" w:hAnsi="DIN OT Medium" w:cstheme="majorBidi"/>
      <w:bCs/>
      <w:color w:val="012169" w:themeColor="text2"/>
      <w:sz w:val="48"/>
      <w:szCs w:val="28"/>
    </w:rPr>
  </w:style>
  <w:style w:type="character" w:customStyle="1" w:styleId="Heading2Char">
    <w:name w:val="Heading 2 Char"/>
    <w:basedOn w:val="DefaultParagraphFont"/>
    <w:link w:val="Heading2"/>
    <w:uiPriority w:val="9"/>
    <w:rsid w:val="00F61362"/>
    <w:rPr>
      <w:rFonts w:ascii="DIN OT Medium" w:eastAsiaTheme="majorEastAsia" w:hAnsi="DIN OT Medium" w:cstheme="majorBidi"/>
      <w:bCs/>
      <w:color w:val="012169" w:themeColor="text2"/>
      <w:sz w:val="30"/>
      <w:szCs w:val="26"/>
    </w:rPr>
  </w:style>
  <w:style w:type="character" w:customStyle="1" w:styleId="Heading3Char">
    <w:name w:val="Heading 3 Char"/>
    <w:basedOn w:val="DefaultParagraphFont"/>
    <w:link w:val="Heading3"/>
    <w:uiPriority w:val="9"/>
    <w:rsid w:val="007568F8"/>
    <w:rPr>
      <w:rFonts w:ascii="DIN OT Medium" w:eastAsiaTheme="majorEastAsia" w:hAnsi="DIN OT Medium" w:cstheme="majorBidi"/>
      <w:bCs/>
      <w:color w:val="012169" w:themeColor="text2"/>
      <w:sz w:val="26"/>
    </w:rPr>
  </w:style>
  <w:style w:type="paragraph" w:customStyle="1" w:styleId="CoverSubtitle">
    <w:name w:val="Cover Subtitle"/>
    <w:basedOn w:val="Normal"/>
    <w:next w:val="Normal"/>
    <w:uiPriority w:val="21"/>
    <w:semiHidden/>
    <w:locked/>
    <w:rsid w:val="00072B30"/>
    <w:pPr>
      <w:numPr>
        <w:numId w:val="0"/>
      </w:numPr>
      <w:spacing w:after="0"/>
    </w:pPr>
    <w:rPr>
      <w:rFonts w:asciiTheme="majorHAnsi" w:hAnsiTheme="majorHAnsi"/>
      <w:b/>
      <w:color w:val="000000" w:themeColor="text1"/>
      <w:sz w:val="48"/>
    </w:rPr>
  </w:style>
  <w:style w:type="paragraph" w:customStyle="1" w:styleId="SubHeadingNoTOC">
    <w:name w:val="Sub Heading (No TOC)"/>
    <w:basedOn w:val="Normal"/>
    <w:next w:val="Normal"/>
    <w:uiPriority w:val="9"/>
    <w:qFormat/>
    <w:rsid w:val="00AD393D"/>
    <w:pPr>
      <w:keepNext/>
      <w:keepLines/>
      <w:numPr>
        <w:numId w:val="0"/>
      </w:numPr>
      <w:spacing w:before="240" w:after="120"/>
    </w:pPr>
    <w:rPr>
      <w:rFonts w:ascii="DIN OT Medium" w:hAnsi="DIN OT Medium"/>
      <w:color w:val="012169" w:themeColor="text2"/>
      <w:sz w:val="26"/>
    </w:rPr>
  </w:style>
  <w:style w:type="character" w:customStyle="1" w:styleId="Heading4Char">
    <w:name w:val="Heading 4 Char"/>
    <w:basedOn w:val="DefaultParagraphFont"/>
    <w:link w:val="Heading4"/>
    <w:uiPriority w:val="9"/>
    <w:rsid w:val="0016272E"/>
    <w:rPr>
      <w:rFonts w:ascii="DIN OT Medium" w:eastAsiaTheme="majorEastAsia" w:hAnsi="DIN OT Medium" w:cstheme="majorBidi"/>
      <w:bCs/>
      <w:i/>
      <w:iCs/>
      <w:color w:val="012169" w:themeColor="text2"/>
      <w:sz w:val="26"/>
    </w:rPr>
  </w:style>
  <w:style w:type="paragraph" w:styleId="ListBullet">
    <w:name w:val="List Bullet"/>
    <w:basedOn w:val="Normal"/>
    <w:uiPriority w:val="12"/>
    <w:qFormat/>
    <w:rsid w:val="00641EAA"/>
    <w:pPr>
      <w:numPr>
        <w:numId w:val="6"/>
      </w:numPr>
    </w:pPr>
  </w:style>
  <w:style w:type="paragraph" w:styleId="ListBullet2">
    <w:name w:val="List Bullet 2"/>
    <w:basedOn w:val="ListBullet"/>
    <w:uiPriority w:val="12"/>
    <w:qFormat/>
    <w:rsid w:val="00641EAA"/>
    <w:pPr>
      <w:numPr>
        <w:ilvl w:val="1"/>
      </w:numPr>
    </w:pPr>
  </w:style>
  <w:style w:type="paragraph" w:styleId="ListNumber">
    <w:name w:val="List Number"/>
    <w:basedOn w:val="Normal"/>
    <w:uiPriority w:val="15"/>
    <w:qFormat/>
    <w:rsid w:val="00662E28"/>
    <w:pPr>
      <w:numPr>
        <w:numId w:val="7"/>
      </w:numPr>
    </w:pPr>
  </w:style>
  <w:style w:type="paragraph" w:styleId="ListNumber2">
    <w:name w:val="List Number 2"/>
    <w:basedOn w:val="Normal"/>
    <w:uiPriority w:val="16"/>
    <w:qFormat/>
    <w:rsid w:val="00662E28"/>
    <w:pPr>
      <w:numPr>
        <w:ilvl w:val="1"/>
        <w:numId w:val="7"/>
      </w:numPr>
    </w:pPr>
  </w:style>
  <w:style w:type="numbering" w:customStyle="1" w:styleId="HeadingList">
    <w:name w:val="Heading List"/>
    <w:uiPriority w:val="99"/>
    <w:rsid w:val="001241CB"/>
  </w:style>
  <w:style w:type="paragraph" w:styleId="ListNumber3">
    <w:name w:val="List Number 3"/>
    <w:basedOn w:val="Normal"/>
    <w:uiPriority w:val="16"/>
    <w:qFormat/>
    <w:rsid w:val="00662E28"/>
    <w:pPr>
      <w:numPr>
        <w:ilvl w:val="2"/>
        <w:numId w:val="7"/>
      </w:numPr>
    </w:pPr>
  </w:style>
  <w:style w:type="paragraph" w:styleId="Title">
    <w:name w:val="Title"/>
    <w:basedOn w:val="Normal"/>
    <w:next w:val="Normal"/>
    <w:link w:val="TitleChar"/>
    <w:uiPriority w:val="31"/>
    <w:rsid w:val="00DD5719"/>
    <w:pPr>
      <w:numPr>
        <w:numId w:val="0"/>
      </w:numPr>
      <w:pBdr>
        <w:bottom w:val="single" w:sz="24" w:space="10" w:color="012169" w:themeColor="accent1"/>
      </w:pBdr>
      <w:spacing w:after="0" w:line="192" w:lineRule="auto"/>
      <w:ind w:right="567"/>
    </w:pPr>
    <w:rPr>
      <w:rFonts w:ascii="DIN OT Medium" w:eastAsiaTheme="majorEastAsia" w:hAnsi="DIN OT Medium" w:cstheme="majorBidi"/>
      <w:caps/>
      <w:color w:val="012169" w:themeColor="text2"/>
      <w:sz w:val="80"/>
      <w:szCs w:val="52"/>
    </w:rPr>
  </w:style>
  <w:style w:type="character" w:customStyle="1" w:styleId="TitleChar">
    <w:name w:val="Title Char"/>
    <w:basedOn w:val="DefaultParagraphFont"/>
    <w:link w:val="Title"/>
    <w:uiPriority w:val="31"/>
    <w:rsid w:val="000E3427"/>
    <w:rPr>
      <w:rFonts w:ascii="DIN OT Medium" w:eastAsiaTheme="majorEastAsia" w:hAnsi="DIN OT Medium" w:cstheme="majorBidi"/>
      <w:caps/>
      <w:color w:val="012169" w:themeColor="text2"/>
      <w:sz w:val="80"/>
      <w:szCs w:val="52"/>
    </w:rPr>
  </w:style>
  <w:style w:type="numbering" w:styleId="111111">
    <w:name w:val="Outline List 2"/>
    <w:basedOn w:val="NoList"/>
    <w:uiPriority w:val="99"/>
    <w:semiHidden/>
    <w:unhideWhenUsed/>
    <w:locked/>
    <w:rsid w:val="00466648"/>
    <w:pPr>
      <w:numPr>
        <w:numId w:val="14"/>
      </w:numPr>
    </w:pPr>
  </w:style>
  <w:style w:type="paragraph" w:styleId="TOC1">
    <w:name w:val="toc 1"/>
    <w:basedOn w:val="Normal"/>
    <w:next w:val="Normal"/>
    <w:autoRedefine/>
    <w:uiPriority w:val="39"/>
    <w:unhideWhenUsed/>
    <w:rsid w:val="008071C6"/>
    <w:pPr>
      <w:numPr>
        <w:numId w:val="0"/>
      </w:numPr>
      <w:tabs>
        <w:tab w:val="right" w:pos="9027"/>
      </w:tabs>
    </w:pPr>
    <w:rPr>
      <w:rFonts w:ascii="DIN OT Medium" w:hAnsi="DIN OT Medium"/>
    </w:rPr>
  </w:style>
  <w:style w:type="paragraph" w:styleId="TOCHeading">
    <w:name w:val="TOC Heading"/>
    <w:basedOn w:val="Heading1"/>
    <w:next w:val="Normal"/>
    <w:uiPriority w:val="39"/>
    <w:unhideWhenUsed/>
    <w:qFormat/>
    <w:rsid w:val="00616C90"/>
    <w:pPr>
      <w:outlineLvl w:val="9"/>
    </w:pPr>
  </w:style>
  <w:style w:type="paragraph" w:styleId="Footer">
    <w:name w:val="footer"/>
    <w:basedOn w:val="Normal"/>
    <w:link w:val="FooterChar"/>
    <w:uiPriority w:val="99"/>
    <w:rsid w:val="00EE70EE"/>
    <w:pPr>
      <w:numPr>
        <w:numId w:val="0"/>
      </w:numPr>
      <w:tabs>
        <w:tab w:val="right" w:pos="9639"/>
      </w:tabs>
      <w:spacing w:after="0" w:line="200" w:lineRule="exact"/>
      <w:contextualSpacing/>
    </w:pPr>
    <w:rPr>
      <w:caps/>
      <w:sz w:val="16"/>
    </w:rPr>
  </w:style>
  <w:style w:type="character" w:customStyle="1" w:styleId="FooterChar">
    <w:name w:val="Footer Char"/>
    <w:basedOn w:val="DefaultParagraphFont"/>
    <w:link w:val="Footer"/>
    <w:uiPriority w:val="99"/>
    <w:rsid w:val="00EE70EE"/>
    <w:rPr>
      <w:rFonts w:ascii="DIN OT Light" w:hAnsi="DIN OT Light"/>
      <w:caps/>
      <w:sz w:val="16"/>
    </w:rPr>
  </w:style>
  <w:style w:type="paragraph" w:styleId="ListBullet3">
    <w:name w:val="List Bullet 3"/>
    <w:basedOn w:val="Normal"/>
    <w:uiPriority w:val="12"/>
    <w:qFormat/>
    <w:rsid w:val="00641EAA"/>
    <w:pPr>
      <w:numPr>
        <w:ilvl w:val="2"/>
        <w:numId w:val="6"/>
      </w:numPr>
    </w:pPr>
  </w:style>
  <w:style w:type="table" w:styleId="TableGrid">
    <w:name w:val="Table Grid"/>
    <w:basedOn w:val="TableNormal"/>
    <w:uiPriority w:val="59"/>
    <w:rsid w:val="00B20DFD"/>
    <w:pPr>
      <w:spacing w:before="60" w:after="60"/>
    </w:pPr>
    <w:rPr>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EAECEE" w:themeFill="accent4" w:themeFillTint="33"/>
    </w:tcPr>
    <w:tblStylePr w:type="firstRow">
      <w:rPr>
        <w:rFonts w:ascii="Bahnschrift Light" w:hAnsi="Bahnschrift Light"/>
        <w:b w:val="0"/>
        <w:color w:val="FFFFFF" w:themeColor="background1"/>
      </w:rPr>
      <w:tblPr/>
      <w:trPr>
        <w:cantSplit/>
        <w:tblHeader/>
      </w:trPr>
      <w:tcPr>
        <w:shd w:val="clear" w:color="auto" w:fill="012169" w:themeFill="accent1"/>
      </w:tcPr>
    </w:tblStylePr>
    <w:tblStylePr w:type="lastRow">
      <w:rPr>
        <w:rFonts w:ascii="Bahnschrift Light" w:hAnsi="Bahnschrift Light"/>
        <w:b w:val="0"/>
      </w:rPr>
      <w:tblPr/>
      <w:tcPr>
        <w:shd w:val="clear" w:color="auto" w:fill="EAECEE" w:themeFill="accent4" w:themeFillTint="33"/>
      </w:tcPr>
    </w:tblStylePr>
    <w:tblStylePr w:type="firstCol">
      <w:rPr>
        <w:rFonts w:ascii="Bahnschrift Light" w:hAnsi="Bahnschrift Light"/>
        <w:b w:val="0"/>
        <w:color w:val="auto"/>
      </w:rPr>
    </w:tblStylePr>
    <w:tblStylePr w:type="lastCol">
      <w:pPr>
        <w:jc w:val="right"/>
      </w:pPr>
      <w:rPr>
        <w:rFonts w:ascii="Bahnschrift Light" w:hAnsi="Bahnschrift Light"/>
        <w:b w:val="0"/>
      </w:rPr>
    </w:tblStylePr>
    <w:tblStylePr w:type="band1Horz">
      <w:tblPr/>
      <w:tcPr>
        <w:shd w:val="clear" w:color="auto" w:fill="EAECEE" w:themeFill="accent4" w:themeFillTint="33"/>
      </w:tcPr>
    </w:tblStylePr>
    <w:tblStylePr w:type="band2Horz">
      <w:tblPr/>
      <w:tcPr>
        <w:shd w:val="clear" w:color="auto" w:fill="C1C8CE" w:themeFill="accent4" w:themeFillTint="99"/>
      </w:tcPr>
    </w:tblStylePr>
  </w:style>
  <w:style w:type="paragraph" w:styleId="Caption">
    <w:name w:val="caption"/>
    <w:next w:val="Normal"/>
    <w:uiPriority w:val="34"/>
    <w:qFormat/>
    <w:rsid w:val="0027194D"/>
    <w:pPr>
      <w:tabs>
        <w:tab w:val="left" w:pos="1134"/>
      </w:tabs>
      <w:spacing w:before="240" w:after="120"/>
    </w:pPr>
    <w:rPr>
      <w:rFonts w:ascii="DIN OT Medium" w:hAnsi="DIN OT Medium"/>
      <w:bCs/>
      <w:i/>
      <w:szCs w:val="18"/>
    </w:rPr>
  </w:style>
  <w:style w:type="paragraph" w:styleId="Header">
    <w:name w:val="header"/>
    <w:basedOn w:val="Normal"/>
    <w:link w:val="HeaderChar"/>
    <w:uiPriority w:val="99"/>
    <w:rsid w:val="00722F9F"/>
    <w:pPr>
      <w:numPr>
        <w:numId w:val="0"/>
      </w:numPr>
      <w:tabs>
        <w:tab w:val="center" w:pos="4513"/>
        <w:tab w:val="right" w:pos="9026"/>
      </w:tabs>
      <w:spacing w:after="0"/>
    </w:pPr>
    <w:rPr>
      <w:sz w:val="16"/>
    </w:rPr>
  </w:style>
  <w:style w:type="character" w:customStyle="1" w:styleId="HeaderChar">
    <w:name w:val="Header Char"/>
    <w:basedOn w:val="DefaultParagraphFont"/>
    <w:link w:val="Header"/>
    <w:uiPriority w:val="99"/>
    <w:rsid w:val="00E93F74"/>
    <w:rPr>
      <w:sz w:val="16"/>
    </w:rPr>
  </w:style>
  <w:style w:type="paragraph" w:styleId="BalloonText">
    <w:name w:val="Balloon Text"/>
    <w:basedOn w:val="Normal"/>
    <w:link w:val="BalloonTextChar"/>
    <w:uiPriority w:val="99"/>
    <w:semiHidden/>
    <w:unhideWhenUsed/>
    <w:locked/>
    <w:rsid w:val="00C636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sz w:val="16"/>
      <w:szCs w:val="16"/>
    </w:rPr>
  </w:style>
  <w:style w:type="character" w:styleId="PlaceholderText">
    <w:name w:val="Placeholder Text"/>
    <w:basedOn w:val="DefaultParagraphFont"/>
    <w:uiPriority w:val="99"/>
    <w:semiHidden/>
    <w:rsid w:val="009E0C10"/>
    <w:rPr>
      <w:noProof w:val="0"/>
      <w:color w:val="000000" w:themeColor="text1"/>
      <w:sz w:val="22"/>
      <w:lang w:val="en-AU"/>
    </w:rPr>
  </w:style>
  <w:style w:type="paragraph" w:styleId="ListNumber4">
    <w:name w:val="List Number 4"/>
    <w:basedOn w:val="Normal"/>
    <w:uiPriority w:val="16"/>
    <w:semiHidden/>
    <w:qFormat/>
    <w:locked/>
    <w:rsid w:val="00A909CC"/>
    <w:pPr>
      <w:numPr>
        <w:numId w:val="0"/>
      </w:numPr>
    </w:pPr>
  </w:style>
  <w:style w:type="character" w:styleId="Hyperlink">
    <w:name w:val="Hyperlink"/>
    <w:basedOn w:val="DefaultParagraphFont"/>
    <w:uiPriority w:val="99"/>
    <w:rsid w:val="00616C90"/>
    <w:rPr>
      <w:noProof w:val="0"/>
      <w:color w:val="0000FF"/>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012169" w:themeColor="accent1"/>
        <w:left w:val="single" w:sz="2" w:space="10" w:color="012169" w:themeColor="accent1"/>
        <w:bottom w:val="single" w:sz="2" w:space="10" w:color="012169" w:themeColor="accent1"/>
        <w:right w:val="single" w:sz="2" w:space="10" w:color="012169" w:themeColor="accent1"/>
      </w:pBdr>
      <w:ind w:left="1152" w:right="1152"/>
    </w:pPr>
    <w:rPr>
      <w:rFonts w:asciiTheme="minorHAnsi" w:eastAsiaTheme="minorEastAsia" w:hAnsiTheme="minorHAnsi"/>
      <w:i/>
      <w:iCs/>
      <w:color w:val="012169"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rPr>
      <w:rFonts w:ascii="DIN OT Light" w:hAnsi="DIN OT Light"/>
    </w:rPr>
  </w:style>
  <w:style w:type="paragraph" w:styleId="BodyText2">
    <w:name w:val="Body Text 2"/>
    <w:basedOn w:val="Normal"/>
    <w:link w:val="BodyText2Char"/>
    <w:uiPriority w:val="99"/>
    <w:unhideWhenUsed/>
    <w:qFormat/>
    <w:locked/>
    <w:rsid w:val="00F80750"/>
    <w:pPr>
      <w:spacing w:line="480" w:lineRule="auto"/>
    </w:pPr>
  </w:style>
  <w:style w:type="character" w:customStyle="1" w:styleId="BodyText2Char">
    <w:name w:val="Body Text 2 Char"/>
    <w:basedOn w:val="DefaultParagraphFont"/>
    <w:link w:val="BodyText2"/>
    <w:uiPriority w:val="99"/>
    <w:rsid w:val="00F80750"/>
    <w:rPr>
      <w:rFonts w:ascii="DIN OT Light" w:hAnsi="DIN OT Light"/>
    </w:rPr>
  </w:style>
  <w:style w:type="paragraph" w:styleId="BodyText3">
    <w:name w:val="Body Text 3"/>
    <w:basedOn w:val="Normal"/>
    <w:link w:val="BodyText3Char"/>
    <w:uiPriority w:val="99"/>
    <w:unhideWhenUsed/>
    <w:qFormat/>
    <w:locked/>
    <w:rsid w:val="00F80750"/>
    <w:rPr>
      <w:sz w:val="16"/>
      <w:szCs w:val="16"/>
    </w:rPr>
  </w:style>
  <w:style w:type="character" w:customStyle="1" w:styleId="BodyText3Char">
    <w:name w:val="Body Text 3 Char"/>
    <w:basedOn w:val="DefaultParagraphFont"/>
    <w:link w:val="BodyText3"/>
    <w:uiPriority w:val="99"/>
    <w:rsid w:val="00F80750"/>
    <w:rPr>
      <w:rFonts w:ascii="DIN OT Light" w:hAnsi="DIN OT Light"/>
      <w:sz w:val="16"/>
      <w:szCs w:val="16"/>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rFonts w:ascii="DIN OT Light" w:hAnsi="DIN OT Light"/>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rFonts w:ascii="DIN OT Light" w:hAnsi="DIN OT Light"/>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rFonts w:ascii="DIN OT Light" w:hAnsi="DIN OT Light"/>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rFonts w:ascii="DIN OT Light" w:hAnsi="DIN OT Light"/>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rFonts w:ascii="DIN OT Light" w:hAnsi="DIN OT Light"/>
      <w:sz w:val="16"/>
      <w:szCs w:val="16"/>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ind w:left="4252"/>
    </w:pPr>
  </w:style>
  <w:style w:type="character" w:customStyle="1" w:styleId="ClosingChar">
    <w:name w:val="Closing Char"/>
    <w:basedOn w:val="DefaultParagraphFont"/>
    <w:link w:val="Closing"/>
    <w:uiPriority w:val="99"/>
    <w:semiHidden/>
    <w:rsid w:val="00F80750"/>
    <w:rPr>
      <w:rFonts w:ascii="DIN OT Light" w:hAnsi="DIN OT Light"/>
    </w:rPr>
  </w:style>
  <w:style w:type="table" w:styleId="ColorfulGrid">
    <w:name w:val="Colorful Grid"/>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AEC7FE" w:themeFill="accent1" w:themeFillTint="33"/>
    </w:tcPr>
    <w:tblStylePr w:type="firstRow">
      <w:rPr>
        <w:b/>
        <w:bCs/>
      </w:rPr>
      <w:tblPr/>
      <w:tcPr>
        <w:shd w:val="clear" w:color="auto" w:fill="5E8FFD" w:themeFill="accent1" w:themeFillTint="66"/>
      </w:tcPr>
    </w:tblStylePr>
    <w:tblStylePr w:type="lastRow">
      <w:rPr>
        <w:b/>
        <w:bCs/>
        <w:color w:val="000000" w:themeColor="text1"/>
      </w:rPr>
      <w:tblPr/>
      <w:tcPr>
        <w:shd w:val="clear" w:color="auto" w:fill="5E8FFD" w:themeFill="accent1" w:themeFillTint="66"/>
      </w:tcPr>
    </w:tblStylePr>
    <w:tblStylePr w:type="firstCol">
      <w:rPr>
        <w:color w:val="FFFFFF" w:themeColor="background1"/>
      </w:rPr>
      <w:tblPr/>
      <w:tcPr>
        <w:shd w:val="clear" w:color="auto" w:fill="00184E" w:themeFill="accent1" w:themeFillShade="BF"/>
      </w:tcPr>
    </w:tblStylePr>
    <w:tblStylePr w:type="lastCol">
      <w:rPr>
        <w:color w:val="FFFFFF" w:themeColor="background1"/>
      </w:rPr>
      <w:tblPr/>
      <w:tcPr>
        <w:shd w:val="clear" w:color="auto" w:fill="00184E" w:themeFill="accent1" w:themeFillShade="BF"/>
      </w:tcPr>
    </w:tblStylePr>
    <w:tblStylePr w:type="band1Vert">
      <w:tblPr/>
      <w:tcPr>
        <w:shd w:val="clear" w:color="auto" w:fill="3773FD" w:themeFill="accent1" w:themeFillTint="7F"/>
      </w:tcPr>
    </w:tblStylePr>
    <w:tblStylePr w:type="band1Horz">
      <w:tblPr/>
      <w:tcPr>
        <w:shd w:val="clear" w:color="auto" w:fill="3773FD" w:themeFill="accent1" w:themeFillTint="7F"/>
      </w:tcPr>
    </w:tblStylePr>
  </w:style>
  <w:style w:type="table" w:styleId="ColorfulGrid-Accent2">
    <w:name w:val="Colorful Grid Accent 2"/>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5F0FF" w:themeFill="accent2" w:themeFillTint="33"/>
    </w:tcPr>
    <w:tblStylePr w:type="firstRow">
      <w:rPr>
        <w:b/>
        <w:bCs/>
      </w:rPr>
      <w:tblPr/>
      <w:tcPr>
        <w:shd w:val="clear" w:color="auto" w:fill="8CE2FF" w:themeFill="accent2" w:themeFillTint="66"/>
      </w:tcPr>
    </w:tblStylePr>
    <w:tblStylePr w:type="lastRow">
      <w:rPr>
        <w:b/>
        <w:bCs/>
        <w:color w:val="000000" w:themeColor="text1"/>
      </w:rPr>
      <w:tblPr/>
      <w:tcPr>
        <w:shd w:val="clear" w:color="auto" w:fill="8CE2FF" w:themeFill="accent2" w:themeFillTint="66"/>
      </w:tcPr>
    </w:tblStylePr>
    <w:tblStylePr w:type="firstCol">
      <w:rPr>
        <w:color w:val="FFFFFF" w:themeColor="background1"/>
      </w:rPr>
      <w:tblPr/>
      <w:tcPr>
        <w:shd w:val="clear" w:color="auto" w:fill="007EA7" w:themeFill="accent2" w:themeFillShade="BF"/>
      </w:tcPr>
    </w:tblStylePr>
    <w:tblStylePr w:type="lastCol">
      <w:rPr>
        <w:color w:val="FFFFFF" w:themeColor="background1"/>
      </w:rPr>
      <w:tblPr/>
      <w:tcPr>
        <w:shd w:val="clear" w:color="auto" w:fill="007EA7" w:themeFill="accent2" w:themeFillShade="BF"/>
      </w:tcPr>
    </w:tblStylePr>
    <w:tblStylePr w:type="band1Vert">
      <w:tblPr/>
      <w:tcPr>
        <w:shd w:val="clear" w:color="auto" w:fill="70DBFF" w:themeFill="accent2" w:themeFillTint="7F"/>
      </w:tcPr>
    </w:tblStylePr>
    <w:tblStylePr w:type="band1Horz">
      <w:tblPr/>
      <w:tcPr>
        <w:shd w:val="clear" w:color="auto" w:fill="70DBFF" w:themeFill="accent2" w:themeFillTint="7F"/>
      </w:tcPr>
    </w:tblStylePr>
  </w:style>
  <w:style w:type="table" w:styleId="ColorfulGrid-Accent3">
    <w:name w:val="Colorful Grid Accent 3"/>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2E3FF" w:themeFill="accent3" w:themeFillTint="33"/>
    </w:tcPr>
    <w:tblStylePr w:type="firstRow">
      <w:rPr>
        <w:b/>
        <w:bCs/>
      </w:rPr>
      <w:tblPr/>
      <w:tcPr>
        <w:shd w:val="clear" w:color="auto" w:fill="85C8FF" w:themeFill="accent3" w:themeFillTint="66"/>
      </w:tcPr>
    </w:tblStylePr>
    <w:tblStylePr w:type="lastRow">
      <w:rPr>
        <w:b/>
        <w:bCs/>
        <w:color w:val="000000" w:themeColor="text1"/>
      </w:rPr>
      <w:tblPr/>
      <w:tcPr>
        <w:shd w:val="clear" w:color="auto" w:fill="85C8FF" w:themeFill="accent3" w:themeFillTint="66"/>
      </w:tcPr>
    </w:tblStylePr>
    <w:tblStylePr w:type="firstCol">
      <w:rPr>
        <w:color w:val="FFFFFF" w:themeColor="background1"/>
      </w:rPr>
      <w:tblPr/>
      <w:tcPr>
        <w:shd w:val="clear" w:color="auto" w:fill="00559A" w:themeFill="accent3" w:themeFillShade="BF"/>
      </w:tcPr>
    </w:tblStylePr>
    <w:tblStylePr w:type="lastCol">
      <w:rPr>
        <w:color w:val="FFFFFF" w:themeColor="background1"/>
      </w:rPr>
      <w:tblPr/>
      <w:tcPr>
        <w:shd w:val="clear" w:color="auto" w:fill="00559A" w:themeFill="accent3" w:themeFillShade="BF"/>
      </w:tcPr>
    </w:tblStylePr>
    <w:tblStylePr w:type="band1Vert">
      <w:tblPr/>
      <w:tcPr>
        <w:shd w:val="clear" w:color="auto" w:fill="67BBFF" w:themeFill="accent3" w:themeFillTint="7F"/>
      </w:tcPr>
    </w:tblStylePr>
    <w:tblStylePr w:type="band1Horz">
      <w:tblPr/>
      <w:tcPr>
        <w:shd w:val="clear" w:color="auto" w:fill="67BBFF" w:themeFill="accent3" w:themeFillTint="7F"/>
      </w:tcPr>
    </w:tblStylePr>
  </w:style>
  <w:style w:type="table" w:styleId="ColorfulGrid-Accent4">
    <w:name w:val="Colorful Grid Accent 4"/>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AECEE" w:themeFill="accent4" w:themeFillTint="33"/>
    </w:tcPr>
    <w:tblStylePr w:type="firstRow">
      <w:rPr>
        <w:b/>
        <w:bCs/>
      </w:rPr>
      <w:tblPr/>
      <w:tcPr>
        <w:shd w:val="clear" w:color="auto" w:fill="D5DADE" w:themeFill="accent4" w:themeFillTint="66"/>
      </w:tcPr>
    </w:tblStylePr>
    <w:tblStylePr w:type="lastRow">
      <w:rPr>
        <w:b/>
        <w:bCs/>
        <w:color w:val="000000" w:themeColor="text1"/>
      </w:rPr>
      <w:tblPr/>
      <w:tcPr>
        <w:shd w:val="clear" w:color="auto" w:fill="D5DADE" w:themeFill="accent4" w:themeFillTint="66"/>
      </w:tcPr>
    </w:tblStylePr>
    <w:tblStylePr w:type="firstCol">
      <w:rPr>
        <w:color w:val="FFFFFF" w:themeColor="background1"/>
      </w:rPr>
      <w:tblPr/>
      <w:tcPr>
        <w:shd w:val="clear" w:color="auto" w:fill="6B7B88" w:themeFill="accent4" w:themeFillShade="BF"/>
      </w:tcPr>
    </w:tblStylePr>
    <w:tblStylePr w:type="lastCol">
      <w:rPr>
        <w:color w:val="FFFFFF" w:themeColor="background1"/>
      </w:rPr>
      <w:tblPr/>
      <w:tcPr>
        <w:shd w:val="clear" w:color="auto" w:fill="6B7B88" w:themeFill="accent4" w:themeFillShade="BF"/>
      </w:tcPr>
    </w:tblStylePr>
    <w:tblStylePr w:type="band1Vert">
      <w:tblPr/>
      <w:tcPr>
        <w:shd w:val="clear" w:color="auto" w:fill="CBD1D6" w:themeFill="accent4" w:themeFillTint="7F"/>
      </w:tcPr>
    </w:tblStylePr>
    <w:tblStylePr w:type="band1Horz">
      <w:tblPr/>
      <w:tcPr>
        <w:shd w:val="clear" w:color="auto" w:fill="CBD1D6" w:themeFill="accent4" w:themeFillTint="7F"/>
      </w:tcPr>
    </w:tblStylePr>
  </w:style>
  <w:style w:type="table" w:styleId="ColorfulGrid-Accent5">
    <w:name w:val="Colorful Grid Accent 5"/>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D9E3E9" w:themeFill="accent5" w:themeFillTint="33"/>
    </w:tcPr>
    <w:tblStylePr w:type="firstRow">
      <w:rPr>
        <w:b/>
        <w:bCs/>
      </w:rPr>
      <w:tblPr/>
      <w:tcPr>
        <w:shd w:val="clear" w:color="auto" w:fill="B4C8D4" w:themeFill="accent5" w:themeFillTint="66"/>
      </w:tcPr>
    </w:tblStylePr>
    <w:tblStylePr w:type="lastRow">
      <w:rPr>
        <w:b/>
        <w:bCs/>
        <w:color w:val="000000" w:themeColor="text1"/>
      </w:rPr>
      <w:tblPr/>
      <w:tcPr>
        <w:shd w:val="clear" w:color="auto" w:fill="B4C8D4" w:themeFill="accent5" w:themeFillTint="66"/>
      </w:tcPr>
    </w:tblStylePr>
    <w:tblStylePr w:type="firstCol">
      <w:rPr>
        <w:color w:val="FFFFFF" w:themeColor="background1"/>
      </w:rPr>
      <w:tblPr/>
      <w:tcPr>
        <w:shd w:val="clear" w:color="auto" w:fill="3B5767" w:themeFill="accent5" w:themeFillShade="BF"/>
      </w:tcPr>
    </w:tblStylePr>
    <w:tblStylePr w:type="lastCol">
      <w:rPr>
        <w:color w:val="FFFFFF" w:themeColor="background1"/>
      </w:rPr>
      <w:tblPr/>
      <w:tcPr>
        <w:shd w:val="clear" w:color="auto" w:fill="3B5767" w:themeFill="accent5" w:themeFillShade="BF"/>
      </w:tcPr>
    </w:tblStylePr>
    <w:tblStylePr w:type="band1Vert">
      <w:tblPr/>
      <w:tcPr>
        <w:shd w:val="clear" w:color="auto" w:fill="A2BBCA" w:themeFill="accent5" w:themeFillTint="7F"/>
      </w:tcPr>
    </w:tblStylePr>
    <w:tblStylePr w:type="band1Horz">
      <w:tblPr/>
      <w:tcPr>
        <w:shd w:val="clear" w:color="auto" w:fill="A2BBCA" w:themeFill="accent5" w:themeFillTint="7F"/>
      </w:tcPr>
    </w:tblStylePr>
  </w:style>
  <w:style w:type="table" w:styleId="ColorfulGrid-Accent6">
    <w:name w:val="Colorful Grid Accent 6"/>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2F3FA" w:themeFill="accent6" w:themeFillTint="33"/>
    </w:tcPr>
    <w:tblStylePr w:type="firstRow">
      <w:rPr>
        <w:b/>
        <w:bCs/>
      </w:rPr>
      <w:tblPr/>
      <w:tcPr>
        <w:shd w:val="clear" w:color="auto" w:fill="C6E7F5" w:themeFill="accent6" w:themeFillTint="66"/>
      </w:tcPr>
    </w:tblStylePr>
    <w:tblStylePr w:type="lastRow">
      <w:rPr>
        <w:b/>
        <w:bCs/>
        <w:color w:val="000000" w:themeColor="text1"/>
      </w:rPr>
      <w:tblPr/>
      <w:tcPr>
        <w:shd w:val="clear" w:color="auto" w:fill="C6E7F5" w:themeFill="accent6" w:themeFillTint="66"/>
      </w:tcPr>
    </w:tblStylePr>
    <w:tblStylePr w:type="firstCol">
      <w:rPr>
        <w:color w:val="FFFFFF" w:themeColor="background1"/>
      </w:rPr>
      <w:tblPr/>
      <w:tcPr>
        <w:shd w:val="clear" w:color="auto" w:fill="26A6DC" w:themeFill="accent6" w:themeFillShade="BF"/>
      </w:tcPr>
    </w:tblStylePr>
    <w:tblStylePr w:type="lastCol">
      <w:rPr>
        <w:color w:val="FFFFFF" w:themeColor="background1"/>
      </w:rPr>
      <w:tblPr/>
      <w:tcPr>
        <w:shd w:val="clear" w:color="auto" w:fill="26A6DC" w:themeFill="accent6" w:themeFillShade="BF"/>
      </w:tcPr>
    </w:tblStylePr>
    <w:tblStylePr w:type="band1Vert">
      <w:tblPr/>
      <w:tcPr>
        <w:shd w:val="clear" w:color="auto" w:fill="B8E2F3" w:themeFill="accent6" w:themeFillTint="7F"/>
      </w:tcPr>
    </w:tblStylePr>
    <w:tblStylePr w:type="band1Horz">
      <w:tblPr/>
      <w:tcPr>
        <w:shd w:val="clear" w:color="auto" w:fill="B8E2F3" w:themeFill="accent6" w:themeFillTint="7F"/>
      </w:tcPr>
    </w:tblStylePr>
  </w:style>
  <w:style w:type="table" w:styleId="ColorfulList">
    <w:name w:val="Colorful List"/>
    <w:basedOn w:val="TableNormal"/>
    <w:uiPriority w:val="72"/>
    <w:locked/>
    <w:rsid w:val="00F80750"/>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tblPr>
      <w:tblStyleRowBandSize w:val="1"/>
      <w:tblStyleColBandSize w:val="1"/>
    </w:tblPr>
    <w:tcPr>
      <w:shd w:val="clear" w:color="auto" w:fill="D7E3FE" w:themeFill="accent1"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1" w:themeFillTint="3F"/>
      </w:tcPr>
    </w:tblStylePr>
    <w:tblStylePr w:type="band1Horz">
      <w:tblPr/>
      <w:tcPr>
        <w:shd w:val="clear" w:color="auto" w:fill="AEC7FE" w:themeFill="accent1" w:themeFillTint="33"/>
      </w:tcPr>
    </w:tblStylePr>
  </w:style>
  <w:style w:type="table" w:styleId="ColorfulList-Accent2">
    <w:name w:val="Colorful List Accent 2"/>
    <w:basedOn w:val="TableNormal"/>
    <w:uiPriority w:val="72"/>
    <w:locked/>
    <w:rsid w:val="00F80750"/>
    <w:pPr>
      <w:spacing w:after="0"/>
    </w:pPr>
    <w:tblPr>
      <w:tblStyleRowBandSize w:val="1"/>
      <w:tblStyleColBandSize w:val="1"/>
    </w:tblPr>
    <w:tcPr>
      <w:shd w:val="clear" w:color="auto" w:fill="E2F8FF" w:themeFill="accent2"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EDFF" w:themeFill="accent2" w:themeFillTint="3F"/>
      </w:tcPr>
    </w:tblStylePr>
    <w:tblStylePr w:type="band1Horz">
      <w:tblPr/>
      <w:tcPr>
        <w:shd w:val="clear" w:color="auto" w:fill="C5F0FF" w:themeFill="accent2" w:themeFillTint="33"/>
      </w:tcPr>
    </w:tblStylePr>
  </w:style>
  <w:style w:type="table" w:styleId="ColorfulList-Accent3">
    <w:name w:val="Colorful List Accent 3"/>
    <w:basedOn w:val="TableNormal"/>
    <w:uiPriority w:val="72"/>
    <w:locked/>
    <w:rsid w:val="00F80750"/>
    <w:pPr>
      <w:spacing w:after="0"/>
    </w:pPr>
    <w:tblPr>
      <w:tblStyleRowBandSize w:val="1"/>
      <w:tblStyleColBandSize w:val="1"/>
    </w:tblPr>
    <w:tcPr>
      <w:shd w:val="clear" w:color="auto" w:fill="E1F1FF" w:themeFill="accent3" w:themeFillTint="19"/>
    </w:tcPr>
    <w:tblStylePr w:type="firstRow">
      <w:rPr>
        <w:b/>
        <w:bCs/>
        <w:color w:val="FFFFFF" w:themeColor="background1"/>
      </w:rPr>
      <w:tblPr/>
      <w:tcPr>
        <w:tcBorders>
          <w:bottom w:val="single" w:sz="12" w:space="0" w:color="FFFFFF" w:themeColor="background1"/>
        </w:tcBorders>
        <w:shd w:val="clear" w:color="auto" w:fill="738391" w:themeFill="accent4" w:themeFillShade="CC"/>
      </w:tcPr>
    </w:tblStylePr>
    <w:tblStylePr w:type="lastRow">
      <w:rPr>
        <w:b/>
        <w:bCs/>
        <w:color w:val="73839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3" w:themeFillTint="3F"/>
      </w:tcPr>
    </w:tblStylePr>
    <w:tblStylePr w:type="band1Horz">
      <w:tblPr/>
      <w:tcPr>
        <w:shd w:val="clear" w:color="auto" w:fill="C2E3FF" w:themeFill="accent3" w:themeFillTint="33"/>
      </w:tcPr>
    </w:tblStylePr>
  </w:style>
  <w:style w:type="table" w:styleId="ColorfulList-Accent4">
    <w:name w:val="Colorful List Accent 4"/>
    <w:basedOn w:val="TableNormal"/>
    <w:uiPriority w:val="72"/>
    <w:locked/>
    <w:rsid w:val="00F80750"/>
    <w:pPr>
      <w:spacing w:after="0"/>
    </w:pPr>
    <w:tblPr>
      <w:tblStyleRowBandSize w:val="1"/>
      <w:tblStyleColBandSize w:val="1"/>
    </w:tblPr>
    <w:tcPr>
      <w:shd w:val="clear" w:color="auto" w:fill="F4F5F7" w:themeFill="accent4" w:themeFillTint="19"/>
    </w:tcPr>
    <w:tblStylePr w:type="firstRow">
      <w:rPr>
        <w:b/>
        <w:bCs/>
        <w:color w:val="FFFFFF" w:themeColor="background1"/>
      </w:rPr>
      <w:tblPr/>
      <w:tcPr>
        <w:tcBorders>
          <w:bottom w:val="single" w:sz="12" w:space="0" w:color="FFFFFF" w:themeColor="background1"/>
        </w:tcBorders>
        <w:shd w:val="clear" w:color="auto" w:fill="005BA4" w:themeFill="accent3" w:themeFillShade="CC"/>
      </w:tcPr>
    </w:tblStylePr>
    <w:tblStylePr w:type="lastRow">
      <w:rPr>
        <w:b/>
        <w:bCs/>
        <w:color w:val="005BA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8EB" w:themeFill="accent4" w:themeFillTint="3F"/>
      </w:tcPr>
    </w:tblStylePr>
    <w:tblStylePr w:type="band1Horz">
      <w:tblPr/>
      <w:tcPr>
        <w:shd w:val="clear" w:color="auto" w:fill="EAECEE" w:themeFill="accent4" w:themeFillTint="33"/>
      </w:tcPr>
    </w:tblStylePr>
  </w:style>
  <w:style w:type="table" w:styleId="ColorfulList-Accent5">
    <w:name w:val="Colorful List Accent 5"/>
    <w:basedOn w:val="TableNormal"/>
    <w:uiPriority w:val="72"/>
    <w:locked/>
    <w:rsid w:val="00F80750"/>
    <w:pPr>
      <w:spacing w:after="0"/>
    </w:pPr>
    <w:tblPr>
      <w:tblStyleRowBandSize w:val="1"/>
      <w:tblStyleColBandSize w:val="1"/>
    </w:tblPr>
    <w:tcPr>
      <w:shd w:val="clear" w:color="auto" w:fill="ECF1F4" w:themeFill="accent5" w:themeFillTint="19"/>
    </w:tcPr>
    <w:tblStylePr w:type="firstRow">
      <w:rPr>
        <w:b/>
        <w:bCs/>
        <w:color w:val="FFFFFF" w:themeColor="background1"/>
      </w:rPr>
      <w:tblPr/>
      <w:tcPr>
        <w:tcBorders>
          <w:bottom w:val="single" w:sz="12" w:space="0" w:color="FFFFFF" w:themeColor="background1"/>
        </w:tcBorders>
        <w:shd w:val="clear" w:color="auto" w:fill="35ACDE" w:themeFill="accent6" w:themeFillShade="CC"/>
      </w:tcPr>
    </w:tblStylePr>
    <w:tblStylePr w:type="lastRow">
      <w:rPr>
        <w:b/>
        <w:bCs/>
        <w:color w:val="35ACD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DE4" w:themeFill="accent5" w:themeFillTint="3F"/>
      </w:tcPr>
    </w:tblStylePr>
    <w:tblStylePr w:type="band1Horz">
      <w:tblPr/>
      <w:tcPr>
        <w:shd w:val="clear" w:color="auto" w:fill="D9E3E9" w:themeFill="accent5" w:themeFillTint="33"/>
      </w:tcPr>
    </w:tblStylePr>
  </w:style>
  <w:style w:type="table" w:styleId="ColorfulShading">
    <w:name w:val="Colorful Shading"/>
    <w:basedOn w:val="TableNormal"/>
    <w:uiPriority w:val="71"/>
    <w:locked/>
    <w:rsid w:val="00F80750"/>
    <w:pPr>
      <w:spacing w:after="0"/>
    </w:pPr>
    <w:tblPr>
      <w:tblStyleRowBandSize w:val="1"/>
      <w:tblStyleColBandSize w:val="1"/>
      <w:tblBorders>
        <w:top w:val="single" w:sz="24" w:space="0" w:color="00A9E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tblPr>
      <w:tblStyleRowBandSize w:val="1"/>
      <w:tblStyleColBandSize w:val="1"/>
      <w:tblBorders>
        <w:top w:val="single" w:sz="24" w:space="0" w:color="00A9E0" w:themeColor="accent2"/>
        <w:left w:val="single" w:sz="4" w:space="0" w:color="012169" w:themeColor="accent1"/>
        <w:bottom w:val="single" w:sz="4" w:space="0" w:color="012169" w:themeColor="accent1"/>
        <w:right w:val="single" w:sz="4" w:space="0" w:color="012169" w:themeColor="accent1"/>
        <w:insideH w:val="single" w:sz="4" w:space="0" w:color="FFFFFF" w:themeColor="background1"/>
        <w:insideV w:val="single" w:sz="4" w:space="0" w:color="FFFFFF" w:themeColor="background1"/>
      </w:tblBorders>
    </w:tblPr>
    <w:tcPr>
      <w:shd w:val="clear" w:color="auto" w:fill="D7E3FE" w:themeFill="accent1"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1" w:themeFillShade="99"/>
      </w:tcPr>
    </w:tblStylePr>
    <w:tblStylePr w:type="firstCol">
      <w:rPr>
        <w:color w:val="FFFFFF" w:themeColor="background1"/>
      </w:rPr>
      <w:tblPr/>
      <w:tcPr>
        <w:tcBorders>
          <w:top w:val="nil"/>
          <w:left w:val="nil"/>
          <w:bottom w:val="nil"/>
          <w:right w:val="nil"/>
          <w:insideH w:val="single" w:sz="4" w:space="0" w:color="00133E" w:themeColor="accent1" w:themeShade="99"/>
          <w:insideV w:val="nil"/>
        </w:tcBorders>
        <w:shd w:val="clear" w:color="auto" w:fill="0013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1" w:themeFillShade="99"/>
      </w:tcPr>
    </w:tblStylePr>
    <w:tblStylePr w:type="band1Vert">
      <w:tblPr/>
      <w:tcPr>
        <w:shd w:val="clear" w:color="auto" w:fill="5E8FFD" w:themeFill="accent1" w:themeFillTint="66"/>
      </w:tcPr>
    </w:tblStylePr>
    <w:tblStylePr w:type="band1Horz">
      <w:tblPr/>
      <w:tcPr>
        <w:shd w:val="clear" w:color="auto" w:fill="3773F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tblPr>
      <w:tblStyleRowBandSize w:val="1"/>
      <w:tblStyleColBandSize w:val="1"/>
      <w:tblBorders>
        <w:top w:val="single" w:sz="24" w:space="0" w:color="00A9E0" w:themeColor="accent2"/>
        <w:left w:val="single" w:sz="4" w:space="0" w:color="00A9E0" w:themeColor="accent2"/>
        <w:bottom w:val="single" w:sz="4" w:space="0" w:color="00A9E0" w:themeColor="accent2"/>
        <w:right w:val="single" w:sz="4" w:space="0" w:color="00A9E0" w:themeColor="accent2"/>
        <w:insideH w:val="single" w:sz="4" w:space="0" w:color="FFFFFF" w:themeColor="background1"/>
        <w:insideV w:val="single" w:sz="4" w:space="0" w:color="FFFFFF" w:themeColor="background1"/>
      </w:tblBorders>
    </w:tblPr>
    <w:tcPr>
      <w:shd w:val="clear" w:color="auto" w:fill="E2F8FF" w:themeFill="accent2"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586" w:themeFill="accent2" w:themeFillShade="99"/>
      </w:tcPr>
    </w:tblStylePr>
    <w:tblStylePr w:type="firstCol">
      <w:rPr>
        <w:color w:val="FFFFFF" w:themeColor="background1"/>
      </w:rPr>
      <w:tblPr/>
      <w:tcPr>
        <w:tcBorders>
          <w:top w:val="nil"/>
          <w:left w:val="nil"/>
          <w:bottom w:val="nil"/>
          <w:right w:val="nil"/>
          <w:insideH w:val="single" w:sz="4" w:space="0" w:color="006586" w:themeColor="accent2" w:themeShade="99"/>
          <w:insideV w:val="nil"/>
        </w:tcBorders>
        <w:shd w:val="clear" w:color="auto" w:fill="00658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586" w:themeFill="accent2" w:themeFillShade="99"/>
      </w:tcPr>
    </w:tblStylePr>
    <w:tblStylePr w:type="band1Vert">
      <w:tblPr/>
      <w:tcPr>
        <w:shd w:val="clear" w:color="auto" w:fill="8CE2FF" w:themeFill="accent2" w:themeFillTint="66"/>
      </w:tcPr>
    </w:tblStylePr>
    <w:tblStylePr w:type="band1Horz">
      <w:tblPr/>
      <w:tcPr>
        <w:shd w:val="clear" w:color="auto" w:fill="70DB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tblPr>
      <w:tblStyleRowBandSize w:val="1"/>
      <w:tblStyleColBandSize w:val="1"/>
      <w:tblBorders>
        <w:top w:val="single" w:sz="24" w:space="0" w:color="98A4AE" w:themeColor="accent4"/>
        <w:left w:val="single" w:sz="4" w:space="0" w:color="0072CE" w:themeColor="accent3"/>
        <w:bottom w:val="single" w:sz="4" w:space="0" w:color="0072CE" w:themeColor="accent3"/>
        <w:right w:val="single" w:sz="4" w:space="0" w:color="0072CE" w:themeColor="accent3"/>
        <w:insideH w:val="single" w:sz="4" w:space="0" w:color="FFFFFF" w:themeColor="background1"/>
        <w:insideV w:val="single" w:sz="4" w:space="0" w:color="FFFFFF" w:themeColor="background1"/>
      </w:tblBorders>
    </w:tblPr>
    <w:tcPr>
      <w:shd w:val="clear" w:color="auto" w:fill="E1F1FF" w:themeFill="accent3" w:themeFillTint="19"/>
    </w:tcPr>
    <w:tblStylePr w:type="firstRow">
      <w:rPr>
        <w:b/>
        <w:bCs/>
      </w:rPr>
      <w:tblPr/>
      <w:tcPr>
        <w:tcBorders>
          <w:top w:val="nil"/>
          <w:left w:val="nil"/>
          <w:bottom w:val="single" w:sz="24" w:space="0" w:color="98A4A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3" w:themeFillShade="99"/>
      </w:tcPr>
    </w:tblStylePr>
    <w:tblStylePr w:type="firstCol">
      <w:rPr>
        <w:color w:val="FFFFFF" w:themeColor="background1"/>
      </w:rPr>
      <w:tblPr/>
      <w:tcPr>
        <w:tcBorders>
          <w:top w:val="nil"/>
          <w:left w:val="nil"/>
          <w:bottom w:val="nil"/>
          <w:right w:val="nil"/>
          <w:insideH w:val="single" w:sz="4" w:space="0" w:color="00447B" w:themeColor="accent3" w:themeShade="99"/>
          <w:insideV w:val="nil"/>
        </w:tcBorders>
        <w:shd w:val="clear" w:color="auto" w:fill="00447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3" w:themeFillShade="99"/>
      </w:tcPr>
    </w:tblStylePr>
    <w:tblStylePr w:type="band1Vert">
      <w:tblPr/>
      <w:tcPr>
        <w:shd w:val="clear" w:color="auto" w:fill="85C8FF" w:themeFill="accent3" w:themeFillTint="66"/>
      </w:tcPr>
    </w:tblStylePr>
    <w:tblStylePr w:type="band1Horz">
      <w:tblPr/>
      <w:tcPr>
        <w:shd w:val="clear" w:color="auto" w:fill="67BBFF" w:themeFill="accent3" w:themeFillTint="7F"/>
      </w:tcPr>
    </w:tblStylePr>
  </w:style>
  <w:style w:type="table" w:styleId="ColorfulShading-Accent4">
    <w:name w:val="Colorful Shading Accent 4"/>
    <w:basedOn w:val="TableNormal"/>
    <w:uiPriority w:val="71"/>
    <w:locked/>
    <w:rsid w:val="00F80750"/>
    <w:pPr>
      <w:spacing w:after="0"/>
    </w:pPr>
    <w:tblPr>
      <w:tblStyleRowBandSize w:val="1"/>
      <w:tblStyleColBandSize w:val="1"/>
      <w:tblBorders>
        <w:top w:val="single" w:sz="24" w:space="0" w:color="0072CE" w:themeColor="accent3"/>
        <w:left w:val="single" w:sz="4" w:space="0" w:color="98A4AE" w:themeColor="accent4"/>
        <w:bottom w:val="single" w:sz="4" w:space="0" w:color="98A4AE" w:themeColor="accent4"/>
        <w:right w:val="single" w:sz="4" w:space="0" w:color="98A4AE" w:themeColor="accent4"/>
        <w:insideH w:val="single" w:sz="4" w:space="0" w:color="FFFFFF" w:themeColor="background1"/>
        <w:insideV w:val="single" w:sz="4" w:space="0" w:color="FFFFFF" w:themeColor="background1"/>
      </w:tblBorders>
    </w:tblPr>
    <w:tcPr>
      <w:shd w:val="clear" w:color="auto" w:fill="F4F5F7" w:themeFill="accent4" w:themeFillTint="19"/>
    </w:tcPr>
    <w:tblStylePr w:type="firstRow">
      <w:rPr>
        <w:b/>
        <w:bCs/>
      </w:rPr>
      <w:tblPr/>
      <w:tcPr>
        <w:tcBorders>
          <w:top w:val="nil"/>
          <w:left w:val="nil"/>
          <w:bottom w:val="single" w:sz="24" w:space="0" w:color="0072C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626D" w:themeFill="accent4" w:themeFillShade="99"/>
      </w:tcPr>
    </w:tblStylePr>
    <w:tblStylePr w:type="firstCol">
      <w:rPr>
        <w:color w:val="FFFFFF" w:themeColor="background1"/>
      </w:rPr>
      <w:tblPr/>
      <w:tcPr>
        <w:tcBorders>
          <w:top w:val="nil"/>
          <w:left w:val="nil"/>
          <w:bottom w:val="nil"/>
          <w:right w:val="nil"/>
          <w:insideH w:val="single" w:sz="4" w:space="0" w:color="56626D" w:themeColor="accent4" w:themeShade="99"/>
          <w:insideV w:val="nil"/>
        </w:tcBorders>
        <w:shd w:val="clear" w:color="auto" w:fill="56626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6626D" w:themeFill="accent4" w:themeFillShade="99"/>
      </w:tcPr>
    </w:tblStylePr>
    <w:tblStylePr w:type="band1Vert">
      <w:tblPr/>
      <w:tcPr>
        <w:shd w:val="clear" w:color="auto" w:fill="D5DADE" w:themeFill="accent4" w:themeFillTint="66"/>
      </w:tcPr>
    </w:tblStylePr>
    <w:tblStylePr w:type="band1Horz">
      <w:tblPr/>
      <w:tcPr>
        <w:shd w:val="clear" w:color="auto" w:fill="CBD1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tblPr>
      <w:tblStyleRowBandSize w:val="1"/>
      <w:tblStyleColBandSize w:val="1"/>
      <w:tblBorders>
        <w:top w:val="single" w:sz="24" w:space="0" w:color="71C5E8" w:themeColor="accent6"/>
        <w:left w:val="single" w:sz="4" w:space="0" w:color="4F758B" w:themeColor="accent5"/>
        <w:bottom w:val="single" w:sz="4" w:space="0" w:color="4F758B" w:themeColor="accent5"/>
        <w:right w:val="single" w:sz="4" w:space="0" w:color="4F758B" w:themeColor="accent5"/>
        <w:insideH w:val="single" w:sz="4" w:space="0" w:color="FFFFFF" w:themeColor="background1"/>
        <w:insideV w:val="single" w:sz="4" w:space="0" w:color="FFFFFF" w:themeColor="background1"/>
      </w:tblBorders>
    </w:tblPr>
    <w:tcPr>
      <w:shd w:val="clear" w:color="auto" w:fill="ECF1F4" w:themeFill="accent5" w:themeFillTint="19"/>
    </w:tcPr>
    <w:tblStylePr w:type="firstRow">
      <w:rPr>
        <w:b/>
        <w:bCs/>
      </w:rPr>
      <w:tblPr/>
      <w:tcPr>
        <w:tcBorders>
          <w:top w:val="nil"/>
          <w:left w:val="nil"/>
          <w:bottom w:val="single" w:sz="24" w:space="0" w:color="71C5E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4653" w:themeFill="accent5" w:themeFillShade="99"/>
      </w:tcPr>
    </w:tblStylePr>
    <w:tblStylePr w:type="firstCol">
      <w:rPr>
        <w:color w:val="FFFFFF" w:themeColor="background1"/>
      </w:rPr>
      <w:tblPr/>
      <w:tcPr>
        <w:tcBorders>
          <w:top w:val="nil"/>
          <w:left w:val="nil"/>
          <w:bottom w:val="nil"/>
          <w:right w:val="nil"/>
          <w:insideH w:val="single" w:sz="4" w:space="0" w:color="2F4653" w:themeColor="accent5" w:themeShade="99"/>
          <w:insideV w:val="nil"/>
        </w:tcBorders>
        <w:shd w:val="clear" w:color="auto" w:fill="2F46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F4653" w:themeFill="accent5" w:themeFillShade="99"/>
      </w:tcPr>
    </w:tblStylePr>
    <w:tblStylePr w:type="band1Vert">
      <w:tblPr/>
      <w:tcPr>
        <w:shd w:val="clear" w:color="auto" w:fill="B4C8D4" w:themeFill="accent5" w:themeFillTint="66"/>
      </w:tcPr>
    </w:tblStylePr>
    <w:tblStylePr w:type="band1Horz">
      <w:tblPr/>
      <w:tcPr>
        <w:shd w:val="clear" w:color="auto" w:fill="A2BBC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tblPr>
      <w:tblStyleRowBandSize w:val="1"/>
      <w:tblStyleColBandSize w:val="1"/>
      <w:tblBorders>
        <w:top w:val="single" w:sz="24" w:space="0" w:color="4F758B" w:themeColor="accent5"/>
        <w:left w:val="single" w:sz="4" w:space="0" w:color="71C5E8" w:themeColor="accent6"/>
        <w:bottom w:val="single" w:sz="4" w:space="0" w:color="71C5E8" w:themeColor="accent6"/>
        <w:right w:val="single" w:sz="4" w:space="0" w:color="71C5E8" w:themeColor="accent6"/>
        <w:insideH w:val="single" w:sz="4" w:space="0" w:color="FFFFFF" w:themeColor="background1"/>
        <w:insideV w:val="single" w:sz="4" w:space="0" w:color="FFFFFF" w:themeColor="background1"/>
      </w:tblBorders>
    </w:tblPr>
    <w:tcPr>
      <w:shd w:val="clear" w:color="auto" w:fill="F0F9FC" w:themeFill="accent6" w:themeFillTint="19"/>
    </w:tcPr>
    <w:tblStylePr w:type="firstRow">
      <w:rPr>
        <w:b/>
        <w:bCs/>
      </w:rPr>
      <w:tblPr/>
      <w:tcPr>
        <w:tcBorders>
          <w:top w:val="nil"/>
          <w:left w:val="nil"/>
          <w:bottom w:val="single" w:sz="24" w:space="0" w:color="4F75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6" w:themeFillShade="99"/>
      </w:tcPr>
    </w:tblStylePr>
    <w:tblStylePr w:type="firstCol">
      <w:rPr>
        <w:color w:val="FFFFFF" w:themeColor="background1"/>
      </w:rPr>
      <w:tblPr/>
      <w:tcPr>
        <w:tcBorders>
          <w:top w:val="nil"/>
          <w:left w:val="nil"/>
          <w:bottom w:val="nil"/>
          <w:right w:val="nil"/>
          <w:insideH w:val="single" w:sz="4" w:space="0" w:color="1D86B2" w:themeColor="accent6" w:themeShade="99"/>
          <w:insideV w:val="nil"/>
        </w:tcBorders>
        <w:shd w:val="clear" w:color="auto" w:fill="1D86B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6" w:themeFillShade="99"/>
      </w:tcPr>
    </w:tblStylePr>
    <w:tblStylePr w:type="band1Vert">
      <w:tblPr/>
      <w:tcPr>
        <w:shd w:val="clear" w:color="auto" w:fill="C6E7F5" w:themeFill="accent6" w:themeFillTint="66"/>
      </w:tcPr>
    </w:tblStylePr>
    <w:tblStylePr w:type="band1Horz">
      <w:tblPr/>
      <w:tcPr>
        <w:shd w:val="clear" w:color="auto" w:fill="B8E2F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unhideWhenUsed/>
    <w:locked/>
    <w:rsid w:val="00F80750"/>
  </w:style>
  <w:style w:type="character" w:customStyle="1" w:styleId="CommentTextChar">
    <w:name w:val="Comment Text Char"/>
    <w:basedOn w:val="DefaultParagraphFont"/>
    <w:link w:val="CommentText"/>
    <w:uiPriority w:val="99"/>
    <w:rsid w:val="00F80750"/>
    <w:rPr>
      <w:rFonts w:ascii="DIN OT Light" w:hAnsi="DIN OT Light"/>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rFonts w:ascii="DIN OT Light" w:hAnsi="DIN OT Light"/>
      <w:b/>
      <w:bCs/>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01216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1" w:themeFillShade="BF"/>
      </w:tcPr>
    </w:tblStylePr>
    <w:tblStylePr w:type="band1Vert">
      <w:tblPr/>
      <w:tcPr>
        <w:tcBorders>
          <w:top w:val="nil"/>
          <w:left w:val="nil"/>
          <w:bottom w:val="nil"/>
          <w:right w:val="nil"/>
          <w:insideH w:val="nil"/>
          <w:insideV w:val="nil"/>
        </w:tcBorders>
        <w:shd w:val="clear" w:color="auto" w:fill="00184E" w:themeFill="accent1" w:themeFillShade="BF"/>
      </w:tcPr>
    </w:tblStylePr>
    <w:tblStylePr w:type="band1Horz">
      <w:tblPr/>
      <w:tcPr>
        <w:tcBorders>
          <w:top w:val="nil"/>
          <w:left w:val="nil"/>
          <w:bottom w:val="nil"/>
          <w:right w:val="nil"/>
          <w:insideH w:val="nil"/>
          <w:insideV w:val="nil"/>
        </w:tcBorders>
        <w:shd w:val="clear" w:color="auto" w:fill="00184E"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00A9E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36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EA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EA7" w:themeFill="accent2" w:themeFillShade="BF"/>
      </w:tcPr>
    </w:tblStylePr>
    <w:tblStylePr w:type="band1Vert">
      <w:tblPr/>
      <w:tcPr>
        <w:tcBorders>
          <w:top w:val="nil"/>
          <w:left w:val="nil"/>
          <w:bottom w:val="nil"/>
          <w:right w:val="nil"/>
          <w:insideH w:val="nil"/>
          <w:insideV w:val="nil"/>
        </w:tcBorders>
        <w:shd w:val="clear" w:color="auto" w:fill="007EA7" w:themeFill="accent2" w:themeFillShade="BF"/>
      </w:tcPr>
    </w:tblStylePr>
    <w:tblStylePr w:type="band1Horz">
      <w:tblPr/>
      <w:tcPr>
        <w:tcBorders>
          <w:top w:val="nil"/>
          <w:left w:val="nil"/>
          <w:bottom w:val="nil"/>
          <w:right w:val="nil"/>
          <w:insideH w:val="nil"/>
          <w:insideV w:val="nil"/>
        </w:tcBorders>
        <w:shd w:val="clear" w:color="auto" w:fill="007EA7"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0072C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3" w:themeFillShade="BF"/>
      </w:tcPr>
    </w:tblStylePr>
    <w:tblStylePr w:type="band1Vert">
      <w:tblPr/>
      <w:tcPr>
        <w:tcBorders>
          <w:top w:val="nil"/>
          <w:left w:val="nil"/>
          <w:bottom w:val="nil"/>
          <w:right w:val="nil"/>
          <w:insideH w:val="nil"/>
          <w:insideV w:val="nil"/>
        </w:tcBorders>
        <w:shd w:val="clear" w:color="auto" w:fill="00559A" w:themeFill="accent3" w:themeFillShade="BF"/>
      </w:tcPr>
    </w:tblStylePr>
    <w:tblStylePr w:type="band1Horz">
      <w:tblPr/>
      <w:tcPr>
        <w:tcBorders>
          <w:top w:val="nil"/>
          <w:left w:val="nil"/>
          <w:bottom w:val="nil"/>
          <w:right w:val="nil"/>
          <w:insideH w:val="nil"/>
          <w:insideV w:val="nil"/>
        </w:tcBorders>
        <w:shd w:val="clear" w:color="auto" w:fill="00559A"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98A4A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7525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B7B8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B7B88" w:themeFill="accent4" w:themeFillShade="BF"/>
      </w:tcPr>
    </w:tblStylePr>
    <w:tblStylePr w:type="band1Vert">
      <w:tblPr/>
      <w:tcPr>
        <w:tcBorders>
          <w:top w:val="nil"/>
          <w:left w:val="nil"/>
          <w:bottom w:val="nil"/>
          <w:right w:val="nil"/>
          <w:insideH w:val="nil"/>
          <w:insideV w:val="nil"/>
        </w:tcBorders>
        <w:shd w:val="clear" w:color="auto" w:fill="6B7B88" w:themeFill="accent4" w:themeFillShade="BF"/>
      </w:tcPr>
    </w:tblStylePr>
    <w:tblStylePr w:type="band1Horz">
      <w:tblPr/>
      <w:tcPr>
        <w:tcBorders>
          <w:top w:val="nil"/>
          <w:left w:val="nil"/>
          <w:bottom w:val="nil"/>
          <w:right w:val="nil"/>
          <w:insideH w:val="nil"/>
          <w:insideV w:val="nil"/>
        </w:tcBorders>
        <w:shd w:val="clear" w:color="auto" w:fill="6B7B88"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4F75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3A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B576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B5767" w:themeFill="accent5" w:themeFillShade="BF"/>
      </w:tcPr>
    </w:tblStylePr>
    <w:tblStylePr w:type="band1Vert">
      <w:tblPr/>
      <w:tcPr>
        <w:tcBorders>
          <w:top w:val="nil"/>
          <w:left w:val="nil"/>
          <w:bottom w:val="nil"/>
          <w:right w:val="nil"/>
          <w:insideH w:val="nil"/>
          <w:insideV w:val="nil"/>
        </w:tcBorders>
        <w:shd w:val="clear" w:color="auto" w:fill="3B5767" w:themeFill="accent5" w:themeFillShade="BF"/>
      </w:tcPr>
    </w:tblStylePr>
    <w:tblStylePr w:type="band1Horz">
      <w:tblPr/>
      <w:tcPr>
        <w:tcBorders>
          <w:top w:val="nil"/>
          <w:left w:val="nil"/>
          <w:bottom w:val="nil"/>
          <w:right w:val="nil"/>
          <w:insideH w:val="nil"/>
          <w:insideV w:val="nil"/>
        </w:tcBorders>
        <w:shd w:val="clear" w:color="auto" w:fill="3B5767"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71C5E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6" w:themeFillShade="BF"/>
      </w:tcPr>
    </w:tblStylePr>
    <w:tblStylePr w:type="band1Vert">
      <w:tblPr/>
      <w:tcPr>
        <w:tcBorders>
          <w:top w:val="nil"/>
          <w:left w:val="nil"/>
          <w:bottom w:val="nil"/>
          <w:right w:val="nil"/>
          <w:insideH w:val="nil"/>
          <w:insideV w:val="nil"/>
        </w:tcBorders>
        <w:shd w:val="clear" w:color="auto" w:fill="26A6DC" w:themeFill="accent6" w:themeFillShade="BF"/>
      </w:tcPr>
    </w:tblStylePr>
    <w:tblStylePr w:type="band1Horz">
      <w:tblPr/>
      <w:tcPr>
        <w:tcBorders>
          <w:top w:val="nil"/>
          <w:left w:val="nil"/>
          <w:bottom w:val="nil"/>
          <w:right w:val="nil"/>
          <w:insideH w:val="nil"/>
          <w:insideV w:val="nil"/>
        </w:tcBorders>
        <w:shd w:val="clear" w:color="auto" w:fill="26A6DC" w:themeFill="accent6" w:themeFillShade="BF"/>
      </w:tcPr>
    </w:tblStylePr>
  </w:style>
  <w:style w:type="paragraph" w:styleId="Date">
    <w:name w:val="Date"/>
    <w:basedOn w:val="Normal"/>
    <w:next w:val="Normal"/>
    <w:link w:val="DateChar"/>
    <w:uiPriority w:val="29"/>
    <w:qFormat/>
    <w:locked/>
    <w:rsid w:val="003B51A4"/>
    <w:pPr>
      <w:numPr>
        <w:numId w:val="0"/>
      </w:numPr>
      <w:spacing w:after="840"/>
      <w:contextualSpacing/>
    </w:pPr>
  </w:style>
  <w:style w:type="character" w:customStyle="1" w:styleId="DateChar">
    <w:name w:val="Date Char"/>
    <w:basedOn w:val="DefaultParagraphFont"/>
    <w:link w:val="Date"/>
    <w:uiPriority w:val="29"/>
    <w:rsid w:val="003B51A4"/>
  </w:style>
  <w:style w:type="paragraph" w:styleId="DocumentMap">
    <w:name w:val="Document Map"/>
    <w:basedOn w:val="Normal"/>
    <w:link w:val="DocumentMapChar"/>
    <w:uiPriority w:val="99"/>
    <w:semiHidden/>
    <w:unhideWhenUsed/>
    <w:locked/>
    <w:rsid w:val="00F8075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sz w:val="16"/>
      <w:szCs w:val="16"/>
    </w:rPr>
  </w:style>
  <w:style w:type="paragraph" w:styleId="E-mailSignature">
    <w:name w:val="E-mail Signature"/>
    <w:basedOn w:val="Normal"/>
    <w:link w:val="E-mailSignatureChar"/>
    <w:uiPriority w:val="99"/>
    <w:semiHidden/>
    <w:unhideWhenUsed/>
    <w:locked/>
    <w:rsid w:val="00F80750"/>
    <w:pPr>
      <w:spacing w:after="0"/>
    </w:pPr>
  </w:style>
  <w:style w:type="character" w:customStyle="1" w:styleId="E-mailSignatureChar">
    <w:name w:val="E-mail Signature Char"/>
    <w:basedOn w:val="DefaultParagraphFont"/>
    <w:link w:val="E-mailSignature"/>
    <w:uiPriority w:val="99"/>
    <w:semiHidden/>
    <w:rsid w:val="00F80750"/>
    <w:rPr>
      <w:rFonts w:ascii="DIN OT Light" w:hAnsi="DIN OT Light"/>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semiHidden/>
    <w:rsid w:val="00E64743"/>
    <w:rPr>
      <w:noProof w:val="0"/>
      <w:sz w:val="16"/>
      <w:vertAlign w:val="superscript"/>
      <w:lang w:val="en-AU"/>
    </w:rPr>
  </w:style>
  <w:style w:type="paragraph" w:styleId="EndnoteText">
    <w:name w:val="endnote text"/>
    <w:basedOn w:val="Normal"/>
    <w:link w:val="EndnoteTextChar"/>
    <w:uiPriority w:val="99"/>
    <w:semiHidden/>
    <w:rsid w:val="00722F9F"/>
    <w:pPr>
      <w:numPr>
        <w:numId w:val="0"/>
      </w:numPr>
      <w:spacing w:after="0"/>
    </w:pPr>
    <w:rPr>
      <w:sz w:val="16"/>
    </w:rPr>
  </w:style>
  <w:style w:type="character" w:customStyle="1" w:styleId="EndnoteTextChar">
    <w:name w:val="Endnote Text Char"/>
    <w:basedOn w:val="DefaultParagraphFont"/>
    <w:link w:val="EndnoteText"/>
    <w:uiPriority w:val="99"/>
    <w:semiHidden/>
    <w:rsid w:val="000573E5"/>
    <w:rPr>
      <w:sz w:val="16"/>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rsid w:val="00355D40"/>
    <w:rPr>
      <w:noProof w:val="0"/>
      <w:color w:val="7030A0"/>
      <w:u w:val="single"/>
      <w:lang w:val="en-AU"/>
    </w:rPr>
  </w:style>
  <w:style w:type="character" w:styleId="FootnoteReference">
    <w:name w:val="footnote reference"/>
    <w:basedOn w:val="DefaultParagraphFont"/>
    <w:uiPriority w:val="99"/>
    <w:qFormat/>
    <w:rsid w:val="000573E5"/>
    <w:rPr>
      <w:noProof w:val="0"/>
      <w:sz w:val="18"/>
      <w:vertAlign w:val="superscript"/>
      <w:lang w:val="en-AU"/>
    </w:rPr>
  </w:style>
  <w:style w:type="paragraph" w:styleId="FootnoteText">
    <w:name w:val="footnote text"/>
    <w:aliases w:val=" Char,Char"/>
    <w:basedOn w:val="Normal"/>
    <w:link w:val="FootnoteTextChar"/>
    <w:uiPriority w:val="99"/>
    <w:rsid w:val="0016272E"/>
    <w:pPr>
      <w:numPr>
        <w:numId w:val="0"/>
      </w:numPr>
      <w:tabs>
        <w:tab w:val="left" w:pos="170"/>
      </w:tabs>
      <w:spacing w:after="120"/>
      <w:ind w:left="170" w:hanging="170"/>
    </w:pPr>
    <w:rPr>
      <w:sz w:val="18"/>
    </w:rPr>
  </w:style>
  <w:style w:type="character" w:customStyle="1" w:styleId="FootnoteTextChar">
    <w:name w:val="Footnote Text Char"/>
    <w:aliases w:val=" Char Char,Char Char"/>
    <w:basedOn w:val="DefaultParagraphFont"/>
    <w:link w:val="FootnoteText"/>
    <w:uiPriority w:val="99"/>
    <w:rsid w:val="0016272E"/>
    <w:rPr>
      <w:sz w:val="18"/>
    </w:rPr>
  </w:style>
  <w:style w:type="character" w:customStyle="1" w:styleId="Heading5Char">
    <w:name w:val="Heading 5 Char"/>
    <w:basedOn w:val="DefaultParagraphFont"/>
    <w:link w:val="Heading5"/>
    <w:uiPriority w:val="9"/>
    <w:rsid w:val="006C6C47"/>
    <w:rPr>
      <w:rFonts w:ascii="DIN OT Medium" w:eastAsiaTheme="majorEastAsia" w:hAnsi="DIN OT Medium" w:cstheme="majorBidi"/>
      <w:color w:val="000000" w:themeColor="text1"/>
    </w:rPr>
  </w:style>
  <w:style w:type="character" w:customStyle="1" w:styleId="Heading6Char">
    <w:name w:val="Heading 6 Char"/>
    <w:basedOn w:val="DefaultParagraphFont"/>
    <w:link w:val="Heading6"/>
    <w:uiPriority w:val="9"/>
    <w:semiHidden/>
    <w:rsid w:val="00283DF4"/>
    <w:rPr>
      <w:rFonts w:ascii="DIN Offc Medium" w:eastAsiaTheme="majorEastAsia" w:hAnsi="DIN Offc Medium" w:cstheme="majorBidi"/>
      <w:i/>
      <w:iCs/>
      <w:color w:val="012169" w:themeColor="text2"/>
    </w:rPr>
  </w:style>
  <w:style w:type="character" w:customStyle="1" w:styleId="Heading7Char">
    <w:name w:val="Heading 7 Char"/>
    <w:basedOn w:val="DefaultParagraphFont"/>
    <w:link w:val="Heading7"/>
    <w:uiPriority w:val="9"/>
    <w:semiHidden/>
    <w:rsid w:val="00283DF4"/>
    <w:rPr>
      <w:rFonts w:ascii="DIN Offc Medium" w:eastAsiaTheme="majorEastAsia" w:hAnsi="DIN Offc Medium" w:cstheme="majorBidi"/>
      <w:i/>
      <w:iCs/>
      <w:color w:val="012169" w:themeColor="text2"/>
    </w:rPr>
  </w:style>
  <w:style w:type="character" w:customStyle="1" w:styleId="Heading8Char">
    <w:name w:val="Heading 8 Char"/>
    <w:basedOn w:val="DefaultParagraphFont"/>
    <w:link w:val="Heading8"/>
    <w:uiPriority w:val="9"/>
    <w:semiHidden/>
    <w:rsid w:val="00283DF4"/>
    <w:rPr>
      <w:rFonts w:ascii="DIN Offc Medium" w:eastAsiaTheme="majorEastAsia" w:hAnsi="DIN Offc Medium" w:cstheme="majorBidi"/>
      <w:i/>
      <w:color w:val="012169" w:themeColor="text2"/>
    </w:rPr>
  </w:style>
  <w:style w:type="character" w:customStyle="1" w:styleId="Heading9Char">
    <w:name w:val="Heading 9 Char"/>
    <w:basedOn w:val="DefaultParagraphFont"/>
    <w:link w:val="Heading9"/>
    <w:uiPriority w:val="9"/>
    <w:semiHidden/>
    <w:rsid w:val="00283DF4"/>
    <w:rPr>
      <w:rFonts w:ascii="DIN Offc Medium" w:eastAsiaTheme="majorEastAsia" w:hAnsi="DIN Offc Medium" w:cstheme="majorBidi"/>
      <w:i/>
      <w:iCs/>
      <w:color w:val="012169" w:themeColor="text2"/>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pPr>
    <w:rPr>
      <w:i/>
      <w:iCs/>
    </w:rPr>
  </w:style>
  <w:style w:type="character" w:customStyle="1" w:styleId="HTMLAddressChar">
    <w:name w:val="HTML Address Char"/>
    <w:basedOn w:val="DefaultParagraphFont"/>
    <w:link w:val="HTMLAddress"/>
    <w:uiPriority w:val="99"/>
    <w:semiHidden/>
    <w:rsid w:val="00F80750"/>
    <w:rPr>
      <w:rFonts w:ascii="DIN OT Light" w:hAnsi="DIN OT Light"/>
      <w:i/>
      <w:iCs/>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ind w:left="190" w:hanging="190"/>
    </w:pPr>
  </w:style>
  <w:style w:type="paragraph" w:styleId="Index2">
    <w:name w:val="index 2"/>
    <w:basedOn w:val="Normal"/>
    <w:next w:val="Normal"/>
    <w:autoRedefine/>
    <w:uiPriority w:val="99"/>
    <w:semiHidden/>
    <w:unhideWhenUsed/>
    <w:locked/>
    <w:rsid w:val="00F80750"/>
    <w:pPr>
      <w:spacing w:after="0"/>
      <w:ind w:left="380" w:hanging="190"/>
    </w:pPr>
  </w:style>
  <w:style w:type="paragraph" w:styleId="Index3">
    <w:name w:val="index 3"/>
    <w:basedOn w:val="Normal"/>
    <w:next w:val="Normal"/>
    <w:autoRedefine/>
    <w:uiPriority w:val="99"/>
    <w:semiHidden/>
    <w:unhideWhenUsed/>
    <w:locked/>
    <w:rsid w:val="00F80750"/>
    <w:pPr>
      <w:spacing w:after="0"/>
      <w:ind w:left="570" w:hanging="190"/>
    </w:pPr>
  </w:style>
  <w:style w:type="paragraph" w:styleId="Index4">
    <w:name w:val="index 4"/>
    <w:basedOn w:val="Normal"/>
    <w:next w:val="Normal"/>
    <w:autoRedefine/>
    <w:uiPriority w:val="99"/>
    <w:semiHidden/>
    <w:unhideWhenUsed/>
    <w:locked/>
    <w:rsid w:val="00F80750"/>
    <w:pPr>
      <w:spacing w:after="0"/>
      <w:ind w:left="760" w:hanging="190"/>
    </w:pPr>
  </w:style>
  <w:style w:type="paragraph" w:styleId="Index5">
    <w:name w:val="index 5"/>
    <w:basedOn w:val="Normal"/>
    <w:next w:val="Normal"/>
    <w:autoRedefine/>
    <w:uiPriority w:val="99"/>
    <w:semiHidden/>
    <w:unhideWhenUsed/>
    <w:locked/>
    <w:rsid w:val="00F80750"/>
    <w:pPr>
      <w:spacing w:after="0"/>
      <w:ind w:left="950" w:hanging="190"/>
    </w:pPr>
  </w:style>
  <w:style w:type="paragraph" w:styleId="Index6">
    <w:name w:val="index 6"/>
    <w:basedOn w:val="Normal"/>
    <w:next w:val="Normal"/>
    <w:autoRedefine/>
    <w:uiPriority w:val="99"/>
    <w:semiHidden/>
    <w:unhideWhenUsed/>
    <w:locked/>
    <w:rsid w:val="00F80750"/>
    <w:pPr>
      <w:spacing w:after="0"/>
      <w:ind w:left="1140" w:hanging="190"/>
    </w:pPr>
  </w:style>
  <w:style w:type="paragraph" w:styleId="Index7">
    <w:name w:val="index 7"/>
    <w:basedOn w:val="Normal"/>
    <w:next w:val="Normal"/>
    <w:autoRedefine/>
    <w:uiPriority w:val="99"/>
    <w:semiHidden/>
    <w:unhideWhenUsed/>
    <w:locked/>
    <w:rsid w:val="00F80750"/>
    <w:pPr>
      <w:spacing w:after="0"/>
      <w:ind w:left="1330" w:hanging="190"/>
    </w:pPr>
  </w:style>
  <w:style w:type="paragraph" w:styleId="Index8">
    <w:name w:val="index 8"/>
    <w:basedOn w:val="Normal"/>
    <w:next w:val="Normal"/>
    <w:autoRedefine/>
    <w:uiPriority w:val="99"/>
    <w:semiHidden/>
    <w:unhideWhenUsed/>
    <w:locked/>
    <w:rsid w:val="00F80750"/>
    <w:pPr>
      <w:spacing w:after="0"/>
      <w:ind w:left="1520" w:hanging="190"/>
    </w:pPr>
  </w:style>
  <w:style w:type="paragraph" w:styleId="Index9">
    <w:name w:val="index 9"/>
    <w:basedOn w:val="Normal"/>
    <w:next w:val="Normal"/>
    <w:autoRedefine/>
    <w:uiPriority w:val="99"/>
    <w:semiHidden/>
    <w:unhideWhenUsed/>
    <w:locked/>
    <w:rsid w:val="00F80750"/>
    <w:pPr>
      <w:spacing w:after="0"/>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012169"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012169" w:themeColor="accent1"/>
      </w:pBdr>
      <w:spacing w:before="200" w:after="280"/>
      <w:ind w:left="936" w:right="936"/>
    </w:pPr>
    <w:rPr>
      <w:b/>
      <w:bCs/>
      <w:i/>
      <w:iCs/>
      <w:color w:val="012169" w:themeColor="accent1"/>
    </w:rPr>
  </w:style>
  <w:style w:type="character" w:customStyle="1" w:styleId="IntenseQuoteChar">
    <w:name w:val="Intense Quote Char"/>
    <w:basedOn w:val="DefaultParagraphFont"/>
    <w:link w:val="IntenseQuote"/>
    <w:uiPriority w:val="30"/>
    <w:semiHidden/>
    <w:rsid w:val="00F80750"/>
    <w:rPr>
      <w:rFonts w:ascii="DIN OT Light" w:hAnsi="DIN OT Light"/>
      <w:b/>
      <w:bCs/>
      <w:i/>
      <w:iCs/>
      <w:color w:val="012169" w:themeColor="accent1"/>
    </w:rPr>
  </w:style>
  <w:style w:type="character" w:styleId="IntenseReference">
    <w:name w:val="Intense Reference"/>
    <w:basedOn w:val="DefaultParagraphFont"/>
    <w:uiPriority w:val="32"/>
    <w:semiHidden/>
    <w:qFormat/>
    <w:locked/>
    <w:rsid w:val="00F80750"/>
    <w:rPr>
      <w:b/>
      <w:bCs/>
      <w:smallCaps/>
      <w:noProof w:val="0"/>
      <w:color w:val="00A9E0"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insideH w:val="single" w:sz="8" w:space="0" w:color="012169" w:themeColor="accent1"/>
        <w:insideV w:val="single" w:sz="8" w:space="0" w:color="01216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1"/>
          <w:left w:val="single" w:sz="8" w:space="0" w:color="012169" w:themeColor="accent1"/>
          <w:bottom w:val="single" w:sz="18" w:space="0" w:color="012169" w:themeColor="accent1"/>
          <w:right w:val="single" w:sz="8" w:space="0" w:color="012169" w:themeColor="accent1"/>
          <w:insideH w:val="nil"/>
          <w:insideV w:val="single" w:sz="8" w:space="0" w:color="01216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1"/>
          <w:left w:val="single" w:sz="8" w:space="0" w:color="012169" w:themeColor="accent1"/>
          <w:bottom w:val="single" w:sz="8" w:space="0" w:color="012169" w:themeColor="accent1"/>
          <w:right w:val="single" w:sz="8" w:space="0" w:color="012169" w:themeColor="accent1"/>
          <w:insideH w:val="nil"/>
          <w:insideV w:val="single" w:sz="8" w:space="0" w:color="01216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tcPr>
    </w:tblStylePr>
    <w:tblStylePr w:type="band1Vert">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shd w:val="clear" w:color="auto" w:fill="9BB9FE" w:themeFill="accent1" w:themeFillTint="3F"/>
      </w:tcPr>
    </w:tblStylePr>
    <w:tblStylePr w:type="band1Horz">
      <w:tblPr/>
      <w:tcPr>
        <w:tcBorders>
          <w:top w:val="single" w:sz="8" w:space="0" w:color="012169" w:themeColor="accent1"/>
          <w:left w:val="single" w:sz="8" w:space="0" w:color="012169" w:themeColor="accent1"/>
          <w:bottom w:val="single" w:sz="8" w:space="0" w:color="012169" w:themeColor="accent1"/>
          <w:right w:val="single" w:sz="8" w:space="0" w:color="012169" w:themeColor="accent1"/>
          <w:insideV w:val="single" w:sz="8" w:space="0" w:color="012169" w:themeColor="accent1"/>
        </w:tcBorders>
        <w:shd w:val="clear" w:color="auto" w:fill="9BB9FE" w:themeFill="accent1" w:themeFillTint="3F"/>
      </w:tcPr>
    </w:tblStylePr>
    <w:tblStylePr w:type="band2Horz">
      <w:tblPr/>
      <w:tcPr>
        <w:tcBorders>
          <w:top w:val="single" w:sz="8" w:space="0" w:color="012169" w:themeColor="accent1"/>
          <w:left w:val="single" w:sz="8" w:space="0" w:color="012169" w:themeColor="accent1"/>
          <w:bottom w:val="single" w:sz="8" w:space="0" w:color="012169" w:themeColor="accent1"/>
          <w:right w:val="single" w:sz="8" w:space="0" w:color="012169" w:themeColor="accent1"/>
          <w:insideV w:val="single" w:sz="8" w:space="0" w:color="012169"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insideH w:val="single" w:sz="8" w:space="0" w:color="00A9E0" w:themeColor="accent2"/>
        <w:insideV w:val="single" w:sz="8" w:space="0" w:color="00A9E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9E0" w:themeColor="accent2"/>
          <w:left w:val="single" w:sz="8" w:space="0" w:color="00A9E0" w:themeColor="accent2"/>
          <w:bottom w:val="single" w:sz="18" w:space="0" w:color="00A9E0" w:themeColor="accent2"/>
          <w:right w:val="single" w:sz="8" w:space="0" w:color="00A9E0" w:themeColor="accent2"/>
          <w:insideH w:val="nil"/>
          <w:insideV w:val="single" w:sz="8" w:space="0" w:color="00A9E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9E0" w:themeColor="accent2"/>
          <w:left w:val="single" w:sz="8" w:space="0" w:color="00A9E0" w:themeColor="accent2"/>
          <w:bottom w:val="single" w:sz="8" w:space="0" w:color="00A9E0" w:themeColor="accent2"/>
          <w:right w:val="single" w:sz="8" w:space="0" w:color="00A9E0" w:themeColor="accent2"/>
          <w:insideH w:val="nil"/>
          <w:insideV w:val="single" w:sz="8" w:space="0" w:color="00A9E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tblStylePr w:type="band1Vert">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shd w:val="clear" w:color="auto" w:fill="B8EDFF" w:themeFill="accent2" w:themeFillTint="3F"/>
      </w:tcPr>
    </w:tblStylePr>
    <w:tblStylePr w:type="band1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insideV w:val="single" w:sz="8" w:space="0" w:color="00A9E0" w:themeColor="accent2"/>
        </w:tcBorders>
        <w:shd w:val="clear" w:color="auto" w:fill="B8EDFF" w:themeFill="accent2" w:themeFillTint="3F"/>
      </w:tcPr>
    </w:tblStylePr>
    <w:tblStylePr w:type="band2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insideV w:val="single" w:sz="8" w:space="0" w:color="00A9E0"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insideH w:val="single" w:sz="8" w:space="0" w:color="0072CE" w:themeColor="accent3"/>
        <w:insideV w:val="single" w:sz="8" w:space="0" w:color="0072C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3"/>
          <w:left w:val="single" w:sz="8" w:space="0" w:color="0072CE" w:themeColor="accent3"/>
          <w:bottom w:val="single" w:sz="18" w:space="0" w:color="0072CE" w:themeColor="accent3"/>
          <w:right w:val="single" w:sz="8" w:space="0" w:color="0072CE" w:themeColor="accent3"/>
          <w:insideH w:val="nil"/>
          <w:insideV w:val="single" w:sz="8" w:space="0" w:color="0072C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3"/>
          <w:left w:val="single" w:sz="8" w:space="0" w:color="0072CE" w:themeColor="accent3"/>
          <w:bottom w:val="single" w:sz="8" w:space="0" w:color="0072CE" w:themeColor="accent3"/>
          <w:right w:val="single" w:sz="8" w:space="0" w:color="0072CE" w:themeColor="accent3"/>
          <w:insideH w:val="nil"/>
          <w:insideV w:val="single" w:sz="8" w:space="0" w:color="0072C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tblStylePr w:type="band1Vert">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shd w:val="clear" w:color="auto" w:fill="B3DDFF" w:themeFill="accent3" w:themeFillTint="3F"/>
      </w:tcPr>
    </w:tblStylePr>
    <w:tblStylePr w:type="band1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insideV w:val="single" w:sz="8" w:space="0" w:color="0072CE" w:themeColor="accent3"/>
        </w:tcBorders>
        <w:shd w:val="clear" w:color="auto" w:fill="B3DDFF" w:themeFill="accent3" w:themeFillTint="3F"/>
      </w:tcPr>
    </w:tblStylePr>
    <w:tblStylePr w:type="band2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insideV w:val="single" w:sz="8" w:space="0" w:color="0072CE"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insideH w:val="single" w:sz="8" w:space="0" w:color="98A4AE" w:themeColor="accent4"/>
        <w:insideV w:val="single" w:sz="8" w:space="0" w:color="98A4A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A4AE" w:themeColor="accent4"/>
          <w:left w:val="single" w:sz="8" w:space="0" w:color="98A4AE" w:themeColor="accent4"/>
          <w:bottom w:val="single" w:sz="18" w:space="0" w:color="98A4AE" w:themeColor="accent4"/>
          <w:right w:val="single" w:sz="8" w:space="0" w:color="98A4AE" w:themeColor="accent4"/>
          <w:insideH w:val="nil"/>
          <w:insideV w:val="single" w:sz="8" w:space="0" w:color="98A4A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4AE" w:themeColor="accent4"/>
          <w:left w:val="single" w:sz="8" w:space="0" w:color="98A4AE" w:themeColor="accent4"/>
          <w:bottom w:val="single" w:sz="8" w:space="0" w:color="98A4AE" w:themeColor="accent4"/>
          <w:right w:val="single" w:sz="8" w:space="0" w:color="98A4AE" w:themeColor="accent4"/>
          <w:insideH w:val="nil"/>
          <w:insideV w:val="single" w:sz="8" w:space="0" w:color="98A4A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tcPr>
    </w:tblStylePr>
    <w:tblStylePr w:type="band1Vert">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shd w:val="clear" w:color="auto" w:fill="E5E8EB" w:themeFill="accent4" w:themeFillTint="3F"/>
      </w:tcPr>
    </w:tblStylePr>
    <w:tblStylePr w:type="band1Horz">
      <w:tblPr/>
      <w:tcPr>
        <w:tcBorders>
          <w:top w:val="single" w:sz="8" w:space="0" w:color="98A4AE" w:themeColor="accent4"/>
          <w:left w:val="single" w:sz="8" w:space="0" w:color="98A4AE" w:themeColor="accent4"/>
          <w:bottom w:val="single" w:sz="8" w:space="0" w:color="98A4AE" w:themeColor="accent4"/>
          <w:right w:val="single" w:sz="8" w:space="0" w:color="98A4AE" w:themeColor="accent4"/>
          <w:insideV w:val="single" w:sz="8" w:space="0" w:color="98A4AE" w:themeColor="accent4"/>
        </w:tcBorders>
        <w:shd w:val="clear" w:color="auto" w:fill="E5E8EB" w:themeFill="accent4" w:themeFillTint="3F"/>
      </w:tcPr>
    </w:tblStylePr>
    <w:tblStylePr w:type="band2Horz">
      <w:tblPr/>
      <w:tcPr>
        <w:tcBorders>
          <w:top w:val="single" w:sz="8" w:space="0" w:color="98A4AE" w:themeColor="accent4"/>
          <w:left w:val="single" w:sz="8" w:space="0" w:color="98A4AE" w:themeColor="accent4"/>
          <w:bottom w:val="single" w:sz="8" w:space="0" w:color="98A4AE" w:themeColor="accent4"/>
          <w:right w:val="single" w:sz="8" w:space="0" w:color="98A4AE" w:themeColor="accent4"/>
          <w:insideV w:val="single" w:sz="8" w:space="0" w:color="98A4AE"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insideH w:val="single" w:sz="8" w:space="0" w:color="4F758B" w:themeColor="accent5"/>
        <w:insideV w:val="single" w:sz="8" w:space="0" w:color="4F75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758B" w:themeColor="accent5"/>
          <w:left w:val="single" w:sz="8" w:space="0" w:color="4F758B" w:themeColor="accent5"/>
          <w:bottom w:val="single" w:sz="18" w:space="0" w:color="4F758B" w:themeColor="accent5"/>
          <w:right w:val="single" w:sz="8" w:space="0" w:color="4F758B" w:themeColor="accent5"/>
          <w:insideH w:val="nil"/>
          <w:insideV w:val="single" w:sz="8" w:space="0" w:color="4F75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758B" w:themeColor="accent5"/>
          <w:left w:val="single" w:sz="8" w:space="0" w:color="4F758B" w:themeColor="accent5"/>
          <w:bottom w:val="single" w:sz="8" w:space="0" w:color="4F758B" w:themeColor="accent5"/>
          <w:right w:val="single" w:sz="8" w:space="0" w:color="4F758B" w:themeColor="accent5"/>
          <w:insideH w:val="nil"/>
          <w:insideV w:val="single" w:sz="8" w:space="0" w:color="4F75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tcPr>
    </w:tblStylePr>
    <w:tblStylePr w:type="band1Vert">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shd w:val="clear" w:color="auto" w:fill="D0DDE4" w:themeFill="accent5" w:themeFillTint="3F"/>
      </w:tcPr>
    </w:tblStylePr>
    <w:tblStylePr w:type="band1Horz">
      <w:tblPr/>
      <w:tcPr>
        <w:tcBorders>
          <w:top w:val="single" w:sz="8" w:space="0" w:color="4F758B" w:themeColor="accent5"/>
          <w:left w:val="single" w:sz="8" w:space="0" w:color="4F758B" w:themeColor="accent5"/>
          <w:bottom w:val="single" w:sz="8" w:space="0" w:color="4F758B" w:themeColor="accent5"/>
          <w:right w:val="single" w:sz="8" w:space="0" w:color="4F758B" w:themeColor="accent5"/>
          <w:insideV w:val="single" w:sz="8" w:space="0" w:color="4F758B" w:themeColor="accent5"/>
        </w:tcBorders>
        <w:shd w:val="clear" w:color="auto" w:fill="D0DDE4" w:themeFill="accent5" w:themeFillTint="3F"/>
      </w:tcPr>
    </w:tblStylePr>
    <w:tblStylePr w:type="band2Horz">
      <w:tblPr/>
      <w:tcPr>
        <w:tcBorders>
          <w:top w:val="single" w:sz="8" w:space="0" w:color="4F758B" w:themeColor="accent5"/>
          <w:left w:val="single" w:sz="8" w:space="0" w:color="4F758B" w:themeColor="accent5"/>
          <w:bottom w:val="single" w:sz="8" w:space="0" w:color="4F758B" w:themeColor="accent5"/>
          <w:right w:val="single" w:sz="8" w:space="0" w:color="4F758B" w:themeColor="accent5"/>
          <w:insideV w:val="single" w:sz="8" w:space="0" w:color="4F758B"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insideH w:val="single" w:sz="8" w:space="0" w:color="71C5E8" w:themeColor="accent6"/>
        <w:insideV w:val="single" w:sz="8" w:space="0" w:color="71C5E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6"/>
          <w:left w:val="single" w:sz="8" w:space="0" w:color="71C5E8" w:themeColor="accent6"/>
          <w:bottom w:val="single" w:sz="18" w:space="0" w:color="71C5E8" w:themeColor="accent6"/>
          <w:right w:val="single" w:sz="8" w:space="0" w:color="71C5E8" w:themeColor="accent6"/>
          <w:insideH w:val="nil"/>
          <w:insideV w:val="single" w:sz="8" w:space="0" w:color="71C5E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6"/>
          <w:left w:val="single" w:sz="8" w:space="0" w:color="71C5E8" w:themeColor="accent6"/>
          <w:bottom w:val="single" w:sz="8" w:space="0" w:color="71C5E8" w:themeColor="accent6"/>
          <w:right w:val="single" w:sz="8" w:space="0" w:color="71C5E8" w:themeColor="accent6"/>
          <w:insideH w:val="nil"/>
          <w:insideV w:val="single" w:sz="8" w:space="0" w:color="71C5E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tcPr>
    </w:tblStylePr>
    <w:tblStylePr w:type="band1Vert">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shd w:val="clear" w:color="auto" w:fill="DBF0F9" w:themeFill="accent6" w:themeFillTint="3F"/>
      </w:tcPr>
    </w:tblStylePr>
    <w:tblStylePr w:type="band1Horz">
      <w:tblPr/>
      <w:tcPr>
        <w:tcBorders>
          <w:top w:val="single" w:sz="8" w:space="0" w:color="71C5E8" w:themeColor="accent6"/>
          <w:left w:val="single" w:sz="8" w:space="0" w:color="71C5E8" w:themeColor="accent6"/>
          <w:bottom w:val="single" w:sz="8" w:space="0" w:color="71C5E8" w:themeColor="accent6"/>
          <w:right w:val="single" w:sz="8" w:space="0" w:color="71C5E8" w:themeColor="accent6"/>
          <w:insideV w:val="single" w:sz="8" w:space="0" w:color="71C5E8" w:themeColor="accent6"/>
        </w:tcBorders>
        <w:shd w:val="clear" w:color="auto" w:fill="DBF0F9" w:themeFill="accent6" w:themeFillTint="3F"/>
      </w:tcPr>
    </w:tblStylePr>
    <w:tblStylePr w:type="band2Horz">
      <w:tblPr/>
      <w:tcPr>
        <w:tcBorders>
          <w:top w:val="single" w:sz="8" w:space="0" w:color="71C5E8" w:themeColor="accent6"/>
          <w:left w:val="single" w:sz="8" w:space="0" w:color="71C5E8" w:themeColor="accent6"/>
          <w:bottom w:val="single" w:sz="8" w:space="0" w:color="71C5E8" w:themeColor="accent6"/>
          <w:right w:val="single" w:sz="8" w:space="0" w:color="71C5E8" w:themeColor="accent6"/>
          <w:insideV w:val="single" w:sz="8" w:space="0" w:color="71C5E8"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tblBorders>
    </w:tblPr>
    <w:tblStylePr w:type="firstRow">
      <w:pPr>
        <w:spacing w:before="0" w:after="0" w:line="240" w:lineRule="auto"/>
      </w:pPr>
      <w:rPr>
        <w:b/>
        <w:bCs/>
        <w:color w:val="FFFFFF" w:themeColor="background1"/>
      </w:rPr>
      <w:tblPr/>
      <w:tcPr>
        <w:shd w:val="clear" w:color="auto" w:fill="012169" w:themeFill="accent1"/>
      </w:tcPr>
    </w:tblStylePr>
    <w:tblStylePr w:type="lastRow">
      <w:pPr>
        <w:spacing w:before="0" w:after="0" w:line="240" w:lineRule="auto"/>
      </w:pPr>
      <w:rPr>
        <w:b/>
        <w:bCs/>
      </w:rPr>
      <w:tblPr/>
      <w:tcPr>
        <w:tcBorders>
          <w:top w:val="double" w:sz="6" w:space="0" w:color="012169" w:themeColor="accent1"/>
          <w:left w:val="single" w:sz="8" w:space="0" w:color="012169" w:themeColor="accent1"/>
          <w:bottom w:val="single" w:sz="8" w:space="0" w:color="012169" w:themeColor="accent1"/>
          <w:right w:val="single" w:sz="8" w:space="0" w:color="012169" w:themeColor="accent1"/>
        </w:tcBorders>
      </w:tcPr>
    </w:tblStylePr>
    <w:tblStylePr w:type="firstCol">
      <w:rPr>
        <w:b/>
        <w:bCs/>
      </w:rPr>
    </w:tblStylePr>
    <w:tblStylePr w:type="lastCol">
      <w:rPr>
        <w:b/>
        <w:bCs/>
      </w:rPr>
    </w:tblStylePr>
    <w:tblStylePr w:type="band1Vert">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tcPr>
    </w:tblStylePr>
    <w:tblStylePr w:type="band1Horz">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tblBorders>
    </w:tblPr>
    <w:tblStylePr w:type="firstRow">
      <w:pPr>
        <w:spacing w:before="0" w:after="0" w:line="240" w:lineRule="auto"/>
      </w:pPr>
      <w:rPr>
        <w:b/>
        <w:bCs/>
        <w:color w:val="FFFFFF" w:themeColor="background1"/>
      </w:rPr>
      <w:tblPr/>
      <w:tcPr>
        <w:shd w:val="clear" w:color="auto" w:fill="00A9E0" w:themeFill="accent2"/>
      </w:tcPr>
    </w:tblStylePr>
    <w:tblStylePr w:type="lastRow">
      <w:pPr>
        <w:spacing w:before="0" w:after="0" w:line="240" w:lineRule="auto"/>
      </w:pPr>
      <w:rPr>
        <w:b/>
        <w:bCs/>
      </w:rPr>
      <w:tblPr/>
      <w:tcPr>
        <w:tcBorders>
          <w:top w:val="double" w:sz="6" w:space="0" w:color="00A9E0" w:themeColor="accent2"/>
          <w:left w:val="single" w:sz="8" w:space="0" w:color="00A9E0" w:themeColor="accent2"/>
          <w:bottom w:val="single" w:sz="8" w:space="0" w:color="00A9E0" w:themeColor="accent2"/>
          <w:right w:val="single" w:sz="8" w:space="0" w:color="00A9E0" w:themeColor="accent2"/>
        </w:tcBorders>
      </w:tcPr>
    </w:tblStylePr>
    <w:tblStylePr w:type="firstCol">
      <w:rPr>
        <w:b/>
        <w:bCs/>
      </w:rPr>
    </w:tblStylePr>
    <w:tblStylePr w:type="lastCol">
      <w:rPr>
        <w:b/>
        <w:bCs/>
      </w:rPr>
    </w:tblStylePr>
    <w:tblStylePr w:type="band1Vert">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tblStylePr w:type="band1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tblBorders>
    </w:tblPr>
    <w:tblStylePr w:type="firstRow">
      <w:pPr>
        <w:spacing w:before="0" w:after="0" w:line="240" w:lineRule="auto"/>
      </w:pPr>
      <w:rPr>
        <w:b/>
        <w:bCs/>
        <w:color w:val="FFFFFF" w:themeColor="background1"/>
      </w:rPr>
      <w:tblPr/>
      <w:tcPr>
        <w:shd w:val="clear" w:color="auto" w:fill="0072CE" w:themeFill="accent3"/>
      </w:tcPr>
    </w:tblStylePr>
    <w:tblStylePr w:type="lastRow">
      <w:pPr>
        <w:spacing w:before="0" w:after="0" w:line="240" w:lineRule="auto"/>
      </w:pPr>
      <w:rPr>
        <w:b/>
        <w:bCs/>
      </w:rPr>
      <w:tblPr/>
      <w:tcPr>
        <w:tcBorders>
          <w:top w:val="double" w:sz="6" w:space="0" w:color="0072CE" w:themeColor="accent3"/>
          <w:left w:val="single" w:sz="8" w:space="0" w:color="0072CE" w:themeColor="accent3"/>
          <w:bottom w:val="single" w:sz="8" w:space="0" w:color="0072CE" w:themeColor="accent3"/>
          <w:right w:val="single" w:sz="8" w:space="0" w:color="0072CE" w:themeColor="accent3"/>
        </w:tcBorders>
      </w:tcPr>
    </w:tblStylePr>
    <w:tblStylePr w:type="firstCol">
      <w:rPr>
        <w:b/>
        <w:bCs/>
      </w:rPr>
    </w:tblStylePr>
    <w:tblStylePr w:type="lastCol">
      <w:rPr>
        <w:b/>
        <w:bCs/>
      </w:rPr>
    </w:tblStylePr>
    <w:tblStylePr w:type="band1Vert">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tblStylePr w:type="band1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tblBorders>
    </w:tblPr>
    <w:tblStylePr w:type="firstRow">
      <w:pPr>
        <w:spacing w:before="0" w:after="0" w:line="240" w:lineRule="auto"/>
      </w:pPr>
      <w:rPr>
        <w:b/>
        <w:bCs/>
        <w:color w:val="FFFFFF" w:themeColor="background1"/>
      </w:rPr>
      <w:tblPr/>
      <w:tcPr>
        <w:shd w:val="clear" w:color="auto" w:fill="98A4AE" w:themeFill="accent4"/>
      </w:tcPr>
    </w:tblStylePr>
    <w:tblStylePr w:type="lastRow">
      <w:pPr>
        <w:spacing w:before="0" w:after="0" w:line="240" w:lineRule="auto"/>
      </w:pPr>
      <w:rPr>
        <w:b/>
        <w:bCs/>
      </w:rPr>
      <w:tblPr/>
      <w:tcPr>
        <w:tcBorders>
          <w:top w:val="double" w:sz="6" w:space="0" w:color="98A4AE" w:themeColor="accent4"/>
          <w:left w:val="single" w:sz="8" w:space="0" w:color="98A4AE" w:themeColor="accent4"/>
          <w:bottom w:val="single" w:sz="8" w:space="0" w:color="98A4AE" w:themeColor="accent4"/>
          <w:right w:val="single" w:sz="8" w:space="0" w:color="98A4AE" w:themeColor="accent4"/>
        </w:tcBorders>
      </w:tcPr>
    </w:tblStylePr>
    <w:tblStylePr w:type="firstCol">
      <w:rPr>
        <w:b/>
        <w:bCs/>
      </w:rPr>
    </w:tblStylePr>
    <w:tblStylePr w:type="lastCol">
      <w:rPr>
        <w:b/>
        <w:bCs/>
      </w:rPr>
    </w:tblStylePr>
    <w:tblStylePr w:type="band1Vert">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tcPr>
    </w:tblStylePr>
    <w:tblStylePr w:type="band1Horz">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tblBorders>
    </w:tblPr>
    <w:tblStylePr w:type="firstRow">
      <w:pPr>
        <w:spacing w:before="0" w:after="0" w:line="240" w:lineRule="auto"/>
      </w:pPr>
      <w:rPr>
        <w:b/>
        <w:bCs/>
        <w:color w:val="FFFFFF" w:themeColor="background1"/>
      </w:rPr>
      <w:tblPr/>
      <w:tcPr>
        <w:shd w:val="clear" w:color="auto" w:fill="4F758B" w:themeFill="accent5"/>
      </w:tcPr>
    </w:tblStylePr>
    <w:tblStylePr w:type="lastRow">
      <w:pPr>
        <w:spacing w:before="0" w:after="0" w:line="240" w:lineRule="auto"/>
      </w:pPr>
      <w:rPr>
        <w:b/>
        <w:bCs/>
      </w:rPr>
      <w:tblPr/>
      <w:tcPr>
        <w:tcBorders>
          <w:top w:val="double" w:sz="6" w:space="0" w:color="4F758B" w:themeColor="accent5"/>
          <w:left w:val="single" w:sz="8" w:space="0" w:color="4F758B" w:themeColor="accent5"/>
          <w:bottom w:val="single" w:sz="8" w:space="0" w:color="4F758B" w:themeColor="accent5"/>
          <w:right w:val="single" w:sz="8" w:space="0" w:color="4F758B" w:themeColor="accent5"/>
        </w:tcBorders>
      </w:tcPr>
    </w:tblStylePr>
    <w:tblStylePr w:type="firstCol">
      <w:rPr>
        <w:b/>
        <w:bCs/>
      </w:rPr>
    </w:tblStylePr>
    <w:tblStylePr w:type="lastCol">
      <w:rPr>
        <w:b/>
        <w:bCs/>
      </w:rPr>
    </w:tblStylePr>
    <w:tblStylePr w:type="band1Vert">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tcPr>
    </w:tblStylePr>
    <w:tblStylePr w:type="band1Horz">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tblBorders>
    </w:tblPr>
    <w:tblStylePr w:type="firstRow">
      <w:pPr>
        <w:spacing w:before="0" w:after="0" w:line="240" w:lineRule="auto"/>
      </w:pPr>
      <w:rPr>
        <w:b/>
        <w:bCs/>
        <w:color w:val="FFFFFF" w:themeColor="background1"/>
      </w:rPr>
      <w:tblPr/>
      <w:tcPr>
        <w:shd w:val="clear" w:color="auto" w:fill="71C5E8" w:themeFill="accent6"/>
      </w:tcPr>
    </w:tblStylePr>
    <w:tblStylePr w:type="lastRow">
      <w:pPr>
        <w:spacing w:before="0" w:after="0" w:line="240" w:lineRule="auto"/>
      </w:pPr>
      <w:rPr>
        <w:b/>
        <w:bCs/>
      </w:rPr>
      <w:tblPr/>
      <w:tcPr>
        <w:tcBorders>
          <w:top w:val="double" w:sz="6" w:space="0" w:color="71C5E8" w:themeColor="accent6"/>
          <w:left w:val="single" w:sz="8" w:space="0" w:color="71C5E8" w:themeColor="accent6"/>
          <w:bottom w:val="single" w:sz="8" w:space="0" w:color="71C5E8" w:themeColor="accent6"/>
          <w:right w:val="single" w:sz="8" w:space="0" w:color="71C5E8" w:themeColor="accent6"/>
        </w:tcBorders>
      </w:tcPr>
    </w:tblStylePr>
    <w:tblStylePr w:type="firstCol">
      <w:rPr>
        <w:b/>
        <w:bCs/>
      </w:rPr>
    </w:tblStylePr>
    <w:tblStylePr w:type="lastCol">
      <w:rPr>
        <w:b/>
        <w:bCs/>
      </w:rPr>
    </w:tblStylePr>
    <w:tblStylePr w:type="band1Vert">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tcPr>
    </w:tblStylePr>
    <w:tblStylePr w:type="band1Horz">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00184E" w:themeColor="accent1" w:themeShade="BF"/>
    </w:rPr>
    <w:tblPr>
      <w:tblStyleRowBandSize w:val="1"/>
      <w:tblStyleColBandSize w:val="1"/>
      <w:tblBorders>
        <w:top w:val="single" w:sz="8" w:space="0" w:color="012169" w:themeColor="accent1"/>
        <w:bottom w:val="single" w:sz="8" w:space="0" w:color="012169" w:themeColor="accent1"/>
      </w:tblBorders>
    </w:tblPr>
    <w:tblStylePr w:type="firstRow">
      <w:pPr>
        <w:spacing w:before="0" w:after="0" w:line="240" w:lineRule="auto"/>
      </w:pPr>
      <w:rPr>
        <w:b/>
        <w:bCs/>
      </w:rPr>
      <w:tblPr/>
      <w:tcPr>
        <w:tcBorders>
          <w:top w:val="single" w:sz="8" w:space="0" w:color="012169" w:themeColor="accent1"/>
          <w:left w:val="nil"/>
          <w:bottom w:val="single" w:sz="8" w:space="0" w:color="012169" w:themeColor="accent1"/>
          <w:right w:val="nil"/>
          <w:insideH w:val="nil"/>
          <w:insideV w:val="nil"/>
        </w:tcBorders>
      </w:tcPr>
    </w:tblStylePr>
    <w:tblStylePr w:type="lastRow">
      <w:pPr>
        <w:spacing w:before="0" w:after="0" w:line="240" w:lineRule="auto"/>
      </w:pPr>
      <w:rPr>
        <w:b/>
        <w:bCs/>
      </w:rPr>
      <w:tblPr/>
      <w:tcPr>
        <w:tcBorders>
          <w:top w:val="single" w:sz="8" w:space="0" w:color="012169" w:themeColor="accent1"/>
          <w:left w:val="nil"/>
          <w:bottom w:val="single" w:sz="8" w:space="0" w:color="01216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1" w:themeFillTint="3F"/>
      </w:tcPr>
    </w:tblStylePr>
    <w:tblStylePr w:type="band1Horz">
      <w:tblPr/>
      <w:tcPr>
        <w:tcBorders>
          <w:left w:val="nil"/>
          <w:right w:val="nil"/>
          <w:insideH w:val="nil"/>
          <w:insideV w:val="nil"/>
        </w:tcBorders>
        <w:shd w:val="clear" w:color="auto" w:fill="9BB9FE" w:themeFill="accent1" w:themeFillTint="3F"/>
      </w:tcPr>
    </w:tblStylePr>
  </w:style>
  <w:style w:type="table" w:styleId="LightShading-Accent2">
    <w:name w:val="Light Shading Accent 2"/>
    <w:basedOn w:val="TableNormal"/>
    <w:uiPriority w:val="60"/>
    <w:locked/>
    <w:rsid w:val="00F80750"/>
    <w:pPr>
      <w:spacing w:after="0"/>
    </w:pPr>
    <w:rPr>
      <w:color w:val="007EA7" w:themeColor="accent2" w:themeShade="BF"/>
    </w:rPr>
    <w:tblPr>
      <w:tblStyleRowBandSize w:val="1"/>
      <w:tblStyleColBandSize w:val="1"/>
      <w:tblBorders>
        <w:top w:val="single" w:sz="8" w:space="0" w:color="00A9E0" w:themeColor="accent2"/>
        <w:bottom w:val="single" w:sz="8" w:space="0" w:color="00A9E0" w:themeColor="accent2"/>
      </w:tblBorders>
    </w:tblPr>
    <w:tblStylePr w:type="firstRow">
      <w:pPr>
        <w:spacing w:before="0" w:after="0" w:line="240" w:lineRule="auto"/>
      </w:pPr>
      <w:rPr>
        <w:b/>
        <w:bCs/>
      </w:rPr>
      <w:tblPr/>
      <w:tcPr>
        <w:tcBorders>
          <w:top w:val="single" w:sz="8" w:space="0" w:color="00A9E0" w:themeColor="accent2"/>
          <w:left w:val="nil"/>
          <w:bottom w:val="single" w:sz="8" w:space="0" w:color="00A9E0" w:themeColor="accent2"/>
          <w:right w:val="nil"/>
          <w:insideH w:val="nil"/>
          <w:insideV w:val="nil"/>
        </w:tcBorders>
      </w:tcPr>
    </w:tblStylePr>
    <w:tblStylePr w:type="lastRow">
      <w:pPr>
        <w:spacing w:before="0" w:after="0" w:line="240" w:lineRule="auto"/>
      </w:pPr>
      <w:rPr>
        <w:b/>
        <w:bCs/>
      </w:rPr>
      <w:tblPr/>
      <w:tcPr>
        <w:tcBorders>
          <w:top w:val="single" w:sz="8" w:space="0" w:color="00A9E0" w:themeColor="accent2"/>
          <w:left w:val="nil"/>
          <w:bottom w:val="single" w:sz="8" w:space="0" w:color="00A9E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DFF" w:themeFill="accent2" w:themeFillTint="3F"/>
      </w:tcPr>
    </w:tblStylePr>
    <w:tblStylePr w:type="band1Horz">
      <w:tblPr/>
      <w:tcPr>
        <w:tcBorders>
          <w:left w:val="nil"/>
          <w:right w:val="nil"/>
          <w:insideH w:val="nil"/>
          <w:insideV w:val="nil"/>
        </w:tcBorders>
        <w:shd w:val="clear" w:color="auto" w:fill="B8EDFF" w:themeFill="accent2" w:themeFillTint="3F"/>
      </w:tcPr>
    </w:tblStylePr>
  </w:style>
  <w:style w:type="table" w:styleId="LightShading-Accent3">
    <w:name w:val="Light Shading Accent 3"/>
    <w:basedOn w:val="TableNormal"/>
    <w:uiPriority w:val="60"/>
    <w:locked/>
    <w:rsid w:val="00F80750"/>
    <w:pPr>
      <w:spacing w:after="0"/>
    </w:pPr>
    <w:rPr>
      <w:color w:val="00559A" w:themeColor="accent3" w:themeShade="BF"/>
    </w:rPr>
    <w:tblPr>
      <w:tblStyleRowBandSize w:val="1"/>
      <w:tblStyleColBandSize w:val="1"/>
      <w:tblBorders>
        <w:top w:val="single" w:sz="8" w:space="0" w:color="0072CE" w:themeColor="accent3"/>
        <w:bottom w:val="single" w:sz="8" w:space="0" w:color="0072CE" w:themeColor="accent3"/>
      </w:tblBorders>
    </w:tblPr>
    <w:tblStylePr w:type="fir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la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3" w:themeFillTint="3F"/>
      </w:tcPr>
    </w:tblStylePr>
    <w:tblStylePr w:type="band1Horz">
      <w:tblPr/>
      <w:tcPr>
        <w:tcBorders>
          <w:left w:val="nil"/>
          <w:right w:val="nil"/>
          <w:insideH w:val="nil"/>
          <w:insideV w:val="nil"/>
        </w:tcBorders>
        <w:shd w:val="clear" w:color="auto" w:fill="B3DDFF" w:themeFill="accent3" w:themeFillTint="3F"/>
      </w:tcPr>
    </w:tblStylePr>
  </w:style>
  <w:style w:type="table" w:styleId="LightShading-Accent4">
    <w:name w:val="Light Shading Accent 4"/>
    <w:basedOn w:val="TableNormal"/>
    <w:uiPriority w:val="60"/>
    <w:locked/>
    <w:rsid w:val="00F80750"/>
    <w:pPr>
      <w:spacing w:after="0"/>
    </w:pPr>
    <w:rPr>
      <w:color w:val="6B7B88" w:themeColor="accent4" w:themeShade="BF"/>
    </w:rPr>
    <w:tblPr>
      <w:tblStyleRowBandSize w:val="1"/>
      <w:tblStyleColBandSize w:val="1"/>
      <w:tblBorders>
        <w:top w:val="single" w:sz="8" w:space="0" w:color="98A4AE" w:themeColor="accent4"/>
        <w:bottom w:val="single" w:sz="8" w:space="0" w:color="98A4AE" w:themeColor="accent4"/>
      </w:tblBorders>
    </w:tblPr>
    <w:tblStylePr w:type="firstRow">
      <w:pPr>
        <w:spacing w:before="0" w:after="0" w:line="240" w:lineRule="auto"/>
      </w:pPr>
      <w:rPr>
        <w:b/>
        <w:bCs/>
      </w:rPr>
      <w:tblPr/>
      <w:tcPr>
        <w:tcBorders>
          <w:top w:val="single" w:sz="8" w:space="0" w:color="98A4AE" w:themeColor="accent4"/>
          <w:left w:val="nil"/>
          <w:bottom w:val="single" w:sz="8" w:space="0" w:color="98A4AE" w:themeColor="accent4"/>
          <w:right w:val="nil"/>
          <w:insideH w:val="nil"/>
          <w:insideV w:val="nil"/>
        </w:tcBorders>
      </w:tcPr>
    </w:tblStylePr>
    <w:tblStylePr w:type="lastRow">
      <w:pPr>
        <w:spacing w:before="0" w:after="0" w:line="240" w:lineRule="auto"/>
      </w:pPr>
      <w:rPr>
        <w:b/>
        <w:bCs/>
      </w:rPr>
      <w:tblPr/>
      <w:tcPr>
        <w:tcBorders>
          <w:top w:val="single" w:sz="8" w:space="0" w:color="98A4AE" w:themeColor="accent4"/>
          <w:left w:val="nil"/>
          <w:bottom w:val="single" w:sz="8" w:space="0" w:color="98A4A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8EB" w:themeFill="accent4" w:themeFillTint="3F"/>
      </w:tcPr>
    </w:tblStylePr>
    <w:tblStylePr w:type="band1Horz">
      <w:tblPr/>
      <w:tcPr>
        <w:tcBorders>
          <w:left w:val="nil"/>
          <w:right w:val="nil"/>
          <w:insideH w:val="nil"/>
          <w:insideV w:val="nil"/>
        </w:tcBorders>
        <w:shd w:val="clear" w:color="auto" w:fill="E5E8EB" w:themeFill="accent4" w:themeFillTint="3F"/>
      </w:tcPr>
    </w:tblStylePr>
  </w:style>
  <w:style w:type="table" w:styleId="LightShading-Accent5">
    <w:name w:val="Light Shading Accent 5"/>
    <w:basedOn w:val="TableNormal"/>
    <w:uiPriority w:val="60"/>
    <w:locked/>
    <w:rsid w:val="00F80750"/>
    <w:pPr>
      <w:spacing w:after="0"/>
    </w:pPr>
    <w:rPr>
      <w:color w:val="3B5767" w:themeColor="accent5" w:themeShade="BF"/>
    </w:rPr>
    <w:tblPr>
      <w:tblStyleRowBandSize w:val="1"/>
      <w:tblStyleColBandSize w:val="1"/>
      <w:tblBorders>
        <w:top w:val="single" w:sz="8" w:space="0" w:color="4F758B" w:themeColor="accent5"/>
        <w:bottom w:val="single" w:sz="8" w:space="0" w:color="4F758B" w:themeColor="accent5"/>
      </w:tblBorders>
    </w:tblPr>
    <w:tblStylePr w:type="firstRow">
      <w:pPr>
        <w:spacing w:before="0" w:after="0" w:line="240" w:lineRule="auto"/>
      </w:pPr>
      <w:rPr>
        <w:b/>
        <w:bCs/>
      </w:rPr>
      <w:tblPr/>
      <w:tcPr>
        <w:tcBorders>
          <w:top w:val="single" w:sz="8" w:space="0" w:color="4F758B" w:themeColor="accent5"/>
          <w:left w:val="nil"/>
          <w:bottom w:val="single" w:sz="8" w:space="0" w:color="4F758B" w:themeColor="accent5"/>
          <w:right w:val="nil"/>
          <w:insideH w:val="nil"/>
          <w:insideV w:val="nil"/>
        </w:tcBorders>
      </w:tcPr>
    </w:tblStylePr>
    <w:tblStylePr w:type="lastRow">
      <w:pPr>
        <w:spacing w:before="0" w:after="0" w:line="240" w:lineRule="auto"/>
      </w:pPr>
      <w:rPr>
        <w:b/>
        <w:bCs/>
      </w:rPr>
      <w:tblPr/>
      <w:tcPr>
        <w:tcBorders>
          <w:top w:val="single" w:sz="8" w:space="0" w:color="4F758B" w:themeColor="accent5"/>
          <w:left w:val="nil"/>
          <w:bottom w:val="single" w:sz="8" w:space="0" w:color="4F75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DE4" w:themeFill="accent5" w:themeFillTint="3F"/>
      </w:tcPr>
    </w:tblStylePr>
    <w:tblStylePr w:type="band1Horz">
      <w:tblPr/>
      <w:tcPr>
        <w:tcBorders>
          <w:left w:val="nil"/>
          <w:right w:val="nil"/>
          <w:insideH w:val="nil"/>
          <w:insideV w:val="nil"/>
        </w:tcBorders>
        <w:shd w:val="clear" w:color="auto" w:fill="D0DDE4" w:themeFill="accent5" w:themeFillTint="3F"/>
      </w:tcPr>
    </w:tblStylePr>
  </w:style>
  <w:style w:type="table" w:styleId="LightShading-Accent6">
    <w:name w:val="Light Shading Accent 6"/>
    <w:basedOn w:val="TableNormal"/>
    <w:uiPriority w:val="60"/>
    <w:locked/>
    <w:rsid w:val="00F80750"/>
    <w:pPr>
      <w:spacing w:after="0"/>
    </w:pPr>
    <w:rPr>
      <w:color w:val="26A6DC" w:themeColor="accent6" w:themeShade="BF"/>
    </w:rPr>
    <w:tblPr>
      <w:tblStyleRowBandSize w:val="1"/>
      <w:tblStyleColBandSize w:val="1"/>
      <w:tblBorders>
        <w:top w:val="single" w:sz="8" w:space="0" w:color="71C5E8" w:themeColor="accent6"/>
        <w:bottom w:val="single" w:sz="8" w:space="0" w:color="71C5E8" w:themeColor="accent6"/>
      </w:tblBorders>
    </w:tblPr>
    <w:tblStylePr w:type="firstRow">
      <w:pPr>
        <w:spacing w:before="0" w:after="0" w:line="240" w:lineRule="auto"/>
      </w:pPr>
      <w:rPr>
        <w:b/>
        <w:bCs/>
      </w:rPr>
      <w:tblPr/>
      <w:tcPr>
        <w:tcBorders>
          <w:top w:val="single" w:sz="8" w:space="0" w:color="71C5E8" w:themeColor="accent6"/>
          <w:left w:val="nil"/>
          <w:bottom w:val="single" w:sz="8" w:space="0" w:color="71C5E8" w:themeColor="accent6"/>
          <w:right w:val="nil"/>
          <w:insideH w:val="nil"/>
          <w:insideV w:val="nil"/>
        </w:tcBorders>
      </w:tcPr>
    </w:tblStylePr>
    <w:tblStylePr w:type="lastRow">
      <w:pPr>
        <w:spacing w:before="0" w:after="0" w:line="240" w:lineRule="auto"/>
      </w:pPr>
      <w:rPr>
        <w:b/>
        <w:bCs/>
      </w:rPr>
      <w:tblPr/>
      <w:tcPr>
        <w:tcBorders>
          <w:top w:val="single" w:sz="8" w:space="0" w:color="71C5E8" w:themeColor="accent6"/>
          <w:left w:val="nil"/>
          <w:bottom w:val="single" w:sz="8" w:space="0" w:color="71C5E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6" w:themeFillTint="3F"/>
      </w:tcPr>
    </w:tblStylePr>
    <w:tblStylePr w:type="band1Horz">
      <w:tblPr/>
      <w:tcPr>
        <w:tcBorders>
          <w:left w:val="nil"/>
          <w:right w:val="nil"/>
          <w:insideH w:val="nil"/>
          <w:insideV w:val="nil"/>
        </w:tcBorders>
        <w:shd w:val="clear" w:color="auto" w:fill="DBF0F9"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17"/>
    <w:qFormat/>
    <w:rsid w:val="00A8129D"/>
    <w:pPr>
      <w:numPr>
        <w:ilvl w:val="1"/>
      </w:numPr>
    </w:pPr>
  </w:style>
  <w:style w:type="paragraph" w:styleId="List2">
    <w:name w:val="List 2"/>
    <w:basedOn w:val="Normal"/>
    <w:uiPriority w:val="17"/>
    <w:qFormat/>
    <w:rsid w:val="00A8129D"/>
    <w:pPr>
      <w:numPr>
        <w:ilvl w:val="2"/>
      </w:numPr>
    </w:pPr>
  </w:style>
  <w:style w:type="paragraph" w:styleId="List3">
    <w:name w:val="List 3"/>
    <w:basedOn w:val="Normal"/>
    <w:uiPriority w:val="17"/>
    <w:qFormat/>
    <w:rsid w:val="00A8129D"/>
    <w:pPr>
      <w:numPr>
        <w:ilvl w:val="3"/>
      </w:numPr>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1"/>
      </w:numPr>
      <w:contextualSpacing/>
    </w:p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locked/>
    <w:rsid w:val="00F80750"/>
    <w:pPr>
      <w:numPr>
        <w:numId w:val="2"/>
      </w:numPr>
      <w:contextualSpacing/>
    </w:pPr>
  </w:style>
  <w:style w:type="paragraph" w:styleId="ListParagraph">
    <w:name w:val="List Paragraph"/>
    <w:link w:val="ListParagraphChar"/>
    <w:uiPriority w:val="34"/>
    <w:qFormat/>
    <w:rsid w:val="00BB7EB9"/>
    <w:pPr>
      <w:ind w:left="425"/>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single" w:sz="8" w:space="0" w:color="0240CD" w:themeColor="accent1" w:themeTint="BF"/>
        <w:insideV w:val="single" w:sz="8" w:space="0" w:color="0240CD" w:themeColor="accent1" w:themeTint="BF"/>
      </w:tblBorders>
    </w:tblPr>
    <w:tcPr>
      <w:shd w:val="clear" w:color="auto" w:fill="9BB9FE" w:themeFill="accent1" w:themeFillTint="3F"/>
    </w:tcPr>
    <w:tblStylePr w:type="firstRow">
      <w:rPr>
        <w:b/>
        <w:bCs/>
      </w:rPr>
    </w:tblStylePr>
    <w:tblStylePr w:type="lastRow">
      <w:rPr>
        <w:b/>
        <w:bCs/>
      </w:rPr>
      <w:tblPr/>
      <w:tcPr>
        <w:tcBorders>
          <w:top w:val="single" w:sz="18" w:space="0" w:color="0240CD" w:themeColor="accent1" w:themeTint="BF"/>
        </w:tcBorders>
      </w:tcPr>
    </w:tblStylePr>
    <w:tblStylePr w:type="firstCol">
      <w:rPr>
        <w:b/>
        <w:bCs/>
      </w:rPr>
    </w:tblStylePr>
    <w:tblStylePr w:type="lastCol">
      <w:rPr>
        <w:b/>
        <w:bCs/>
      </w:rPr>
    </w:tblStylePr>
    <w:tblStylePr w:type="band1Vert">
      <w:tblPr/>
      <w:tcPr>
        <w:shd w:val="clear" w:color="auto" w:fill="3773FD" w:themeFill="accent1" w:themeFillTint="7F"/>
      </w:tcPr>
    </w:tblStylePr>
    <w:tblStylePr w:type="band1Horz">
      <w:tblPr/>
      <w:tcPr>
        <w:shd w:val="clear" w:color="auto" w:fill="3773FD"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single" w:sz="8" w:space="0" w:color="28CAFF" w:themeColor="accent2" w:themeTint="BF"/>
        <w:insideV w:val="single" w:sz="8" w:space="0" w:color="28CAFF" w:themeColor="accent2" w:themeTint="BF"/>
      </w:tblBorders>
    </w:tblPr>
    <w:tcPr>
      <w:shd w:val="clear" w:color="auto" w:fill="B8EDFF" w:themeFill="accent2" w:themeFillTint="3F"/>
    </w:tcPr>
    <w:tblStylePr w:type="firstRow">
      <w:rPr>
        <w:b/>
        <w:bCs/>
      </w:rPr>
    </w:tblStylePr>
    <w:tblStylePr w:type="lastRow">
      <w:rPr>
        <w:b/>
        <w:bCs/>
      </w:rPr>
      <w:tblPr/>
      <w:tcPr>
        <w:tcBorders>
          <w:top w:val="single" w:sz="18" w:space="0" w:color="28CAFF" w:themeColor="accent2" w:themeTint="BF"/>
        </w:tcBorders>
      </w:tcPr>
    </w:tblStylePr>
    <w:tblStylePr w:type="firstCol">
      <w:rPr>
        <w:b/>
        <w:bCs/>
      </w:rPr>
    </w:tblStylePr>
    <w:tblStylePr w:type="lastCol">
      <w:rPr>
        <w:b/>
        <w:bCs/>
      </w:rPr>
    </w:tblStylePr>
    <w:tblStylePr w:type="band1Vert">
      <w:tblPr/>
      <w:tcPr>
        <w:shd w:val="clear" w:color="auto" w:fill="70DBFF" w:themeFill="accent2" w:themeFillTint="7F"/>
      </w:tcPr>
    </w:tblStylePr>
    <w:tblStylePr w:type="band1Horz">
      <w:tblPr/>
      <w:tcPr>
        <w:shd w:val="clear" w:color="auto" w:fill="70DBFF"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single" w:sz="8" w:space="0" w:color="1B99FF" w:themeColor="accent3" w:themeTint="BF"/>
        <w:insideV w:val="single" w:sz="8" w:space="0" w:color="1B99FF" w:themeColor="accent3" w:themeTint="BF"/>
      </w:tblBorders>
    </w:tblPr>
    <w:tcPr>
      <w:shd w:val="clear" w:color="auto" w:fill="B3DDFF" w:themeFill="accent3" w:themeFillTint="3F"/>
    </w:tcPr>
    <w:tblStylePr w:type="firstRow">
      <w:rPr>
        <w:b/>
        <w:bCs/>
      </w:rPr>
    </w:tblStylePr>
    <w:tblStylePr w:type="lastRow">
      <w:rPr>
        <w:b/>
        <w:bCs/>
      </w:rPr>
      <w:tblPr/>
      <w:tcPr>
        <w:tcBorders>
          <w:top w:val="single" w:sz="18" w:space="0" w:color="1B99FF" w:themeColor="accent3" w:themeTint="BF"/>
        </w:tcBorders>
      </w:tcPr>
    </w:tblStylePr>
    <w:tblStylePr w:type="firstCol">
      <w:rPr>
        <w:b/>
        <w:bCs/>
      </w:rPr>
    </w:tblStylePr>
    <w:tblStylePr w:type="lastCol">
      <w:rPr>
        <w:b/>
        <w:bCs/>
      </w:rPr>
    </w:tblStylePr>
    <w:tblStylePr w:type="band1Vert">
      <w:tblPr/>
      <w:tcPr>
        <w:shd w:val="clear" w:color="auto" w:fill="67BBFF" w:themeFill="accent3" w:themeFillTint="7F"/>
      </w:tcPr>
    </w:tblStylePr>
    <w:tblStylePr w:type="band1Horz">
      <w:tblPr/>
      <w:tcPr>
        <w:shd w:val="clear" w:color="auto" w:fill="67BBFF"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single" w:sz="8" w:space="0" w:color="B1BAC2" w:themeColor="accent4" w:themeTint="BF"/>
        <w:insideV w:val="single" w:sz="8" w:space="0" w:color="B1BAC2" w:themeColor="accent4" w:themeTint="BF"/>
      </w:tblBorders>
    </w:tblPr>
    <w:tcPr>
      <w:shd w:val="clear" w:color="auto" w:fill="E5E8EB" w:themeFill="accent4" w:themeFillTint="3F"/>
    </w:tcPr>
    <w:tblStylePr w:type="firstRow">
      <w:rPr>
        <w:b/>
        <w:bCs/>
      </w:rPr>
    </w:tblStylePr>
    <w:tblStylePr w:type="lastRow">
      <w:rPr>
        <w:b/>
        <w:bCs/>
      </w:rPr>
      <w:tblPr/>
      <w:tcPr>
        <w:tcBorders>
          <w:top w:val="single" w:sz="18" w:space="0" w:color="B1BAC2" w:themeColor="accent4" w:themeTint="BF"/>
        </w:tcBorders>
      </w:tcPr>
    </w:tblStylePr>
    <w:tblStylePr w:type="firstCol">
      <w:rPr>
        <w:b/>
        <w:bCs/>
      </w:rPr>
    </w:tblStylePr>
    <w:tblStylePr w:type="lastCol">
      <w:rPr>
        <w:b/>
        <w:bCs/>
      </w:rPr>
    </w:tblStylePr>
    <w:tblStylePr w:type="band1Vert">
      <w:tblPr/>
      <w:tcPr>
        <w:shd w:val="clear" w:color="auto" w:fill="CBD1D6" w:themeFill="accent4" w:themeFillTint="7F"/>
      </w:tcPr>
    </w:tblStylePr>
    <w:tblStylePr w:type="band1Horz">
      <w:tblPr/>
      <w:tcPr>
        <w:shd w:val="clear" w:color="auto" w:fill="CBD1D6"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single" w:sz="8" w:space="0" w:color="7399AF" w:themeColor="accent5" w:themeTint="BF"/>
        <w:insideV w:val="single" w:sz="8" w:space="0" w:color="7399AF" w:themeColor="accent5" w:themeTint="BF"/>
      </w:tblBorders>
    </w:tblPr>
    <w:tcPr>
      <w:shd w:val="clear" w:color="auto" w:fill="D0DDE4" w:themeFill="accent5" w:themeFillTint="3F"/>
    </w:tcPr>
    <w:tblStylePr w:type="firstRow">
      <w:rPr>
        <w:b/>
        <w:bCs/>
      </w:rPr>
    </w:tblStylePr>
    <w:tblStylePr w:type="lastRow">
      <w:rPr>
        <w:b/>
        <w:bCs/>
      </w:rPr>
      <w:tblPr/>
      <w:tcPr>
        <w:tcBorders>
          <w:top w:val="single" w:sz="18" w:space="0" w:color="7399AF" w:themeColor="accent5" w:themeTint="BF"/>
        </w:tcBorders>
      </w:tcPr>
    </w:tblStylePr>
    <w:tblStylePr w:type="firstCol">
      <w:rPr>
        <w:b/>
        <w:bCs/>
      </w:rPr>
    </w:tblStylePr>
    <w:tblStylePr w:type="lastCol">
      <w:rPr>
        <w:b/>
        <w:bCs/>
      </w:rPr>
    </w:tblStylePr>
    <w:tblStylePr w:type="band1Vert">
      <w:tblPr/>
      <w:tcPr>
        <w:shd w:val="clear" w:color="auto" w:fill="A2BBCA" w:themeFill="accent5" w:themeFillTint="7F"/>
      </w:tcPr>
    </w:tblStylePr>
    <w:tblStylePr w:type="band1Horz">
      <w:tblPr/>
      <w:tcPr>
        <w:shd w:val="clear" w:color="auto" w:fill="A2BBCA"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single" w:sz="8" w:space="0" w:color="94D3ED" w:themeColor="accent6" w:themeTint="BF"/>
        <w:insideV w:val="single" w:sz="8" w:space="0" w:color="94D3ED" w:themeColor="accent6" w:themeTint="BF"/>
      </w:tblBorders>
    </w:tblPr>
    <w:tcPr>
      <w:shd w:val="clear" w:color="auto" w:fill="DBF0F9" w:themeFill="accent6" w:themeFillTint="3F"/>
    </w:tcPr>
    <w:tblStylePr w:type="firstRow">
      <w:rPr>
        <w:b/>
        <w:bCs/>
      </w:rPr>
    </w:tblStylePr>
    <w:tblStylePr w:type="lastRow">
      <w:rPr>
        <w:b/>
        <w:bCs/>
      </w:rPr>
      <w:tblPr/>
      <w:tcPr>
        <w:tcBorders>
          <w:top w:val="single" w:sz="18" w:space="0" w:color="94D3ED" w:themeColor="accent6" w:themeTint="BF"/>
        </w:tcBorders>
      </w:tcPr>
    </w:tblStylePr>
    <w:tblStylePr w:type="firstCol">
      <w:rPr>
        <w:b/>
        <w:bCs/>
      </w:rPr>
    </w:tblStylePr>
    <w:tblStylePr w:type="lastCol">
      <w:rPr>
        <w:b/>
        <w:bCs/>
      </w:rPr>
    </w:tblStylePr>
    <w:tblStylePr w:type="band1Vert">
      <w:tblPr/>
      <w:tcPr>
        <w:shd w:val="clear" w:color="auto" w:fill="B8E2F3" w:themeFill="accent6" w:themeFillTint="7F"/>
      </w:tcPr>
    </w:tblStylePr>
    <w:tblStylePr w:type="band1Horz">
      <w:tblPr/>
      <w:tcPr>
        <w:shd w:val="clear" w:color="auto" w:fill="B8E2F3"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insideH w:val="single" w:sz="8" w:space="0" w:color="012169" w:themeColor="accent1"/>
        <w:insideV w:val="single" w:sz="8" w:space="0" w:color="012169" w:themeColor="accent1"/>
      </w:tblBorders>
    </w:tblPr>
    <w:tcPr>
      <w:shd w:val="clear" w:color="auto" w:fill="9BB9FE" w:themeFill="accent1" w:themeFillTint="3F"/>
    </w:tcPr>
    <w:tblStylePr w:type="firstRow">
      <w:rPr>
        <w:b/>
        <w:bCs/>
        <w:color w:val="000000" w:themeColor="text1"/>
      </w:rPr>
      <w:tblPr/>
      <w:tcPr>
        <w:shd w:val="clear" w:color="auto" w:fill="D7E3F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1" w:themeFillTint="33"/>
      </w:tcPr>
    </w:tblStylePr>
    <w:tblStylePr w:type="band1Vert">
      <w:tblPr/>
      <w:tcPr>
        <w:shd w:val="clear" w:color="auto" w:fill="3773FD" w:themeFill="accent1" w:themeFillTint="7F"/>
      </w:tcPr>
    </w:tblStylePr>
    <w:tblStylePr w:type="band1Horz">
      <w:tblPr/>
      <w:tcPr>
        <w:tcBorders>
          <w:insideH w:val="single" w:sz="6" w:space="0" w:color="012169" w:themeColor="accent1"/>
          <w:insideV w:val="single" w:sz="6" w:space="0" w:color="012169" w:themeColor="accent1"/>
        </w:tcBorders>
        <w:shd w:val="clear" w:color="auto" w:fill="3773F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insideH w:val="single" w:sz="8" w:space="0" w:color="00A9E0" w:themeColor="accent2"/>
        <w:insideV w:val="single" w:sz="8" w:space="0" w:color="00A9E0" w:themeColor="accent2"/>
      </w:tblBorders>
    </w:tblPr>
    <w:tcPr>
      <w:shd w:val="clear" w:color="auto" w:fill="B8EDFF" w:themeFill="accent2" w:themeFillTint="3F"/>
    </w:tcPr>
    <w:tblStylePr w:type="firstRow">
      <w:rPr>
        <w:b/>
        <w:bCs/>
        <w:color w:val="000000" w:themeColor="text1"/>
      </w:rPr>
      <w:tblPr/>
      <w:tcPr>
        <w:shd w:val="clear" w:color="auto" w:fill="E2F8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0FF" w:themeFill="accent2" w:themeFillTint="33"/>
      </w:tcPr>
    </w:tblStylePr>
    <w:tblStylePr w:type="band1Vert">
      <w:tblPr/>
      <w:tcPr>
        <w:shd w:val="clear" w:color="auto" w:fill="70DBFF" w:themeFill="accent2" w:themeFillTint="7F"/>
      </w:tcPr>
    </w:tblStylePr>
    <w:tblStylePr w:type="band1Horz">
      <w:tblPr/>
      <w:tcPr>
        <w:tcBorders>
          <w:insideH w:val="single" w:sz="6" w:space="0" w:color="00A9E0" w:themeColor="accent2"/>
          <w:insideV w:val="single" w:sz="6" w:space="0" w:color="00A9E0" w:themeColor="accent2"/>
        </w:tcBorders>
        <w:shd w:val="clear" w:color="auto" w:fill="70DB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insideH w:val="single" w:sz="8" w:space="0" w:color="0072CE" w:themeColor="accent3"/>
        <w:insideV w:val="single" w:sz="8" w:space="0" w:color="0072CE" w:themeColor="accent3"/>
      </w:tblBorders>
    </w:tblPr>
    <w:tcPr>
      <w:shd w:val="clear" w:color="auto" w:fill="B3DDFF" w:themeFill="accent3" w:themeFillTint="3F"/>
    </w:tcPr>
    <w:tblStylePr w:type="firstRow">
      <w:rPr>
        <w:b/>
        <w:bCs/>
        <w:color w:val="000000" w:themeColor="text1"/>
      </w:rPr>
      <w:tblPr/>
      <w:tcPr>
        <w:shd w:val="clear" w:color="auto" w:fill="E1F1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3" w:themeFillTint="33"/>
      </w:tcPr>
    </w:tblStylePr>
    <w:tblStylePr w:type="band1Vert">
      <w:tblPr/>
      <w:tcPr>
        <w:shd w:val="clear" w:color="auto" w:fill="67BBFF" w:themeFill="accent3" w:themeFillTint="7F"/>
      </w:tcPr>
    </w:tblStylePr>
    <w:tblStylePr w:type="band1Horz">
      <w:tblPr/>
      <w:tcPr>
        <w:tcBorders>
          <w:insideH w:val="single" w:sz="6" w:space="0" w:color="0072CE" w:themeColor="accent3"/>
          <w:insideV w:val="single" w:sz="6" w:space="0" w:color="0072CE" w:themeColor="accent3"/>
        </w:tcBorders>
        <w:shd w:val="clear" w:color="auto" w:fill="67BB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insideH w:val="single" w:sz="8" w:space="0" w:color="98A4AE" w:themeColor="accent4"/>
        <w:insideV w:val="single" w:sz="8" w:space="0" w:color="98A4AE" w:themeColor="accent4"/>
      </w:tblBorders>
    </w:tblPr>
    <w:tcPr>
      <w:shd w:val="clear" w:color="auto" w:fill="E5E8EB" w:themeFill="accent4" w:themeFillTint="3F"/>
    </w:tcPr>
    <w:tblStylePr w:type="firstRow">
      <w:rPr>
        <w:b/>
        <w:bCs/>
        <w:color w:val="000000" w:themeColor="text1"/>
      </w:rPr>
      <w:tblPr/>
      <w:tcPr>
        <w:shd w:val="clear" w:color="auto" w:fill="F4F5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CEE" w:themeFill="accent4" w:themeFillTint="33"/>
      </w:tcPr>
    </w:tblStylePr>
    <w:tblStylePr w:type="band1Vert">
      <w:tblPr/>
      <w:tcPr>
        <w:shd w:val="clear" w:color="auto" w:fill="CBD1D6" w:themeFill="accent4" w:themeFillTint="7F"/>
      </w:tcPr>
    </w:tblStylePr>
    <w:tblStylePr w:type="band1Horz">
      <w:tblPr/>
      <w:tcPr>
        <w:tcBorders>
          <w:insideH w:val="single" w:sz="6" w:space="0" w:color="98A4AE" w:themeColor="accent4"/>
          <w:insideV w:val="single" w:sz="6" w:space="0" w:color="98A4AE" w:themeColor="accent4"/>
        </w:tcBorders>
        <w:shd w:val="clear" w:color="auto" w:fill="CBD1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insideH w:val="single" w:sz="8" w:space="0" w:color="4F758B" w:themeColor="accent5"/>
        <w:insideV w:val="single" w:sz="8" w:space="0" w:color="4F758B" w:themeColor="accent5"/>
      </w:tblBorders>
    </w:tblPr>
    <w:tcPr>
      <w:shd w:val="clear" w:color="auto" w:fill="D0DDE4" w:themeFill="accent5" w:themeFillTint="3F"/>
    </w:tcPr>
    <w:tblStylePr w:type="firstRow">
      <w:rPr>
        <w:b/>
        <w:bCs/>
        <w:color w:val="000000" w:themeColor="text1"/>
      </w:rPr>
      <w:tblPr/>
      <w:tcPr>
        <w:shd w:val="clear" w:color="auto" w:fill="ECF1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3E9" w:themeFill="accent5" w:themeFillTint="33"/>
      </w:tcPr>
    </w:tblStylePr>
    <w:tblStylePr w:type="band1Vert">
      <w:tblPr/>
      <w:tcPr>
        <w:shd w:val="clear" w:color="auto" w:fill="A2BBCA" w:themeFill="accent5" w:themeFillTint="7F"/>
      </w:tcPr>
    </w:tblStylePr>
    <w:tblStylePr w:type="band1Horz">
      <w:tblPr/>
      <w:tcPr>
        <w:tcBorders>
          <w:insideH w:val="single" w:sz="6" w:space="0" w:color="4F758B" w:themeColor="accent5"/>
          <w:insideV w:val="single" w:sz="6" w:space="0" w:color="4F758B" w:themeColor="accent5"/>
        </w:tcBorders>
        <w:shd w:val="clear" w:color="auto" w:fill="A2BBC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insideH w:val="single" w:sz="8" w:space="0" w:color="71C5E8" w:themeColor="accent6"/>
        <w:insideV w:val="single" w:sz="8" w:space="0" w:color="71C5E8" w:themeColor="accent6"/>
      </w:tblBorders>
    </w:tblPr>
    <w:tcPr>
      <w:shd w:val="clear" w:color="auto" w:fill="DBF0F9" w:themeFill="accent6" w:themeFillTint="3F"/>
    </w:tcPr>
    <w:tblStylePr w:type="firstRow">
      <w:rPr>
        <w:b/>
        <w:bCs/>
        <w:color w:val="000000" w:themeColor="text1"/>
      </w:rPr>
      <w:tblPr/>
      <w:tcPr>
        <w:shd w:val="clear" w:color="auto" w:fill="F0F9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6" w:themeFillTint="33"/>
      </w:tcPr>
    </w:tblStylePr>
    <w:tblStylePr w:type="band1Vert">
      <w:tblPr/>
      <w:tcPr>
        <w:shd w:val="clear" w:color="auto" w:fill="B8E2F3" w:themeFill="accent6" w:themeFillTint="7F"/>
      </w:tcPr>
    </w:tblStylePr>
    <w:tblStylePr w:type="band1Horz">
      <w:tblPr/>
      <w:tcPr>
        <w:tcBorders>
          <w:insideH w:val="single" w:sz="6" w:space="0" w:color="71C5E8" w:themeColor="accent6"/>
          <w:insideV w:val="single" w:sz="6" w:space="0" w:color="71C5E8" w:themeColor="accent6"/>
        </w:tcBorders>
        <w:shd w:val="clear" w:color="auto" w:fill="B8E2F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ED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9E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9E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9E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9E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0D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0DBFF"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8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8A4A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8A4A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8A4A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8A4A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D1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D1D6"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DE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75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75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75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75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BBC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BBCA"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6" w:themeFillTint="7F"/>
      </w:tcPr>
    </w:tblStylePr>
  </w:style>
  <w:style w:type="table" w:styleId="MediumList1">
    <w:name w:val="Medium List 1"/>
    <w:basedOn w:val="TableNormal"/>
    <w:uiPriority w:val="65"/>
    <w:locked/>
    <w:rsid w:val="00F80750"/>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1216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tblPr>
      <w:tblStyleRowBandSize w:val="1"/>
      <w:tblStyleColBandSize w:val="1"/>
      <w:tblBorders>
        <w:top w:val="single" w:sz="8" w:space="0" w:color="012169" w:themeColor="accent1"/>
        <w:bottom w:val="single" w:sz="8" w:space="0" w:color="012169" w:themeColor="accent1"/>
      </w:tblBorders>
    </w:tblPr>
    <w:tblStylePr w:type="firstRow">
      <w:rPr>
        <w:rFonts w:asciiTheme="majorHAnsi" w:eastAsiaTheme="majorEastAsia" w:hAnsiTheme="majorHAnsi" w:cstheme="majorBidi"/>
      </w:rPr>
      <w:tblPr/>
      <w:tcPr>
        <w:tcBorders>
          <w:top w:val="nil"/>
          <w:bottom w:val="single" w:sz="8" w:space="0" w:color="012169" w:themeColor="accent1"/>
        </w:tcBorders>
      </w:tcPr>
    </w:tblStylePr>
    <w:tblStylePr w:type="lastRow">
      <w:rPr>
        <w:b/>
        <w:bCs/>
        <w:color w:val="012169" w:themeColor="text2"/>
      </w:rPr>
      <w:tblPr/>
      <w:tcPr>
        <w:tcBorders>
          <w:top w:val="single" w:sz="8" w:space="0" w:color="012169" w:themeColor="accent1"/>
          <w:bottom w:val="single" w:sz="8" w:space="0" w:color="012169" w:themeColor="accent1"/>
        </w:tcBorders>
      </w:tcPr>
    </w:tblStylePr>
    <w:tblStylePr w:type="firstCol">
      <w:rPr>
        <w:b/>
        <w:bCs/>
      </w:rPr>
    </w:tblStylePr>
    <w:tblStylePr w:type="lastCol">
      <w:rPr>
        <w:b/>
        <w:bCs/>
      </w:rPr>
      <w:tblPr/>
      <w:tcPr>
        <w:tcBorders>
          <w:top w:val="single" w:sz="8" w:space="0" w:color="012169" w:themeColor="accent1"/>
          <w:bottom w:val="single" w:sz="8" w:space="0" w:color="012169" w:themeColor="accent1"/>
        </w:tcBorders>
      </w:tcPr>
    </w:tblStylePr>
    <w:tblStylePr w:type="band1Vert">
      <w:tblPr/>
      <w:tcPr>
        <w:shd w:val="clear" w:color="auto" w:fill="9BB9FE" w:themeFill="accent1" w:themeFillTint="3F"/>
      </w:tcPr>
    </w:tblStylePr>
    <w:tblStylePr w:type="band1Horz">
      <w:tblPr/>
      <w:tcPr>
        <w:shd w:val="clear" w:color="auto" w:fill="9BB9FE" w:themeFill="accent1" w:themeFillTint="3F"/>
      </w:tcPr>
    </w:tblStylePr>
  </w:style>
  <w:style w:type="table" w:styleId="MediumList1-Accent2">
    <w:name w:val="Medium List 1 Accent 2"/>
    <w:basedOn w:val="TableNormal"/>
    <w:uiPriority w:val="65"/>
    <w:locked/>
    <w:rsid w:val="00F80750"/>
    <w:pPr>
      <w:spacing w:after="0"/>
    </w:pPr>
    <w:tblPr>
      <w:tblStyleRowBandSize w:val="1"/>
      <w:tblStyleColBandSize w:val="1"/>
      <w:tblBorders>
        <w:top w:val="single" w:sz="8" w:space="0" w:color="00A9E0" w:themeColor="accent2"/>
        <w:bottom w:val="single" w:sz="8" w:space="0" w:color="00A9E0" w:themeColor="accent2"/>
      </w:tblBorders>
    </w:tblPr>
    <w:tblStylePr w:type="firstRow">
      <w:rPr>
        <w:rFonts w:asciiTheme="majorHAnsi" w:eastAsiaTheme="majorEastAsia" w:hAnsiTheme="majorHAnsi" w:cstheme="majorBidi"/>
      </w:rPr>
      <w:tblPr/>
      <w:tcPr>
        <w:tcBorders>
          <w:top w:val="nil"/>
          <w:bottom w:val="single" w:sz="8" w:space="0" w:color="00A9E0" w:themeColor="accent2"/>
        </w:tcBorders>
      </w:tcPr>
    </w:tblStylePr>
    <w:tblStylePr w:type="lastRow">
      <w:rPr>
        <w:b/>
        <w:bCs/>
        <w:color w:val="012169" w:themeColor="text2"/>
      </w:rPr>
      <w:tblPr/>
      <w:tcPr>
        <w:tcBorders>
          <w:top w:val="single" w:sz="8" w:space="0" w:color="00A9E0" w:themeColor="accent2"/>
          <w:bottom w:val="single" w:sz="8" w:space="0" w:color="00A9E0" w:themeColor="accent2"/>
        </w:tcBorders>
      </w:tcPr>
    </w:tblStylePr>
    <w:tblStylePr w:type="firstCol">
      <w:rPr>
        <w:b/>
        <w:bCs/>
      </w:rPr>
    </w:tblStylePr>
    <w:tblStylePr w:type="lastCol">
      <w:rPr>
        <w:b/>
        <w:bCs/>
      </w:rPr>
      <w:tblPr/>
      <w:tcPr>
        <w:tcBorders>
          <w:top w:val="single" w:sz="8" w:space="0" w:color="00A9E0" w:themeColor="accent2"/>
          <w:bottom w:val="single" w:sz="8" w:space="0" w:color="00A9E0" w:themeColor="accent2"/>
        </w:tcBorders>
      </w:tcPr>
    </w:tblStylePr>
    <w:tblStylePr w:type="band1Vert">
      <w:tblPr/>
      <w:tcPr>
        <w:shd w:val="clear" w:color="auto" w:fill="B8EDFF" w:themeFill="accent2" w:themeFillTint="3F"/>
      </w:tcPr>
    </w:tblStylePr>
    <w:tblStylePr w:type="band1Horz">
      <w:tblPr/>
      <w:tcPr>
        <w:shd w:val="clear" w:color="auto" w:fill="B8EDFF" w:themeFill="accent2" w:themeFillTint="3F"/>
      </w:tcPr>
    </w:tblStylePr>
  </w:style>
  <w:style w:type="table" w:styleId="MediumList1-Accent3">
    <w:name w:val="Medium List 1 Accent 3"/>
    <w:basedOn w:val="TableNormal"/>
    <w:uiPriority w:val="65"/>
    <w:locked/>
    <w:rsid w:val="00F80750"/>
    <w:pPr>
      <w:spacing w:after="0"/>
    </w:pPr>
    <w:tblPr>
      <w:tblStyleRowBandSize w:val="1"/>
      <w:tblStyleColBandSize w:val="1"/>
      <w:tblBorders>
        <w:top w:val="single" w:sz="8" w:space="0" w:color="0072CE" w:themeColor="accent3"/>
        <w:bottom w:val="single" w:sz="8" w:space="0" w:color="0072CE" w:themeColor="accent3"/>
      </w:tblBorders>
    </w:tblPr>
    <w:tblStylePr w:type="firstRow">
      <w:rPr>
        <w:rFonts w:asciiTheme="majorHAnsi" w:eastAsiaTheme="majorEastAsia" w:hAnsiTheme="majorHAnsi" w:cstheme="majorBidi"/>
      </w:rPr>
      <w:tblPr/>
      <w:tcPr>
        <w:tcBorders>
          <w:top w:val="nil"/>
          <w:bottom w:val="single" w:sz="8" w:space="0" w:color="0072CE" w:themeColor="accent3"/>
        </w:tcBorders>
      </w:tcPr>
    </w:tblStylePr>
    <w:tblStylePr w:type="lastRow">
      <w:rPr>
        <w:b/>
        <w:bCs/>
        <w:color w:val="012169" w:themeColor="text2"/>
      </w:rPr>
      <w:tblPr/>
      <w:tcPr>
        <w:tcBorders>
          <w:top w:val="single" w:sz="8" w:space="0" w:color="0072CE" w:themeColor="accent3"/>
          <w:bottom w:val="single" w:sz="8" w:space="0" w:color="0072CE" w:themeColor="accent3"/>
        </w:tcBorders>
      </w:tcPr>
    </w:tblStylePr>
    <w:tblStylePr w:type="firstCol">
      <w:rPr>
        <w:b/>
        <w:bCs/>
      </w:rPr>
    </w:tblStylePr>
    <w:tblStylePr w:type="lastCol">
      <w:rPr>
        <w:b/>
        <w:bCs/>
      </w:rPr>
      <w:tblPr/>
      <w:tcPr>
        <w:tcBorders>
          <w:top w:val="single" w:sz="8" w:space="0" w:color="0072CE" w:themeColor="accent3"/>
          <w:bottom w:val="single" w:sz="8" w:space="0" w:color="0072CE" w:themeColor="accent3"/>
        </w:tcBorders>
      </w:tcPr>
    </w:tblStylePr>
    <w:tblStylePr w:type="band1Vert">
      <w:tblPr/>
      <w:tcPr>
        <w:shd w:val="clear" w:color="auto" w:fill="B3DDFF" w:themeFill="accent3" w:themeFillTint="3F"/>
      </w:tcPr>
    </w:tblStylePr>
    <w:tblStylePr w:type="band1Horz">
      <w:tblPr/>
      <w:tcPr>
        <w:shd w:val="clear" w:color="auto" w:fill="B3DDFF" w:themeFill="accent3" w:themeFillTint="3F"/>
      </w:tcPr>
    </w:tblStylePr>
  </w:style>
  <w:style w:type="table" w:styleId="MediumList1-Accent4">
    <w:name w:val="Medium List 1 Accent 4"/>
    <w:basedOn w:val="TableNormal"/>
    <w:uiPriority w:val="65"/>
    <w:locked/>
    <w:rsid w:val="00F80750"/>
    <w:pPr>
      <w:spacing w:after="0"/>
    </w:pPr>
    <w:tblPr>
      <w:tblStyleRowBandSize w:val="1"/>
      <w:tblStyleColBandSize w:val="1"/>
      <w:tblBorders>
        <w:top w:val="single" w:sz="8" w:space="0" w:color="98A4AE" w:themeColor="accent4"/>
        <w:bottom w:val="single" w:sz="8" w:space="0" w:color="98A4AE" w:themeColor="accent4"/>
      </w:tblBorders>
    </w:tblPr>
    <w:tblStylePr w:type="firstRow">
      <w:rPr>
        <w:rFonts w:asciiTheme="majorHAnsi" w:eastAsiaTheme="majorEastAsia" w:hAnsiTheme="majorHAnsi" w:cstheme="majorBidi"/>
      </w:rPr>
      <w:tblPr/>
      <w:tcPr>
        <w:tcBorders>
          <w:top w:val="nil"/>
          <w:bottom w:val="single" w:sz="8" w:space="0" w:color="98A4AE" w:themeColor="accent4"/>
        </w:tcBorders>
      </w:tcPr>
    </w:tblStylePr>
    <w:tblStylePr w:type="lastRow">
      <w:rPr>
        <w:b/>
        <w:bCs/>
        <w:color w:val="012169" w:themeColor="text2"/>
      </w:rPr>
      <w:tblPr/>
      <w:tcPr>
        <w:tcBorders>
          <w:top w:val="single" w:sz="8" w:space="0" w:color="98A4AE" w:themeColor="accent4"/>
          <w:bottom w:val="single" w:sz="8" w:space="0" w:color="98A4AE" w:themeColor="accent4"/>
        </w:tcBorders>
      </w:tcPr>
    </w:tblStylePr>
    <w:tblStylePr w:type="firstCol">
      <w:rPr>
        <w:b/>
        <w:bCs/>
      </w:rPr>
    </w:tblStylePr>
    <w:tblStylePr w:type="lastCol">
      <w:rPr>
        <w:b/>
        <w:bCs/>
      </w:rPr>
      <w:tblPr/>
      <w:tcPr>
        <w:tcBorders>
          <w:top w:val="single" w:sz="8" w:space="0" w:color="98A4AE" w:themeColor="accent4"/>
          <w:bottom w:val="single" w:sz="8" w:space="0" w:color="98A4AE" w:themeColor="accent4"/>
        </w:tcBorders>
      </w:tcPr>
    </w:tblStylePr>
    <w:tblStylePr w:type="band1Vert">
      <w:tblPr/>
      <w:tcPr>
        <w:shd w:val="clear" w:color="auto" w:fill="E5E8EB" w:themeFill="accent4" w:themeFillTint="3F"/>
      </w:tcPr>
    </w:tblStylePr>
    <w:tblStylePr w:type="band1Horz">
      <w:tblPr/>
      <w:tcPr>
        <w:shd w:val="clear" w:color="auto" w:fill="E5E8EB" w:themeFill="accent4" w:themeFillTint="3F"/>
      </w:tcPr>
    </w:tblStylePr>
  </w:style>
  <w:style w:type="table" w:styleId="MediumList1-Accent5">
    <w:name w:val="Medium List 1 Accent 5"/>
    <w:basedOn w:val="TableNormal"/>
    <w:uiPriority w:val="65"/>
    <w:locked/>
    <w:rsid w:val="00F80750"/>
    <w:pPr>
      <w:spacing w:after="0"/>
    </w:pPr>
    <w:tblPr>
      <w:tblStyleRowBandSize w:val="1"/>
      <w:tblStyleColBandSize w:val="1"/>
      <w:tblBorders>
        <w:top w:val="single" w:sz="8" w:space="0" w:color="4F758B" w:themeColor="accent5"/>
        <w:bottom w:val="single" w:sz="8" w:space="0" w:color="4F758B" w:themeColor="accent5"/>
      </w:tblBorders>
    </w:tblPr>
    <w:tblStylePr w:type="firstRow">
      <w:rPr>
        <w:rFonts w:asciiTheme="majorHAnsi" w:eastAsiaTheme="majorEastAsia" w:hAnsiTheme="majorHAnsi" w:cstheme="majorBidi"/>
      </w:rPr>
      <w:tblPr/>
      <w:tcPr>
        <w:tcBorders>
          <w:top w:val="nil"/>
          <w:bottom w:val="single" w:sz="8" w:space="0" w:color="4F758B" w:themeColor="accent5"/>
        </w:tcBorders>
      </w:tcPr>
    </w:tblStylePr>
    <w:tblStylePr w:type="lastRow">
      <w:rPr>
        <w:b/>
        <w:bCs/>
        <w:color w:val="012169" w:themeColor="text2"/>
      </w:rPr>
      <w:tblPr/>
      <w:tcPr>
        <w:tcBorders>
          <w:top w:val="single" w:sz="8" w:space="0" w:color="4F758B" w:themeColor="accent5"/>
          <w:bottom w:val="single" w:sz="8" w:space="0" w:color="4F758B" w:themeColor="accent5"/>
        </w:tcBorders>
      </w:tcPr>
    </w:tblStylePr>
    <w:tblStylePr w:type="firstCol">
      <w:rPr>
        <w:b/>
        <w:bCs/>
      </w:rPr>
    </w:tblStylePr>
    <w:tblStylePr w:type="lastCol">
      <w:rPr>
        <w:b/>
        <w:bCs/>
      </w:rPr>
      <w:tblPr/>
      <w:tcPr>
        <w:tcBorders>
          <w:top w:val="single" w:sz="8" w:space="0" w:color="4F758B" w:themeColor="accent5"/>
          <w:bottom w:val="single" w:sz="8" w:space="0" w:color="4F758B" w:themeColor="accent5"/>
        </w:tcBorders>
      </w:tcPr>
    </w:tblStylePr>
    <w:tblStylePr w:type="band1Vert">
      <w:tblPr/>
      <w:tcPr>
        <w:shd w:val="clear" w:color="auto" w:fill="D0DDE4" w:themeFill="accent5" w:themeFillTint="3F"/>
      </w:tcPr>
    </w:tblStylePr>
    <w:tblStylePr w:type="band1Horz">
      <w:tblPr/>
      <w:tcPr>
        <w:shd w:val="clear" w:color="auto" w:fill="D0DDE4" w:themeFill="accent5" w:themeFillTint="3F"/>
      </w:tcPr>
    </w:tblStylePr>
  </w:style>
  <w:style w:type="table" w:styleId="MediumList1-Accent6">
    <w:name w:val="Medium List 1 Accent 6"/>
    <w:basedOn w:val="TableNormal"/>
    <w:uiPriority w:val="65"/>
    <w:locked/>
    <w:rsid w:val="00F80750"/>
    <w:pPr>
      <w:spacing w:after="0"/>
    </w:pPr>
    <w:tblPr>
      <w:tblStyleRowBandSize w:val="1"/>
      <w:tblStyleColBandSize w:val="1"/>
      <w:tblBorders>
        <w:top w:val="single" w:sz="8" w:space="0" w:color="71C5E8" w:themeColor="accent6"/>
        <w:bottom w:val="single" w:sz="8" w:space="0" w:color="71C5E8" w:themeColor="accent6"/>
      </w:tblBorders>
    </w:tblPr>
    <w:tblStylePr w:type="firstRow">
      <w:rPr>
        <w:rFonts w:asciiTheme="majorHAnsi" w:eastAsiaTheme="majorEastAsia" w:hAnsiTheme="majorHAnsi" w:cstheme="majorBidi"/>
      </w:rPr>
      <w:tblPr/>
      <w:tcPr>
        <w:tcBorders>
          <w:top w:val="nil"/>
          <w:bottom w:val="single" w:sz="8" w:space="0" w:color="71C5E8" w:themeColor="accent6"/>
        </w:tcBorders>
      </w:tcPr>
    </w:tblStylePr>
    <w:tblStylePr w:type="lastRow">
      <w:rPr>
        <w:b/>
        <w:bCs/>
        <w:color w:val="012169" w:themeColor="text2"/>
      </w:rPr>
      <w:tblPr/>
      <w:tcPr>
        <w:tcBorders>
          <w:top w:val="single" w:sz="8" w:space="0" w:color="71C5E8" w:themeColor="accent6"/>
          <w:bottom w:val="single" w:sz="8" w:space="0" w:color="71C5E8" w:themeColor="accent6"/>
        </w:tcBorders>
      </w:tcPr>
    </w:tblStylePr>
    <w:tblStylePr w:type="firstCol">
      <w:rPr>
        <w:b/>
        <w:bCs/>
      </w:rPr>
    </w:tblStylePr>
    <w:tblStylePr w:type="lastCol">
      <w:rPr>
        <w:b/>
        <w:bCs/>
      </w:rPr>
      <w:tblPr/>
      <w:tcPr>
        <w:tcBorders>
          <w:top w:val="single" w:sz="8" w:space="0" w:color="71C5E8" w:themeColor="accent6"/>
          <w:bottom w:val="single" w:sz="8" w:space="0" w:color="71C5E8" w:themeColor="accent6"/>
        </w:tcBorders>
      </w:tcPr>
    </w:tblStylePr>
    <w:tblStylePr w:type="band1Vert">
      <w:tblPr/>
      <w:tcPr>
        <w:shd w:val="clear" w:color="auto" w:fill="DBF0F9" w:themeFill="accent6" w:themeFillTint="3F"/>
      </w:tcPr>
    </w:tblStylePr>
    <w:tblStylePr w:type="band1Horz">
      <w:tblPr/>
      <w:tcPr>
        <w:shd w:val="clear" w:color="auto" w:fill="DBF0F9"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tblBorders>
    </w:tblPr>
    <w:tblStylePr w:type="firstRow">
      <w:rPr>
        <w:sz w:val="24"/>
        <w:szCs w:val="24"/>
      </w:rPr>
      <w:tblPr/>
      <w:tcPr>
        <w:tcBorders>
          <w:top w:val="nil"/>
          <w:left w:val="nil"/>
          <w:bottom w:val="single" w:sz="24" w:space="0" w:color="012169" w:themeColor="accent1"/>
          <w:right w:val="nil"/>
          <w:insideH w:val="nil"/>
          <w:insideV w:val="nil"/>
        </w:tcBorders>
        <w:shd w:val="clear" w:color="auto" w:fill="FFFFFF" w:themeFill="background1"/>
      </w:tcPr>
    </w:tblStylePr>
    <w:tblStylePr w:type="lastRow">
      <w:tblPr/>
      <w:tcPr>
        <w:tcBorders>
          <w:top w:val="single" w:sz="8" w:space="0" w:color="01216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1"/>
          <w:insideH w:val="nil"/>
          <w:insideV w:val="nil"/>
        </w:tcBorders>
        <w:shd w:val="clear" w:color="auto" w:fill="FFFFFF" w:themeFill="background1"/>
      </w:tcPr>
    </w:tblStylePr>
    <w:tblStylePr w:type="lastCol">
      <w:tblPr/>
      <w:tcPr>
        <w:tcBorders>
          <w:top w:val="nil"/>
          <w:left w:val="single" w:sz="8" w:space="0" w:color="01216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1" w:themeFillTint="3F"/>
      </w:tcPr>
    </w:tblStylePr>
    <w:tblStylePr w:type="band1Horz">
      <w:tblPr/>
      <w:tcPr>
        <w:tcBorders>
          <w:top w:val="nil"/>
          <w:bottom w:val="nil"/>
          <w:insideH w:val="nil"/>
          <w:insideV w:val="nil"/>
        </w:tcBorders>
        <w:shd w:val="clear" w:color="auto" w:fill="9BB9F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tblBorders>
    </w:tblPr>
    <w:tblStylePr w:type="firstRow">
      <w:rPr>
        <w:sz w:val="24"/>
        <w:szCs w:val="24"/>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tblPr/>
      <w:tcPr>
        <w:tcBorders>
          <w:top w:val="single" w:sz="8" w:space="0" w:color="00A9E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9E0" w:themeColor="accent2"/>
          <w:insideH w:val="nil"/>
          <w:insideV w:val="nil"/>
        </w:tcBorders>
        <w:shd w:val="clear" w:color="auto" w:fill="FFFFFF" w:themeFill="background1"/>
      </w:tcPr>
    </w:tblStylePr>
    <w:tblStylePr w:type="lastCol">
      <w:tblPr/>
      <w:tcPr>
        <w:tcBorders>
          <w:top w:val="nil"/>
          <w:left w:val="single" w:sz="8" w:space="0" w:color="00A9E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EDFF" w:themeFill="accent2" w:themeFillTint="3F"/>
      </w:tcPr>
    </w:tblStylePr>
    <w:tblStylePr w:type="band1Horz">
      <w:tblPr/>
      <w:tcPr>
        <w:tcBorders>
          <w:top w:val="nil"/>
          <w:bottom w:val="nil"/>
          <w:insideH w:val="nil"/>
          <w:insideV w:val="nil"/>
        </w:tcBorders>
        <w:shd w:val="clear" w:color="auto" w:fill="B8ED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tblBorders>
    </w:tblPr>
    <w:tblStylePr w:type="firstRow">
      <w:rPr>
        <w:sz w:val="24"/>
        <w:szCs w:val="24"/>
      </w:rPr>
      <w:tblPr/>
      <w:tcPr>
        <w:tcBorders>
          <w:top w:val="nil"/>
          <w:left w:val="nil"/>
          <w:bottom w:val="single" w:sz="24" w:space="0" w:color="0072CE" w:themeColor="accent3"/>
          <w:right w:val="nil"/>
          <w:insideH w:val="nil"/>
          <w:insideV w:val="nil"/>
        </w:tcBorders>
        <w:shd w:val="clear" w:color="auto" w:fill="FFFFFF" w:themeFill="background1"/>
      </w:tcPr>
    </w:tblStylePr>
    <w:tblStylePr w:type="lastRow">
      <w:tblPr/>
      <w:tcPr>
        <w:tcBorders>
          <w:top w:val="single" w:sz="8" w:space="0" w:color="0072C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3"/>
          <w:insideH w:val="nil"/>
          <w:insideV w:val="nil"/>
        </w:tcBorders>
        <w:shd w:val="clear" w:color="auto" w:fill="FFFFFF" w:themeFill="background1"/>
      </w:tcPr>
    </w:tblStylePr>
    <w:tblStylePr w:type="lastCol">
      <w:tblPr/>
      <w:tcPr>
        <w:tcBorders>
          <w:top w:val="nil"/>
          <w:left w:val="single" w:sz="8" w:space="0" w:color="0072C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3" w:themeFillTint="3F"/>
      </w:tcPr>
    </w:tblStylePr>
    <w:tblStylePr w:type="band1Horz">
      <w:tblPr/>
      <w:tcPr>
        <w:tcBorders>
          <w:top w:val="nil"/>
          <w:bottom w:val="nil"/>
          <w:insideH w:val="nil"/>
          <w:insideV w:val="nil"/>
        </w:tcBorders>
        <w:shd w:val="clear" w:color="auto" w:fill="B3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tblBorders>
    </w:tblPr>
    <w:tblStylePr w:type="firstRow">
      <w:rPr>
        <w:sz w:val="24"/>
        <w:szCs w:val="24"/>
      </w:rPr>
      <w:tblPr/>
      <w:tcPr>
        <w:tcBorders>
          <w:top w:val="nil"/>
          <w:left w:val="nil"/>
          <w:bottom w:val="single" w:sz="24" w:space="0" w:color="98A4AE" w:themeColor="accent4"/>
          <w:right w:val="nil"/>
          <w:insideH w:val="nil"/>
          <w:insideV w:val="nil"/>
        </w:tcBorders>
        <w:shd w:val="clear" w:color="auto" w:fill="FFFFFF" w:themeFill="background1"/>
      </w:tcPr>
    </w:tblStylePr>
    <w:tblStylePr w:type="lastRow">
      <w:tblPr/>
      <w:tcPr>
        <w:tcBorders>
          <w:top w:val="single" w:sz="8" w:space="0" w:color="98A4A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8A4AE" w:themeColor="accent4"/>
          <w:insideH w:val="nil"/>
          <w:insideV w:val="nil"/>
        </w:tcBorders>
        <w:shd w:val="clear" w:color="auto" w:fill="FFFFFF" w:themeFill="background1"/>
      </w:tcPr>
    </w:tblStylePr>
    <w:tblStylePr w:type="lastCol">
      <w:tblPr/>
      <w:tcPr>
        <w:tcBorders>
          <w:top w:val="nil"/>
          <w:left w:val="single" w:sz="8" w:space="0" w:color="98A4A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8EB" w:themeFill="accent4" w:themeFillTint="3F"/>
      </w:tcPr>
    </w:tblStylePr>
    <w:tblStylePr w:type="band1Horz">
      <w:tblPr/>
      <w:tcPr>
        <w:tcBorders>
          <w:top w:val="nil"/>
          <w:bottom w:val="nil"/>
          <w:insideH w:val="nil"/>
          <w:insideV w:val="nil"/>
        </w:tcBorders>
        <w:shd w:val="clear" w:color="auto" w:fill="E5E8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tblBorders>
    </w:tblPr>
    <w:tblStylePr w:type="firstRow">
      <w:rPr>
        <w:sz w:val="24"/>
        <w:szCs w:val="24"/>
      </w:rPr>
      <w:tblPr/>
      <w:tcPr>
        <w:tcBorders>
          <w:top w:val="nil"/>
          <w:left w:val="nil"/>
          <w:bottom w:val="single" w:sz="24" w:space="0" w:color="4F758B" w:themeColor="accent5"/>
          <w:right w:val="nil"/>
          <w:insideH w:val="nil"/>
          <w:insideV w:val="nil"/>
        </w:tcBorders>
        <w:shd w:val="clear" w:color="auto" w:fill="FFFFFF" w:themeFill="background1"/>
      </w:tcPr>
    </w:tblStylePr>
    <w:tblStylePr w:type="lastRow">
      <w:tblPr/>
      <w:tcPr>
        <w:tcBorders>
          <w:top w:val="single" w:sz="8" w:space="0" w:color="4F75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758B" w:themeColor="accent5"/>
          <w:insideH w:val="nil"/>
          <w:insideV w:val="nil"/>
        </w:tcBorders>
        <w:shd w:val="clear" w:color="auto" w:fill="FFFFFF" w:themeFill="background1"/>
      </w:tcPr>
    </w:tblStylePr>
    <w:tblStylePr w:type="lastCol">
      <w:tblPr/>
      <w:tcPr>
        <w:tcBorders>
          <w:top w:val="nil"/>
          <w:left w:val="single" w:sz="8" w:space="0" w:color="4F75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DE4" w:themeFill="accent5" w:themeFillTint="3F"/>
      </w:tcPr>
    </w:tblStylePr>
    <w:tblStylePr w:type="band1Horz">
      <w:tblPr/>
      <w:tcPr>
        <w:tcBorders>
          <w:top w:val="nil"/>
          <w:bottom w:val="nil"/>
          <w:insideH w:val="nil"/>
          <w:insideV w:val="nil"/>
        </w:tcBorders>
        <w:shd w:val="clear" w:color="auto" w:fill="D0DDE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tblBorders>
    </w:tblPr>
    <w:tblStylePr w:type="firstRow">
      <w:rPr>
        <w:sz w:val="24"/>
        <w:szCs w:val="24"/>
      </w:rPr>
      <w:tblPr/>
      <w:tcPr>
        <w:tcBorders>
          <w:top w:val="nil"/>
          <w:left w:val="nil"/>
          <w:bottom w:val="single" w:sz="24" w:space="0" w:color="71C5E8" w:themeColor="accent6"/>
          <w:right w:val="nil"/>
          <w:insideH w:val="nil"/>
          <w:insideV w:val="nil"/>
        </w:tcBorders>
        <w:shd w:val="clear" w:color="auto" w:fill="FFFFFF" w:themeFill="background1"/>
      </w:tcPr>
    </w:tblStylePr>
    <w:tblStylePr w:type="lastRow">
      <w:tblPr/>
      <w:tcPr>
        <w:tcBorders>
          <w:top w:val="single" w:sz="8" w:space="0" w:color="71C5E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6"/>
          <w:insideH w:val="nil"/>
          <w:insideV w:val="nil"/>
        </w:tcBorders>
        <w:shd w:val="clear" w:color="auto" w:fill="FFFFFF" w:themeFill="background1"/>
      </w:tcPr>
    </w:tblStylePr>
    <w:tblStylePr w:type="lastCol">
      <w:tblPr/>
      <w:tcPr>
        <w:tcBorders>
          <w:top w:val="nil"/>
          <w:left w:val="single" w:sz="8" w:space="0" w:color="71C5E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6" w:themeFillTint="3F"/>
      </w:tcPr>
    </w:tblStylePr>
    <w:tblStylePr w:type="band1Horz">
      <w:tblPr/>
      <w:tcPr>
        <w:tcBorders>
          <w:top w:val="nil"/>
          <w:bottom w:val="nil"/>
          <w:insideH w:val="nil"/>
          <w:insideV w:val="nil"/>
        </w:tcBorders>
        <w:shd w:val="clear" w:color="auto" w:fill="DBF0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single" w:sz="8" w:space="0" w:color="0240CD" w:themeColor="accent1" w:themeTint="BF"/>
      </w:tblBorders>
    </w:tblPr>
    <w:tblStylePr w:type="firstRow">
      <w:pPr>
        <w:spacing w:before="0" w:after="0" w:line="240" w:lineRule="auto"/>
      </w:pPr>
      <w:rPr>
        <w:b/>
        <w:bCs/>
        <w:color w:val="FFFFFF" w:themeColor="background1"/>
      </w:rPr>
      <w:tblPr/>
      <w:tcPr>
        <w:tcBorders>
          <w:top w:val="single" w:sz="8"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nil"/>
          <w:insideV w:val="nil"/>
        </w:tcBorders>
        <w:shd w:val="clear" w:color="auto" w:fill="012169" w:themeFill="accent1"/>
      </w:tcPr>
    </w:tblStylePr>
    <w:tblStylePr w:type="lastRow">
      <w:pPr>
        <w:spacing w:before="0" w:after="0" w:line="240" w:lineRule="auto"/>
      </w:pPr>
      <w:rPr>
        <w:b/>
        <w:bCs/>
      </w:rPr>
      <w:tblPr/>
      <w:tcPr>
        <w:tcBorders>
          <w:top w:val="double" w:sz="6"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1" w:themeFillTint="3F"/>
      </w:tcPr>
    </w:tblStylePr>
    <w:tblStylePr w:type="band1Horz">
      <w:tblPr/>
      <w:tcPr>
        <w:tcBorders>
          <w:insideH w:val="nil"/>
          <w:insideV w:val="nil"/>
        </w:tcBorders>
        <w:shd w:val="clear" w:color="auto" w:fill="9BB9F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single" w:sz="8" w:space="0" w:color="28CAFF" w:themeColor="accent2" w:themeTint="BF"/>
      </w:tblBorders>
    </w:tblPr>
    <w:tblStylePr w:type="firstRow">
      <w:pPr>
        <w:spacing w:before="0" w:after="0" w:line="240" w:lineRule="auto"/>
      </w:pPr>
      <w:rPr>
        <w:b/>
        <w:bCs/>
        <w:color w:val="FFFFFF" w:themeColor="background1"/>
      </w:rPr>
      <w:tblPr/>
      <w:tcPr>
        <w:tc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nil"/>
          <w:insideV w:val="nil"/>
        </w:tcBorders>
        <w:shd w:val="clear" w:color="auto" w:fill="00A9E0" w:themeFill="accent2"/>
      </w:tcPr>
    </w:tblStylePr>
    <w:tblStylePr w:type="lastRow">
      <w:pPr>
        <w:spacing w:before="0" w:after="0" w:line="240" w:lineRule="auto"/>
      </w:pPr>
      <w:rPr>
        <w:b/>
        <w:bCs/>
      </w:rPr>
      <w:tblPr/>
      <w:tcPr>
        <w:tcBorders>
          <w:top w:val="double" w:sz="6"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8EDFF" w:themeFill="accent2" w:themeFillTint="3F"/>
      </w:tcPr>
    </w:tblStylePr>
    <w:tblStylePr w:type="band1Horz">
      <w:tblPr/>
      <w:tcPr>
        <w:tcBorders>
          <w:insideH w:val="nil"/>
          <w:insideV w:val="nil"/>
        </w:tcBorders>
        <w:shd w:val="clear" w:color="auto" w:fill="B8ED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single" w:sz="8" w:space="0" w:color="1B99FF" w:themeColor="accent3" w:themeTint="BF"/>
      </w:tblBorders>
    </w:tblPr>
    <w:tblStylePr w:type="firstRow">
      <w:pPr>
        <w:spacing w:before="0" w:after="0" w:line="240" w:lineRule="auto"/>
      </w:pPr>
      <w:rPr>
        <w:b/>
        <w:bCs/>
        <w:color w:val="FFFFFF" w:themeColor="background1"/>
      </w:rPr>
      <w:tblPr/>
      <w:tcPr>
        <w:tc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nil"/>
          <w:insideV w:val="nil"/>
        </w:tcBorders>
        <w:shd w:val="clear" w:color="auto" w:fill="0072CE" w:themeFill="accent3"/>
      </w:tcPr>
    </w:tblStylePr>
    <w:tblStylePr w:type="lastRow">
      <w:pPr>
        <w:spacing w:before="0" w:after="0" w:line="240" w:lineRule="auto"/>
      </w:pPr>
      <w:rPr>
        <w:b/>
        <w:bCs/>
      </w:rPr>
      <w:tblPr/>
      <w:tcPr>
        <w:tcBorders>
          <w:top w:val="double" w:sz="6"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3" w:themeFillTint="3F"/>
      </w:tcPr>
    </w:tblStylePr>
    <w:tblStylePr w:type="band1Horz">
      <w:tblPr/>
      <w:tcPr>
        <w:tcBorders>
          <w:insideH w:val="nil"/>
          <w:insideV w:val="nil"/>
        </w:tcBorders>
        <w:shd w:val="clear" w:color="auto" w:fill="B3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single" w:sz="8" w:space="0" w:color="B1BAC2" w:themeColor="accent4" w:themeTint="BF"/>
      </w:tblBorders>
    </w:tblPr>
    <w:tblStylePr w:type="firstRow">
      <w:pPr>
        <w:spacing w:before="0" w:after="0" w:line="240" w:lineRule="auto"/>
      </w:pPr>
      <w:rPr>
        <w:b/>
        <w:bCs/>
        <w:color w:val="FFFFFF" w:themeColor="background1"/>
      </w:rPr>
      <w:tblPr/>
      <w:tcPr>
        <w:tcBorders>
          <w:top w:val="single" w:sz="8"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nil"/>
          <w:insideV w:val="nil"/>
        </w:tcBorders>
        <w:shd w:val="clear" w:color="auto" w:fill="98A4AE" w:themeFill="accent4"/>
      </w:tcPr>
    </w:tblStylePr>
    <w:tblStylePr w:type="lastRow">
      <w:pPr>
        <w:spacing w:before="0" w:after="0" w:line="240" w:lineRule="auto"/>
      </w:pPr>
      <w:rPr>
        <w:b/>
        <w:bCs/>
      </w:rPr>
      <w:tblPr/>
      <w:tcPr>
        <w:tcBorders>
          <w:top w:val="double" w:sz="6"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E8EB" w:themeFill="accent4" w:themeFillTint="3F"/>
      </w:tcPr>
    </w:tblStylePr>
    <w:tblStylePr w:type="band1Horz">
      <w:tblPr/>
      <w:tcPr>
        <w:tcBorders>
          <w:insideH w:val="nil"/>
          <w:insideV w:val="nil"/>
        </w:tcBorders>
        <w:shd w:val="clear" w:color="auto" w:fill="E5E8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single" w:sz="8" w:space="0" w:color="7399AF" w:themeColor="accent5" w:themeTint="BF"/>
      </w:tblBorders>
    </w:tblPr>
    <w:tblStylePr w:type="firstRow">
      <w:pPr>
        <w:spacing w:before="0" w:after="0" w:line="240" w:lineRule="auto"/>
      </w:pPr>
      <w:rPr>
        <w:b/>
        <w:bCs/>
        <w:color w:val="FFFFFF" w:themeColor="background1"/>
      </w:rPr>
      <w:tblPr/>
      <w:tcPr>
        <w:tcBorders>
          <w:top w:val="single" w:sz="8"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nil"/>
          <w:insideV w:val="nil"/>
        </w:tcBorders>
        <w:shd w:val="clear" w:color="auto" w:fill="4F758B" w:themeFill="accent5"/>
      </w:tcPr>
    </w:tblStylePr>
    <w:tblStylePr w:type="lastRow">
      <w:pPr>
        <w:spacing w:before="0" w:after="0" w:line="240" w:lineRule="auto"/>
      </w:pPr>
      <w:rPr>
        <w:b/>
        <w:bCs/>
      </w:rPr>
      <w:tblPr/>
      <w:tcPr>
        <w:tcBorders>
          <w:top w:val="double" w:sz="6"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DE4" w:themeFill="accent5" w:themeFillTint="3F"/>
      </w:tcPr>
    </w:tblStylePr>
    <w:tblStylePr w:type="band1Horz">
      <w:tblPr/>
      <w:tcPr>
        <w:tcBorders>
          <w:insideH w:val="nil"/>
          <w:insideV w:val="nil"/>
        </w:tcBorders>
        <w:shd w:val="clear" w:color="auto" w:fill="D0DDE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single" w:sz="8" w:space="0" w:color="94D3ED" w:themeColor="accent6" w:themeTint="BF"/>
      </w:tblBorders>
    </w:tblPr>
    <w:tblStylePr w:type="firstRow">
      <w:pPr>
        <w:spacing w:before="0" w:after="0" w:line="240" w:lineRule="auto"/>
      </w:pPr>
      <w:rPr>
        <w:b/>
        <w:bCs/>
        <w:color w:val="FFFFFF" w:themeColor="background1"/>
      </w:rPr>
      <w:tblPr/>
      <w:tcPr>
        <w:tcBorders>
          <w:top w:val="single" w:sz="8"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nil"/>
          <w:insideV w:val="nil"/>
        </w:tcBorders>
        <w:shd w:val="clear" w:color="auto" w:fill="71C5E8" w:themeFill="accent6"/>
      </w:tcPr>
    </w:tblStylePr>
    <w:tblStylePr w:type="lastRow">
      <w:pPr>
        <w:spacing w:before="0" w:after="0" w:line="240" w:lineRule="auto"/>
      </w:pPr>
      <w:rPr>
        <w:b/>
        <w:bCs/>
      </w:rPr>
      <w:tblPr/>
      <w:tcPr>
        <w:tcBorders>
          <w:top w:val="double" w:sz="6"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6" w:themeFillTint="3F"/>
      </w:tcPr>
    </w:tblStylePr>
    <w:tblStylePr w:type="band1Horz">
      <w:tblPr/>
      <w:tcPr>
        <w:tcBorders>
          <w:insideH w:val="nil"/>
          <w:insideV w:val="nil"/>
        </w:tcBorders>
        <w:shd w:val="clear" w:color="auto" w:fill="DBF0F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1"/>
      </w:tcPr>
    </w:tblStylePr>
    <w:tblStylePr w:type="lastCol">
      <w:rPr>
        <w:b/>
        <w:bCs/>
        <w:color w:val="FFFFFF" w:themeColor="background1"/>
      </w:rPr>
      <w:tblPr/>
      <w:tcPr>
        <w:tcBorders>
          <w:left w:val="nil"/>
          <w:right w:val="nil"/>
          <w:insideH w:val="nil"/>
          <w:insideV w:val="nil"/>
        </w:tcBorders>
        <w:shd w:val="clear" w:color="auto" w:fill="01216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9E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9E0" w:themeFill="accent2"/>
      </w:tcPr>
    </w:tblStylePr>
    <w:tblStylePr w:type="lastCol">
      <w:rPr>
        <w:b/>
        <w:bCs/>
        <w:color w:val="FFFFFF" w:themeColor="background1"/>
      </w:rPr>
      <w:tblPr/>
      <w:tcPr>
        <w:tcBorders>
          <w:left w:val="nil"/>
          <w:right w:val="nil"/>
          <w:insideH w:val="nil"/>
          <w:insideV w:val="nil"/>
        </w:tcBorders>
        <w:shd w:val="clear" w:color="auto" w:fill="00A9E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3"/>
      </w:tcPr>
    </w:tblStylePr>
    <w:tblStylePr w:type="lastCol">
      <w:rPr>
        <w:b/>
        <w:bCs/>
        <w:color w:val="FFFFFF" w:themeColor="background1"/>
      </w:rPr>
      <w:tblPr/>
      <w:tcPr>
        <w:tcBorders>
          <w:left w:val="nil"/>
          <w:right w:val="nil"/>
          <w:insideH w:val="nil"/>
          <w:insideV w:val="nil"/>
        </w:tcBorders>
        <w:shd w:val="clear" w:color="auto" w:fill="0072C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4A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4AE" w:themeFill="accent4"/>
      </w:tcPr>
    </w:tblStylePr>
    <w:tblStylePr w:type="lastCol">
      <w:rPr>
        <w:b/>
        <w:bCs/>
        <w:color w:val="FFFFFF" w:themeColor="background1"/>
      </w:rPr>
      <w:tblPr/>
      <w:tcPr>
        <w:tcBorders>
          <w:left w:val="nil"/>
          <w:right w:val="nil"/>
          <w:insideH w:val="nil"/>
          <w:insideV w:val="nil"/>
        </w:tcBorders>
        <w:shd w:val="clear" w:color="auto" w:fill="98A4A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75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758B" w:themeFill="accent5"/>
      </w:tcPr>
    </w:tblStylePr>
    <w:tblStylePr w:type="lastCol">
      <w:rPr>
        <w:b/>
        <w:bCs/>
        <w:color w:val="FFFFFF" w:themeColor="background1"/>
      </w:rPr>
      <w:tblPr/>
      <w:tcPr>
        <w:tcBorders>
          <w:left w:val="nil"/>
          <w:right w:val="nil"/>
          <w:insideH w:val="nil"/>
          <w:insideV w:val="nil"/>
        </w:tcBorders>
        <w:shd w:val="clear" w:color="auto" w:fill="4F75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6"/>
      </w:tcPr>
    </w:tblStylePr>
    <w:tblStylePr w:type="lastCol">
      <w:rPr>
        <w:b/>
        <w:bCs/>
        <w:color w:val="FFFFFF" w:themeColor="background1"/>
      </w:rPr>
      <w:tblPr/>
      <w:tcPr>
        <w:tcBorders>
          <w:left w:val="nil"/>
          <w:right w:val="nil"/>
          <w:insideH w:val="nil"/>
          <w:insideV w:val="nil"/>
        </w:tcBorders>
        <w:shd w:val="clear" w:color="auto" w:fill="71C5E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shd w:val="pct20" w:color="auto" w:fill="auto"/>
    </w:rPr>
  </w:style>
  <w:style w:type="paragraph" w:styleId="NoSpacing">
    <w:name w:val="No Spacing"/>
    <w:uiPriority w:val="1"/>
    <w:semiHidden/>
    <w:qFormat/>
    <w:rsid w:val="00F80750"/>
    <w:pPr>
      <w:spacing w:after="0"/>
    </w:pPr>
  </w:style>
  <w:style w:type="paragraph" w:styleId="NormalWeb">
    <w:name w:val="Normal (Web)"/>
    <w:basedOn w:val="Normal"/>
    <w:uiPriority w:val="20"/>
    <w:rsid w:val="00E910A2"/>
    <w:pPr>
      <w:numPr>
        <w:numId w:val="0"/>
      </w:numPr>
    </w:pPr>
    <w:rPr>
      <w:rFonts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pPr>
  </w:style>
  <w:style w:type="character" w:customStyle="1" w:styleId="NoteHeadingChar">
    <w:name w:val="Note Heading Char"/>
    <w:basedOn w:val="DefaultParagraphFont"/>
    <w:link w:val="NoteHeading"/>
    <w:uiPriority w:val="99"/>
    <w:semiHidden/>
    <w:rsid w:val="00F80750"/>
    <w:rPr>
      <w:rFonts w:ascii="DIN OT Light" w:hAnsi="DIN OT Light"/>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sz w:val="21"/>
      <w:szCs w:val="21"/>
    </w:rPr>
  </w:style>
  <w:style w:type="paragraph" w:styleId="Quote">
    <w:name w:val="Quote"/>
    <w:basedOn w:val="Normal"/>
    <w:next w:val="Normal"/>
    <w:link w:val="QuoteChar"/>
    <w:uiPriority w:val="19"/>
    <w:qFormat/>
    <w:rsid w:val="00945635"/>
    <w:pPr>
      <w:numPr>
        <w:numId w:val="0"/>
      </w:numPr>
      <w:ind w:left="425" w:right="425"/>
    </w:pPr>
    <w:rPr>
      <w:i/>
      <w:iCs/>
    </w:rPr>
  </w:style>
  <w:style w:type="character" w:customStyle="1" w:styleId="QuoteChar">
    <w:name w:val="Quote Char"/>
    <w:basedOn w:val="DefaultParagraphFont"/>
    <w:link w:val="Quote"/>
    <w:uiPriority w:val="19"/>
    <w:rsid w:val="00945635"/>
    <w:rPr>
      <w:i/>
      <w:iCs/>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rFonts w:ascii="DIN OT Light" w:hAnsi="DIN OT Light"/>
    </w:rPr>
  </w:style>
  <w:style w:type="paragraph" w:styleId="Signature">
    <w:name w:val="Signature"/>
    <w:basedOn w:val="Normal"/>
    <w:link w:val="SignatureChar"/>
    <w:uiPriority w:val="29"/>
    <w:semiHidden/>
    <w:locked/>
    <w:rsid w:val="00F00470"/>
    <w:pPr>
      <w:numPr>
        <w:numId w:val="0"/>
      </w:numPr>
      <w:contextualSpacing/>
    </w:pPr>
  </w:style>
  <w:style w:type="character" w:customStyle="1" w:styleId="SignatureChar">
    <w:name w:val="Signature Char"/>
    <w:basedOn w:val="DefaultParagraphFont"/>
    <w:link w:val="Signature"/>
    <w:uiPriority w:val="29"/>
    <w:semiHidden/>
    <w:rsid w:val="00E910A2"/>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012169"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012169"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00A9E0"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uiPriority w:val="99"/>
    <w:semiHidden/>
    <w:unhideWhenUs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basedOn w:val="Normal"/>
    <w:next w:val="Normal"/>
    <w:autoRedefine/>
    <w:uiPriority w:val="39"/>
    <w:unhideWhenUsed/>
    <w:rsid w:val="00FC398C"/>
    <w:pPr>
      <w:numPr>
        <w:numId w:val="0"/>
      </w:numPr>
      <w:tabs>
        <w:tab w:val="left" w:pos="851"/>
        <w:tab w:val="right" w:pos="9027"/>
      </w:tabs>
      <w:ind w:left="850" w:hanging="737"/>
    </w:pPr>
  </w:style>
  <w:style w:type="paragraph" w:styleId="TOC3">
    <w:name w:val="toc 3"/>
    <w:basedOn w:val="Normal"/>
    <w:next w:val="Normal"/>
    <w:autoRedefine/>
    <w:uiPriority w:val="39"/>
    <w:rsid w:val="00AD393D"/>
    <w:pPr>
      <w:numPr>
        <w:numId w:val="0"/>
      </w:numPr>
      <w:tabs>
        <w:tab w:val="left" w:pos="851"/>
        <w:tab w:val="right" w:pos="9038"/>
      </w:tabs>
      <w:ind w:left="1702" w:hanging="851"/>
    </w:pPr>
  </w:style>
  <w:style w:type="paragraph" w:styleId="TOC4">
    <w:name w:val="toc 4"/>
    <w:basedOn w:val="Normal"/>
    <w:next w:val="Normal"/>
    <w:autoRedefine/>
    <w:uiPriority w:val="39"/>
    <w:rsid w:val="00AD393D"/>
    <w:pPr>
      <w:numPr>
        <w:numId w:val="0"/>
      </w:numPr>
      <w:tabs>
        <w:tab w:val="right" w:pos="9027"/>
      </w:tabs>
    </w:pPr>
    <w:rPr>
      <w:rFonts w:ascii="DIN OT Medium" w:hAnsi="DIN OT Medium"/>
    </w:rPr>
  </w:style>
  <w:style w:type="paragraph" w:styleId="TOC5">
    <w:name w:val="toc 5"/>
    <w:basedOn w:val="Normal"/>
    <w:next w:val="Normal"/>
    <w:autoRedefine/>
    <w:uiPriority w:val="39"/>
    <w:rsid w:val="00FC398C"/>
    <w:pPr>
      <w:numPr>
        <w:numId w:val="0"/>
      </w:numPr>
      <w:tabs>
        <w:tab w:val="left" w:pos="851"/>
        <w:tab w:val="right" w:pos="9027"/>
      </w:tabs>
      <w:ind w:left="113"/>
    </w:pPr>
  </w:style>
  <w:style w:type="paragraph" w:styleId="TOC6">
    <w:name w:val="toc 6"/>
    <w:basedOn w:val="Normal"/>
    <w:next w:val="Normal"/>
    <w:autoRedefine/>
    <w:uiPriority w:val="39"/>
    <w:rsid w:val="00EE70EE"/>
    <w:pPr>
      <w:numPr>
        <w:numId w:val="0"/>
      </w:numPr>
      <w:tabs>
        <w:tab w:val="left" w:pos="851"/>
        <w:tab w:val="right" w:pos="9027"/>
      </w:tabs>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numbering" w:styleId="1ai">
    <w:name w:val="Outline List 1"/>
    <w:basedOn w:val="NoList"/>
    <w:uiPriority w:val="99"/>
    <w:semiHidden/>
    <w:unhideWhenUsed/>
    <w:rsid w:val="00144295"/>
  </w:style>
  <w:style w:type="numbering" w:customStyle="1" w:styleId="BulletList">
    <w:name w:val="Bullet List"/>
    <w:uiPriority w:val="99"/>
    <w:rsid w:val="00641EAA"/>
    <w:pPr>
      <w:numPr>
        <w:numId w:val="6"/>
      </w:numPr>
    </w:pPr>
  </w:style>
  <w:style w:type="paragraph" w:customStyle="1" w:styleId="PaperTitle">
    <w:name w:val="Paper Title"/>
    <w:next w:val="CoverDate"/>
    <w:uiPriority w:val="31"/>
    <w:rsid w:val="007E7F27"/>
    <w:pPr>
      <w:spacing w:before="2760"/>
      <w:contextualSpacing/>
    </w:pPr>
    <w:rPr>
      <w:rFonts w:ascii="DIN OT Medium" w:eastAsiaTheme="majorEastAsia" w:hAnsi="DIN OT Medium" w:cstheme="majorBidi"/>
      <w:color w:val="012169" w:themeColor="text2"/>
      <w:sz w:val="44"/>
      <w:szCs w:val="52"/>
    </w:rPr>
  </w:style>
  <w:style w:type="table" w:styleId="TableGridLight">
    <w:name w:val="Grid Table Light"/>
    <w:aliases w:val="Hidden"/>
    <w:basedOn w:val="TableNormal"/>
    <w:uiPriority w:val="40"/>
    <w:locked/>
    <w:rsid w:val="00592F64"/>
    <w:tblPr>
      <w:tblCellMar>
        <w:left w:w="0" w:type="dxa"/>
        <w:right w:w="0" w:type="dxa"/>
      </w:tblCellMar>
    </w:tblPr>
  </w:style>
  <w:style w:type="numbering" w:customStyle="1" w:styleId="AppendixList">
    <w:name w:val="Appendix List"/>
    <w:uiPriority w:val="99"/>
    <w:rsid w:val="00495A4C"/>
    <w:pPr>
      <w:numPr>
        <w:numId w:val="3"/>
      </w:numPr>
    </w:pPr>
  </w:style>
  <w:style w:type="paragraph" w:customStyle="1" w:styleId="AttachmentHeading">
    <w:name w:val="Attachment Heading"/>
    <w:basedOn w:val="Heading1"/>
    <w:next w:val="Normal"/>
    <w:uiPriority w:val="10"/>
    <w:qFormat/>
    <w:rsid w:val="003A2733"/>
    <w:pPr>
      <w:numPr>
        <w:numId w:val="8"/>
      </w:numPr>
    </w:pPr>
  </w:style>
  <w:style w:type="paragraph" w:customStyle="1" w:styleId="AttachmentSubHeading">
    <w:name w:val="Attachment Sub Heading"/>
    <w:basedOn w:val="Heading2"/>
    <w:next w:val="Normal"/>
    <w:uiPriority w:val="10"/>
    <w:qFormat/>
    <w:rsid w:val="003A2733"/>
  </w:style>
  <w:style w:type="paragraph" w:customStyle="1" w:styleId="Heading1Numbers">
    <w:name w:val="Heading 1 Numbers"/>
    <w:basedOn w:val="Heading1"/>
    <w:next w:val="Normal"/>
    <w:uiPriority w:val="9"/>
    <w:qFormat/>
    <w:rsid w:val="007D4AEC"/>
    <w:pPr>
      <w:numPr>
        <w:numId w:val="11"/>
      </w:numPr>
      <w:ind w:left="0"/>
    </w:pPr>
  </w:style>
  <w:style w:type="paragraph" w:customStyle="1" w:styleId="Heading2Numbers">
    <w:name w:val="Heading 2 Numbers"/>
    <w:basedOn w:val="Heading2"/>
    <w:next w:val="Normal"/>
    <w:uiPriority w:val="9"/>
    <w:qFormat/>
    <w:rsid w:val="00507619"/>
    <w:pPr>
      <w:numPr>
        <w:ilvl w:val="1"/>
        <w:numId w:val="11"/>
      </w:numPr>
    </w:pPr>
    <w:rPr>
      <w:bCs w:val="0"/>
      <w:color w:val="012169"/>
    </w:rPr>
  </w:style>
  <w:style w:type="paragraph" w:customStyle="1" w:styleId="Heading3Numbers">
    <w:name w:val="Heading 3 Numbers"/>
    <w:basedOn w:val="Heading3"/>
    <w:next w:val="Normal"/>
    <w:uiPriority w:val="9"/>
    <w:qFormat/>
    <w:rsid w:val="00014B42"/>
    <w:pPr>
      <w:numPr>
        <w:ilvl w:val="2"/>
        <w:numId w:val="11"/>
      </w:numPr>
    </w:pPr>
  </w:style>
  <w:style w:type="paragraph" w:customStyle="1" w:styleId="Heading4NoNumber">
    <w:name w:val="Heading 4 No Number"/>
    <w:basedOn w:val="Heading4"/>
    <w:uiPriority w:val="9"/>
    <w:semiHidden/>
    <w:qFormat/>
    <w:rsid w:val="00BA627A"/>
  </w:style>
  <w:style w:type="paragraph" w:customStyle="1" w:styleId="JanusSeal">
    <w:name w:val="Janus Seal"/>
    <w:basedOn w:val="Normal"/>
    <w:uiPriority w:val="18"/>
    <w:qFormat/>
    <w:rsid w:val="00877B84"/>
    <w:pPr>
      <w:jc w:val="center"/>
    </w:pPr>
    <w:rPr>
      <w:b/>
      <w:color w:val="FF0000"/>
      <w:sz w:val="24"/>
    </w:rPr>
  </w:style>
  <w:style w:type="paragraph" w:customStyle="1" w:styleId="LetterCAPSTitle">
    <w:name w:val="Letter CAPS Title"/>
    <w:basedOn w:val="Normal"/>
    <w:uiPriority w:val="19"/>
    <w:semiHidden/>
    <w:qFormat/>
    <w:rsid w:val="00E910A2"/>
    <w:pPr>
      <w:numPr>
        <w:numId w:val="0"/>
      </w:numPr>
    </w:pPr>
    <w:rPr>
      <w:rFonts w:ascii="DIN Offc Medium" w:hAnsi="DIN Offc Medium"/>
      <w:caps/>
      <w:shd w:val="clear" w:color="auto" w:fill="FFFFFF"/>
    </w:rPr>
  </w:style>
  <w:style w:type="table" w:styleId="PlainTable5">
    <w:name w:val="Plain Table 5"/>
    <w:basedOn w:val="TableNormal"/>
    <w:uiPriority w:val="45"/>
    <w:locked/>
    <w:rsid w:val="00F0509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verDate">
    <w:name w:val="Cover Date"/>
    <w:uiPriority w:val="31"/>
    <w:rsid w:val="005113A6"/>
    <w:rPr>
      <w:rFonts w:ascii="DIN OT Medium" w:eastAsiaTheme="majorEastAsia" w:hAnsi="DIN OT Medium" w:cstheme="majorBidi"/>
      <w:color w:val="00A9E0" w:themeColor="background2"/>
      <w:sz w:val="24"/>
      <w:szCs w:val="52"/>
    </w:rPr>
  </w:style>
  <w:style w:type="paragraph" w:customStyle="1" w:styleId="Address">
    <w:name w:val="Address"/>
    <w:basedOn w:val="Normal"/>
    <w:uiPriority w:val="29"/>
    <w:qFormat/>
    <w:rsid w:val="00E910A2"/>
    <w:pPr>
      <w:numPr>
        <w:numId w:val="0"/>
      </w:numPr>
      <w:spacing w:after="840"/>
      <w:contextualSpacing/>
    </w:pPr>
  </w:style>
  <w:style w:type="paragraph" w:customStyle="1" w:styleId="Sincerely">
    <w:name w:val="Sincerely"/>
    <w:basedOn w:val="Normal"/>
    <w:uiPriority w:val="29"/>
    <w:qFormat/>
    <w:rsid w:val="00E910A2"/>
    <w:pPr>
      <w:numPr>
        <w:numId w:val="0"/>
      </w:numPr>
      <w:spacing w:before="720" w:after="600"/>
    </w:pPr>
  </w:style>
  <w:style w:type="paragraph" w:customStyle="1" w:styleId="Subject">
    <w:name w:val="Subject"/>
    <w:basedOn w:val="Normal"/>
    <w:uiPriority w:val="29"/>
    <w:qFormat/>
    <w:rsid w:val="00EE70EE"/>
    <w:pPr>
      <w:numPr>
        <w:numId w:val="0"/>
      </w:numPr>
      <w:spacing w:before="480" w:after="480"/>
    </w:pPr>
    <w:rPr>
      <w:rFonts w:ascii="DIN OT Medium" w:hAnsi="DIN OT Medium"/>
    </w:rPr>
  </w:style>
  <w:style w:type="table" w:customStyle="1" w:styleId="TableOption2">
    <w:name w:val="Table Option 2"/>
    <w:basedOn w:val="TableGrid"/>
    <w:uiPriority w:val="99"/>
    <w:rsid w:val="00B20DFD"/>
    <w:tblPr/>
    <w:tcPr>
      <w:shd w:val="clear" w:color="auto" w:fill="EAECEE" w:themeFill="accent4" w:themeFillTint="33"/>
    </w:tcPr>
    <w:tblStylePr w:type="firstRow">
      <w:rPr>
        <w:rFonts w:ascii="Bahnschrift Light" w:hAnsi="Bahnschrift Light"/>
        <w:b w:val="0"/>
        <w:color w:val="FFFFFF" w:themeColor="background1"/>
      </w:rPr>
      <w:tblPr/>
      <w:trPr>
        <w:cantSplit/>
        <w:tblHeader/>
      </w:trPr>
      <w:tcPr>
        <w:shd w:val="clear" w:color="auto" w:fill="012169" w:themeFill="accent1"/>
      </w:tcPr>
    </w:tblStylePr>
    <w:tblStylePr w:type="lastRow">
      <w:rPr>
        <w:rFonts w:ascii="Bahnschrift Light" w:hAnsi="Bahnschrift Light"/>
        <w:b w:val="0"/>
      </w:rPr>
      <w:tblPr/>
      <w:tcPr>
        <w:shd w:val="clear" w:color="auto" w:fill="EAECEE" w:themeFill="accent4" w:themeFillTint="33"/>
      </w:tcPr>
    </w:tblStylePr>
    <w:tblStylePr w:type="firstCol">
      <w:rPr>
        <w:rFonts w:ascii="Bahnschrift Light" w:hAnsi="Bahnschrift Light"/>
        <w:b w:val="0"/>
        <w:color w:val="auto"/>
      </w:rPr>
      <w:tblPr/>
      <w:tcPr>
        <w:shd w:val="clear" w:color="auto" w:fill="012169" w:themeFill="accent1"/>
      </w:tcPr>
    </w:tblStylePr>
    <w:tblStylePr w:type="lastCol">
      <w:pPr>
        <w:jc w:val="right"/>
      </w:pPr>
      <w:rPr>
        <w:rFonts w:ascii="Bahnschrift Light" w:hAnsi="Bahnschrift Light"/>
        <w:b w:val="0"/>
      </w:rPr>
    </w:tblStylePr>
    <w:tblStylePr w:type="band1Horz">
      <w:tblPr/>
      <w:tcPr>
        <w:shd w:val="clear" w:color="auto" w:fill="EAECEE" w:themeFill="accent4" w:themeFillTint="33"/>
      </w:tcPr>
    </w:tblStylePr>
    <w:tblStylePr w:type="band2Horz">
      <w:tblPr/>
      <w:tcPr>
        <w:shd w:val="clear" w:color="auto" w:fill="C1C8CE" w:themeFill="accent4" w:themeFillTint="99"/>
      </w:tcPr>
    </w:tblStylePr>
  </w:style>
  <w:style w:type="paragraph" w:customStyle="1" w:styleId="TableHeading">
    <w:name w:val="Table Heading"/>
    <w:basedOn w:val="Normal"/>
    <w:next w:val="Normal"/>
    <w:uiPriority w:val="10"/>
    <w:qFormat/>
    <w:rsid w:val="000B74CA"/>
    <w:pPr>
      <w:keepNext/>
      <w:numPr>
        <w:numId w:val="0"/>
      </w:numPr>
      <w:spacing w:before="240" w:after="120"/>
    </w:pPr>
    <w:rPr>
      <w:rFonts w:ascii="DIN OT Medium" w:hAnsi="DIN OT Medium"/>
    </w:rPr>
  </w:style>
  <w:style w:type="paragraph" w:customStyle="1" w:styleId="NameTitleDivision">
    <w:name w:val="Name/Title/Division"/>
    <w:basedOn w:val="Normal"/>
    <w:uiPriority w:val="18"/>
    <w:qFormat/>
    <w:rsid w:val="000573E5"/>
    <w:pPr>
      <w:numPr>
        <w:numId w:val="0"/>
      </w:numPr>
      <w:contextualSpacing/>
    </w:pPr>
    <w:rPr>
      <w:i/>
    </w:rPr>
  </w:style>
  <w:style w:type="paragraph" w:customStyle="1" w:styleId="DisclaimerHeading">
    <w:name w:val="Disclaimer Heading"/>
    <w:basedOn w:val="Normal"/>
    <w:next w:val="Normal"/>
    <w:uiPriority w:val="32"/>
    <w:rsid w:val="00EE70EE"/>
    <w:pPr>
      <w:framePr w:w="9027" w:wrap="around" w:hAnchor="text" w:yAlign="bottom"/>
      <w:numPr>
        <w:numId w:val="0"/>
      </w:numPr>
      <w:pBdr>
        <w:top w:val="single" w:sz="48" w:space="1" w:color="D9D9D9" w:themeColor="background1" w:themeShade="D9"/>
        <w:left w:val="single" w:sz="24" w:space="4" w:color="D9D9D9" w:themeColor="background1" w:themeShade="D9"/>
        <w:bottom w:val="single" w:sz="48" w:space="1" w:color="D9D9D9" w:themeColor="background1" w:themeShade="D9"/>
        <w:right w:val="single" w:sz="24" w:space="4" w:color="D9D9D9" w:themeColor="background1" w:themeShade="D9"/>
      </w:pBdr>
      <w:shd w:val="clear" w:color="auto" w:fill="D9D9D9" w:themeFill="background1" w:themeFillShade="D9"/>
      <w:spacing w:before="240"/>
      <w:ind w:left="170" w:right="170"/>
    </w:pPr>
    <w:rPr>
      <w:rFonts w:ascii="DIN OT Medium" w:hAnsi="DIN OT Medium"/>
      <w:sz w:val="28"/>
    </w:rPr>
  </w:style>
  <w:style w:type="paragraph" w:customStyle="1" w:styleId="DisclaimerText">
    <w:name w:val="Disclaimer Text"/>
    <w:basedOn w:val="DisclaimerHeading"/>
    <w:uiPriority w:val="32"/>
    <w:rsid w:val="00EE70EE"/>
    <w:pPr>
      <w:framePr w:wrap="around"/>
    </w:pPr>
    <w:rPr>
      <w:rFonts w:ascii="DIN OT Light" w:hAnsi="DIN OT Light"/>
      <w:sz w:val="22"/>
    </w:rPr>
  </w:style>
  <w:style w:type="character" w:customStyle="1" w:styleId="BoldCharacterDINOTMedium">
    <w:name w:val="Bold Character (DIN OT Medium)"/>
    <w:basedOn w:val="DefaultParagraphFont"/>
    <w:uiPriority w:val="10"/>
    <w:qFormat/>
    <w:rsid w:val="00484BF5"/>
    <w:rPr>
      <w:rFonts w:ascii="DIN OT Medium" w:hAnsi="DIN OT Medium"/>
    </w:rPr>
  </w:style>
  <w:style w:type="paragraph" w:customStyle="1" w:styleId="CoverLine">
    <w:name w:val="Cover Line"/>
    <w:basedOn w:val="Normal"/>
    <w:uiPriority w:val="31"/>
    <w:qFormat/>
    <w:rsid w:val="008B2BF9"/>
    <w:pPr>
      <w:numPr>
        <w:numId w:val="0"/>
      </w:numPr>
      <w:pBdr>
        <w:bottom w:val="single" w:sz="24" w:space="10" w:color="00A9E0" w:themeColor="accent2"/>
      </w:pBdr>
      <w:spacing w:before="2170" w:after="0" w:line="192" w:lineRule="auto"/>
      <w:ind w:left="-1440" w:firstLine="1021"/>
    </w:pPr>
    <w:rPr>
      <w:rFonts w:ascii="DIN OT Medium" w:hAnsi="DIN OT Medium"/>
      <w:caps/>
      <w:color w:val="FFFFFF" w:themeColor="background1"/>
      <w:sz w:val="80"/>
    </w:rPr>
  </w:style>
  <w:style w:type="table" w:customStyle="1" w:styleId="Style1">
    <w:name w:val="Style1"/>
    <w:basedOn w:val="TableNormal"/>
    <w:uiPriority w:val="99"/>
    <w:rsid w:val="00362355"/>
    <w:pPr>
      <w:spacing w:after="0"/>
    </w:pPr>
    <w:rPr>
      <w:sz w:val="20"/>
    </w:rPr>
    <w:tblPr/>
  </w:style>
  <w:style w:type="table" w:styleId="GridTable7Colorful-Accent6">
    <w:name w:val="Grid Table 7 Colorful Accent 6"/>
    <w:basedOn w:val="TableNormal"/>
    <w:uiPriority w:val="52"/>
    <w:locked/>
    <w:rsid w:val="005971F3"/>
    <w:pPr>
      <w:spacing w:after="0"/>
    </w:pPr>
    <w:rPr>
      <w:color w:val="26A6DC" w:themeColor="accent6" w:themeShade="BF"/>
    </w:rPr>
    <w:tblPr>
      <w:tblStyleRowBandSize w:val="1"/>
      <w:tblStyleColBandSize w:val="1"/>
      <w:tblBorders>
        <w:top w:val="single" w:sz="4" w:space="0" w:color="A9DCF1" w:themeColor="accent6" w:themeTint="99"/>
        <w:left w:val="single" w:sz="4" w:space="0" w:color="A9DCF1" w:themeColor="accent6" w:themeTint="99"/>
        <w:bottom w:val="single" w:sz="4" w:space="0" w:color="A9DCF1" w:themeColor="accent6" w:themeTint="99"/>
        <w:right w:val="single" w:sz="4" w:space="0" w:color="A9DCF1" w:themeColor="accent6" w:themeTint="99"/>
        <w:insideH w:val="single" w:sz="4" w:space="0" w:color="A9DCF1" w:themeColor="accent6" w:themeTint="99"/>
        <w:insideV w:val="single" w:sz="4" w:space="0" w:color="A9DCF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6" w:themeFillTint="33"/>
      </w:tcPr>
    </w:tblStylePr>
    <w:tblStylePr w:type="band1Horz">
      <w:tblPr/>
      <w:tcPr>
        <w:shd w:val="clear" w:color="auto" w:fill="E2F3FA" w:themeFill="accent6" w:themeFillTint="33"/>
      </w:tcPr>
    </w:tblStylePr>
    <w:tblStylePr w:type="neCell">
      <w:tblPr/>
      <w:tcPr>
        <w:tcBorders>
          <w:bottom w:val="single" w:sz="4" w:space="0" w:color="A9DCF1" w:themeColor="accent6" w:themeTint="99"/>
        </w:tcBorders>
      </w:tcPr>
    </w:tblStylePr>
    <w:tblStylePr w:type="nwCell">
      <w:tblPr/>
      <w:tcPr>
        <w:tcBorders>
          <w:bottom w:val="single" w:sz="4" w:space="0" w:color="A9DCF1" w:themeColor="accent6" w:themeTint="99"/>
        </w:tcBorders>
      </w:tcPr>
    </w:tblStylePr>
    <w:tblStylePr w:type="seCell">
      <w:tblPr/>
      <w:tcPr>
        <w:tcBorders>
          <w:top w:val="single" w:sz="4" w:space="0" w:color="A9DCF1" w:themeColor="accent6" w:themeTint="99"/>
        </w:tcBorders>
      </w:tcPr>
    </w:tblStylePr>
    <w:tblStylePr w:type="swCell">
      <w:tblPr/>
      <w:tcPr>
        <w:tcBorders>
          <w:top w:val="single" w:sz="4" w:space="0" w:color="A9DCF1" w:themeColor="accent6" w:themeTint="99"/>
        </w:tcBorders>
      </w:tcPr>
    </w:tblStylePr>
  </w:style>
  <w:style w:type="character" w:customStyle="1" w:styleId="LightCharacterDINOTLight">
    <w:name w:val="Light Character (DIN OT Light)"/>
    <w:basedOn w:val="DefaultParagraphFont"/>
    <w:uiPriority w:val="10"/>
    <w:qFormat/>
    <w:rsid w:val="00DB34F0"/>
    <w:rPr>
      <w:rFonts w:ascii="DIN OT Light" w:hAnsi="DIN OT Light"/>
    </w:rPr>
  </w:style>
  <w:style w:type="table" w:styleId="GridTable4-Accent3">
    <w:name w:val="Grid Table 4 Accent 3"/>
    <w:basedOn w:val="TableNormal"/>
    <w:uiPriority w:val="49"/>
    <w:locked/>
    <w:rsid w:val="00DD01CB"/>
    <w:pPr>
      <w:spacing w:after="0"/>
    </w:pPr>
    <w:tblPr>
      <w:tblStyleRowBandSize w:val="1"/>
      <w:tblStyleColBandSize w:val="1"/>
      <w:tblBorders>
        <w:top w:val="single" w:sz="4" w:space="0" w:color="48ADFF" w:themeColor="accent3" w:themeTint="99"/>
        <w:left w:val="single" w:sz="4" w:space="0" w:color="48ADFF" w:themeColor="accent3" w:themeTint="99"/>
        <w:bottom w:val="single" w:sz="4" w:space="0" w:color="48ADFF" w:themeColor="accent3" w:themeTint="99"/>
        <w:right w:val="single" w:sz="4" w:space="0" w:color="48ADFF" w:themeColor="accent3" w:themeTint="99"/>
        <w:insideH w:val="single" w:sz="4" w:space="0" w:color="48ADFF" w:themeColor="accent3" w:themeTint="99"/>
        <w:insideV w:val="single" w:sz="4" w:space="0" w:color="48ADFF" w:themeColor="accent3" w:themeTint="99"/>
      </w:tblBorders>
    </w:tblPr>
    <w:tblStylePr w:type="firstRow">
      <w:rPr>
        <w:b/>
        <w:bCs/>
        <w:color w:val="FFFFFF" w:themeColor="background1"/>
      </w:rPr>
      <w:tblPr/>
      <w:tcPr>
        <w:tcBorders>
          <w:top w:val="single" w:sz="4" w:space="0" w:color="0072CE" w:themeColor="accent3"/>
          <w:left w:val="single" w:sz="4" w:space="0" w:color="0072CE" w:themeColor="accent3"/>
          <w:bottom w:val="single" w:sz="4" w:space="0" w:color="0072CE" w:themeColor="accent3"/>
          <w:right w:val="single" w:sz="4" w:space="0" w:color="0072CE" w:themeColor="accent3"/>
          <w:insideH w:val="nil"/>
          <w:insideV w:val="nil"/>
        </w:tcBorders>
        <w:shd w:val="clear" w:color="auto" w:fill="0072CE" w:themeFill="accent3"/>
      </w:tcPr>
    </w:tblStylePr>
    <w:tblStylePr w:type="lastRow">
      <w:rPr>
        <w:b/>
        <w:bCs/>
      </w:rPr>
      <w:tblPr/>
      <w:tcPr>
        <w:tcBorders>
          <w:top w:val="double" w:sz="4" w:space="0" w:color="0072CE" w:themeColor="accent3"/>
        </w:tcBorders>
      </w:tcPr>
    </w:tblStylePr>
    <w:tblStylePr w:type="firstCol">
      <w:rPr>
        <w:b/>
        <w:bCs/>
      </w:rPr>
    </w:tblStylePr>
    <w:tblStylePr w:type="lastCol">
      <w:rPr>
        <w:b/>
        <w:bCs/>
      </w:rPr>
    </w:tblStylePr>
    <w:tblStylePr w:type="band1Vert">
      <w:tblPr/>
      <w:tcPr>
        <w:shd w:val="clear" w:color="auto" w:fill="C2E3FF" w:themeFill="accent3" w:themeFillTint="33"/>
      </w:tcPr>
    </w:tblStylePr>
    <w:tblStylePr w:type="band1Horz">
      <w:tblPr/>
      <w:tcPr>
        <w:shd w:val="clear" w:color="auto" w:fill="C2E3FF" w:themeFill="accent3" w:themeFillTint="33"/>
      </w:tcPr>
    </w:tblStylePr>
  </w:style>
  <w:style w:type="table" w:styleId="GridTable4-Accent1">
    <w:name w:val="Grid Table 4 Accent 1"/>
    <w:basedOn w:val="TableNormal"/>
    <w:uiPriority w:val="49"/>
    <w:locked/>
    <w:rsid w:val="00DD01CB"/>
    <w:pPr>
      <w:spacing w:after="0"/>
    </w:pPr>
    <w:tblPr>
      <w:tblStyleRowBandSize w:val="1"/>
      <w:tblStyleColBandSize w:val="1"/>
      <w:tblBorders>
        <w:top w:val="single" w:sz="4" w:space="0" w:color="0E57FC" w:themeColor="accent1" w:themeTint="99"/>
        <w:left w:val="single" w:sz="4" w:space="0" w:color="0E57FC" w:themeColor="accent1" w:themeTint="99"/>
        <w:bottom w:val="single" w:sz="4" w:space="0" w:color="0E57FC" w:themeColor="accent1" w:themeTint="99"/>
        <w:right w:val="single" w:sz="4" w:space="0" w:color="0E57FC" w:themeColor="accent1" w:themeTint="99"/>
        <w:insideH w:val="single" w:sz="4" w:space="0" w:color="0E57FC" w:themeColor="accent1" w:themeTint="99"/>
        <w:insideV w:val="single" w:sz="4" w:space="0" w:color="0E57FC" w:themeColor="accent1" w:themeTint="99"/>
      </w:tblBorders>
    </w:tblPr>
    <w:tblStylePr w:type="firstRow">
      <w:rPr>
        <w:b/>
        <w:bCs/>
        <w:color w:val="FFFFFF" w:themeColor="background1"/>
      </w:rPr>
      <w:tblPr/>
      <w:tcPr>
        <w:tcBorders>
          <w:top w:val="single" w:sz="4" w:space="0" w:color="012169" w:themeColor="accent1"/>
          <w:left w:val="single" w:sz="4" w:space="0" w:color="012169" w:themeColor="accent1"/>
          <w:bottom w:val="single" w:sz="4" w:space="0" w:color="012169" w:themeColor="accent1"/>
          <w:right w:val="single" w:sz="4" w:space="0" w:color="012169" w:themeColor="accent1"/>
          <w:insideH w:val="nil"/>
          <w:insideV w:val="nil"/>
        </w:tcBorders>
        <w:shd w:val="clear" w:color="auto" w:fill="012169" w:themeFill="accent1"/>
      </w:tcPr>
    </w:tblStylePr>
    <w:tblStylePr w:type="lastRow">
      <w:rPr>
        <w:b/>
        <w:bCs/>
      </w:rPr>
      <w:tblPr/>
      <w:tcPr>
        <w:tcBorders>
          <w:top w:val="double" w:sz="4" w:space="0" w:color="012169" w:themeColor="accent1"/>
        </w:tcBorders>
      </w:tcPr>
    </w:tblStylePr>
    <w:tblStylePr w:type="firstCol">
      <w:rPr>
        <w:b/>
        <w:bCs/>
      </w:rPr>
    </w:tblStylePr>
    <w:tblStylePr w:type="lastCol">
      <w:rPr>
        <w:b/>
        <w:bCs/>
      </w:rPr>
    </w:tblStylePr>
    <w:tblStylePr w:type="band1Vert">
      <w:tblPr/>
      <w:tcPr>
        <w:shd w:val="clear" w:color="auto" w:fill="AEC7FE" w:themeFill="accent1" w:themeFillTint="33"/>
      </w:tcPr>
    </w:tblStylePr>
    <w:tblStylePr w:type="band1Horz">
      <w:tblPr/>
      <w:tcPr>
        <w:shd w:val="clear" w:color="auto" w:fill="AEC7FE" w:themeFill="accent1" w:themeFillTint="33"/>
      </w:tcPr>
    </w:tblStylePr>
  </w:style>
  <w:style w:type="table" w:styleId="ListTable3-Accent1">
    <w:name w:val="List Table 3 Accent 1"/>
    <w:basedOn w:val="TableNormal"/>
    <w:uiPriority w:val="48"/>
    <w:locked/>
    <w:rsid w:val="006157C8"/>
    <w:pPr>
      <w:spacing w:after="0"/>
    </w:pPr>
    <w:tblPr>
      <w:tblStyleRowBandSize w:val="1"/>
      <w:tblStyleColBandSize w:val="1"/>
      <w:tblBorders>
        <w:top w:val="single" w:sz="4" w:space="0" w:color="012169" w:themeColor="accent1"/>
        <w:left w:val="single" w:sz="4" w:space="0" w:color="012169" w:themeColor="accent1"/>
        <w:bottom w:val="single" w:sz="4" w:space="0" w:color="012169" w:themeColor="accent1"/>
        <w:right w:val="single" w:sz="4" w:space="0" w:color="012169" w:themeColor="accent1"/>
      </w:tblBorders>
    </w:tblPr>
    <w:tblStylePr w:type="firstRow">
      <w:rPr>
        <w:b/>
        <w:bCs/>
        <w:color w:val="FFFFFF" w:themeColor="background1"/>
      </w:rPr>
      <w:tblPr/>
      <w:tcPr>
        <w:shd w:val="clear" w:color="auto" w:fill="012169" w:themeFill="accent1"/>
      </w:tcPr>
    </w:tblStylePr>
    <w:tblStylePr w:type="lastRow">
      <w:rPr>
        <w:b/>
        <w:bCs/>
      </w:rPr>
      <w:tblPr/>
      <w:tcPr>
        <w:tcBorders>
          <w:top w:val="double" w:sz="4" w:space="0" w:color="01216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1"/>
          <w:right w:val="single" w:sz="4" w:space="0" w:color="012169" w:themeColor="accent1"/>
        </w:tcBorders>
      </w:tcPr>
    </w:tblStylePr>
    <w:tblStylePr w:type="band1Horz">
      <w:tblPr/>
      <w:tcPr>
        <w:tcBorders>
          <w:top w:val="single" w:sz="4" w:space="0" w:color="012169" w:themeColor="accent1"/>
          <w:bottom w:val="single" w:sz="4" w:space="0" w:color="01216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1"/>
          <w:left w:val="nil"/>
        </w:tcBorders>
      </w:tcPr>
    </w:tblStylePr>
    <w:tblStylePr w:type="swCell">
      <w:tblPr/>
      <w:tcPr>
        <w:tcBorders>
          <w:top w:val="double" w:sz="4" w:space="0" w:color="012169" w:themeColor="accent1"/>
          <w:right w:val="nil"/>
        </w:tcBorders>
      </w:tcPr>
    </w:tblStylePr>
  </w:style>
  <w:style w:type="paragraph" w:customStyle="1" w:styleId="Numberedtableheading">
    <w:name w:val="Numbered table heading"/>
    <w:basedOn w:val="Heading4"/>
    <w:qFormat/>
    <w:rsid w:val="00AA0CA8"/>
    <w:pPr>
      <w:numPr>
        <w:numId w:val="9"/>
      </w:numPr>
      <w:spacing w:before="120"/>
    </w:pPr>
  </w:style>
  <w:style w:type="paragraph" w:customStyle="1" w:styleId="Numberedfigureheading">
    <w:name w:val="Numbered figure heading"/>
    <w:basedOn w:val="Numberedtableheading"/>
    <w:qFormat/>
    <w:rsid w:val="008071C6"/>
    <w:pPr>
      <w:numPr>
        <w:numId w:val="10"/>
      </w:numPr>
    </w:pPr>
  </w:style>
  <w:style w:type="paragraph" w:customStyle="1" w:styleId="APRANORMAL">
    <w:name w:val="APRA NORMAL"/>
    <w:basedOn w:val="Normal"/>
    <w:link w:val="APRANORMALChar"/>
    <w:qFormat/>
    <w:rsid w:val="008465DD"/>
    <w:pPr>
      <w:numPr>
        <w:numId w:val="0"/>
      </w:numPr>
    </w:pPr>
    <w:rPr>
      <w:rFonts w:cs="Times New Roman"/>
      <w:color w:val="auto"/>
      <w:lang w:val="en-GB"/>
    </w:rPr>
  </w:style>
  <w:style w:type="character" w:customStyle="1" w:styleId="APRANORMALChar">
    <w:name w:val="APRA NORMAL Char"/>
    <w:basedOn w:val="DefaultParagraphFont"/>
    <w:link w:val="APRANORMAL"/>
    <w:rsid w:val="008465DD"/>
    <w:rPr>
      <w:rFonts w:ascii="DIN OT Light" w:hAnsi="DIN OT Light" w:cs="Times New Roman"/>
      <w:color w:val="auto"/>
      <w:lang w:val="en-GB"/>
    </w:rPr>
  </w:style>
  <w:style w:type="table" w:customStyle="1" w:styleId="TableOption21">
    <w:name w:val="Table Option 21"/>
    <w:basedOn w:val="TableGrid"/>
    <w:uiPriority w:val="99"/>
    <w:rsid w:val="008465DD"/>
    <w:tblPr/>
    <w:tcPr>
      <w:shd w:val="clear" w:color="auto" w:fill="EAECEE" w:themeFill="accent4" w:themeFillTint="33"/>
    </w:tcPr>
    <w:tblStylePr w:type="firstRow">
      <w:rPr>
        <w:rFonts w:ascii="Bahnschrift Light" w:hAnsi="Bahnschrift Light"/>
        <w:b w:val="0"/>
        <w:color w:val="FFFFFF" w:themeColor="background1"/>
      </w:rPr>
      <w:tblPr/>
      <w:trPr>
        <w:cantSplit/>
        <w:tblHeader/>
      </w:trPr>
      <w:tcPr>
        <w:shd w:val="clear" w:color="auto" w:fill="012169" w:themeFill="accent1"/>
      </w:tcPr>
    </w:tblStylePr>
    <w:tblStylePr w:type="lastRow">
      <w:rPr>
        <w:rFonts w:ascii="Bahnschrift Light" w:hAnsi="Bahnschrift Light"/>
        <w:b w:val="0"/>
      </w:rPr>
      <w:tblPr/>
      <w:tcPr>
        <w:shd w:val="clear" w:color="auto" w:fill="EAECEE" w:themeFill="accent4" w:themeFillTint="33"/>
      </w:tcPr>
    </w:tblStylePr>
    <w:tblStylePr w:type="firstCol">
      <w:rPr>
        <w:rFonts w:ascii="Bahnschrift Light" w:hAnsi="Bahnschrift Light"/>
        <w:b w:val="0"/>
        <w:color w:val="auto"/>
      </w:rPr>
      <w:tblPr/>
      <w:tcPr>
        <w:shd w:val="clear" w:color="auto" w:fill="012169" w:themeFill="accent1"/>
      </w:tcPr>
    </w:tblStylePr>
    <w:tblStylePr w:type="lastCol">
      <w:pPr>
        <w:jc w:val="right"/>
      </w:pPr>
      <w:rPr>
        <w:rFonts w:ascii="Bahnschrift Light" w:hAnsi="Bahnschrift Light"/>
        <w:b w:val="0"/>
      </w:rPr>
    </w:tblStylePr>
    <w:tblStylePr w:type="band1Horz">
      <w:tblPr/>
      <w:tcPr>
        <w:shd w:val="clear" w:color="auto" w:fill="EAECEE" w:themeFill="accent4" w:themeFillTint="33"/>
      </w:tcPr>
    </w:tblStylePr>
    <w:tblStylePr w:type="band2Horz">
      <w:tblPr/>
      <w:tcPr>
        <w:shd w:val="clear" w:color="auto" w:fill="C1C8CE" w:themeFill="accent4" w:themeFillTint="99"/>
      </w:tcPr>
    </w:tblStylePr>
  </w:style>
  <w:style w:type="table" w:customStyle="1" w:styleId="TableGrid20">
    <w:name w:val="Table Grid2"/>
    <w:basedOn w:val="TableNormal"/>
    <w:next w:val="TableGrid"/>
    <w:uiPriority w:val="59"/>
    <w:rsid w:val="009E585F"/>
    <w:pPr>
      <w:spacing w:before="60" w:after="60"/>
    </w:pPr>
    <w:rPr>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EAECEE" w:themeFill="accent4" w:themeFillTint="33"/>
    </w:tcPr>
    <w:tblStylePr w:type="firstRow">
      <w:rPr>
        <w:rFonts w:ascii="Bahnschrift Light" w:hAnsi="Bahnschrift Light"/>
        <w:b w:val="0"/>
        <w:color w:val="FFFFFF" w:themeColor="background1"/>
      </w:rPr>
      <w:tblPr/>
      <w:trPr>
        <w:cantSplit/>
        <w:tblHeader/>
      </w:trPr>
      <w:tcPr>
        <w:shd w:val="clear" w:color="auto" w:fill="012169" w:themeFill="accent1"/>
      </w:tcPr>
    </w:tblStylePr>
    <w:tblStylePr w:type="lastRow">
      <w:rPr>
        <w:rFonts w:ascii="Bahnschrift Light" w:hAnsi="Bahnschrift Light"/>
        <w:b w:val="0"/>
      </w:rPr>
      <w:tblPr/>
      <w:tcPr>
        <w:shd w:val="clear" w:color="auto" w:fill="EAECEE" w:themeFill="accent4" w:themeFillTint="33"/>
      </w:tcPr>
    </w:tblStylePr>
    <w:tblStylePr w:type="firstCol">
      <w:rPr>
        <w:rFonts w:ascii="Bahnschrift Light" w:hAnsi="Bahnschrift Light"/>
        <w:b w:val="0"/>
        <w:color w:val="auto"/>
      </w:rPr>
    </w:tblStylePr>
    <w:tblStylePr w:type="lastCol">
      <w:pPr>
        <w:jc w:val="right"/>
      </w:pPr>
      <w:rPr>
        <w:rFonts w:ascii="Bahnschrift Light" w:hAnsi="Bahnschrift Light"/>
        <w:b w:val="0"/>
      </w:rPr>
    </w:tblStylePr>
    <w:tblStylePr w:type="band1Horz">
      <w:tblPr/>
      <w:tcPr>
        <w:shd w:val="clear" w:color="auto" w:fill="EAECEE" w:themeFill="accent4" w:themeFillTint="33"/>
      </w:tcPr>
    </w:tblStylePr>
    <w:tblStylePr w:type="band2Horz">
      <w:tblPr/>
      <w:tcPr>
        <w:shd w:val="clear" w:color="auto" w:fill="C1C8CE" w:themeFill="accent4" w:themeFillTint="99"/>
      </w:tcPr>
    </w:tblStylePr>
  </w:style>
  <w:style w:type="table" w:customStyle="1" w:styleId="TableGrid10">
    <w:name w:val="Table Grid1"/>
    <w:basedOn w:val="TableNormal"/>
    <w:next w:val="TableGrid"/>
    <w:uiPriority w:val="59"/>
    <w:rsid w:val="00ED6420"/>
    <w:pPr>
      <w:spacing w:before="60" w:after="60"/>
    </w:pPr>
    <w:rPr>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EAECEE" w:themeFill="accent4" w:themeFillTint="33"/>
    </w:tcPr>
    <w:tblStylePr w:type="firstRow">
      <w:rPr>
        <w:rFonts w:ascii="Bahnschrift Light" w:hAnsi="Bahnschrift Light"/>
        <w:b w:val="0"/>
        <w:color w:val="FFFFFF" w:themeColor="background1"/>
      </w:rPr>
      <w:tblPr/>
      <w:trPr>
        <w:cantSplit/>
        <w:tblHeader/>
      </w:trPr>
      <w:tcPr>
        <w:shd w:val="clear" w:color="auto" w:fill="012169" w:themeFill="accent1"/>
      </w:tcPr>
    </w:tblStylePr>
    <w:tblStylePr w:type="lastRow">
      <w:rPr>
        <w:rFonts w:ascii="Bahnschrift Light" w:hAnsi="Bahnschrift Light"/>
        <w:b w:val="0"/>
      </w:rPr>
      <w:tblPr/>
      <w:tcPr>
        <w:shd w:val="clear" w:color="auto" w:fill="EAECEE" w:themeFill="accent4" w:themeFillTint="33"/>
      </w:tcPr>
    </w:tblStylePr>
    <w:tblStylePr w:type="firstCol">
      <w:rPr>
        <w:rFonts w:ascii="Bahnschrift Light" w:hAnsi="Bahnschrift Light"/>
        <w:b w:val="0"/>
        <w:color w:val="auto"/>
      </w:rPr>
    </w:tblStylePr>
    <w:tblStylePr w:type="lastCol">
      <w:pPr>
        <w:jc w:val="right"/>
      </w:pPr>
      <w:rPr>
        <w:rFonts w:ascii="Bahnschrift Light" w:hAnsi="Bahnschrift Light"/>
        <w:b w:val="0"/>
      </w:rPr>
    </w:tblStylePr>
    <w:tblStylePr w:type="band1Horz">
      <w:tblPr/>
      <w:tcPr>
        <w:shd w:val="clear" w:color="auto" w:fill="EAECEE" w:themeFill="accent4" w:themeFillTint="33"/>
      </w:tcPr>
    </w:tblStylePr>
    <w:tblStylePr w:type="band2Horz">
      <w:tblPr/>
      <w:tcPr>
        <w:shd w:val="clear" w:color="auto" w:fill="C1C8CE" w:themeFill="accent4" w:themeFillTint="99"/>
      </w:tcPr>
    </w:tblStylePr>
  </w:style>
  <w:style w:type="character" w:styleId="UnresolvedMention">
    <w:name w:val="Unresolved Mention"/>
    <w:basedOn w:val="DefaultParagraphFont"/>
    <w:uiPriority w:val="99"/>
    <w:semiHidden/>
    <w:unhideWhenUsed/>
    <w:rsid w:val="00B661CC"/>
    <w:rPr>
      <w:color w:val="605E5C"/>
      <w:shd w:val="clear" w:color="auto" w:fill="E1DFDD"/>
    </w:rPr>
  </w:style>
  <w:style w:type="character" w:customStyle="1" w:styleId="ListParagraphChar">
    <w:name w:val="List Paragraph Char"/>
    <w:link w:val="ListParagraph"/>
    <w:uiPriority w:val="34"/>
    <w:rsid w:val="00086CC3"/>
  </w:style>
  <w:style w:type="paragraph" w:customStyle="1" w:styleId="BULLET2">
    <w:name w:val="BULLET 2"/>
    <w:basedOn w:val="Normal"/>
    <w:link w:val="BULLET2Char"/>
    <w:qFormat/>
    <w:rsid w:val="000D4633"/>
    <w:pPr>
      <w:numPr>
        <w:numId w:val="13"/>
      </w:numPr>
      <w:jc w:val="both"/>
    </w:pPr>
    <w:rPr>
      <w:rFonts w:ascii="Arial" w:eastAsiaTheme="minorEastAsia" w:hAnsi="Arial"/>
      <w:color w:val="auto"/>
      <w:lang w:eastAsia="en-AU"/>
    </w:rPr>
  </w:style>
  <w:style w:type="paragraph" w:customStyle="1" w:styleId="NumberedList">
    <w:name w:val="Numbered List"/>
    <w:basedOn w:val="ListNumber3"/>
    <w:rsid w:val="000D4633"/>
    <w:pPr>
      <w:numPr>
        <w:ilvl w:val="0"/>
        <w:numId w:val="15"/>
      </w:numPr>
      <w:contextualSpacing/>
      <w:jc w:val="both"/>
    </w:pPr>
    <w:rPr>
      <w:rFonts w:ascii="Arial" w:eastAsia="Times New Roman" w:hAnsi="Arial" w:cs="Times New Roman"/>
      <w:color w:val="auto"/>
      <w:szCs w:val="24"/>
      <w:lang w:eastAsia="en-AU"/>
    </w:rPr>
  </w:style>
  <w:style w:type="paragraph" w:styleId="Revision">
    <w:name w:val="Revision"/>
    <w:hidden/>
    <w:uiPriority w:val="99"/>
    <w:semiHidden/>
    <w:rsid w:val="003C06C5"/>
    <w:pPr>
      <w:spacing w:after="0"/>
    </w:pPr>
    <w:rPr>
      <w:rFonts w:ascii="DIN OT Light" w:hAnsi="DIN OT Light"/>
    </w:rPr>
  </w:style>
  <w:style w:type="character" w:customStyle="1" w:styleId="BULLET2Char">
    <w:name w:val="BULLET 2 Char"/>
    <w:basedOn w:val="DefaultParagraphFont"/>
    <w:link w:val="BULLET2"/>
    <w:rsid w:val="001F0EFC"/>
    <w:rPr>
      <w:rFonts w:ascii="Arial" w:eastAsiaTheme="minorEastAsia" w:hAnsi="Arial"/>
      <w:color w:val="auto"/>
      <w:lang w:eastAsia="en-AU"/>
    </w:rPr>
  </w:style>
  <w:style w:type="paragraph" w:customStyle="1" w:styleId="BodyText1">
    <w:name w:val="Body Text 1"/>
    <w:basedOn w:val="Normal"/>
    <w:link w:val="BodyText1Char"/>
    <w:qFormat/>
    <w:rsid w:val="002D1616"/>
    <w:pPr>
      <w:numPr>
        <w:numId w:val="0"/>
      </w:numPr>
      <w:tabs>
        <w:tab w:val="num" w:pos="567"/>
      </w:tabs>
      <w:ind w:left="567" w:hanging="567"/>
      <w:jc w:val="both"/>
    </w:pPr>
    <w:rPr>
      <w:rFonts w:ascii="Times New Roman" w:eastAsia="Times New Roman" w:hAnsi="Times New Roman" w:cs="Times New Roman"/>
      <w:color w:val="auto"/>
      <w:sz w:val="24"/>
      <w:szCs w:val="24"/>
      <w:lang w:eastAsia="en-AU"/>
    </w:rPr>
  </w:style>
  <w:style w:type="character" w:customStyle="1" w:styleId="BodyText1Char">
    <w:name w:val="Body Text 1 Char"/>
    <w:basedOn w:val="DefaultParagraphFont"/>
    <w:link w:val="BodyText1"/>
    <w:rsid w:val="00A65460"/>
    <w:rPr>
      <w:rFonts w:ascii="Times New Roman" w:eastAsia="Times New Roman" w:hAnsi="Times New Roman" w:cs="Times New Roman"/>
      <w:color w:val="auto"/>
      <w:sz w:val="24"/>
      <w:szCs w:val="24"/>
      <w:lang w:eastAsia="en-AU"/>
    </w:rPr>
  </w:style>
  <w:style w:type="paragraph" w:customStyle="1" w:styleId="BodyText4">
    <w:name w:val="Body Text 4"/>
    <w:basedOn w:val="Normal"/>
    <w:qFormat/>
    <w:rsid w:val="00C015AE"/>
    <w:pPr>
      <w:numPr>
        <w:numId w:val="0"/>
      </w:numPr>
      <w:tabs>
        <w:tab w:val="num" w:pos="2268"/>
      </w:tabs>
      <w:ind w:left="2268" w:hanging="567"/>
    </w:pPr>
    <w:rPr>
      <w:rFonts w:ascii="Times New Roman" w:eastAsia="Calibri" w:hAnsi="Times New Roman" w:cs="Times New Roman"/>
      <w:color w:val="auto"/>
      <w:sz w:val="24"/>
      <w:szCs w:val="24"/>
      <w:lang w:eastAsia="en-AU"/>
    </w:rPr>
  </w:style>
  <w:style w:type="paragraph" w:customStyle="1" w:styleId="PSBodyTextL1">
    <w:name w:val="_PS_Body_Text_L1"/>
    <w:qFormat/>
    <w:rsid w:val="00E8738F"/>
    <w:pPr>
      <w:numPr>
        <w:numId w:val="20"/>
      </w:numPr>
      <w:jc w:val="both"/>
    </w:pPr>
    <w:rPr>
      <w:rFonts w:ascii="Times New Roman" w:hAnsi="Times New Roman"/>
      <w:sz w:val="24"/>
    </w:rPr>
  </w:style>
  <w:style w:type="paragraph" w:customStyle="1" w:styleId="PSBodyTextL3">
    <w:name w:val="_PS_Body_Text_L3"/>
    <w:basedOn w:val="Normal"/>
    <w:qFormat/>
    <w:rsid w:val="00E8738F"/>
    <w:pPr>
      <w:numPr>
        <w:ilvl w:val="2"/>
        <w:numId w:val="20"/>
      </w:numPr>
      <w:tabs>
        <w:tab w:val="left" w:pos="1134"/>
      </w:tabs>
      <w:jc w:val="both"/>
    </w:pPr>
    <w:rPr>
      <w:rFonts w:ascii="Times New Roman" w:hAnsi="Times New Roman"/>
      <w:sz w:val="24"/>
    </w:rPr>
  </w:style>
  <w:style w:type="paragraph" w:customStyle="1" w:styleId="PSBodyTextL4">
    <w:name w:val="_PS_Body_Text_L4"/>
    <w:basedOn w:val="PSBodyTextL3"/>
    <w:qFormat/>
    <w:rsid w:val="00E8738F"/>
    <w:pPr>
      <w:numPr>
        <w:ilvl w:val="3"/>
      </w:numPr>
      <w:tabs>
        <w:tab w:val="clear" w:pos="1134"/>
        <w:tab w:val="left" w:pos="1701"/>
      </w:tabs>
    </w:pPr>
  </w:style>
  <w:style w:type="table" w:customStyle="1" w:styleId="TableOption22">
    <w:name w:val="Table Option 22"/>
    <w:basedOn w:val="TableGrid"/>
    <w:uiPriority w:val="99"/>
    <w:rsid w:val="003B6CB1"/>
    <w:tblPr/>
    <w:tcPr>
      <w:shd w:val="clear" w:color="auto" w:fill="EAECEE" w:themeFill="accent4" w:themeFillTint="33"/>
    </w:tcPr>
    <w:tblStylePr w:type="firstRow">
      <w:rPr>
        <w:rFonts w:ascii="DIN OT Medium" w:hAnsi="DIN OT Medium"/>
        <w:b w:val="0"/>
        <w:color w:val="FFFFFF" w:themeColor="background1"/>
      </w:rPr>
      <w:tblPr/>
      <w:trPr>
        <w:cantSplit/>
        <w:tblHeader/>
      </w:trPr>
      <w:tcPr>
        <w:shd w:val="clear" w:color="auto" w:fill="012169" w:themeFill="accent1"/>
      </w:tcPr>
    </w:tblStylePr>
    <w:tblStylePr w:type="lastRow">
      <w:rPr>
        <w:rFonts w:ascii="DIN OT Medium" w:hAnsi="DIN OT Medium"/>
        <w:b w:val="0"/>
      </w:rPr>
      <w:tblPr/>
      <w:tcPr>
        <w:shd w:val="clear" w:color="auto" w:fill="EAECEE" w:themeFill="accent4" w:themeFillTint="33"/>
      </w:tcPr>
    </w:tblStylePr>
    <w:tblStylePr w:type="firstCol">
      <w:rPr>
        <w:rFonts w:ascii="DIN OT Medium" w:hAnsi="DIN OT Medium"/>
        <w:b w:val="0"/>
        <w:color w:val="auto"/>
      </w:rPr>
      <w:tblPr/>
      <w:tcPr>
        <w:shd w:val="clear" w:color="auto" w:fill="012169" w:themeFill="accent1"/>
      </w:tcPr>
    </w:tblStylePr>
    <w:tblStylePr w:type="lastCol">
      <w:pPr>
        <w:jc w:val="right"/>
      </w:pPr>
      <w:rPr>
        <w:rFonts w:ascii="DIN OT Medium" w:hAnsi="DIN OT Medium"/>
        <w:b w:val="0"/>
      </w:rPr>
    </w:tblStylePr>
    <w:tblStylePr w:type="band1Horz">
      <w:tblPr/>
      <w:tcPr>
        <w:shd w:val="clear" w:color="auto" w:fill="EAECEE" w:themeFill="accent4" w:themeFillTint="33"/>
      </w:tcPr>
    </w:tblStylePr>
    <w:tblStylePr w:type="band2Horz">
      <w:tblPr/>
      <w:tcPr>
        <w:shd w:val="clear" w:color="auto" w:fill="C1C8CE" w:themeFill="accent4" w:themeFillTint="9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11307238">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840460251">
      <w:bodyDiv w:val="1"/>
      <w:marLeft w:val="0"/>
      <w:marRight w:val="0"/>
      <w:marTop w:val="0"/>
      <w:marBottom w:val="0"/>
      <w:divBdr>
        <w:top w:val="none" w:sz="0" w:space="0" w:color="auto"/>
        <w:left w:val="none" w:sz="0" w:space="0" w:color="auto"/>
        <w:bottom w:val="none" w:sz="0" w:space="0" w:color="auto"/>
        <w:right w:val="none" w:sz="0" w:space="0" w:color="auto"/>
      </w:divBdr>
    </w:div>
    <w:div w:id="2092192191">
      <w:bodyDiv w:val="1"/>
      <w:marLeft w:val="0"/>
      <w:marRight w:val="0"/>
      <w:marTop w:val="0"/>
      <w:marBottom w:val="0"/>
      <w:divBdr>
        <w:top w:val="none" w:sz="0" w:space="0" w:color="auto"/>
        <w:left w:val="none" w:sz="0" w:space="0" w:color="auto"/>
        <w:bottom w:val="none" w:sz="0" w:space="0" w:color="auto"/>
        <w:right w:val="none" w:sz="0" w:space="0" w:color="auto"/>
      </w:divBdr>
    </w:div>
    <w:div w:id="210005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PolicyDevelopment@apra.gov.au"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image" Target="media/image11.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sv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customXml" Target="../customXml/item6.xml"/><Relationship Id="rId4" Type="http://schemas.openxmlformats.org/officeDocument/2006/relationships/styles" Target="styles.xml"/><Relationship Id="rId9" Type="http://schemas.openxmlformats.org/officeDocument/2006/relationships/hyperlink" Target="https://creativecommons.org/licenses/by/3.0/au/" TargetMode="External"/><Relationship Id="rId14" Type="http://schemas.openxmlformats.org/officeDocument/2006/relationships/image" Target="media/image5.png"/><Relationship Id="rId22" Type="http://schemas.openxmlformats.org/officeDocument/2006/relationships/hyperlink" Target="https://rbm.obpr.gov.au/" TargetMode="External"/><Relationship Id="rId27" Type="http://schemas.openxmlformats.org/officeDocument/2006/relationships/theme" Target="theme/theme1.xml"/><Relationship Id="rId30" Type="http://schemas.openxmlformats.org/officeDocument/2006/relationships/customXml" Target="../customXml/item5.xml"/></Relationships>
</file>

<file path=word/_rels/footnotes.xml.rels><?xml version="1.0" encoding="UTF-8" standalone="yes"?>
<Relationships xmlns="http://schemas.openxmlformats.org/package/2006/relationships"><Relationship Id="rId8" Type="http://schemas.openxmlformats.org/officeDocument/2006/relationships/hyperlink" Target="https://www.apra.gov.au/information-security-requirements-for-all-apra-regulated-entities" TargetMode="External"/><Relationship Id="rId3" Type="http://schemas.openxmlformats.org/officeDocument/2006/relationships/hyperlink" Target="https://www.bis.org/bcbs/publ/d516.pdf" TargetMode="External"/><Relationship Id="rId7" Type="http://schemas.openxmlformats.org/officeDocument/2006/relationships/hyperlink" Target="https://www.bankofengland.co.uk/speech/2022/april/david-bailey-speaker-at-uk-finance-event-operational-resilience-beyond-2022" TargetMode="External"/><Relationship Id="rId2" Type="http://schemas.openxmlformats.org/officeDocument/2006/relationships/hyperlink" Target="https://www.bis.org/publ/bcbs230.htm" TargetMode="External"/><Relationship Id="rId1" Type="http://schemas.openxmlformats.org/officeDocument/2006/relationships/hyperlink" Target="https://www.apra.gov.au/news-and-publications/how-to-manage-compliance-risk-and-stay-out-of-headlines" TargetMode="External"/><Relationship Id="rId6" Type="http://schemas.openxmlformats.org/officeDocument/2006/relationships/hyperlink" Target="https://www.apra.gov.au/crypto-assets-risk-management-expectations-and-policy-roadmap" TargetMode="External"/><Relationship Id="rId5" Type="http://schemas.openxmlformats.org/officeDocument/2006/relationships/hyperlink" Target="https://www.apra.gov.au/strengthening-financial-resilience-superannuation" TargetMode="External"/><Relationship Id="rId4" Type="http://schemas.openxmlformats.org/officeDocument/2006/relationships/hyperlink" Target="https://www.bis.org/publ/bcbs195.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APRA">
      <a:dk1>
        <a:sysClr val="windowText" lastClr="000000"/>
      </a:dk1>
      <a:lt1>
        <a:sysClr val="window" lastClr="FFFFFF"/>
      </a:lt1>
      <a:dk2>
        <a:srgbClr val="012169"/>
      </a:dk2>
      <a:lt2>
        <a:srgbClr val="00A9E0"/>
      </a:lt2>
      <a:accent1>
        <a:srgbClr val="012169"/>
      </a:accent1>
      <a:accent2>
        <a:srgbClr val="00A9E0"/>
      </a:accent2>
      <a:accent3>
        <a:srgbClr val="0072CE"/>
      </a:accent3>
      <a:accent4>
        <a:srgbClr val="98A4AE"/>
      </a:accent4>
      <a:accent5>
        <a:srgbClr val="4F758B"/>
      </a:accent5>
      <a:accent6>
        <a:srgbClr val="71C5E8"/>
      </a:accent6>
      <a:hlink>
        <a:srgbClr val="0000FF"/>
      </a:hlink>
      <a:folHlink>
        <a:srgbClr val="7030A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8" ma:contentTypeDescription="Create a new document." ma:contentTypeScope="" ma:versionID="33751fc2e25aff34227f1c8db8239990">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b07e9e1b733d0321caea61c9fbc9d73b"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195ad5f-cdf2-4c4a-8d9b-b7944a108e98" xsi:nil="true"/>
    <_ip_UnifiedCompliancePolicyProperties xmlns="http://schemas.microsoft.com/sharepoint/v3" xsi:nil="true"/>
    <lcf76f155ced4ddcb4097134ff3c332f xmlns="26285671-540d-468b-b7a1-f3e0438dd51a">
      <Terms xmlns="http://schemas.microsoft.com/office/infopath/2007/PartnerControls"/>
    </lcf76f155ced4ddcb4097134ff3c332f>
    <_dlc_DocId xmlns="4195ad5f-cdf2-4c4a-8d9b-b7944a108e98">DOCID-322795542-35168</_dlc_DocId>
    <_dlc_DocIdUrl xmlns="4195ad5f-cdf2-4c4a-8d9b-b7944a108e98">
      <Url>https://pmc01.sharepoint.com/sites/CRMOBPR/_layouts/15/DocIdRedir.aspx?ID=DOCID-322795542-35168</Url>
      <Description>DOCID-322795542-35168</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6C7230-1CCC-4E10-A0E8-3BACD4A97E94}">
  <ds:schemaRefs>
    <ds:schemaRef ds:uri="http://schemas.openxmlformats.org/officeDocument/2006/bibliography"/>
  </ds:schemaRefs>
</ds:datastoreItem>
</file>

<file path=customXml/itemProps3.xml><?xml version="1.0" encoding="utf-8"?>
<ds:datastoreItem xmlns:ds="http://schemas.openxmlformats.org/officeDocument/2006/customXml" ds:itemID="{EC7E1C44-56A0-4F0A-A38E-5485C46ADAAA}"/>
</file>

<file path=customXml/itemProps4.xml><?xml version="1.0" encoding="utf-8"?>
<ds:datastoreItem xmlns:ds="http://schemas.openxmlformats.org/officeDocument/2006/customXml" ds:itemID="{165D5894-7BBC-44AB-9660-E9E2E33907A0}"/>
</file>

<file path=customXml/itemProps5.xml><?xml version="1.0" encoding="utf-8"?>
<ds:datastoreItem xmlns:ds="http://schemas.openxmlformats.org/officeDocument/2006/customXml" ds:itemID="{61468B0C-88F8-40C0-8823-A952D903D385}"/>
</file>

<file path=customXml/itemProps6.xml><?xml version="1.0" encoding="utf-8"?>
<ds:datastoreItem xmlns:ds="http://schemas.openxmlformats.org/officeDocument/2006/customXml" ds:itemID="{94CFADAB-B24C-4011-87AD-BF92D8F22824}"/>
</file>

<file path=docProps/app.xml><?xml version="1.0" encoding="utf-8"?>
<Properties xmlns="http://schemas.openxmlformats.org/officeDocument/2006/extended-properties" xmlns:vt="http://schemas.openxmlformats.org/officeDocument/2006/docPropsVTypes">
  <Template>Normal.dotm</Template>
  <TotalTime>0</TotalTime>
  <Pages>32</Pages>
  <Words>7278</Words>
  <Characters>42460</Characters>
  <Application>Microsoft Office Word</Application>
  <DocSecurity>0</DocSecurity>
  <Lines>896</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2023-07-10T06:45:00Z</dcterms:created>
  <dcterms:modified xsi:type="dcterms:W3CDTF">2023-07-10T06:45:00Z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Originating_FileId">
    <vt:lpwstr>2D3CA2CCF58E4577ADFF6BC7C9E7EA41</vt:lpwstr>
  </property>
  <property fmtid="{D5CDD505-2E9C-101B-9397-08002B2CF9AE}" pid="3" name="PM_ProtectiveMarkingValue_Footer">
    <vt:lpwstr>OFFICIAL</vt:lpwstr>
  </property>
  <property fmtid="{D5CDD505-2E9C-101B-9397-08002B2CF9AE}" pid="4" name="PM_ProtectiveMarkingImage_Header">
    <vt:lpwstr>C:\Program Files\Common Files\janusNET Shared\janusSEAL\Images\DocumentSlashBlue.png</vt:lpwstr>
  </property>
  <property fmtid="{D5CDD505-2E9C-101B-9397-08002B2CF9AE}" pid="5" name="PMHMAC">
    <vt:lpwstr>v=2022.1;a=SHA256;h=F9D5594C66D9BCB534B796F19F0465138DE4CF4FD2EE4D7821EFDCF1949D4580</vt:lpwstr>
  </property>
  <property fmtid="{D5CDD505-2E9C-101B-9397-08002B2CF9AE}" pid="6" name="PM_Qualifier">
    <vt:lpwstr/>
  </property>
  <property fmtid="{D5CDD505-2E9C-101B-9397-08002B2CF9AE}" pid="7" name="PM_DisplayValueSecClassificationWithQualifier">
    <vt:lpwstr>OFFICIAL</vt:lpwstr>
  </property>
  <property fmtid="{D5CDD505-2E9C-101B-9397-08002B2CF9AE}" pid="8" name="MSIP_Label_c0129afb-6481-4f92-bc9f-5a4a6346364d_Method">
    <vt:lpwstr>Privileged</vt:lpwstr>
  </property>
  <property fmtid="{D5CDD505-2E9C-101B-9397-08002B2CF9AE}" pid="9" name="PM_SecurityClassification">
    <vt:lpwstr>OFFICIAL</vt:lpwstr>
  </property>
  <property fmtid="{D5CDD505-2E9C-101B-9397-08002B2CF9AE}" pid="10" name="PM_InsertionValue">
    <vt:lpwstr>OFFICIAL</vt:lpwstr>
  </property>
  <property fmtid="{D5CDD505-2E9C-101B-9397-08002B2CF9AE}" pid="11" name="PM_OriginationTimeStamp">
    <vt:lpwstr>2022-07-27T00:12:08Z</vt:lpwstr>
  </property>
  <property fmtid="{D5CDD505-2E9C-101B-9397-08002B2CF9AE}" pid="12" name="PM_ProtectiveMarkingValue_Header">
    <vt:lpwstr>OFFICIAL</vt:lpwstr>
  </property>
  <property fmtid="{D5CDD505-2E9C-101B-9397-08002B2CF9AE}" pid="13" name="PM_ProtectiveMarkingImage_Footer">
    <vt:lpwstr>C:\Program Files\Common Files\janusNET Shared\janusSEAL\Images\DocumentSlashBlue.png</vt:lpwstr>
  </property>
  <property fmtid="{D5CDD505-2E9C-101B-9397-08002B2CF9AE}" pid="14" name="PM_Namespace">
    <vt:lpwstr>gov.au</vt:lpwstr>
  </property>
  <property fmtid="{D5CDD505-2E9C-101B-9397-08002B2CF9AE}" pid="15" name="PM_Version">
    <vt:lpwstr>2018.3</vt:lpwstr>
  </property>
  <property fmtid="{D5CDD505-2E9C-101B-9397-08002B2CF9AE}" pid="16" name="PM_Hash_Version">
    <vt:lpwstr>2022.1</vt:lpwstr>
  </property>
  <property fmtid="{D5CDD505-2E9C-101B-9397-08002B2CF9AE}" pid="17" name="PM_SecurityClassification_Prev">
    <vt:lpwstr>OFFICIAL</vt:lpwstr>
  </property>
  <property fmtid="{D5CDD505-2E9C-101B-9397-08002B2CF9AE}" pid="18" name="PM_Qualifier_Prev">
    <vt:lpwstr/>
  </property>
  <property fmtid="{D5CDD505-2E9C-101B-9397-08002B2CF9AE}" pid="19" name="PM_Note">
    <vt:lpwstr/>
  </property>
  <property fmtid="{D5CDD505-2E9C-101B-9397-08002B2CF9AE}" pid="20" name="PM_Markers">
    <vt:lpwstr/>
  </property>
  <property fmtid="{D5CDD505-2E9C-101B-9397-08002B2CF9AE}" pid="21" name="PM_Display">
    <vt:lpwstr>OFFICIAL</vt:lpwstr>
  </property>
  <property fmtid="{D5CDD505-2E9C-101B-9397-08002B2CF9AE}" pid="22" name="PMUuid">
    <vt:lpwstr>v=2022.2;d=gov.au;g=46DD6D7C-8107-577B-BC6E-F348953B2E44</vt:lpwstr>
  </property>
  <property fmtid="{D5CDD505-2E9C-101B-9397-08002B2CF9AE}" pid="23" name="PM_OriginatorDomainName_SHA256">
    <vt:lpwstr>ECBDE2B44A971754412B3FB70606937A119CC0D4B6C1B658A40FBD41C30BE3EC</vt:lpwstr>
  </property>
  <property fmtid="{D5CDD505-2E9C-101B-9397-08002B2CF9AE}" pid="24" name="MSIP_Label_c0129afb-6481-4f92-bc9f-5a4a6346364d_Name">
    <vt:lpwstr>OFFICIAL</vt:lpwstr>
  </property>
  <property fmtid="{D5CDD505-2E9C-101B-9397-08002B2CF9AE}" pid="25" name="MSIP_Label_c0129afb-6481-4f92-bc9f-5a4a6346364d_SiteId">
    <vt:lpwstr>c05e3ffd-b491-4431-9809-e61d4dc78816</vt:lpwstr>
  </property>
  <property fmtid="{D5CDD505-2E9C-101B-9397-08002B2CF9AE}" pid="26" name="MSIP_Label_c0129afb-6481-4f92-bc9f-5a4a6346364d_ContentBits">
    <vt:lpwstr>0</vt:lpwstr>
  </property>
  <property fmtid="{D5CDD505-2E9C-101B-9397-08002B2CF9AE}" pid="27" name="MSIP_Label_c0129afb-6481-4f92-bc9f-5a4a6346364d_Enabled">
    <vt:lpwstr>true</vt:lpwstr>
  </property>
  <property fmtid="{D5CDD505-2E9C-101B-9397-08002B2CF9AE}" pid="28" name="PM_Hash_Salt_Prev">
    <vt:lpwstr>A2D80523C495F213738A3EDA132F25A7</vt:lpwstr>
  </property>
  <property fmtid="{D5CDD505-2E9C-101B-9397-08002B2CF9AE}" pid="29" name="MSIP_Label_c0129afb-6481-4f92-bc9f-5a4a6346364d_SetDate">
    <vt:lpwstr>2022-07-27T00:12:08Z</vt:lpwstr>
  </property>
  <property fmtid="{D5CDD505-2E9C-101B-9397-08002B2CF9AE}" pid="30" name="PM_Originator_Hash_SHA1">
    <vt:lpwstr>FD601EB9279B81D19174D871B12407322185A007</vt:lpwstr>
  </property>
  <property fmtid="{D5CDD505-2E9C-101B-9397-08002B2CF9AE}" pid="31" name="PM_OriginatorUserAccountName_SHA256">
    <vt:lpwstr>52CA578D49D47181320D733DE315BF8BF71643387A629D3D6BA2BF9260CD3A97</vt:lpwstr>
  </property>
  <property fmtid="{D5CDD505-2E9C-101B-9397-08002B2CF9AE}" pid="32" name="PM_Hash_SHA1">
    <vt:lpwstr>3E99B50697454CB4B91F01BB8C209917FCCEAFF6</vt:lpwstr>
  </property>
  <property fmtid="{D5CDD505-2E9C-101B-9397-08002B2CF9AE}" pid="33" name="PM_Hash_Salt">
    <vt:lpwstr>53A1F74AD0653AB5FB239DC1D5D6A93C</vt:lpwstr>
  </property>
  <property fmtid="{D5CDD505-2E9C-101B-9397-08002B2CF9AE}" pid="34" name="MSIP_Label_c0129afb-6481-4f92-bc9f-5a4a6346364d_ActionId">
    <vt:lpwstr>11782299e1984e24adff6795ebe65859</vt:lpwstr>
  </property>
  <property fmtid="{D5CDD505-2E9C-101B-9397-08002B2CF9AE}" pid="35" name="PM_Caveats_Count">
    <vt:lpwstr>0</vt:lpwstr>
  </property>
  <property fmtid="{D5CDD505-2E9C-101B-9397-08002B2CF9AE}" pid="36" name="ContentTypeId">
    <vt:lpwstr>0x0101009CA239676470E04B809DDC4E24CF2322</vt:lpwstr>
  </property>
  <property fmtid="{D5CDD505-2E9C-101B-9397-08002B2CF9AE}" pid="37" name="_dlc_DocIdItemGuid">
    <vt:lpwstr>591f7027-e345-4500-a92d-f2e9a4067966</vt:lpwstr>
  </property>
  <property fmtid="{D5CDD505-2E9C-101B-9397-08002B2CF9AE}" pid="38" name="MediaServiceImageTags">
    <vt:lpwstr/>
  </property>
</Properties>
</file>